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354965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372110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55880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91440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8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20" w:right="400" w:hanging="512"/>
        <w:spacing w:after="0" w:line="237" w:lineRule="auto"/>
        <w:tabs>
          <w:tab w:leader="none" w:pos="52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2019</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68" w:lineRule="exact"/>
        <w:rPr>
          <w:sz w:val="24"/>
          <w:szCs w:val="24"/>
          <w:color w:val="auto"/>
        </w:rPr>
      </w:pPr>
    </w:p>
    <w:p>
      <w:pPr>
        <w:ind w:left="520" w:right="380" w:hanging="512"/>
        <w:spacing w:after="0" w:line="256" w:lineRule="auto"/>
        <w:tabs>
          <w:tab w:leader="none" w:pos="52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23" w:lineRule="exact"/>
        <w:rPr>
          <w:sz w:val="24"/>
          <w:szCs w:val="24"/>
          <w:color w:val="auto"/>
        </w:rPr>
      </w:pPr>
    </w:p>
    <w:p>
      <w:pPr>
        <w:ind w:left="354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001-36364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85725</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49"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TPG Specialty Lending, Inc.</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64770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58" w:lineRule="exact"/>
        <w:rPr>
          <w:sz w:val="24"/>
          <w:szCs w:val="24"/>
          <w:color w:val="auto"/>
        </w:rPr>
      </w:pPr>
    </w:p>
    <w:tbl>
      <w:tblPr>
        <w:tblLayout w:type="fixed"/>
        <w:tblInd w:w="1580" w:type="dxa"/>
        <w:tblCellMar>
          <w:top w:w="0" w:type="dxa"/>
          <w:left w:w="0" w:type="dxa"/>
          <w:bottom w:w="0" w:type="dxa"/>
          <w:right w:w="0" w:type="dxa"/>
        </w:tblCellMar>
      </w:tblPr>
      <w:tr>
        <w:trPr>
          <w:trHeight w:val="212"/>
        </w:trPr>
        <w:tc>
          <w:tcPr>
            <w:tcW w:w="4500" w:type="dxa"/>
            <w:vAlign w:val="bottom"/>
          </w:tcPr>
          <w:p>
            <w:pPr>
              <w:jc w:val="center"/>
              <w:ind w:right="1859"/>
              <w:spacing w:after="0"/>
              <w:rPr>
                <w:sz w:val="20"/>
                <w:szCs w:val="20"/>
                <w:color w:val="auto"/>
              </w:rPr>
            </w:pPr>
            <w:r>
              <w:rPr>
                <w:rFonts w:ascii="Arial" w:cs="Arial" w:eastAsia="Arial" w:hAnsi="Arial"/>
                <w:sz w:val="18"/>
                <w:szCs w:val="18"/>
                <w:b w:val="1"/>
                <w:bCs w:val="1"/>
                <w:color w:val="auto"/>
                <w:w w:val="91"/>
              </w:rPr>
              <w:t>Delaware</w:t>
            </w:r>
          </w:p>
        </w:tc>
        <w:tc>
          <w:tcPr>
            <w:tcW w:w="3060" w:type="dxa"/>
            <w:vAlign w:val="bottom"/>
          </w:tcPr>
          <w:p>
            <w:pPr>
              <w:jc w:val="right"/>
              <w:ind w:right="61"/>
              <w:spacing w:after="0"/>
              <w:rPr>
                <w:sz w:val="20"/>
                <w:szCs w:val="20"/>
                <w:color w:val="auto"/>
              </w:rPr>
            </w:pPr>
            <w:r>
              <w:rPr>
                <w:rFonts w:ascii="Arial" w:cs="Arial" w:eastAsia="Arial" w:hAnsi="Arial"/>
                <w:sz w:val="18"/>
                <w:szCs w:val="18"/>
                <w:b w:val="1"/>
                <w:bCs w:val="1"/>
                <w:color w:val="auto"/>
              </w:rPr>
              <w:t>27-3380000</w:t>
            </w:r>
          </w:p>
        </w:tc>
      </w:tr>
      <w:tr>
        <w:trPr>
          <w:trHeight w:val="149"/>
        </w:trPr>
        <w:tc>
          <w:tcPr>
            <w:tcW w:w="4500" w:type="dxa"/>
            <w:vAlign w:val="bottom"/>
          </w:tcPr>
          <w:p>
            <w:pPr>
              <w:jc w:val="center"/>
              <w:ind w:right="183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060" w:type="dxa"/>
            <w:vAlign w:val="bottom"/>
          </w:tcPr>
          <w:p>
            <w:pPr>
              <w:jc w:val="center"/>
              <w:ind w:left="186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500" w:type="dxa"/>
            <w:vAlign w:val="bottom"/>
          </w:tcPr>
          <w:p>
            <w:pPr>
              <w:jc w:val="center"/>
              <w:ind w:right="1839"/>
              <w:spacing w:after="0"/>
              <w:rPr>
                <w:sz w:val="20"/>
                <w:szCs w:val="20"/>
                <w:color w:val="auto"/>
              </w:rPr>
            </w:pPr>
            <w:r>
              <w:rPr>
                <w:rFonts w:ascii="Arial" w:cs="Arial" w:eastAsia="Arial" w:hAnsi="Arial"/>
                <w:sz w:val="14"/>
                <w:szCs w:val="14"/>
                <w:b w:val="1"/>
                <w:bCs w:val="1"/>
                <w:color w:val="auto"/>
                <w:w w:val="95"/>
              </w:rPr>
              <w:t>Incorporation or Organization)</w:t>
            </w:r>
          </w:p>
        </w:tc>
        <w:tc>
          <w:tcPr>
            <w:tcW w:w="3060" w:type="dxa"/>
            <w:vAlign w:val="bottom"/>
          </w:tcPr>
          <w:p>
            <w:pPr>
              <w:jc w:val="center"/>
              <w:ind w:left="1841"/>
              <w:spacing w:after="0"/>
              <w:rPr>
                <w:sz w:val="20"/>
                <w:szCs w:val="20"/>
                <w:color w:val="auto"/>
              </w:rPr>
            </w:pPr>
            <w:r>
              <w:rPr>
                <w:rFonts w:ascii="Arial" w:cs="Arial" w:eastAsia="Arial" w:hAnsi="Arial"/>
                <w:sz w:val="14"/>
                <w:szCs w:val="14"/>
                <w:b w:val="1"/>
                <w:bCs w:val="1"/>
                <w:color w:val="auto"/>
                <w:w w:val="96"/>
              </w:rPr>
              <w:t>Identification No.)</w:t>
            </w:r>
          </w:p>
        </w:tc>
      </w:tr>
      <w:tr>
        <w:trPr>
          <w:trHeight w:val="264"/>
        </w:trPr>
        <w:tc>
          <w:tcPr>
            <w:tcW w:w="4500" w:type="dxa"/>
            <w:vAlign w:val="bottom"/>
          </w:tcPr>
          <w:p>
            <w:pPr>
              <w:jc w:val="center"/>
              <w:ind w:right="1839"/>
              <w:spacing w:after="0"/>
              <w:rPr>
                <w:sz w:val="20"/>
                <w:szCs w:val="20"/>
                <w:color w:val="auto"/>
              </w:rPr>
            </w:pPr>
            <w:r>
              <w:rPr>
                <w:rFonts w:ascii="Arial" w:cs="Arial" w:eastAsia="Arial" w:hAnsi="Arial"/>
                <w:sz w:val="18"/>
                <w:szCs w:val="18"/>
                <w:b w:val="1"/>
                <w:bCs w:val="1"/>
                <w:color w:val="auto"/>
                <w:w w:val="89"/>
              </w:rPr>
              <w:t>301 Commerce Street, Suite 3300,</w:t>
            </w:r>
          </w:p>
        </w:tc>
        <w:tc>
          <w:tcPr>
            <w:tcW w:w="3060" w:type="dxa"/>
            <w:vAlign w:val="bottom"/>
          </w:tcPr>
          <w:p>
            <w:pPr>
              <w:spacing w:after="0"/>
              <w:rPr>
                <w:sz w:val="22"/>
                <w:szCs w:val="22"/>
                <w:color w:val="auto"/>
              </w:rPr>
            </w:pPr>
          </w:p>
        </w:tc>
      </w:tr>
      <w:tr>
        <w:trPr>
          <w:trHeight w:val="212"/>
        </w:trPr>
        <w:tc>
          <w:tcPr>
            <w:tcW w:w="4500" w:type="dxa"/>
            <w:vAlign w:val="bottom"/>
          </w:tcPr>
          <w:p>
            <w:pPr>
              <w:jc w:val="center"/>
              <w:ind w:right="1839"/>
              <w:spacing w:after="0"/>
              <w:rPr>
                <w:sz w:val="20"/>
                <w:szCs w:val="20"/>
                <w:color w:val="auto"/>
              </w:rPr>
            </w:pPr>
            <w:r>
              <w:rPr>
                <w:rFonts w:ascii="Arial" w:cs="Arial" w:eastAsia="Arial" w:hAnsi="Arial"/>
                <w:sz w:val="18"/>
                <w:szCs w:val="18"/>
                <w:b w:val="1"/>
                <w:bCs w:val="1"/>
                <w:color w:val="auto"/>
                <w:w w:val="97"/>
              </w:rPr>
              <w:t>Fort Worth, TX</w:t>
            </w:r>
          </w:p>
        </w:tc>
        <w:tc>
          <w:tcPr>
            <w:tcW w:w="3060" w:type="dxa"/>
            <w:vAlign w:val="bottom"/>
          </w:tcPr>
          <w:p>
            <w:pPr>
              <w:jc w:val="right"/>
              <w:ind w:right="261"/>
              <w:spacing w:after="0"/>
              <w:rPr>
                <w:sz w:val="20"/>
                <w:szCs w:val="20"/>
                <w:color w:val="auto"/>
              </w:rPr>
            </w:pPr>
            <w:r>
              <w:rPr>
                <w:rFonts w:ascii="Arial" w:cs="Arial" w:eastAsia="Arial" w:hAnsi="Arial"/>
                <w:sz w:val="18"/>
                <w:szCs w:val="18"/>
                <w:b w:val="1"/>
                <w:bCs w:val="1"/>
                <w:color w:val="auto"/>
              </w:rPr>
              <w:t>76102</w:t>
            </w:r>
          </w:p>
        </w:tc>
      </w:tr>
      <w:tr>
        <w:trPr>
          <w:trHeight w:val="186"/>
        </w:trPr>
        <w:tc>
          <w:tcPr>
            <w:tcW w:w="4500" w:type="dxa"/>
            <w:vAlign w:val="bottom"/>
          </w:tcPr>
          <w:p>
            <w:pPr>
              <w:jc w:val="center"/>
              <w:ind w:right="183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3060" w:type="dxa"/>
            <w:vAlign w:val="bottom"/>
          </w:tcPr>
          <w:p>
            <w:pPr>
              <w:jc w:val="center"/>
              <w:ind w:left="1841"/>
              <w:spacing w:after="0"/>
              <w:rPr>
                <w:sz w:val="20"/>
                <w:szCs w:val="20"/>
                <w:color w:val="auto"/>
              </w:rPr>
            </w:pPr>
            <w:r>
              <w:rPr>
                <w:rFonts w:ascii="Arial" w:cs="Arial" w:eastAsia="Arial" w:hAnsi="Arial"/>
                <w:sz w:val="14"/>
                <w:szCs w:val="14"/>
                <w:b w:val="1"/>
                <w:bCs w:val="1"/>
                <w:color w:val="auto"/>
                <w:w w:val="95"/>
              </w:rPr>
              <w:t>(Zip Code)</w:t>
            </w:r>
          </w:p>
        </w:tc>
      </w:tr>
    </w:tbl>
    <w:p>
      <w:pPr>
        <w:spacing w:after="0" w:line="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(817) 871-4000</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99060</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12" w:lineRule="exact"/>
        <w:rPr>
          <w:sz w:val="24"/>
          <w:szCs w:val="24"/>
          <w:color w:val="auto"/>
        </w:rPr>
      </w:pPr>
    </w:p>
    <w:p>
      <w:pPr>
        <w:ind w:right="40"/>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2" w:lineRule="exact"/>
        <w:rPr>
          <w:sz w:val="24"/>
          <w:szCs w:val="24"/>
          <w:color w:val="auto"/>
        </w:rPr>
      </w:pPr>
    </w:p>
    <w:p>
      <w:pPr>
        <w:ind w:right="260"/>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2" w:lineRule="exact"/>
        <w:rPr>
          <w:sz w:val="24"/>
          <w:szCs w:val="24"/>
          <w:color w:val="auto"/>
        </w:rPr>
      </w:pPr>
    </w:p>
    <w:p>
      <w:pPr>
        <w:ind w:right="560"/>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2" w:lineRule="exact"/>
        <w:rPr>
          <w:sz w:val="24"/>
          <w:szCs w:val="24"/>
          <w:color w:val="auto"/>
        </w:rPr>
      </w:pPr>
    </w:p>
    <w:tbl>
      <w:tblPr>
        <w:tblLayout w:type="fixed"/>
        <w:tblInd w:w="0" w:type="dxa"/>
        <w:tblCellMar>
          <w:top w:w="0" w:type="dxa"/>
          <w:left w:w="0" w:type="dxa"/>
          <w:bottom w:w="0" w:type="dxa"/>
          <w:right w:w="0" w:type="dxa"/>
        </w:tblCellMar>
      </w:tblPr>
      <w:tr>
        <w:trPr>
          <w:trHeight w:val="226"/>
        </w:trPr>
        <w:tc>
          <w:tcPr>
            <w:tcW w:w="21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420" w:type="dxa"/>
            <w:vAlign w:val="bottom"/>
          </w:tcPr>
          <w:p>
            <w:pPr>
              <w:ind w:left="800"/>
              <w:spacing w:after="0" w:line="141" w:lineRule="exact"/>
              <w:rPr>
                <w:sz w:val="20"/>
                <w:szCs w:val="20"/>
                <w:color w:val="auto"/>
              </w:rPr>
            </w:pPr>
            <w:r>
              <w:rPr>
                <w:rFonts w:ascii="MS PGothic" w:cs="MS PGothic" w:eastAsia="MS PGothic" w:hAnsi="MS PGothic"/>
                <w:sz w:val="14"/>
                <w:szCs w:val="14"/>
                <w:color w:val="auto"/>
              </w:rPr>
              <w:t>☒</w:t>
            </w:r>
          </w:p>
        </w:tc>
        <w:tc>
          <w:tcPr>
            <w:tcW w:w="4720" w:type="dxa"/>
            <w:vAlign w:val="bottom"/>
          </w:tcPr>
          <w:p>
            <w:pPr>
              <w:ind w:left="2480"/>
              <w:spacing w:after="0"/>
              <w:rPr>
                <w:sz w:val="20"/>
                <w:szCs w:val="20"/>
                <w:color w:val="auto"/>
              </w:rPr>
            </w:pPr>
            <w:r>
              <w:rPr>
                <w:rFonts w:ascii="Arial" w:cs="Arial" w:eastAsia="Arial" w:hAnsi="Arial"/>
                <w:sz w:val="14"/>
                <w:szCs w:val="14"/>
                <w:color w:val="auto"/>
              </w:rPr>
              <w:t>Accelerated filer</w:t>
            </w:r>
          </w:p>
        </w:tc>
        <w:tc>
          <w:tcPr>
            <w:tcW w:w="800" w:type="dxa"/>
            <w:vAlign w:val="bottom"/>
          </w:tcPr>
          <w:p>
            <w:pPr>
              <w:ind w:left="6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80"/>
        </w:trPr>
        <w:tc>
          <w:tcPr>
            <w:tcW w:w="2120" w:type="dxa"/>
            <w:vAlign w:val="bottom"/>
          </w:tcPr>
          <w:p>
            <w:pPr>
              <w:spacing w:after="0"/>
              <w:rPr>
                <w:sz w:val="20"/>
                <w:szCs w:val="20"/>
                <w:color w:val="auto"/>
              </w:rPr>
            </w:pPr>
            <w:r>
              <w:rPr>
                <w:rFonts w:ascii="Arial" w:cs="Arial" w:eastAsia="Arial" w:hAnsi="Arial"/>
                <w:sz w:val="14"/>
                <w:szCs w:val="14"/>
                <w:color w:val="auto"/>
              </w:rPr>
              <w:t>Non-accelerated filer</w:t>
            </w:r>
          </w:p>
        </w:tc>
        <w:tc>
          <w:tcPr>
            <w:tcW w:w="3420" w:type="dxa"/>
            <w:vAlign w:val="bottom"/>
          </w:tcPr>
          <w:p>
            <w:pPr>
              <w:ind w:left="800"/>
              <w:spacing w:after="0" w:line="141" w:lineRule="exact"/>
              <w:rPr>
                <w:sz w:val="20"/>
                <w:szCs w:val="20"/>
                <w:color w:val="auto"/>
              </w:rPr>
            </w:pPr>
            <w:r>
              <w:rPr>
                <w:rFonts w:ascii="MS PGothic" w:cs="MS PGothic" w:eastAsia="MS PGothic" w:hAnsi="MS PGothic"/>
                <w:sz w:val="14"/>
                <w:szCs w:val="14"/>
                <w:color w:val="auto"/>
              </w:rPr>
              <w:t>☐</w:t>
            </w:r>
          </w:p>
        </w:tc>
        <w:tc>
          <w:tcPr>
            <w:tcW w:w="4720" w:type="dxa"/>
            <w:vAlign w:val="bottom"/>
          </w:tcPr>
          <w:p>
            <w:pPr>
              <w:ind w:left="2480"/>
              <w:spacing w:after="0"/>
              <w:rPr>
                <w:sz w:val="20"/>
                <w:szCs w:val="20"/>
                <w:color w:val="auto"/>
              </w:rPr>
            </w:pPr>
            <w:r>
              <w:rPr>
                <w:rFonts w:ascii="Arial" w:cs="Arial" w:eastAsia="Arial" w:hAnsi="Arial"/>
                <w:sz w:val="14"/>
                <w:szCs w:val="14"/>
                <w:color w:val="auto"/>
              </w:rPr>
              <w:t>Smaller reporting company</w:t>
            </w:r>
          </w:p>
        </w:tc>
        <w:tc>
          <w:tcPr>
            <w:tcW w:w="800" w:type="dxa"/>
            <w:vAlign w:val="bottom"/>
          </w:tcPr>
          <w:p>
            <w:pPr>
              <w:ind w:left="6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212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4720" w:type="dxa"/>
            <w:vAlign w:val="bottom"/>
          </w:tcPr>
          <w:p>
            <w:pPr>
              <w:ind w:left="2480"/>
              <w:spacing w:after="0"/>
              <w:rPr>
                <w:sz w:val="20"/>
                <w:szCs w:val="20"/>
                <w:color w:val="auto"/>
              </w:rPr>
            </w:pPr>
            <w:r>
              <w:rPr>
                <w:rFonts w:ascii="Arial" w:cs="Arial" w:eastAsia="Arial" w:hAnsi="Arial"/>
                <w:sz w:val="14"/>
                <w:szCs w:val="14"/>
                <w:color w:val="auto"/>
              </w:rPr>
              <w:t>Emerging growth company</w:t>
            </w:r>
          </w:p>
        </w:tc>
        <w:tc>
          <w:tcPr>
            <w:tcW w:w="800" w:type="dxa"/>
            <w:vAlign w:val="bottom"/>
          </w:tcPr>
          <w:p>
            <w:pPr>
              <w:ind w:left="68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39" w:lineRule="exact"/>
        <w:rPr>
          <w:sz w:val="24"/>
          <w:szCs w:val="24"/>
          <w:color w:val="auto"/>
        </w:rPr>
      </w:pPr>
    </w:p>
    <w:p>
      <w:pPr>
        <w:ind w:right="16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8" w:lineRule="exact"/>
        <w:rPr>
          <w:sz w:val="24"/>
          <w:szCs w:val="24"/>
          <w:color w:val="auto"/>
        </w:rPr>
      </w:pPr>
    </w:p>
    <w:tbl>
      <w:tblPr>
        <w:tblLayout w:type="fixed"/>
        <w:tblInd w:w="10" w:type="dxa"/>
        <w:tblCellMar>
          <w:top w:w="0" w:type="dxa"/>
          <w:left w:w="0" w:type="dxa"/>
          <w:bottom w:w="0" w:type="dxa"/>
          <w:right w:w="0" w:type="dxa"/>
        </w:tblCellMar>
      </w:tblPr>
      <w:tr>
        <w:trPr>
          <w:trHeight w:val="226"/>
        </w:trPr>
        <w:tc>
          <w:tcPr>
            <w:tcW w:w="7220" w:type="dxa"/>
            <w:vAlign w:val="bottom"/>
            <w:gridSpan w:val="2"/>
          </w:tcPr>
          <w:p>
            <w:pPr>
              <w:spacing w:after="0" w:line="161" w:lineRule="exact"/>
              <w:rPr>
                <w:sz w:val="20"/>
                <w:szCs w:val="20"/>
                <w:color w:val="auto"/>
              </w:rPr>
            </w:pPr>
            <w:r>
              <w:rPr>
                <w:rFonts w:ascii="Arial" w:cs="Arial" w:eastAsia="Arial" w:hAnsi="Arial"/>
                <w:sz w:val="14"/>
                <w:szCs w:val="14"/>
                <w:color w:val="auto"/>
                <w:w w:val="95"/>
              </w:rPr>
              <w:t xml:space="preserve">Indicate by check mark whether the Registrant is a shell company (as defined in Rule 12b-2 of the Exchange Act).  Yes </w:t>
            </w:r>
            <w:r>
              <w:rPr>
                <w:rFonts w:ascii="MS PGothic" w:cs="MS PGothic" w:eastAsia="MS PGothic" w:hAnsi="MS PGothic"/>
                <w:sz w:val="14"/>
                <w:szCs w:val="14"/>
                <w:color w:val="auto"/>
                <w:w w:val="95"/>
              </w:rPr>
              <w:t>☐</w:t>
            </w:r>
          </w:p>
        </w:tc>
        <w:tc>
          <w:tcPr>
            <w:tcW w:w="4200" w:type="dxa"/>
            <w:vAlign w:val="bottom"/>
            <w:gridSpan w:val="2"/>
          </w:tcPr>
          <w:p>
            <w:pPr>
              <w:ind w:left="8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r>
      <w:tr>
        <w:trPr>
          <w:trHeight w:val="200"/>
        </w:trPr>
        <w:tc>
          <w:tcPr>
            <w:tcW w:w="3840" w:type="dxa"/>
            <w:vAlign w:val="bottom"/>
          </w:tcPr>
          <w:p>
            <w:pPr>
              <w:spacing w:after="0"/>
              <w:rPr>
                <w:sz w:val="20"/>
                <w:szCs w:val="20"/>
                <w:color w:val="auto"/>
              </w:rPr>
            </w:pPr>
            <w:r>
              <w:rPr>
                <w:rFonts w:ascii="Arial" w:cs="Arial" w:eastAsia="Arial" w:hAnsi="Arial"/>
                <w:sz w:val="14"/>
                <w:szCs w:val="14"/>
                <w:b w:val="1"/>
                <w:bCs w:val="1"/>
                <w:color w:val="auto"/>
                <w:w w:val="98"/>
              </w:rPr>
              <w:t>Securities registered pursuant to Section 12(b) of the Act:</w:t>
            </w:r>
          </w:p>
        </w:tc>
        <w:tc>
          <w:tcPr>
            <w:tcW w:w="3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780" w:type="dxa"/>
            <w:vAlign w:val="bottom"/>
          </w:tcPr>
          <w:p>
            <w:pPr>
              <w:spacing w:after="0"/>
              <w:rPr>
                <w:sz w:val="17"/>
                <w:szCs w:val="17"/>
                <w:color w:val="auto"/>
              </w:rPr>
            </w:pPr>
          </w:p>
        </w:tc>
      </w:tr>
      <w:tr>
        <w:trPr>
          <w:trHeight w:val="134"/>
        </w:trPr>
        <w:tc>
          <w:tcPr>
            <w:tcW w:w="3840" w:type="dxa"/>
            <w:vAlign w:val="bottom"/>
            <w:tcBorders>
              <w:bottom w:val="single" w:sz="8" w:color="auto"/>
            </w:tcBorders>
          </w:tcPr>
          <w:p>
            <w:pPr>
              <w:spacing w:after="0"/>
              <w:rPr>
                <w:sz w:val="11"/>
                <w:szCs w:val="11"/>
                <w:color w:val="auto"/>
              </w:rPr>
            </w:pPr>
          </w:p>
        </w:tc>
        <w:tc>
          <w:tcPr>
            <w:tcW w:w="33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3780" w:type="dxa"/>
            <w:vAlign w:val="bottom"/>
            <w:tcBorders>
              <w:bottom w:val="single" w:sz="8" w:color="auto"/>
            </w:tcBorders>
          </w:tcPr>
          <w:p>
            <w:pPr>
              <w:spacing w:after="0"/>
              <w:rPr>
                <w:sz w:val="11"/>
                <w:szCs w:val="11"/>
                <w:color w:val="auto"/>
              </w:rPr>
            </w:pPr>
          </w:p>
        </w:tc>
      </w:tr>
      <w:tr>
        <w:trPr>
          <w:trHeight w:val="142"/>
        </w:trPr>
        <w:tc>
          <w:tcPr>
            <w:tcW w:w="3840" w:type="dxa"/>
            <w:vAlign w:val="bottom"/>
            <w:tcBorders>
              <w:left w:val="single" w:sz="8" w:color="auto"/>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Title of each class</w:t>
            </w:r>
          </w:p>
        </w:tc>
        <w:tc>
          <w:tcPr>
            <w:tcW w:w="3380" w:type="dxa"/>
            <w:vAlign w:val="bottom"/>
            <w:tcBorders>
              <w:bottom w:val="single" w:sz="8" w:color="auto"/>
            </w:tcBorders>
          </w:tcPr>
          <w:p>
            <w:pPr>
              <w:jc w:val="center"/>
              <w:ind w:left="308"/>
              <w:spacing w:after="0" w:line="142" w:lineRule="exact"/>
              <w:rPr>
                <w:sz w:val="20"/>
                <w:szCs w:val="20"/>
                <w:color w:val="auto"/>
              </w:rPr>
            </w:pPr>
            <w:r>
              <w:rPr>
                <w:rFonts w:ascii="Arial" w:cs="Arial" w:eastAsia="Arial" w:hAnsi="Arial"/>
                <w:sz w:val="14"/>
                <w:szCs w:val="14"/>
                <w:b w:val="1"/>
                <w:bCs w:val="1"/>
                <w:color w:val="auto"/>
                <w:w w:val="94"/>
              </w:rPr>
              <w:t>Trading Symbol(s)</w:t>
            </w:r>
          </w:p>
        </w:tc>
        <w:tc>
          <w:tcPr>
            <w:tcW w:w="420" w:type="dxa"/>
            <w:vAlign w:val="bottom"/>
            <w:tcBorders>
              <w:bottom w:val="single" w:sz="8" w:color="auto"/>
              <w:right w:val="single" w:sz="8" w:color="auto"/>
            </w:tcBorders>
          </w:tcPr>
          <w:p>
            <w:pPr>
              <w:spacing w:after="0"/>
              <w:rPr>
                <w:sz w:val="12"/>
                <w:szCs w:val="12"/>
                <w:color w:val="auto"/>
              </w:rPr>
            </w:pPr>
          </w:p>
        </w:tc>
        <w:tc>
          <w:tcPr>
            <w:tcW w:w="378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0"/>
              </w:rPr>
              <w:t>Name of each exchange on which registered</w:t>
            </w:r>
          </w:p>
        </w:tc>
      </w:tr>
      <w:tr>
        <w:trPr>
          <w:trHeight w:val="196"/>
        </w:trPr>
        <w:tc>
          <w:tcPr>
            <w:tcW w:w="38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Common Stock, par value $0.01 per share</w:t>
            </w:r>
          </w:p>
        </w:tc>
        <w:tc>
          <w:tcPr>
            <w:tcW w:w="3380" w:type="dxa"/>
            <w:vAlign w:val="bottom"/>
            <w:tcBorders>
              <w:bottom w:val="single" w:sz="8" w:color="auto"/>
            </w:tcBorders>
          </w:tcPr>
          <w:p>
            <w:pPr>
              <w:jc w:val="center"/>
              <w:ind w:left="308"/>
              <w:spacing w:after="0"/>
              <w:rPr>
                <w:sz w:val="20"/>
                <w:szCs w:val="20"/>
                <w:color w:val="auto"/>
              </w:rPr>
            </w:pPr>
            <w:r>
              <w:rPr>
                <w:rFonts w:ascii="Arial" w:cs="Arial" w:eastAsia="Arial" w:hAnsi="Arial"/>
                <w:sz w:val="14"/>
                <w:szCs w:val="14"/>
                <w:b w:val="1"/>
                <w:bCs w:val="1"/>
                <w:color w:val="auto"/>
              </w:rPr>
              <w:t>TSLX</w:t>
            </w:r>
          </w:p>
        </w:tc>
        <w:tc>
          <w:tcPr>
            <w:tcW w:w="420" w:type="dxa"/>
            <w:vAlign w:val="bottom"/>
            <w:tcBorders>
              <w:bottom w:val="single" w:sz="8" w:color="auto"/>
              <w:right w:val="single" w:sz="8" w:color="auto"/>
            </w:tcBorders>
          </w:tcPr>
          <w:p>
            <w:pPr>
              <w:spacing w:after="0"/>
              <w:rPr>
                <w:sz w:val="17"/>
                <w:szCs w:val="17"/>
                <w:color w:val="auto"/>
              </w:rPr>
            </w:pPr>
          </w:p>
        </w:tc>
        <w:tc>
          <w:tcPr>
            <w:tcW w:w="3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The New York Stock Exchange</w:t>
            </w:r>
          </w:p>
        </w:tc>
      </w:tr>
    </w:tbl>
    <w:p>
      <w:pPr>
        <w:spacing w:after="0" w:line="197" w:lineRule="exact"/>
        <w:rPr>
          <w:sz w:val="24"/>
          <w:szCs w:val="24"/>
          <w:color w:val="auto"/>
        </w:rPr>
      </w:pPr>
    </w:p>
    <w:p>
      <w:pPr>
        <w:spacing w:after="0"/>
        <w:rPr>
          <w:sz w:val="20"/>
          <w:szCs w:val="20"/>
          <w:color w:val="auto"/>
        </w:rPr>
      </w:pPr>
      <w:r>
        <w:rPr>
          <w:rFonts w:ascii="Arial" w:cs="Arial" w:eastAsia="Arial" w:hAnsi="Arial"/>
          <w:sz w:val="14"/>
          <w:szCs w:val="14"/>
          <w:color w:val="auto"/>
        </w:rPr>
        <w:t>The number of shares of the Registrant’s common stock, $.01 par value per share, outstanding at May 1, 2019 was 66,031,076.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98425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763270</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48"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TPG SPECIALTY LENDING, INC.</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980" w:type="dxa"/>
            <w:vAlign w:val="bottom"/>
            <w:gridSpan w:val="7"/>
            <w:vMerge w:val="restart"/>
          </w:tcPr>
          <w:p>
            <w:pPr>
              <w:ind w:left="80"/>
              <w:spacing w:after="0"/>
              <w:rPr>
                <w:sz w:val="20"/>
                <w:szCs w:val="20"/>
                <w:color w:val="auto"/>
              </w:rPr>
            </w:pPr>
            <w:r>
              <w:rPr>
                <w:rFonts w:ascii="Arial" w:cs="Arial" w:eastAsia="Arial" w:hAnsi="Arial"/>
                <w:sz w:val="14"/>
                <w:szCs w:val="14"/>
                <w:b w:val="1"/>
                <w:bCs w:val="1"/>
                <w:color w:val="auto"/>
              </w:rPr>
              <w:t>INDEX</w:t>
            </w:r>
          </w:p>
        </w:tc>
        <w:tc>
          <w:tcPr>
            <w:tcW w:w="120" w:type="dxa"/>
            <w:vAlign w:val="bottom"/>
            <w:vMerge w:val="restart"/>
          </w:tcPr>
          <w:p>
            <w:pPr>
              <w:spacing w:after="0"/>
              <w:rPr>
                <w:sz w:val="14"/>
                <w:szCs w:val="14"/>
                <w:color w:val="auto"/>
              </w:rPr>
            </w:pPr>
          </w:p>
        </w:tc>
        <w:tc>
          <w:tcPr>
            <w:tcW w:w="900" w:type="dxa"/>
            <w:vAlign w:val="bottom"/>
          </w:tcPr>
          <w:p>
            <w:pPr>
              <w:jc w:val="right"/>
              <w:ind w:right="172"/>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1"/>
        </w:trPr>
        <w:tc>
          <w:tcPr>
            <w:tcW w:w="11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980" w:type="dxa"/>
            <w:vAlign w:val="bottom"/>
            <w:tcBorders>
              <w:bottom w:val="single" w:sz="8" w:color="auto"/>
            </w:tcBorders>
            <w:gridSpan w:val="7"/>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90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NO.</w:t>
            </w:r>
          </w:p>
        </w:tc>
        <w:tc>
          <w:tcPr>
            <w:tcW w:w="0" w:type="dxa"/>
            <w:vAlign w:val="bottom"/>
          </w:tcPr>
          <w:p>
            <w:pPr>
              <w:spacing w:after="0"/>
              <w:rPr>
                <w:sz w:val="1"/>
                <w:szCs w:val="1"/>
                <w:color w:val="auto"/>
              </w:rPr>
            </w:pPr>
          </w:p>
        </w:tc>
      </w:tr>
      <w:tr>
        <w:trPr>
          <w:trHeight w:val="291"/>
        </w:trPr>
        <w:tc>
          <w:tcPr>
            <w:tcW w:w="1100" w:type="dxa"/>
            <w:vAlign w:val="bottom"/>
          </w:tcPr>
          <w:p>
            <w:pPr>
              <w:spacing w:after="0"/>
              <w:rPr>
                <w:sz w:val="20"/>
                <w:szCs w:val="20"/>
                <w:color w:val="auto"/>
              </w:rPr>
            </w:pPr>
            <w:r>
              <w:rPr>
                <w:rFonts w:ascii="Arial" w:cs="Arial" w:eastAsia="Arial" w:hAnsi="Arial"/>
                <w:sz w:val="18"/>
                <w:szCs w:val="18"/>
                <w:color w:val="auto"/>
              </w:rPr>
              <w:t>PART I.</w:t>
            </w:r>
          </w:p>
        </w:tc>
        <w:tc>
          <w:tcPr>
            <w:tcW w:w="9420" w:type="dxa"/>
            <w:vAlign w:val="bottom"/>
            <w:gridSpan w:val="21"/>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FINANCIAL INFORMATION</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0"/>
                <w:szCs w:val="20"/>
                <w:color w:val="auto"/>
              </w:rPr>
            </w:pPr>
            <w:r>
              <w:rPr>
                <w:rFonts w:ascii="Arial" w:cs="Arial" w:eastAsia="Arial" w:hAnsi="Arial"/>
                <w:sz w:val="18"/>
                <w:szCs w:val="18"/>
                <w:color w:val="auto"/>
              </w:rPr>
              <w:t>Item 1.</w:t>
            </w:r>
          </w:p>
        </w:tc>
        <w:tc>
          <w:tcPr>
            <w:tcW w:w="146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5"/>
              </w:rPr>
            </w:pPr>
            <w:hyperlink w:anchor="page4">
              <w:r>
                <w:rPr>
                  <w:rFonts w:ascii="Arial" w:cs="Arial" w:eastAsia="Arial" w:hAnsi="Arial"/>
                  <w:sz w:val="18"/>
                  <w:szCs w:val="18"/>
                  <w:color w:val="0000EE"/>
                  <w:w w:val="85"/>
                </w:rPr>
                <w:t>Financial Statements</w:t>
              </w:r>
            </w:hyperlink>
          </w:p>
        </w:tc>
        <w:tc>
          <w:tcPr>
            <w:tcW w:w="740" w:type="dxa"/>
            <w:vAlign w:val="bottom"/>
            <w:tcBorders>
              <w:top w:val="single" w:sz="8" w:color="0000EE"/>
            </w:tcBorders>
            <w:gridSpan w:val="4"/>
          </w:tcPr>
          <w:p>
            <w:pPr>
              <w:spacing w:after="0"/>
              <w:rPr>
                <w:sz w:val="24"/>
                <w:szCs w:val="24"/>
                <w:color w:val="auto"/>
              </w:rPr>
            </w:pPr>
          </w:p>
        </w:tc>
        <w:tc>
          <w:tcPr>
            <w:tcW w:w="7220" w:type="dxa"/>
            <w:vAlign w:val="bottom"/>
            <w:gridSpan w:val="12"/>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4"/>
                <w:szCs w:val="24"/>
                <w:color w:val="auto"/>
              </w:rPr>
            </w:pPr>
          </w:p>
        </w:tc>
        <w:tc>
          <w:tcPr>
            <w:tcW w:w="9420" w:type="dxa"/>
            <w:vAlign w:val="bottom"/>
            <w:gridSpan w:val="21"/>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Balance Sheets as of March 31, 2019 (Unaudited) and December 31, 2018</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00" w:type="dxa"/>
            <w:vAlign w:val="bottom"/>
          </w:tcPr>
          <w:p>
            <w:pPr>
              <w:spacing w:after="0"/>
              <w:rPr>
                <w:sz w:val="24"/>
                <w:szCs w:val="24"/>
                <w:color w:val="auto"/>
              </w:rPr>
            </w:pPr>
          </w:p>
        </w:tc>
        <w:tc>
          <w:tcPr>
            <w:tcW w:w="756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Consolidated Statements of Operations for the three months ended March 31, 2019 and 2018 (Unaudited)</w:t>
              </w:r>
            </w:hyperlink>
          </w:p>
        </w:tc>
        <w:tc>
          <w:tcPr>
            <w:tcW w:w="1860" w:type="dxa"/>
            <w:vAlign w:val="bottom"/>
            <w:gridSpan w:val="4"/>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4"/>
                <w:szCs w:val="24"/>
                <w:color w:val="auto"/>
              </w:rPr>
            </w:pPr>
          </w:p>
        </w:tc>
        <w:tc>
          <w:tcPr>
            <w:tcW w:w="9420" w:type="dxa"/>
            <w:vAlign w:val="bottom"/>
            <w:gridSpan w:val="21"/>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Consolidated Schedules of Investments as of March 31, 2019 (Unaudited) and December 31, 2018</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00" w:type="dxa"/>
            <w:vAlign w:val="bottom"/>
          </w:tcPr>
          <w:p>
            <w:pPr>
              <w:spacing w:after="0"/>
              <w:rPr>
                <w:sz w:val="24"/>
                <w:szCs w:val="24"/>
                <w:color w:val="auto"/>
              </w:rPr>
            </w:pPr>
          </w:p>
        </w:tc>
        <w:tc>
          <w:tcPr>
            <w:tcW w:w="9420" w:type="dxa"/>
            <w:vAlign w:val="bottom"/>
            <w:gridSpan w:val="21"/>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Consolidated Statements of Changes in Net Assets for the three months ended March 31, 2019 and 2018 (Unaudited)</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4"/>
                <w:szCs w:val="24"/>
                <w:color w:val="auto"/>
              </w:rPr>
            </w:pPr>
          </w:p>
        </w:tc>
        <w:tc>
          <w:tcPr>
            <w:tcW w:w="8380" w:type="dxa"/>
            <w:vAlign w:val="bottom"/>
            <w:tcBorders>
              <w:top w:val="single" w:sz="8" w:color="0000EE"/>
            </w:tcBorders>
            <w:gridSpan w:val="19"/>
          </w:tcPr>
          <w:p>
            <w:pPr>
              <w:spacing w:after="0"/>
              <w:rPr>
                <w:rFonts w:ascii="Arial" w:cs="Arial" w:eastAsia="Arial" w:hAnsi="Arial"/>
                <w:sz w:val="18"/>
                <w:szCs w:val="18"/>
                <w:color w:val="0000EE"/>
                <w:w w:val="98"/>
              </w:rPr>
            </w:pPr>
            <w:hyperlink w:anchor="page19">
              <w:r>
                <w:rPr>
                  <w:rFonts w:ascii="Arial" w:cs="Arial" w:eastAsia="Arial" w:hAnsi="Arial"/>
                  <w:sz w:val="18"/>
                  <w:szCs w:val="18"/>
                  <w:color w:val="0000EE"/>
                  <w:w w:val="98"/>
                </w:rPr>
                <w:t>Consolidated Statements of Cash Flows for the three months ended March 31, 2019 and 2018 (Unaudited)</w:t>
              </w:r>
            </w:hyperlink>
          </w:p>
        </w:tc>
        <w:tc>
          <w:tcPr>
            <w:tcW w:w="1040" w:type="dxa"/>
            <w:vAlign w:val="bottom"/>
            <w:gridSpan w:val="2"/>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4"/>
                <w:szCs w:val="24"/>
                <w:color w:val="auto"/>
              </w:rPr>
            </w:pPr>
          </w:p>
        </w:tc>
        <w:tc>
          <w:tcPr>
            <w:tcW w:w="402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89"/>
              </w:rPr>
            </w:pPr>
            <w:hyperlink w:anchor="page20">
              <w:r>
                <w:rPr>
                  <w:rFonts w:ascii="Arial" w:cs="Arial" w:eastAsia="Arial" w:hAnsi="Arial"/>
                  <w:sz w:val="18"/>
                  <w:szCs w:val="18"/>
                  <w:color w:val="0000EE"/>
                  <w:w w:val="89"/>
                </w:rPr>
                <w:t>Notes to Consolidated Financial Statements (Unaudited)</w:t>
              </w:r>
            </w:hyperlink>
          </w:p>
        </w:tc>
        <w:tc>
          <w:tcPr>
            <w:tcW w:w="3580" w:type="dxa"/>
            <w:vAlign w:val="bottom"/>
            <w:tcBorders>
              <w:top w:val="single" w:sz="8" w:color="0000EE"/>
            </w:tcBorders>
            <w:gridSpan w:val="7"/>
          </w:tcPr>
          <w:p>
            <w:pPr>
              <w:spacing w:after="0"/>
              <w:rPr>
                <w:sz w:val="24"/>
                <w:szCs w:val="24"/>
                <w:color w:val="auto"/>
              </w:rPr>
            </w:pPr>
          </w:p>
        </w:tc>
        <w:tc>
          <w:tcPr>
            <w:tcW w:w="1820" w:type="dxa"/>
            <w:vAlign w:val="bottom"/>
            <w:gridSpan w:val="3"/>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0"/>
                <w:szCs w:val="20"/>
                <w:color w:val="auto"/>
              </w:rPr>
            </w:pPr>
            <w:r>
              <w:rPr>
                <w:rFonts w:ascii="Arial" w:cs="Arial" w:eastAsia="Arial" w:hAnsi="Arial"/>
                <w:sz w:val="18"/>
                <w:szCs w:val="18"/>
                <w:color w:val="auto"/>
              </w:rPr>
              <w:t>Item 2.</w:t>
            </w:r>
          </w:p>
        </w:tc>
        <w:tc>
          <w:tcPr>
            <w:tcW w:w="9420" w:type="dxa"/>
            <w:vAlign w:val="bottom"/>
            <w:gridSpan w:val="21"/>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Management’s Discussion and Analysis of Financial Condition and Results of Operations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0"/>
                <w:szCs w:val="20"/>
                <w:color w:val="auto"/>
              </w:rPr>
            </w:pPr>
            <w:r>
              <w:rPr>
                <w:rFonts w:ascii="Arial" w:cs="Arial" w:eastAsia="Arial" w:hAnsi="Arial"/>
                <w:sz w:val="18"/>
                <w:szCs w:val="18"/>
                <w:color w:val="auto"/>
              </w:rPr>
              <w:t>Item 3.</w:t>
            </w:r>
          </w:p>
        </w:tc>
        <w:tc>
          <w:tcPr>
            <w:tcW w:w="432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91"/>
              </w:rPr>
            </w:pPr>
            <w:hyperlink w:anchor="page65">
              <w:r>
                <w:rPr>
                  <w:rFonts w:ascii="Arial" w:cs="Arial" w:eastAsia="Arial" w:hAnsi="Arial"/>
                  <w:sz w:val="18"/>
                  <w:szCs w:val="18"/>
                  <w:color w:val="0000EE"/>
                  <w:w w:val="91"/>
                </w:rPr>
                <w:t>Quantitative and Qualitative Disclosures About Market Risk</w:t>
              </w:r>
            </w:hyperlink>
          </w:p>
        </w:tc>
        <w:tc>
          <w:tcPr>
            <w:tcW w:w="2080" w:type="dxa"/>
            <w:vAlign w:val="bottom"/>
            <w:tcBorders>
              <w:top w:val="single" w:sz="8" w:color="0000EE"/>
            </w:tcBorders>
            <w:gridSpan w:val="2"/>
          </w:tcPr>
          <w:p>
            <w:pPr>
              <w:spacing w:after="0"/>
              <w:rPr>
                <w:sz w:val="24"/>
                <w:szCs w:val="24"/>
                <w:color w:val="auto"/>
              </w:rPr>
            </w:pPr>
          </w:p>
        </w:tc>
        <w:tc>
          <w:tcPr>
            <w:tcW w:w="3020" w:type="dxa"/>
            <w:vAlign w:val="bottom"/>
            <w:gridSpan w:val="6"/>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0"/>
                <w:szCs w:val="20"/>
                <w:color w:val="auto"/>
              </w:rPr>
            </w:pPr>
            <w:r>
              <w:rPr>
                <w:rFonts w:ascii="Arial" w:cs="Arial" w:eastAsia="Arial" w:hAnsi="Arial"/>
                <w:sz w:val="18"/>
                <w:szCs w:val="18"/>
                <w:color w:val="auto"/>
              </w:rPr>
              <w:t>Item 4.</w:t>
            </w:r>
          </w:p>
        </w:tc>
        <w:tc>
          <w:tcPr>
            <w:tcW w:w="1740" w:type="dxa"/>
            <w:vAlign w:val="bottom"/>
            <w:tcBorders>
              <w:bottom w:val="single" w:sz="8" w:color="0000EE"/>
            </w:tcBorders>
            <w:gridSpan w:val="7"/>
          </w:tcPr>
          <w:p>
            <w:pPr>
              <w:spacing w:after="0"/>
              <w:rPr>
                <w:rFonts w:ascii="Arial" w:cs="Arial" w:eastAsia="Arial" w:hAnsi="Arial"/>
                <w:sz w:val="18"/>
                <w:szCs w:val="18"/>
                <w:color w:val="0000EE"/>
                <w:w w:val="86"/>
              </w:rPr>
            </w:pPr>
            <w:hyperlink w:anchor="page66">
              <w:r>
                <w:rPr>
                  <w:rFonts w:ascii="Arial" w:cs="Arial" w:eastAsia="Arial" w:hAnsi="Arial"/>
                  <w:sz w:val="18"/>
                  <w:szCs w:val="18"/>
                  <w:color w:val="0000EE"/>
                  <w:w w:val="86"/>
                </w:rPr>
                <w:t>Controls and Procedures</w:t>
              </w:r>
            </w:hyperlink>
          </w:p>
        </w:tc>
        <w:tc>
          <w:tcPr>
            <w:tcW w:w="7680" w:type="dxa"/>
            <w:vAlign w:val="bottom"/>
            <w:gridSpan w:val="14"/>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0"/>
                <w:szCs w:val="20"/>
                <w:color w:val="auto"/>
              </w:rPr>
            </w:pPr>
            <w:r>
              <w:rPr>
                <w:rFonts w:ascii="Arial" w:cs="Arial" w:eastAsia="Arial" w:hAnsi="Arial"/>
                <w:sz w:val="18"/>
                <w:szCs w:val="18"/>
                <w:color w:val="auto"/>
              </w:rPr>
              <w:t>PART II.</w:t>
            </w:r>
          </w:p>
        </w:tc>
        <w:tc>
          <w:tcPr>
            <w:tcW w:w="1840" w:type="dxa"/>
            <w:vAlign w:val="bottom"/>
            <w:tcBorders>
              <w:bottom w:val="single" w:sz="8" w:color="0000EE"/>
            </w:tcBorders>
            <w:gridSpan w:val="8"/>
          </w:tcPr>
          <w:p>
            <w:pPr>
              <w:spacing w:after="0"/>
              <w:rPr>
                <w:rFonts w:ascii="Arial" w:cs="Arial" w:eastAsia="Arial" w:hAnsi="Arial"/>
                <w:sz w:val="18"/>
                <w:szCs w:val="18"/>
                <w:color w:val="0000EE"/>
                <w:w w:val="93"/>
              </w:rPr>
            </w:pPr>
            <w:hyperlink w:anchor="page67">
              <w:r>
                <w:rPr>
                  <w:rFonts w:ascii="Arial" w:cs="Arial" w:eastAsia="Arial" w:hAnsi="Arial"/>
                  <w:sz w:val="18"/>
                  <w:szCs w:val="18"/>
                  <w:color w:val="0000EE"/>
                  <w:w w:val="93"/>
                </w:rPr>
                <w:t>OTHER INFORMATION</w:t>
              </w:r>
            </w:hyperlink>
          </w:p>
        </w:tc>
        <w:tc>
          <w:tcPr>
            <w:tcW w:w="7580" w:type="dxa"/>
            <w:vAlign w:val="bottom"/>
            <w:gridSpan w:val="13"/>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0"/>
                <w:szCs w:val="20"/>
                <w:color w:val="auto"/>
              </w:rPr>
            </w:pPr>
            <w:r>
              <w:rPr>
                <w:rFonts w:ascii="Arial" w:cs="Arial" w:eastAsia="Arial" w:hAnsi="Arial"/>
                <w:sz w:val="18"/>
                <w:szCs w:val="18"/>
                <w:color w:val="auto"/>
              </w:rPr>
              <w:t>Item 1.</w:t>
            </w:r>
          </w:p>
        </w:tc>
        <w:tc>
          <w:tcPr>
            <w:tcW w:w="9420" w:type="dxa"/>
            <w:vAlign w:val="bottom"/>
            <w:gridSpan w:val="21"/>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Legal Proceedings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0"/>
                <w:szCs w:val="20"/>
                <w:color w:val="auto"/>
              </w:rPr>
            </w:pPr>
            <w:r>
              <w:rPr>
                <w:rFonts w:ascii="Arial" w:cs="Arial" w:eastAsia="Arial" w:hAnsi="Arial"/>
                <w:sz w:val="18"/>
                <w:szCs w:val="18"/>
                <w:color w:val="auto"/>
              </w:rPr>
              <w:t>Item 1A.</w:t>
            </w:r>
          </w:p>
        </w:tc>
        <w:tc>
          <w:tcPr>
            <w:tcW w:w="86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3"/>
              </w:rPr>
            </w:pPr>
            <w:hyperlink w:anchor="page67">
              <w:r>
                <w:rPr>
                  <w:rFonts w:ascii="Arial" w:cs="Arial" w:eastAsia="Arial" w:hAnsi="Arial"/>
                  <w:sz w:val="18"/>
                  <w:szCs w:val="18"/>
                  <w:color w:val="0000EE"/>
                  <w:w w:val="83"/>
                </w:rPr>
                <w:t>Risk Factors</w:t>
              </w:r>
            </w:hyperlink>
          </w:p>
        </w:tc>
        <w:tc>
          <w:tcPr>
            <w:tcW w:w="420" w:type="dxa"/>
            <w:vAlign w:val="bottom"/>
            <w:tcBorders>
              <w:top w:val="single" w:sz="8" w:color="0000EE"/>
            </w:tcBorders>
            <w:gridSpan w:val="2"/>
          </w:tcPr>
          <w:p>
            <w:pPr>
              <w:spacing w:after="0"/>
              <w:rPr>
                <w:sz w:val="24"/>
                <w:szCs w:val="24"/>
                <w:color w:val="auto"/>
              </w:rPr>
            </w:pPr>
          </w:p>
        </w:tc>
        <w:tc>
          <w:tcPr>
            <w:tcW w:w="8140" w:type="dxa"/>
            <w:vAlign w:val="bottom"/>
            <w:gridSpan w:val="17"/>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0"/>
                <w:szCs w:val="20"/>
                <w:color w:val="auto"/>
              </w:rPr>
            </w:pPr>
            <w:r>
              <w:rPr>
                <w:rFonts w:ascii="Arial" w:cs="Arial" w:eastAsia="Arial" w:hAnsi="Arial"/>
                <w:sz w:val="18"/>
                <w:szCs w:val="18"/>
                <w:color w:val="auto"/>
              </w:rPr>
              <w:t>Item 2.</w:t>
            </w:r>
          </w:p>
        </w:tc>
        <w:tc>
          <w:tcPr>
            <w:tcW w:w="4300" w:type="dxa"/>
            <w:vAlign w:val="bottom"/>
            <w:tcBorders>
              <w:bottom w:val="single" w:sz="8" w:color="0000EE"/>
            </w:tcBorders>
            <w:gridSpan w:val="12"/>
          </w:tcPr>
          <w:p>
            <w:pPr>
              <w:spacing w:after="0"/>
              <w:rPr>
                <w:rFonts w:ascii="Arial" w:cs="Arial" w:eastAsia="Arial" w:hAnsi="Arial"/>
                <w:sz w:val="18"/>
                <w:szCs w:val="18"/>
                <w:color w:val="0000EE"/>
                <w:w w:val="88"/>
              </w:rPr>
            </w:pPr>
            <w:hyperlink w:anchor="page71">
              <w:r>
                <w:rPr>
                  <w:rFonts w:ascii="Arial" w:cs="Arial" w:eastAsia="Arial" w:hAnsi="Arial"/>
                  <w:sz w:val="18"/>
                  <w:szCs w:val="18"/>
                  <w:color w:val="0000EE"/>
                  <w:w w:val="88"/>
                </w:rPr>
                <w:t>Unregistered Sales of Equity Securities and Use of Proceeds</w:t>
              </w:r>
            </w:hyperlink>
          </w:p>
        </w:tc>
        <w:tc>
          <w:tcPr>
            <w:tcW w:w="5120" w:type="dxa"/>
            <w:vAlign w:val="bottom"/>
            <w:gridSpan w:val="9"/>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0"/>
                <w:szCs w:val="20"/>
                <w:color w:val="auto"/>
              </w:rPr>
            </w:pPr>
            <w:r>
              <w:rPr>
                <w:rFonts w:ascii="Arial" w:cs="Arial" w:eastAsia="Arial" w:hAnsi="Arial"/>
                <w:sz w:val="18"/>
                <w:szCs w:val="18"/>
                <w:color w:val="auto"/>
              </w:rPr>
              <w:t>Item 3.</w:t>
            </w:r>
          </w:p>
        </w:tc>
        <w:tc>
          <w:tcPr>
            <w:tcW w:w="2280" w:type="dxa"/>
            <w:vAlign w:val="bottom"/>
            <w:tcBorders>
              <w:bottom w:val="single" w:sz="8" w:color="0000EE"/>
            </w:tcBorders>
            <w:gridSpan w:val="10"/>
          </w:tcPr>
          <w:p>
            <w:pPr>
              <w:spacing w:after="0"/>
              <w:rPr>
                <w:rFonts w:ascii="Arial" w:cs="Arial" w:eastAsia="Arial" w:hAnsi="Arial"/>
                <w:sz w:val="18"/>
                <w:szCs w:val="18"/>
                <w:color w:val="0000EE"/>
                <w:w w:val="88"/>
              </w:rPr>
            </w:pPr>
            <w:hyperlink w:anchor="page71">
              <w:r>
                <w:rPr>
                  <w:rFonts w:ascii="Arial" w:cs="Arial" w:eastAsia="Arial" w:hAnsi="Arial"/>
                  <w:sz w:val="18"/>
                  <w:szCs w:val="18"/>
                  <w:color w:val="0000EE"/>
                  <w:w w:val="88"/>
                </w:rPr>
                <w:t>Defaults Upon Senior Securities</w:t>
              </w:r>
            </w:hyperlink>
          </w:p>
        </w:tc>
        <w:tc>
          <w:tcPr>
            <w:tcW w:w="7140" w:type="dxa"/>
            <w:vAlign w:val="bottom"/>
            <w:gridSpan w:val="11"/>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0"/>
                <w:szCs w:val="20"/>
                <w:color w:val="auto"/>
              </w:rPr>
            </w:pPr>
            <w:r>
              <w:rPr>
                <w:rFonts w:ascii="Arial" w:cs="Arial" w:eastAsia="Arial" w:hAnsi="Arial"/>
                <w:sz w:val="18"/>
                <w:szCs w:val="18"/>
                <w:color w:val="auto"/>
              </w:rPr>
              <w:t>Item 4.</w:t>
            </w:r>
          </w:p>
        </w:tc>
        <w:tc>
          <w:tcPr>
            <w:tcW w:w="172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71">
              <w:r>
                <w:rPr>
                  <w:rFonts w:ascii="Arial" w:cs="Arial" w:eastAsia="Arial" w:hAnsi="Arial"/>
                  <w:sz w:val="18"/>
                  <w:szCs w:val="18"/>
                  <w:color w:val="0000EE"/>
                  <w:w w:val="88"/>
                </w:rPr>
                <w:t>Mine Safety Disclosures</w:t>
              </w:r>
            </w:hyperlink>
          </w:p>
        </w:tc>
        <w:tc>
          <w:tcPr>
            <w:tcW w:w="7700" w:type="dxa"/>
            <w:vAlign w:val="bottom"/>
            <w:gridSpan w:val="15"/>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0"/>
                <w:szCs w:val="20"/>
                <w:color w:val="auto"/>
              </w:rPr>
            </w:pPr>
            <w:r>
              <w:rPr>
                <w:rFonts w:ascii="Arial" w:cs="Arial" w:eastAsia="Arial" w:hAnsi="Arial"/>
                <w:sz w:val="18"/>
                <w:szCs w:val="18"/>
                <w:color w:val="auto"/>
              </w:rPr>
              <w:t>Item 5.</w:t>
            </w:r>
          </w:p>
        </w:tc>
        <w:tc>
          <w:tcPr>
            <w:tcW w:w="9420" w:type="dxa"/>
            <w:vAlign w:val="bottom"/>
            <w:gridSpan w:val="21"/>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Other Information</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0"/>
                <w:szCs w:val="20"/>
                <w:color w:val="auto"/>
              </w:rPr>
            </w:pPr>
            <w:r>
              <w:rPr>
                <w:rFonts w:ascii="Arial" w:cs="Arial" w:eastAsia="Arial" w:hAnsi="Arial"/>
                <w:sz w:val="18"/>
                <w:szCs w:val="18"/>
                <w:color w:val="auto"/>
              </w:rPr>
              <w:t>Item 6.</w:t>
            </w:r>
          </w:p>
        </w:tc>
        <w:tc>
          <w:tcPr>
            <w:tcW w:w="1260" w:type="dxa"/>
            <w:vAlign w:val="bottom"/>
            <w:tcBorders>
              <w:top w:val="single" w:sz="8" w:color="0000EE"/>
            </w:tcBorders>
            <w:gridSpan w:val="3"/>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Exhibits</w:t>
              </w:r>
            </w:hyperlink>
          </w:p>
        </w:tc>
        <w:tc>
          <w:tcPr>
            <w:tcW w:w="8160" w:type="dxa"/>
            <w:vAlign w:val="bottom"/>
            <w:gridSpan w:val="18"/>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880" w:type="dxa"/>
            <w:vAlign w:val="bottom"/>
            <w:gridSpan w:val="2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520" w:type="dxa"/>
            <w:vAlign w:val="bottom"/>
            <w:gridSpan w:val="22"/>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SIGNATURES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ind w:right="80" w:firstLine="259"/>
        <w:spacing w:after="0" w:line="273" w:lineRule="auto"/>
        <w:rPr>
          <w:sz w:val="20"/>
          <w:szCs w:val="20"/>
          <w:color w:val="auto"/>
        </w:rPr>
      </w:pPr>
      <w:r>
        <w:rPr>
          <w:rFonts w:ascii="Arial" w:cs="Arial" w:eastAsia="Arial" w:hAnsi="Arial"/>
          <w:sz w:val="17"/>
          <w:szCs w:val="17"/>
          <w:color w:val="auto"/>
        </w:rPr>
        <w:t>This report contains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“believes,” “seeks,” “estimates,” “would,” “should,” “targets,” “projects,” and variations of these words and similar expressions are intended to identify forward-looking statements. These statements are not guarantees of future performance and are subject to risks, uncertainties, and other factors, some of which are beyond our control and difficult to predict, that could cause actual results to differ materially from those expressed or forecasted in the forward-looking statements.</w:t>
      </w:r>
    </w:p>
    <w:p>
      <w:pPr>
        <w:spacing w:after="0" w:line="178" w:lineRule="exact"/>
        <w:rPr>
          <w:sz w:val="20"/>
          <w:szCs w:val="20"/>
          <w:color w:val="auto"/>
        </w:rPr>
      </w:pPr>
    </w:p>
    <w:p>
      <w:pPr>
        <w:ind w:right="340" w:firstLine="259"/>
        <w:spacing w:after="0" w:line="264" w:lineRule="auto"/>
        <w:rPr>
          <w:sz w:val="20"/>
          <w:szCs w:val="20"/>
          <w:color w:val="auto"/>
        </w:rPr>
      </w:pPr>
      <w:r>
        <w:rPr>
          <w:rFonts w:ascii="Arial" w:cs="Arial" w:eastAsia="Arial" w:hAnsi="Arial"/>
          <w:sz w:val="18"/>
          <w:szCs w:val="18"/>
          <w:color w:val="auto"/>
        </w:rPr>
        <w:t>In addition to factors previously identified elsewhere in the reports and other documents TPG Specialty Lending, Inc. has filed with the Securities and Exchange Commission, or SEC, the following factors, among others, could cause actual results to differ materially from forward-looking statements or historical performance:</w:t>
      </w:r>
    </w:p>
    <w:p>
      <w:pPr>
        <w:spacing w:after="0" w:line="73" w:lineRule="exact"/>
        <w:rPr>
          <w:sz w:val="20"/>
          <w:szCs w:val="20"/>
          <w:color w:val="auto"/>
        </w:rPr>
      </w:pPr>
    </w:p>
    <w:p>
      <w:pPr>
        <w:ind w:left="520" w:right="620" w:hanging="255"/>
        <w:spacing w:after="0" w:line="277" w:lineRule="auto"/>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economic downturn could impair our portfolio companies’ abilities to continue to operate, which could lead to the loss of some or all of our investments in those portfolio companies;</w:t>
      </w:r>
    </w:p>
    <w:p>
      <w:pPr>
        <w:spacing w:after="0" w:line="62" w:lineRule="exact"/>
        <w:rPr>
          <w:rFonts w:ascii="Arial" w:cs="Arial" w:eastAsia="Arial" w:hAnsi="Arial"/>
          <w:sz w:val="18"/>
          <w:szCs w:val="18"/>
          <w:color w:val="auto"/>
        </w:rPr>
      </w:pPr>
    </w:p>
    <w:p>
      <w:pPr>
        <w:ind w:left="520" w:right="420" w:hanging="255"/>
        <w:spacing w:after="0" w:line="342" w:lineRule="auto"/>
        <w:tabs>
          <w:tab w:leader="none" w:pos="520" w:val="left"/>
        </w:tabs>
        <w:numPr>
          <w:ilvl w:val="0"/>
          <w:numId w:val="3"/>
        </w:numPr>
        <w:rPr>
          <w:rFonts w:ascii="Arial" w:cs="Arial" w:eastAsia="Arial" w:hAnsi="Arial"/>
          <w:sz w:val="16"/>
          <w:szCs w:val="16"/>
          <w:color w:val="auto"/>
        </w:rPr>
      </w:pPr>
      <w:r>
        <w:rPr>
          <w:rFonts w:ascii="Arial" w:cs="Arial" w:eastAsia="Arial" w:hAnsi="Arial"/>
          <w:sz w:val="16"/>
          <w:szCs w:val="16"/>
          <w:color w:val="auto"/>
        </w:rPr>
        <w:t>such an economic downturn could disproportionately impact the companies in which we have invested and others that we intend to target for investment, potentially causing us to experience a decrease in investment opportunities and diminished demand for capital from these companies;</w:t>
      </w:r>
    </w:p>
    <w:p>
      <w:pPr>
        <w:spacing w:after="0" w:line="15" w:lineRule="exact"/>
        <w:rPr>
          <w:rFonts w:ascii="Arial" w:cs="Arial" w:eastAsia="Arial" w:hAnsi="Arial"/>
          <w:sz w:val="16"/>
          <w:szCs w:val="16"/>
          <w:color w:val="auto"/>
        </w:rPr>
      </w:pPr>
    </w:p>
    <w:p>
      <w:pPr>
        <w:ind w:left="520" w:hanging="255"/>
        <w:spacing w:after="0"/>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such an economic downturn could also impact availability and pricing of our financing;</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inability to access the capital markets could impair our ability to raise capital and our investment activities; and</w:t>
      </w:r>
    </w:p>
    <w:p>
      <w:pPr>
        <w:spacing w:after="0" w:line="117" w:lineRule="exact"/>
        <w:rPr>
          <w:rFonts w:ascii="Arial" w:cs="Arial" w:eastAsia="Arial" w:hAnsi="Arial"/>
          <w:sz w:val="18"/>
          <w:szCs w:val="18"/>
          <w:color w:val="auto"/>
        </w:rPr>
      </w:pPr>
    </w:p>
    <w:p>
      <w:pPr>
        <w:ind w:left="520" w:right="240" w:hanging="255"/>
        <w:spacing w:after="0" w:line="308" w:lineRule="auto"/>
        <w:tabs>
          <w:tab w:leader="none" w:pos="5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risks, uncertainties and other factors we identify in the section entitled “Risk Factors” in this report and in our Annual Report on Form 10-K for the year ended December 31, 2018, filed with the SEC on February 20, 2019, and elsewhere in our filings with the SEC.</w:t>
      </w:r>
    </w:p>
    <w:p>
      <w:pPr>
        <w:spacing w:after="0" w:line="147" w:lineRule="exact"/>
        <w:rPr>
          <w:sz w:val="20"/>
          <w:szCs w:val="20"/>
          <w:color w:val="auto"/>
        </w:rPr>
      </w:pPr>
    </w:p>
    <w:p>
      <w:pPr>
        <w:ind w:firstLine="259"/>
        <w:spacing w:after="0" w:line="291" w:lineRule="auto"/>
        <w:rPr>
          <w:sz w:val="20"/>
          <w:szCs w:val="20"/>
          <w:color w:val="auto"/>
        </w:rPr>
      </w:pPr>
      <w:r>
        <w:rPr>
          <w:rFonts w:ascii="Arial" w:cs="Arial" w:eastAsia="Arial" w:hAnsi="Arial"/>
          <w:sz w:val="16"/>
          <w:szCs w:val="16"/>
          <w:color w:val="auto"/>
        </w:rPr>
        <w:t>Although we believe that the assumptions on which these forward-looking statements are based are reasonable, some of those assumptions are based on the work of third parties and any of those assumptions could prove to be inaccurate; as a result, forward-looking statements based on those assumptions also could prove to be inaccurate. In light of these and other uncertainties, the inclusion of a projection or forward-looking statement in this report should not be regarded as a representation by us that our plans and objectives will be achieved. You should not place undue reliance on these forward-looking statements, which apply only as of the date of this report. We do not undertake any obligation to update or revise any forward-looking statements or any other information contained herein, except as required by applicable law. The safe harbor provisions of Section 21E of the Securities Exchange Act of 1934, as amended, or the Exchange Act, which preclude civil liability for certain forward-looking statements, do not apply to the forward-looking statements in this report.</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TPG Specialty Lending,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March 31,</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7380" w:type="dxa"/>
            <w:vAlign w:val="bottom"/>
            <w:tcBorders>
              <w:bottom w:val="single" w:sz="8" w:color="CFF0FC"/>
            </w:tcBorders>
          </w:tcPr>
          <w:p>
            <w:pPr>
              <w:spacing w:after="0"/>
              <w:rPr>
                <w:sz w:val="14"/>
                <w:szCs w:val="14"/>
                <w:color w:val="auto"/>
              </w:rPr>
            </w:pPr>
          </w:p>
        </w:tc>
        <w:tc>
          <w:tcPr>
            <w:tcW w:w="46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73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4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8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Non-controlled, non-affiliated investments (amortized cost of $1,649,133 and $1,546,780,</w:t>
            </w:r>
          </w:p>
        </w:tc>
        <w:tc>
          <w:tcPr>
            <w:tcW w:w="4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respectively)</w:t>
            </w:r>
          </w:p>
        </w:tc>
        <w:tc>
          <w:tcPr>
            <w:tcW w:w="74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1,680,699</w:t>
            </w:r>
          </w:p>
        </w:tc>
        <w:tc>
          <w:tcPr>
            <w:tcW w:w="300" w:type="dxa"/>
            <w:vAlign w:val="bottom"/>
            <w:shd w:val="clear" w:color="auto" w:fill="CFF0FC"/>
          </w:tcPr>
          <w:p>
            <w:pPr>
              <w:spacing w:after="0"/>
              <w:rPr>
                <w:sz w:val="20"/>
                <w:szCs w:val="20"/>
                <w:color w:val="auto"/>
              </w:rPr>
            </w:pPr>
          </w:p>
        </w:tc>
        <w:tc>
          <w:tcPr>
            <w:tcW w:w="220" w:type="dxa"/>
            <w:vAlign w:val="bottom"/>
            <w:gridSpan w:val="2"/>
            <w:shd w:val="clear" w:color="auto" w:fill="CFF0FC"/>
          </w:tcPr>
          <w:p>
            <w:pPr>
              <w:jc w:val="right"/>
              <w:ind w:right="90"/>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1,565,532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380" w:type="dxa"/>
            <w:vAlign w:val="bottom"/>
          </w:tcPr>
          <w:p>
            <w:pPr>
              <w:ind w:left="260"/>
              <w:spacing w:after="0"/>
              <w:rPr>
                <w:sz w:val="20"/>
                <w:szCs w:val="20"/>
                <w:color w:val="auto"/>
              </w:rPr>
            </w:pPr>
            <w:r>
              <w:rPr>
                <w:rFonts w:ascii="Arial" w:cs="Arial" w:eastAsia="Arial" w:hAnsi="Arial"/>
                <w:sz w:val="18"/>
                <w:szCs w:val="18"/>
                <w:color w:val="auto"/>
                <w:w w:val="97"/>
              </w:rPr>
              <w:t>Non-controlled, affiliated investments (amortized cost of $90,305 and $84,602, respectively)</w:t>
            </w: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90,062</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83,932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Controlled, affiliated investments (amortized cost of $86,281 and $85,018, respectively)</w:t>
            </w:r>
          </w:p>
        </w:tc>
        <w:tc>
          <w:tcPr>
            <w:tcW w:w="4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54,100</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56,505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80" w:type="dxa"/>
            <w:vAlign w:val="bottom"/>
          </w:tcPr>
          <w:p>
            <w:pPr>
              <w:spacing w:after="0"/>
              <w:rPr>
                <w:sz w:val="20"/>
                <w:szCs w:val="20"/>
                <w:color w:val="auto"/>
              </w:rPr>
            </w:pPr>
            <w:r>
              <w:rPr>
                <w:rFonts w:ascii="Arial" w:cs="Arial" w:eastAsia="Arial" w:hAnsi="Arial"/>
                <w:sz w:val="18"/>
                <w:szCs w:val="18"/>
                <w:color w:val="auto"/>
              </w:rPr>
              <w:t>Total investments at fair value (amortized cost of $1,825,719 and $1,716,400, respectively)</w:t>
            </w: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1,824,861</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1,705,969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8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(restricted cash of $5,622 and $7,303, respectively)</w:t>
            </w:r>
          </w:p>
        </w:tc>
        <w:tc>
          <w:tcPr>
            <w:tcW w:w="4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9,650</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10,575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80" w:type="dxa"/>
            <w:vAlign w:val="bottom"/>
          </w:tcPr>
          <w:p>
            <w:pPr>
              <w:spacing w:after="0"/>
              <w:rPr>
                <w:sz w:val="20"/>
                <w:szCs w:val="20"/>
                <w:color w:val="auto"/>
              </w:rPr>
            </w:pPr>
            <w:r>
              <w:rPr>
                <w:rFonts w:ascii="Arial" w:cs="Arial" w:eastAsia="Arial" w:hAnsi="Arial"/>
                <w:sz w:val="18"/>
                <w:szCs w:val="18"/>
                <w:color w:val="auto"/>
              </w:rPr>
              <w:t>Interest receivable</w:t>
            </w: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9,601</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8,829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80" w:type="dxa"/>
            <w:vAlign w:val="bottom"/>
            <w:shd w:val="clear" w:color="auto" w:fill="CFF0FC"/>
          </w:tcPr>
          <w:p>
            <w:pPr>
              <w:spacing w:after="0"/>
              <w:rPr>
                <w:sz w:val="20"/>
                <w:szCs w:val="20"/>
                <w:color w:val="auto"/>
              </w:rPr>
            </w:pPr>
            <w:r>
              <w:rPr>
                <w:rFonts w:ascii="Arial" w:cs="Arial" w:eastAsia="Arial" w:hAnsi="Arial"/>
                <w:sz w:val="18"/>
                <w:szCs w:val="18"/>
                <w:color w:val="auto"/>
              </w:rPr>
              <w:t>Prepaid expenses and other assets</w:t>
            </w:r>
          </w:p>
        </w:tc>
        <w:tc>
          <w:tcPr>
            <w:tcW w:w="4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5,408</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4,951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380" w:type="dxa"/>
            <w:vAlign w:val="bottom"/>
            <w:tcBorders>
              <w:bottom w:val="single" w:sz="8" w:color="CFF0FC"/>
            </w:tcBorders>
          </w:tcPr>
          <w:p>
            <w:pPr>
              <w:ind w:left="500"/>
              <w:spacing w:after="0"/>
              <w:rPr>
                <w:sz w:val="20"/>
                <w:szCs w:val="20"/>
                <w:color w:val="auto"/>
              </w:rPr>
            </w:pPr>
            <w:r>
              <w:rPr>
                <w:rFonts w:ascii="Arial" w:cs="Arial" w:eastAsia="Arial" w:hAnsi="Arial"/>
                <w:sz w:val="18"/>
                <w:szCs w:val="18"/>
                <w:b w:val="1"/>
                <w:bCs w:val="1"/>
                <w:color w:val="auto"/>
              </w:rPr>
              <w:t>Total Assets</w:t>
            </w:r>
          </w:p>
        </w:tc>
        <w:tc>
          <w:tcPr>
            <w:tcW w:w="46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1,849,520</w:t>
            </w:r>
          </w:p>
        </w:tc>
        <w:tc>
          <w:tcPr>
            <w:tcW w:w="30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1,730,324</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3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4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80" w:type="dxa"/>
            <w:vAlign w:val="bottom"/>
          </w:tcPr>
          <w:p>
            <w:pPr>
              <w:spacing w:after="0"/>
              <w:rPr>
                <w:sz w:val="20"/>
                <w:szCs w:val="20"/>
                <w:color w:val="auto"/>
              </w:rPr>
            </w:pPr>
            <w:r>
              <w:rPr>
                <w:rFonts w:ascii="Arial" w:cs="Arial" w:eastAsia="Arial" w:hAnsi="Arial"/>
                <w:sz w:val="18"/>
                <w:szCs w:val="18"/>
                <w:color w:val="auto"/>
              </w:rPr>
              <w:t>Debt (net of deferred financing costs of $17,708 and $15,508, respectively)</w:t>
            </w:r>
          </w:p>
        </w:tc>
        <w:tc>
          <w:tcPr>
            <w:tcW w:w="7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724,521</w:t>
            </w:r>
          </w:p>
        </w:tc>
        <w:tc>
          <w:tcPr>
            <w:tcW w:w="300" w:type="dxa"/>
            <w:vAlign w:val="bottom"/>
          </w:tcPr>
          <w:p>
            <w:pPr>
              <w:spacing w:after="0"/>
              <w:rPr>
                <w:sz w:val="19"/>
                <w:szCs w:val="19"/>
                <w:color w:val="auto"/>
              </w:rPr>
            </w:pPr>
          </w:p>
        </w:tc>
        <w:tc>
          <w:tcPr>
            <w:tcW w:w="220" w:type="dxa"/>
            <w:vAlign w:val="bottom"/>
            <w:gridSpan w:val="2"/>
          </w:tcPr>
          <w:p>
            <w:pPr>
              <w:jc w:val="right"/>
              <w:ind w:right="90"/>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608,007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80" w:type="dxa"/>
            <w:vAlign w:val="bottom"/>
            <w:shd w:val="clear" w:color="auto" w:fill="CFF0FC"/>
          </w:tcPr>
          <w:p>
            <w:pPr>
              <w:spacing w:after="0"/>
              <w:rPr>
                <w:sz w:val="20"/>
                <w:szCs w:val="20"/>
                <w:color w:val="auto"/>
              </w:rPr>
            </w:pPr>
            <w:r>
              <w:rPr>
                <w:rFonts w:ascii="Arial" w:cs="Arial" w:eastAsia="Arial" w:hAnsi="Arial"/>
                <w:sz w:val="18"/>
                <w:szCs w:val="18"/>
                <w:color w:val="auto"/>
              </w:rPr>
              <w:t>Management fees payable to affiliate</w:t>
            </w:r>
          </w:p>
        </w:tc>
        <w:tc>
          <w:tcPr>
            <w:tcW w:w="4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6,622</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7,069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80" w:type="dxa"/>
            <w:vAlign w:val="bottom"/>
          </w:tcPr>
          <w:p>
            <w:pPr>
              <w:spacing w:after="0"/>
              <w:rPr>
                <w:sz w:val="20"/>
                <w:szCs w:val="20"/>
                <w:color w:val="auto"/>
              </w:rPr>
            </w:pPr>
            <w:r>
              <w:rPr>
                <w:rFonts w:ascii="Arial" w:cs="Arial" w:eastAsia="Arial" w:hAnsi="Arial"/>
                <w:sz w:val="18"/>
                <w:szCs w:val="18"/>
                <w:color w:val="auto"/>
              </w:rPr>
              <w:t>Incentive fees payable to affiliate</w:t>
            </w: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5,650</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9,356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80" w:type="dxa"/>
            <w:vAlign w:val="bottom"/>
            <w:shd w:val="clear" w:color="auto" w:fill="CFF0FC"/>
          </w:tcPr>
          <w:p>
            <w:pPr>
              <w:spacing w:after="0"/>
              <w:rPr>
                <w:sz w:val="20"/>
                <w:szCs w:val="20"/>
                <w:color w:val="auto"/>
              </w:rPr>
            </w:pPr>
            <w:r>
              <w:rPr>
                <w:rFonts w:ascii="Arial" w:cs="Arial" w:eastAsia="Arial" w:hAnsi="Arial"/>
                <w:sz w:val="18"/>
                <w:szCs w:val="18"/>
                <w:color w:val="auto"/>
              </w:rPr>
              <w:t>Dividends payable</w:t>
            </w:r>
          </w:p>
        </w:tc>
        <w:tc>
          <w:tcPr>
            <w:tcW w:w="4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25,594</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25,499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80" w:type="dxa"/>
            <w:vAlign w:val="bottom"/>
          </w:tcPr>
          <w:p>
            <w:pPr>
              <w:spacing w:after="0"/>
              <w:rPr>
                <w:sz w:val="20"/>
                <w:szCs w:val="20"/>
                <w:color w:val="auto"/>
              </w:rPr>
            </w:pPr>
            <w:r>
              <w:rPr>
                <w:rFonts w:ascii="Arial" w:cs="Arial" w:eastAsia="Arial" w:hAnsi="Arial"/>
                <w:sz w:val="18"/>
                <w:szCs w:val="18"/>
                <w:color w:val="auto"/>
              </w:rPr>
              <w:t>Other payables to affiliate</w:t>
            </w: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2,426</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80" w:type="dxa"/>
            <w:vAlign w:val="bottom"/>
            <w:shd w:val="clear" w:color="auto" w:fill="CFF0FC"/>
          </w:tcPr>
          <w:p>
            <w:pPr>
              <w:spacing w:after="0"/>
              <w:rPr>
                <w:sz w:val="20"/>
                <w:szCs w:val="20"/>
                <w:color w:val="auto"/>
              </w:rPr>
            </w:pPr>
            <w:r>
              <w:rPr>
                <w:rFonts w:ascii="Arial" w:cs="Arial" w:eastAsia="Arial" w:hAnsi="Arial"/>
                <w:sz w:val="18"/>
                <w:szCs w:val="18"/>
                <w:color w:val="auto"/>
              </w:rPr>
              <w:t>Other liabilities</w:t>
            </w:r>
          </w:p>
        </w:tc>
        <w:tc>
          <w:tcPr>
            <w:tcW w:w="4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10,643</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15,570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80" w:type="dxa"/>
            <w:vAlign w:val="bottom"/>
            <w:tcBorders>
              <w:bottom w:val="single" w:sz="8" w:color="CFF0FC"/>
            </w:tcBorders>
          </w:tcPr>
          <w:p>
            <w:pPr>
              <w:ind w:left="500"/>
              <w:spacing w:after="0"/>
              <w:rPr>
                <w:sz w:val="20"/>
                <w:szCs w:val="20"/>
                <w:color w:val="auto"/>
              </w:rPr>
            </w:pPr>
            <w:r>
              <w:rPr>
                <w:rFonts w:ascii="Arial" w:cs="Arial" w:eastAsia="Arial" w:hAnsi="Arial"/>
                <w:sz w:val="18"/>
                <w:szCs w:val="18"/>
                <w:b w:val="1"/>
                <w:bCs w:val="1"/>
                <w:color w:val="auto"/>
              </w:rPr>
              <w:t>Total Liabilities</w:t>
            </w:r>
          </w:p>
        </w:tc>
        <w:tc>
          <w:tcPr>
            <w:tcW w:w="4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775,456</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667,122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8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 (Note 8)</w:t>
            </w:r>
          </w:p>
        </w:tc>
        <w:tc>
          <w:tcPr>
            <w:tcW w:w="4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80" w:type="dxa"/>
            <w:vAlign w:val="bottom"/>
          </w:tcPr>
          <w:p>
            <w:pPr>
              <w:spacing w:after="0"/>
              <w:rPr>
                <w:sz w:val="20"/>
                <w:szCs w:val="20"/>
                <w:color w:val="auto"/>
              </w:rPr>
            </w:pPr>
            <w:r>
              <w:rPr>
                <w:rFonts w:ascii="Arial" w:cs="Arial" w:eastAsia="Arial" w:hAnsi="Arial"/>
                <w:sz w:val="18"/>
                <w:szCs w:val="18"/>
                <w:b w:val="1"/>
                <w:bCs w:val="1"/>
                <w:color w:val="auto"/>
              </w:rPr>
              <w:t>Net Assets</w:t>
            </w: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380" w:type="dxa"/>
            <w:vAlign w:val="bottom"/>
            <w:shd w:val="clear" w:color="auto" w:fill="CFF0FC"/>
          </w:tcPr>
          <w:p>
            <w:pPr>
              <w:spacing w:after="0"/>
              <w:rPr>
                <w:sz w:val="20"/>
                <w:szCs w:val="20"/>
                <w:color w:val="auto"/>
              </w:rPr>
            </w:pPr>
            <w:r>
              <w:rPr>
                <w:rFonts w:ascii="Arial" w:cs="Arial" w:eastAsia="Arial" w:hAnsi="Arial"/>
                <w:sz w:val="18"/>
                <w:szCs w:val="18"/>
                <w:color w:val="auto"/>
              </w:rPr>
              <w:t>Preferred stock, $0.01 par value; 100,000,000 shares authorized; no shares issued</w:t>
            </w:r>
          </w:p>
        </w:tc>
        <w:tc>
          <w:tcPr>
            <w:tcW w:w="4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and outstanding</w:t>
            </w:r>
          </w:p>
        </w:tc>
        <w:tc>
          <w:tcPr>
            <w:tcW w:w="4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6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7380" w:type="dxa"/>
            <w:vAlign w:val="bottom"/>
          </w:tcPr>
          <w:p>
            <w:pPr>
              <w:spacing w:after="0"/>
              <w:rPr>
                <w:sz w:val="20"/>
                <w:szCs w:val="20"/>
                <w:color w:val="auto"/>
              </w:rPr>
            </w:pPr>
            <w:r>
              <w:rPr>
                <w:rFonts w:ascii="Arial" w:cs="Arial" w:eastAsia="Arial" w:hAnsi="Arial"/>
                <w:sz w:val="18"/>
                <w:szCs w:val="18"/>
                <w:color w:val="auto"/>
              </w:rPr>
              <w:t>Common stock, $0.01 par value; 400,000,000 shares authorized, 65,802,042 and</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tcPr>
          <w:p>
            <w:pPr>
              <w:ind w:left="140"/>
              <w:spacing w:after="0"/>
              <w:rPr>
                <w:sz w:val="20"/>
                <w:szCs w:val="20"/>
                <w:color w:val="auto"/>
              </w:rPr>
            </w:pPr>
            <w:r>
              <w:rPr>
                <w:rFonts w:ascii="Arial" w:cs="Arial" w:eastAsia="Arial" w:hAnsi="Arial"/>
                <w:sz w:val="18"/>
                <w:szCs w:val="18"/>
                <w:color w:val="auto"/>
              </w:rPr>
              <w:t>65,501,897 shares issued, respectively; and 65,712,962 and 65,412,817 shares</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80" w:type="dxa"/>
            <w:vAlign w:val="bottom"/>
          </w:tcPr>
          <w:p>
            <w:pPr>
              <w:ind w:left="140"/>
              <w:spacing w:after="0"/>
              <w:rPr>
                <w:sz w:val="20"/>
                <w:szCs w:val="20"/>
                <w:color w:val="auto"/>
              </w:rPr>
            </w:pPr>
            <w:r>
              <w:rPr>
                <w:rFonts w:ascii="Arial" w:cs="Arial" w:eastAsia="Arial" w:hAnsi="Arial"/>
                <w:sz w:val="18"/>
                <w:szCs w:val="18"/>
                <w:color w:val="auto"/>
              </w:rPr>
              <w:t>outstanding, respectively</w:t>
            </w: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658</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655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380" w:type="dxa"/>
            <w:vAlign w:val="bottom"/>
            <w:shd w:val="clear" w:color="auto" w:fill="CFF0FC"/>
          </w:tcPr>
          <w:p>
            <w:pPr>
              <w:spacing w:after="0"/>
              <w:rPr>
                <w:sz w:val="20"/>
                <w:szCs w:val="20"/>
                <w:color w:val="auto"/>
              </w:rPr>
            </w:pPr>
            <w:r>
              <w:rPr>
                <w:rFonts w:ascii="Arial" w:cs="Arial" w:eastAsia="Arial" w:hAnsi="Arial"/>
                <w:sz w:val="18"/>
                <w:szCs w:val="18"/>
                <w:color w:val="auto"/>
              </w:rPr>
              <w:t>Additional paid-in capital</w:t>
            </w:r>
          </w:p>
        </w:tc>
        <w:tc>
          <w:tcPr>
            <w:tcW w:w="4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997,198</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991,919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80" w:type="dxa"/>
            <w:vAlign w:val="bottom"/>
          </w:tcPr>
          <w:p>
            <w:pPr>
              <w:spacing w:after="0"/>
              <w:rPr>
                <w:sz w:val="20"/>
                <w:szCs w:val="20"/>
                <w:color w:val="auto"/>
              </w:rPr>
            </w:pPr>
            <w:r>
              <w:rPr>
                <w:rFonts w:ascii="Arial" w:cs="Arial" w:eastAsia="Arial" w:hAnsi="Arial"/>
                <w:sz w:val="18"/>
                <w:szCs w:val="18"/>
                <w:color w:val="auto"/>
              </w:rPr>
              <w:t>Treasury stock at cost; 89,080 and 89,080 shares held, respectively</w:t>
            </w: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8"/>
                <w:szCs w:val="18"/>
                <w:color w:val="auto"/>
              </w:rPr>
              <w:t>(1,359)</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(1,359)</w:t>
            </w:r>
          </w:p>
        </w:tc>
        <w:tc>
          <w:tcPr>
            <w:tcW w:w="0" w:type="dxa"/>
            <w:vAlign w:val="bottom"/>
          </w:tcPr>
          <w:p>
            <w:pPr>
              <w:spacing w:after="0"/>
              <w:rPr>
                <w:sz w:val="1"/>
                <w:szCs w:val="1"/>
                <w:color w:val="auto"/>
              </w:rPr>
            </w:pPr>
          </w:p>
        </w:tc>
      </w:tr>
      <w:tr>
        <w:trPr>
          <w:trHeight w:val="230"/>
        </w:trPr>
        <w:tc>
          <w:tcPr>
            <w:tcW w:w="7380" w:type="dxa"/>
            <w:vAlign w:val="bottom"/>
            <w:shd w:val="clear" w:color="auto" w:fill="CFF0FC"/>
          </w:tcPr>
          <w:p>
            <w:pPr>
              <w:spacing w:after="0"/>
              <w:rPr>
                <w:sz w:val="20"/>
                <w:szCs w:val="20"/>
                <w:color w:val="auto"/>
              </w:rPr>
            </w:pPr>
            <w:r>
              <w:rPr>
                <w:rFonts w:ascii="Arial" w:cs="Arial" w:eastAsia="Arial" w:hAnsi="Arial"/>
                <w:sz w:val="18"/>
                <w:szCs w:val="18"/>
                <w:color w:val="auto"/>
              </w:rPr>
              <w:t>Distributable earnings</w:t>
            </w:r>
          </w:p>
        </w:tc>
        <w:tc>
          <w:tcPr>
            <w:tcW w:w="4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77,567</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71,987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80" w:type="dxa"/>
            <w:vAlign w:val="bottom"/>
            <w:tcBorders>
              <w:bottom w:val="single" w:sz="8" w:color="CFF0FC"/>
            </w:tcBorders>
          </w:tcPr>
          <w:p>
            <w:pPr>
              <w:ind w:left="500"/>
              <w:spacing w:after="0"/>
              <w:rPr>
                <w:sz w:val="20"/>
                <w:szCs w:val="20"/>
                <w:color w:val="auto"/>
              </w:rPr>
            </w:pPr>
            <w:r>
              <w:rPr>
                <w:rFonts w:ascii="Arial" w:cs="Arial" w:eastAsia="Arial" w:hAnsi="Arial"/>
                <w:sz w:val="18"/>
                <w:szCs w:val="18"/>
                <w:b w:val="1"/>
                <w:bCs w:val="1"/>
                <w:color w:val="auto"/>
              </w:rPr>
              <w:t>Total Net Assets</w:t>
            </w:r>
          </w:p>
        </w:tc>
        <w:tc>
          <w:tcPr>
            <w:tcW w:w="4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1,074,064</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1,063,202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8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b w:val="1"/>
                <w:bCs w:val="1"/>
                <w:color w:val="auto"/>
              </w:rPr>
              <w:t>Total Liabilities and Net Assets</w:t>
            </w:r>
          </w:p>
        </w:tc>
        <w:tc>
          <w:tcPr>
            <w:tcW w:w="4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1,849,520</w:t>
            </w:r>
          </w:p>
        </w:tc>
        <w:tc>
          <w:tcPr>
            <w:tcW w:w="30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0"/>
                <w:szCs w:val="10"/>
                <w:color w:val="auto"/>
                <w:w w:val="71"/>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1,730,324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80" w:type="dxa"/>
            <w:vAlign w:val="bottom"/>
            <w:vMerge w:val="restart"/>
          </w:tcPr>
          <w:p>
            <w:pPr>
              <w:ind w:left="500"/>
              <w:spacing w:after="0"/>
              <w:rPr>
                <w:sz w:val="20"/>
                <w:szCs w:val="20"/>
                <w:color w:val="auto"/>
              </w:rPr>
            </w:pPr>
            <w:r>
              <w:rPr>
                <w:rFonts w:ascii="Arial" w:cs="Arial" w:eastAsia="Arial" w:hAnsi="Arial"/>
                <w:sz w:val="18"/>
                <w:szCs w:val="18"/>
                <w:b w:val="1"/>
                <w:bCs w:val="1"/>
                <w:color w:val="auto"/>
              </w:rPr>
              <w:t>Net Asset Value Per Share</w:t>
            </w:r>
          </w:p>
        </w:tc>
        <w:tc>
          <w:tcPr>
            <w:tcW w:w="74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8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16.34</w:t>
            </w:r>
          </w:p>
        </w:tc>
        <w:tc>
          <w:tcPr>
            <w:tcW w:w="3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TPG Specialty Lending,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8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3"/>
              </w:rPr>
              <w:t>Three Months Ended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71"/>
        </w:trPr>
        <w:tc>
          <w:tcPr>
            <w:tcW w:w="68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March 31, 2019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March 31, 2018</w:t>
            </w:r>
          </w:p>
        </w:tc>
        <w:tc>
          <w:tcPr>
            <w:tcW w:w="0" w:type="dxa"/>
            <w:vAlign w:val="bottom"/>
          </w:tcPr>
          <w:p>
            <w:pPr>
              <w:spacing w:after="0"/>
              <w:rPr>
                <w:sz w:val="1"/>
                <w:szCs w:val="1"/>
                <w:color w:val="auto"/>
              </w:rPr>
            </w:pPr>
          </w:p>
        </w:tc>
      </w:tr>
      <w:tr>
        <w:trPr>
          <w:trHeight w:val="223"/>
        </w:trPr>
        <w:tc>
          <w:tcPr>
            <w:tcW w:w="6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Income</w:t>
            </w:r>
          </w:p>
        </w:tc>
        <w:tc>
          <w:tcPr>
            <w:tcW w:w="10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4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4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0" w:type="dxa"/>
            <w:vAlign w:val="bottom"/>
          </w:tcPr>
          <w:p>
            <w:pPr>
              <w:spacing w:after="0"/>
              <w:rPr>
                <w:sz w:val="20"/>
                <w:szCs w:val="20"/>
                <w:color w:val="auto"/>
              </w:rPr>
            </w:pPr>
            <w:r>
              <w:rPr>
                <w:rFonts w:ascii="Arial" w:cs="Arial" w:eastAsia="Arial" w:hAnsi="Arial"/>
                <w:sz w:val="18"/>
                <w:szCs w:val="18"/>
                <w:color w:val="auto"/>
              </w:rPr>
              <w:t>Investment income from non-controlled, non-affiliated investments:</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from investments</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46,523</w:t>
            </w:r>
          </w:p>
        </w:tc>
        <w:tc>
          <w:tcPr>
            <w:tcW w:w="18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47,967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0" w:type="dxa"/>
            <w:vAlign w:val="bottom"/>
          </w:tcPr>
          <w:p>
            <w:pPr>
              <w:ind w:left="260"/>
              <w:spacing w:after="0"/>
              <w:rPr>
                <w:sz w:val="20"/>
                <w:szCs w:val="20"/>
                <w:color w:val="auto"/>
              </w:rPr>
            </w:pPr>
            <w:r>
              <w:rPr>
                <w:rFonts w:ascii="Arial" w:cs="Arial" w:eastAsia="Arial" w:hAnsi="Arial"/>
                <w:sz w:val="18"/>
                <w:szCs w:val="18"/>
                <w:color w:val="auto"/>
              </w:rPr>
              <w:t>Dividend income</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income</w:t>
            </w:r>
          </w:p>
        </w:tc>
        <w:tc>
          <w:tcPr>
            <w:tcW w:w="10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5,819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00" w:type="dxa"/>
            <w:vAlign w:val="bottom"/>
          </w:tcPr>
          <w:p>
            <w:pPr>
              <w:ind w:left="500"/>
              <w:spacing w:after="0"/>
              <w:rPr>
                <w:sz w:val="20"/>
                <w:szCs w:val="20"/>
                <w:color w:val="auto"/>
              </w:rPr>
            </w:pPr>
            <w:r>
              <w:rPr>
                <w:rFonts w:ascii="Arial" w:cs="Arial" w:eastAsia="Arial" w:hAnsi="Arial"/>
                <w:sz w:val="18"/>
                <w:szCs w:val="18"/>
                <w:color w:val="auto"/>
              </w:rPr>
              <w:t>Total investment income from non-controlled, non-affiliated investments</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48,601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53,981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0" w:type="dxa"/>
            <w:vAlign w:val="bottom"/>
            <w:shd w:val="clear" w:color="auto" w:fill="CFF0FC"/>
          </w:tcPr>
          <w:p>
            <w:pPr>
              <w:spacing w:after="0"/>
              <w:rPr>
                <w:sz w:val="20"/>
                <w:szCs w:val="20"/>
                <w:color w:val="auto"/>
              </w:rPr>
            </w:pPr>
            <w:r>
              <w:rPr>
                <w:rFonts w:ascii="Arial" w:cs="Arial" w:eastAsia="Arial" w:hAnsi="Arial"/>
                <w:sz w:val="18"/>
                <w:szCs w:val="18"/>
                <w:color w:val="auto"/>
              </w:rPr>
              <w:t>Investment income from non-controlled, affiliated investments:</w:t>
            </w: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0" w:type="dxa"/>
            <w:vAlign w:val="bottom"/>
          </w:tcPr>
          <w:p>
            <w:pPr>
              <w:ind w:left="260"/>
              <w:spacing w:after="0"/>
              <w:rPr>
                <w:sz w:val="20"/>
                <w:szCs w:val="20"/>
                <w:color w:val="auto"/>
              </w:rPr>
            </w:pPr>
            <w:r>
              <w:rPr>
                <w:rFonts w:ascii="Arial" w:cs="Arial" w:eastAsia="Arial" w:hAnsi="Arial"/>
                <w:sz w:val="18"/>
                <w:szCs w:val="18"/>
                <w:color w:val="auto"/>
              </w:rPr>
              <w:t>Interest from investments</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2,411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income</w:t>
            </w: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800" w:type="dxa"/>
            <w:vAlign w:val="bottom"/>
          </w:tcPr>
          <w:p>
            <w:pPr>
              <w:ind w:left="500"/>
              <w:spacing w:after="0"/>
              <w:rPr>
                <w:sz w:val="20"/>
                <w:szCs w:val="20"/>
                <w:color w:val="auto"/>
              </w:rPr>
            </w:pPr>
            <w:r>
              <w:rPr>
                <w:rFonts w:ascii="Arial" w:cs="Arial" w:eastAsia="Arial" w:hAnsi="Arial"/>
                <w:sz w:val="18"/>
                <w:szCs w:val="18"/>
                <w:color w:val="auto"/>
              </w:rPr>
              <w:t>Total investment income from non-controlled, affiliated investments</w:t>
            </w:r>
          </w:p>
        </w:tc>
        <w:tc>
          <w:tcPr>
            <w:tcW w:w="10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2,442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0" w:type="dxa"/>
            <w:vAlign w:val="bottom"/>
            <w:shd w:val="clear" w:color="auto" w:fill="CFF0FC"/>
          </w:tcPr>
          <w:p>
            <w:pPr>
              <w:spacing w:after="0"/>
              <w:rPr>
                <w:sz w:val="20"/>
                <w:szCs w:val="20"/>
                <w:color w:val="auto"/>
              </w:rPr>
            </w:pPr>
            <w:r>
              <w:rPr>
                <w:rFonts w:ascii="Arial" w:cs="Arial" w:eastAsia="Arial" w:hAnsi="Arial"/>
                <w:sz w:val="18"/>
                <w:szCs w:val="18"/>
                <w:color w:val="auto"/>
              </w:rPr>
              <w:t>Investment income from controlled, affiliated investments:</w:t>
            </w: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0" w:type="dxa"/>
            <w:vAlign w:val="bottom"/>
          </w:tcPr>
          <w:p>
            <w:pPr>
              <w:ind w:left="260"/>
              <w:spacing w:after="0"/>
              <w:rPr>
                <w:sz w:val="20"/>
                <w:szCs w:val="20"/>
                <w:color w:val="auto"/>
              </w:rPr>
            </w:pPr>
            <w:r>
              <w:rPr>
                <w:rFonts w:ascii="Arial" w:cs="Arial" w:eastAsia="Arial" w:hAnsi="Arial"/>
                <w:sz w:val="18"/>
                <w:szCs w:val="18"/>
                <w:color w:val="auto"/>
              </w:rPr>
              <w:t>Interest from investments</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1,439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3,734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income</w:t>
            </w:r>
          </w:p>
        </w:tc>
        <w:tc>
          <w:tcPr>
            <w:tcW w:w="10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investment income from controlled, affiliated investments</w:t>
            </w:r>
          </w:p>
        </w:tc>
        <w:tc>
          <w:tcPr>
            <w:tcW w:w="10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1,444</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00" w:type="dxa"/>
            <w:vAlign w:val="bottom"/>
            <w:shd w:val="clear" w:color="auto" w:fill="CFF0FC"/>
          </w:tcPr>
          <w:p>
            <w:pPr>
              <w:ind w:left="740"/>
              <w:spacing w:after="0"/>
              <w:rPr>
                <w:sz w:val="20"/>
                <w:szCs w:val="20"/>
                <w:color w:val="auto"/>
              </w:rPr>
            </w:pPr>
            <w:r>
              <w:rPr>
                <w:rFonts w:ascii="Arial" w:cs="Arial" w:eastAsia="Arial" w:hAnsi="Arial"/>
                <w:sz w:val="18"/>
                <w:szCs w:val="18"/>
                <w:b w:val="1"/>
                <w:bCs w:val="1"/>
                <w:color w:val="auto"/>
              </w:rPr>
              <w:t>Total Investment Income</w:t>
            </w:r>
          </w:p>
        </w:tc>
        <w:tc>
          <w:tcPr>
            <w:tcW w:w="10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52,487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57,767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0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0" w:type="dxa"/>
            <w:vAlign w:val="bottom"/>
            <w:shd w:val="clear" w:color="auto" w:fill="CFF0FC"/>
          </w:tcPr>
          <w:p>
            <w:pPr>
              <w:spacing w:after="0"/>
              <w:rPr>
                <w:sz w:val="20"/>
                <w:szCs w:val="20"/>
                <w:color w:val="auto"/>
              </w:rPr>
            </w:pPr>
            <w:r>
              <w:rPr>
                <w:rFonts w:ascii="Arial" w:cs="Arial" w:eastAsia="Arial" w:hAnsi="Arial"/>
                <w:sz w:val="18"/>
                <w:szCs w:val="18"/>
                <w:color w:val="auto"/>
              </w:rPr>
              <w:t>Interest</w:t>
            </w: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10,369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9,070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0" w:type="dxa"/>
            <w:vAlign w:val="bottom"/>
          </w:tcPr>
          <w:p>
            <w:pPr>
              <w:spacing w:after="0"/>
              <w:rPr>
                <w:sz w:val="20"/>
                <w:szCs w:val="20"/>
                <w:color w:val="auto"/>
              </w:rPr>
            </w:pPr>
            <w:r>
              <w:rPr>
                <w:rFonts w:ascii="Arial" w:cs="Arial" w:eastAsia="Arial" w:hAnsi="Arial"/>
                <w:sz w:val="18"/>
                <w:szCs w:val="18"/>
                <w:color w:val="auto"/>
              </w:rPr>
              <w:t>Management fees</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6,622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6,660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0" w:type="dxa"/>
            <w:vAlign w:val="bottom"/>
            <w:shd w:val="clear" w:color="auto" w:fill="CFF0FC"/>
          </w:tcPr>
          <w:p>
            <w:pPr>
              <w:spacing w:after="0"/>
              <w:rPr>
                <w:sz w:val="20"/>
                <w:szCs w:val="20"/>
                <w:color w:val="auto"/>
              </w:rPr>
            </w:pPr>
            <w:r>
              <w:rPr>
                <w:rFonts w:ascii="Arial" w:cs="Arial" w:eastAsia="Arial" w:hAnsi="Arial"/>
                <w:sz w:val="18"/>
                <w:szCs w:val="18"/>
                <w:color w:val="auto"/>
              </w:rPr>
              <w:t>Incentive fees</w:t>
            </w: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5,650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6,608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0" w:type="dxa"/>
            <w:vAlign w:val="bottom"/>
          </w:tcPr>
          <w:p>
            <w:pPr>
              <w:spacing w:after="0"/>
              <w:rPr>
                <w:sz w:val="20"/>
                <w:szCs w:val="20"/>
                <w:color w:val="auto"/>
              </w:rPr>
            </w:pPr>
            <w:r>
              <w:rPr>
                <w:rFonts w:ascii="Arial" w:cs="Arial" w:eastAsia="Arial" w:hAnsi="Arial"/>
                <w:sz w:val="18"/>
                <w:szCs w:val="18"/>
                <w:color w:val="auto"/>
              </w:rPr>
              <w:t>Professional fees</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1,295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2,112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0" w:type="dxa"/>
            <w:vAlign w:val="bottom"/>
            <w:shd w:val="clear" w:color="auto" w:fill="CFF0FC"/>
          </w:tcPr>
          <w:p>
            <w:pPr>
              <w:spacing w:after="0"/>
              <w:rPr>
                <w:sz w:val="20"/>
                <w:szCs w:val="20"/>
                <w:color w:val="auto"/>
              </w:rPr>
            </w:pPr>
            <w:r>
              <w:rPr>
                <w:rFonts w:ascii="Arial" w:cs="Arial" w:eastAsia="Arial" w:hAnsi="Arial"/>
                <w:sz w:val="18"/>
                <w:szCs w:val="18"/>
                <w:color w:val="auto"/>
              </w:rPr>
              <w:t>Directors’ fees</w:t>
            </w: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general and administrative</w:t>
            </w:r>
          </w:p>
        </w:tc>
        <w:tc>
          <w:tcPr>
            <w:tcW w:w="10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1,478</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expenses</w:t>
            </w:r>
          </w:p>
        </w:tc>
        <w:tc>
          <w:tcPr>
            <w:tcW w:w="10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25,549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25,794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Management and incentive fees waived (Note 3)</w:t>
            </w:r>
          </w:p>
        </w:tc>
        <w:tc>
          <w:tcPr>
            <w:tcW w:w="10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00" w:type="dxa"/>
            <w:vAlign w:val="bottom"/>
            <w:shd w:val="clear" w:color="auto" w:fill="CFF0FC"/>
          </w:tcPr>
          <w:p>
            <w:pPr>
              <w:ind w:left="740"/>
              <w:spacing w:after="0"/>
              <w:rPr>
                <w:sz w:val="20"/>
                <w:szCs w:val="20"/>
                <w:color w:val="auto"/>
              </w:rPr>
            </w:pPr>
            <w:r>
              <w:rPr>
                <w:rFonts w:ascii="Arial" w:cs="Arial" w:eastAsia="Arial" w:hAnsi="Arial"/>
                <w:sz w:val="18"/>
                <w:szCs w:val="18"/>
                <w:b w:val="1"/>
                <w:bCs w:val="1"/>
                <w:color w:val="auto"/>
              </w:rPr>
              <w:t>Net Expenses</w:t>
            </w:r>
          </w:p>
        </w:tc>
        <w:tc>
          <w:tcPr>
            <w:tcW w:w="10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25,549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25,731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00" w:type="dxa"/>
            <w:vAlign w:val="bottom"/>
          </w:tcPr>
          <w:p>
            <w:pPr>
              <w:spacing w:after="0"/>
              <w:rPr>
                <w:sz w:val="20"/>
                <w:szCs w:val="20"/>
                <w:color w:val="auto"/>
              </w:rPr>
            </w:pPr>
            <w:r>
              <w:rPr>
                <w:rFonts w:ascii="Arial" w:cs="Arial" w:eastAsia="Arial" w:hAnsi="Arial"/>
                <w:sz w:val="18"/>
                <w:szCs w:val="18"/>
                <w:b w:val="1"/>
                <w:bCs w:val="1"/>
                <w:color w:val="auto"/>
              </w:rPr>
              <w:t>Net Investment Income Before Income Taxes</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26,938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32,036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0" w:type="dxa"/>
            <w:vAlign w:val="bottom"/>
            <w:shd w:val="clear" w:color="auto" w:fill="CFF0FC"/>
          </w:tcPr>
          <w:p>
            <w:pPr>
              <w:spacing w:after="0"/>
              <w:rPr>
                <w:sz w:val="20"/>
                <w:szCs w:val="20"/>
                <w:color w:val="auto"/>
              </w:rPr>
            </w:pPr>
            <w:r>
              <w:rPr>
                <w:rFonts w:ascii="Arial" w:cs="Arial" w:eastAsia="Arial" w:hAnsi="Arial"/>
                <w:sz w:val="18"/>
                <w:szCs w:val="18"/>
                <w:color w:val="auto"/>
              </w:rPr>
              <w:t>Income taxes, including excise taxes</w:t>
            </w:r>
          </w:p>
        </w:tc>
        <w:tc>
          <w:tcPr>
            <w:tcW w:w="10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00" w:type="dxa"/>
            <w:vAlign w:val="bottom"/>
          </w:tcPr>
          <w:p>
            <w:pPr>
              <w:spacing w:after="0"/>
              <w:rPr>
                <w:sz w:val="20"/>
                <w:szCs w:val="20"/>
                <w:color w:val="auto"/>
              </w:rPr>
            </w:pPr>
            <w:r>
              <w:rPr>
                <w:rFonts w:ascii="Arial" w:cs="Arial" w:eastAsia="Arial" w:hAnsi="Arial"/>
                <w:sz w:val="18"/>
                <w:szCs w:val="18"/>
                <w:b w:val="1"/>
                <w:bCs w:val="1"/>
                <w:color w:val="auto"/>
              </w:rPr>
              <w:t>Net Investment Income</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26,638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31,186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Unrealized and Realized Gains (Losses)</w:t>
            </w: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0" w:type="dxa"/>
            <w:vAlign w:val="bottom"/>
          </w:tcPr>
          <w:p>
            <w:pPr>
              <w:spacing w:after="0"/>
              <w:rPr>
                <w:sz w:val="20"/>
                <w:szCs w:val="20"/>
                <w:color w:val="auto"/>
              </w:rPr>
            </w:pPr>
            <w:r>
              <w:rPr>
                <w:rFonts w:ascii="Arial" w:cs="Arial" w:eastAsia="Arial" w:hAnsi="Arial"/>
                <w:sz w:val="18"/>
                <w:szCs w:val="18"/>
                <w:color w:val="auto"/>
              </w:rPr>
              <w:t>Net change in unrealized gains (losses):</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Non-controlled, non-affiliated investments</w:t>
            </w: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12,813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8,339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0" w:type="dxa"/>
            <w:vAlign w:val="bottom"/>
          </w:tcPr>
          <w:p>
            <w:pPr>
              <w:ind w:left="260"/>
              <w:spacing w:after="0"/>
              <w:rPr>
                <w:sz w:val="20"/>
                <w:szCs w:val="20"/>
                <w:color w:val="auto"/>
              </w:rPr>
            </w:pPr>
            <w:r>
              <w:rPr>
                <w:rFonts w:ascii="Arial" w:cs="Arial" w:eastAsia="Arial" w:hAnsi="Arial"/>
                <w:sz w:val="18"/>
                <w:szCs w:val="18"/>
                <w:color w:val="auto"/>
              </w:rPr>
              <w:t>Non-controlled, affiliated investments</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427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Controlled, affiliated investments</w:t>
            </w: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(3,667)</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(3,371)</w:t>
            </w:r>
          </w:p>
        </w:tc>
        <w:tc>
          <w:tcPr>
            <w:tcW w:w="0" w:type="dxa"/>
            <w:vAlign w:val="bottom"/>
          </w:tcPr>
          <w:p>
            <w:pPr>
              <w:spacing w:after="0"/>
              <w:rPr>
                <w:sz w:val="1"/>
                <w:szCs w:val="1"/>
                <w:color w:val="auto"/>
              </w:rPr>
            </w:pPr>
          </w:p>
        </w:tc>
      </w:tr>
      <w:tr>
        <w:trPr>
          <w:trHeight w:val="230"/>
        </w:trPr>
        <w:tc>
          <w:tcPr>
            <w:tcW w:w="6800" w:type="dxa"/>
            <w:vAlign w:val="bottom"/>
          </w:tcPr>
          <w:p>
            <w:pPr>
              <w:ind w:left="260"/>
              <w:spacing w:after="0"/>
              <w:rPr>
                <w:sz w:val="20"/>
                <w:szCs w:val="20"/>
                <w:color w:val="auto"/>
              </w:rPr>
            </w:pPr>
            <w:r>
              <w:rPr>
                <w:rFonts w:ascii="Arial" w:cs="Arial" w:eastAsia="Arial" w:hAnsi="Arial"/>
                <w:sz w:val="18"/>
                <w:szCs w:val="18"/>
                <w:color w:val="auto"/>
              </w:rPr>
              <w:t>Translation of other assets and liabilities in foreign currencies</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(1,432)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(981)</w:t>
            </w:r>
          </w:p>
        </w:tc>
        <w:tc>
          <w:tcPr>
            <w:tcW w:w="0" w:type="dxa"/>
            <w:vAlign w:val="bottom"/>
          </w:tcPr>
          <w:p>
            <w:pPr>
              <w:spacing w:after="0"/>
              <w:rPr>
                <w:sz w:val="1"/>
                <w:szCs w:val="1"/>
                <w:color w:val="auto"/>
              </w:rPr>
            </w:pPr>
          </w:p>
        </w:tc>
      </w:tr>
      <w:tr>
        <w:trPr>
          <w:trHeight w:val="230"/>
        </w:trPr>
        <w:tc>
          <w:tcPr>
            <w:tcW w:w="6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rate swaps</w:t>
            </w: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(4,194)</w:t>
            </w:r>
          </w:p>
        </w:tc>
        <w:tc>
          <w:tcPr>
            <w:tcW w:w="0" w:type="dxa"/>
            <w:vAlign w:val="bottom"/>
          </w:tcPr>
          <w:p>
            <w:pPr>
              <w:spacing w:after="0"/>
              <w:rPr>
                <w:sz w:val="1"/>
                <w:szCs w:val="1"/>
                <w:color w:val="auto"/>
              </w:rPr>
            </w:pPr>
          </w:p>
        </w:tc>
      </w:tr>
      <w:tr>
        <w:trPr>
          <w:trHeight w:val="223"/>
        </w:trPr>
        <w:tc>
          <w:tcPr>
            <w:tcW w:w="680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Total net change in unrealized gains (losses)</w:t>
            </w:r>
          </w:p>
        </w:tc>
        <w:tc>
          <w:tcPr>
            <w:tcW w:w="104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11,460</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00" w:type="dxa"/>
            <w:vAlign w:val="bottom"/>
            <w:shd w:val="clear" w:color="auto" w:fill="CFF0FC"/>
          </w:tcPr>
          <w:p>
            <w:pPr>
              <w:spacing w:after="0"/>
              <w:rPr>
                <w:sz w:val="20"/>
                <w:szCs w:val="20"/>
                <w:color w:val="auto"/>
              </w:rPr>
            </w:pPr>
            <w:r>
              <w:rPr>
                <w:rFonts w:ascii="Arial" w:cs="Arial" w:eastAsia="Arial" w:hAnsi="Arial"/>
                <w:sz w:val="18"/>
                <w:szCs w:val="18"/>
                <w:color w:val="auto"/>
              </w:rPr>
              <w:t>Realized gains (losses):</w:t>
            </w: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0" w:type="dxa"/>
            <w:vAlign w:val="bottom"/>
          </w:tcPr>
          <w:p>
            <w:pPr>
              <w:ind w:left="260"/>
              <w:spacing w:after="0"/>
              <w:rPr>
                <w:sz w:val="20"/>
                <w:szCs w:val="20"/>
                <w:color w:val="auto"/>
              </w:rPr>
            </w:pPr>
            <w:r>
              <w:rPr>
                <w:rFonts w:ascii="Arial" w:cs="Arial" w:eastAsia="Arial" w:hAnsi="Arial"/>
                <w:sz w:val="18"/>
                <w:szCs w:val="18"/>
                <w:color w:val="auto"/>
              </w:rPr>
              <w:t>Non-controlled, non-affiliated investments</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180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2,645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Controlled, affiliated investments</w:t>
            </w: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800" w:type="dxa"/>
            <w:vAlign w:val="bottom"/>
          </w:tcPr>
          <w:p>
            <w:pPr>
              <w:ind w:left="260"/>
              <w:spacing w:after="0"/>
              <w:rPr>
                <w:sz w:val="20"/>
                <w:szCs w:val="20"/>
                <w:color w:val="auto"/>
              </w:rPr>
            </w:pPr>
            <w:r>
              <w:rPr>
                <w:rFonts w:ascii="Arial" w:cs="Arial" w:eastAsia="Arial" w:hAnsi="Arial"/>
                <w:sz w:val="18"/>
                <w:szCs w:val="18"/>
                <w:color w:val="auto"/>
              </w:rPr>
              <w:t>Foreign currency transactions</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00" w:type="dxa"/>
            <w:vAlign w:val="bottom"/>
            <w:tcBorders>
              <w:top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Total net realized gains</w:t>
            </w:r>
          </w:p>
        </w:tc>
        <w:tc>
          <w:tcPr>
            <w:tcW w:w="10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647</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2,857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00" w:type="dxa"/>
            <w:vAlign w:val="bottom"/>
            <w:tcBorders>
              <w:bottom w:val="single" w:sz="8" w:color="CFF0FC"/>
            </w:tcBorders>
          </w:tcPr>
          <w:p>
            <w:pPr>
              <w:ind w:left="1000"/>
              <w:spacing w:after="0"/>
              <w:rPr>
                <w:sz w:val="20"/>
                <w:szCs w:val="20"/>
                <w:color w:val="auto"/>
              </w:rPr>
            </w:pPr>
            <w:r>
              <w:rPr>
                <w:rFonts w:ascii="Arial" w:cs="Arial" w:eastAsia="Arial" w:hAnsi="Arial"/>
                <w:sz w:val="18"/>
                <w:szCs w:val="18"/>
                <w:b w:val="1"/>
                <w:bCs w:val="1"/>
                <w:color w:val="auto"/>
              </w:rPr>
              <w:t>Total Net Unrealized and Realized Gains (Losses)</w:t>
            </w:r>
          </w:p>
        </w:tc>
        <w:tc>
          <w:tcPr>
            <w:tcW w:w="10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12,107</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00" w:type="dxa"/>
            <w:vAlign w:val="bottom"/>
            <w:tcBorders>
              <w:bottom w:val="single" w:sz="8" w:color="CFF0FC"/>
            </w:tcBorders>
            <w:shd w:val="clear" w:color="auto" w:fill="CFF0FC"/>
          </w:tcPr>
          <w:p>
            <w:pPr>
              <w:ind w:left="1000"/>
              <w:spacing w:after="0"/>
              <w:rPr>
                <w:sz w:val="20"/>
                <w:szCs w:val="20"/>
                <w:color w:val="auto"/>
              </w:rPr>
            </w:pPr>
            <w:r>
              <w:rPr>
                <w:rFonts w:ascii="Arial" w:cs="Arial" w:eastAsia="Arial" w:hAnsi="Arial"/>
                <w:sz w:val="18"/>
                <w:szCs w:val="18"/>
                <w:b w:val="1"/>
                <w:bCs w:val="1"/>
                <w:color w:val="auto"/>
              </w:rPr>
              <w:t>Increase in Net Assets Resulting from Operations</w:t>
            </w:r>
          </w:p>
        </w:tc>
        <w:tc>
          <w:tcPr>
            <w:tcW w:w="10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38,745</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33,836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00" w:type="dxa"/>
            <w:vAlign w:val="bottom"/>
            <w:vMerge w:val="restart"/>
          </w:tcPr>
          <w:p>
            <w:pPr>
              <w:spacing w:after="0"/>
              <w:rPr>
                <w:sz w:val="20"/>
                <w:szCs w:val="20"/>
                <w:color w:val="auto"/>
              </w:rPr>
            </w:pPr>
            <w:r>
              <w:rPr>
                <w:rFonts w:ascii="Arial" w:cs="Arial" w:eastAsia="Arial" w:hAnsi="Arial"/>
                <w:sz w:val="18"/>
                <w:szCs w:val="18"/>
                <w:color w:val="auto"/>
              </w:rPr>
              <w:t>Earnings per common share—basic and diluted</w:t>
            </w:r>
          </w:p>
        </w:tc>
        <w:tc>
          <w:tcPr>
            <w:tcW w:w="116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00" w:type="dxa"/>
            <w:vAlign w:val="bottom"/>
            <w:tcBorders>
              <w:bottom w:val="single" w:sz="8" w:color="CFF0FC"/>
            </w:tcBorders>
            <w:vMerge w:val="continue"/>
          </w:tcPr>
          <w:p>
            <w:pPr>
              <w:spacing w:after="0"/>
              <w:rPr>
                <w:sz w:val="18"/>
                <w:szCs w:val="18"/>
                <w:color w:val="auto"/>
              </w:rPr>
            </w:pPr>
          </w:p>
        </w:tc>
        <w:tc>
          <w:tcPr>
            <w:tcW w:w="1040" w:type="dxa"/>
            <w:vAlign w:val="bottom"/>
            <w:tcBorders>
              <w:bottom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0.59</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0.56</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0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shares of common stock outstanding—basic and diluted</w:t>
            </w:r>
          </w:p>
        </w:tc>
        <w:tc>
          <w:tcPr>
            <w:tcW w:w="10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65,595,441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60,840,459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8"/>
          <w:szCs w:val="18"/>
          <w:b w:val="1"/>
          <w:bCs w:val="1"/>
          <w:color w:val="auto"/>
        </w:rPr>
        <w:t>TPG Specialty Lending, Inc.</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Schedule of Investments as of March 31, 2019</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(Amounts in thousands, except share amounts)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Initial</w:t>
            </w: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Reference</w:t>
            </w: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6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xml:space="preserve">Company </w:t>
            </w:r>
            <w:r>
              <w:rPr>
                <w:rFonts w:ascii="Arial" w:cs="Arial" w:eastAsia="Arial" w:hAnsi="Arial"/>
                <w:sz w:val="12"/>
                <w:szCs w:val="12"/>
                <w:b w:val="1"/>
                <w:bCs w:val="1"/>
                <w:color w:val="auto"/>
              </w:rPr>
              <w:t>(1)</w:t>
            </w:r>
          </w:p>
        </w:tc>
        <w:tc>
          <w:tcPr>
            <w:tcW w:w="2580" w:type="dxa"/>
            <w:vAlign w:val="bottom"/>
            <w:gridSpan w:val="2"/>
            <w:vMerge w:val="restart"/>
          </w:tcPr>
          <w:p>
            <w:pPr>
              <w:ind w:left="880"/>
              <w:spacing w:after="0"/>
              <w:rPr>
                <w:sz w:val="20"/>
                <w:szCs w:val="20"/>
                <w:color w:val="auto"/>
              </w:rPr>
            </w:pPr>
            <w:r>
              <w:rPr>
                <w:rFonts w:ascii="Arial" w:cs="Arial" w:eastAsia="Arial" w:hAnsi="Arial"/>
                <w:sz w:val="14"/>
                <w:szCs w:val="14"/>
                <w:b w:val="1"/>
                <w:bCs w:val="1"/>
                <w:color w:val="auto"/>
              </w:rPr>
              <w:t>Investment</w:t>
            </w:r>
          </w:p>
        </w:tc>
        <w:tc>
          <w:tcPr>
            <w:tcW w:w="100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94"/>
              </w:rPr>
              <w:t>Acquisition</w:t>
            </w:r>
          </w:p>
        </w:tc>
        <w:tc>
          <w:tcPr>
            <w:tcW w:w="112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4"/>
              </w:rPr>
              <w:t>Rate and</w:t>
            </w:r>
          </w:p>
        </w:tc>
        <w:tc>
          <w:tcPr>
            <w:tcW w:w="1080" w:type="dxa"/>
            <w:vAlign w:val="bottom"/>
            <w:gridSpan w:val="2"/>
          </w:tcPr>
          <w:p>
            <w:pPr>
              <w:jc w:val="right"/>
              <w:ind w:right="460"/>
              <w:spacing w:after="0" w:line="158" w:lineRule="exact"/>
              <w:rPr>
                <w:sz w:val="20"/>
                <w:szCs w:val="20"/>
                <w:color w:val="auto"/>
              </w:rPr>
            </w:pPr>
            <w:r>
              <w:rPr>
                <w:rFonts w:ascii="Arial" w:cs="Arial" w:eastAsia="Arial" w:hAnsi="Arial"/>
                <w:sz w:val="14"/>
                <w:szCs w:val="14"/>
                <w:b w:val="1"/>
                <w:bCs w:val="1"/>
                <w:color w:val="auto"/>
              </w:rPr>
              <w:t>Interest</w:t>
            </w:r>
          </w:p>
        </w:tc>
        <w:tc>
          <w:tcPr>
            <w:tcW w:w="102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6"/>
              </w:rPr>
              <w:t>Amortized</w:t>
            </w:r>
          </w:p>
        </w:tc>
        <w:tc>
          <w:tcPr>
            <w:tcW w:w="1020" w:type="dxa"/>
            <w:vAlign w:val="bottom"/>
            <w:gridSpan w:val="2"/>
          </w:tcPr>
          <w:p>
            <w:pPr>
              <w:ind w:left="80"/>
              <w:spacing w:after="0" w:line="158" w:lineRule="exact"/>
              <w:rPr>
                <w:sz w:val="20"/>
                <w:szCs w:val="20"/>
                <w:color w:val="auto"/>
              </w:rPr>
            </w:pPr>
            <w:r>
              <w:rPr>
                <w:rFonts w:ascii="Arial" w:cs="Arial" w:eastAsia="Arial" w:hAnsi="Arial"/>
                <w:sz w:val="14"/>
                <w:szCs w:val="14"/>
                <w:b w:val="1"/>
                <w:bCs w:val="1"/>
                <w:color w:val="auto"/>
              </w:rPr>
              <w:t>Fair Value</w:t>
            </w:r>
          </w:p>
        </w:tc>
        <w:tc>
          <w:tcPr>
            <w:tcW w:w="980" w:type="dxa"/>
            <w:vAlign w:val="bottom"/>
            <w:gridSpan w:val="2"/>
          </w:tcPr>
          <w:p>
            <w:pPr>
              <w:jc w:val="right"/>
              <w:ind w:right="240"/>
              <w:spacing w:after="0" w:line="158" w:lineRule="exact"/>
              <w:rPr>
                <w:sz w:val="20"/>
                <w:szCs w:val="20"/>
                <w:color w:val="auto"/>
              </w:rPr>
            </w:pPr>
            <w:r>
              <w:rPr>
                <w:rFonts w:ascii="Arial" w:cs="Arial" w:eastAsia="Arial" w:hAnsi="Arial"/>
                <w:sz w:val="14"/>
                <w:szCs w:val="14"/>
                <w:b w:val="1"/>
                <w:bCs w:val="1"/>
                <w:color w:val="auto"/>
                <w:w w:val="95"/>
              </w:rPr>
              <w:t>Percentage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620" w:type="dxa"/>
            <w:vAlign w:val="bottom"/>
            <w:gridSpan w:val="3"/>
            <w:vMerge w:val="continue"/>
          </w:tcPr>
          <w:p>
            <w:pPr>
              <w:spacing w:after="0"/>
              <w:rPr>
                <w:sz w:val="14"/>
                <w:szCs w:val="14"/>
                <w:color w:val="auto"/>
              </w:rPr>
            </w:pPr>
          </w:p>
        </w:tc>
        <w:tc>
          <w:tcPr>
            <w:tcW w:w="2580" w:type="dxa"/>
            <w:vAlign w:val="bottom"/>
            <w:gridSpan w:val="2"/>
            <w:vMerge w:val="continue"/>
          </w:tcPr>
          <w:p>
            <w:pPr>
              <w:spacing w:after="0"/>
              <w:rPr>
                <w:sz w:val="14"/>
                <w:szCs w:val="14"/>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Date</w:t>
            </w: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Spread</w:t>
            </w:r>
          </w:p>
        </w:tc>
        <w:tc>
          <w:tcPr>
            <w:tcW w:w="10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Rate</w:t>
            </w: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 xml:space="preserve">Cost </w:t>
            </w:r>
            <w:r>
              <w:rPr>
                <w:rFonts w:ascii="Arial" w:cs="Arial" w:eastAsia="Arial" w:hAnsi="Arial"/>
                <w:sz w:val="12"/>
                <w:szCs w:val="12"/>
                <w:b w:val="1"/>
                <w:bCs w:val="1"/>
                <w:color w:val="auto"/>
                <w:w w:val="93"/>
              </w:rPr>
              <w:t>(2)(8)</w:t>
            </w:r>
          </w:p>
        </w:tc>
        <w:tc>
          <w:tcPr>
            <w:tcW w:w="820" w:type="dxa"/>
            <w:vAlign w:val="bottom"/>
          </w:tcPr>
          <w:p>
            <w:pPr>
              <w:jc w:val="right"/>
              <w:ind w:right="232"/>
              <w:spacing w:after="0"/>
              <w:rPr>
                <w:sz w:val="20"/>
                <w:szCs w:val="20"/>
                <w:color w:val="auto"/>
              </w:rPr>
            </w:pPr>
            <w:r>
              <w:rPr>
                <w:rFonts w:ascii="Arial" w:cs="Arial" w:eastAsia="Arial" w:hAnsi="Arial"/>
                <w:sz w:val="12"/>
                <w:szCs w:val="12"/>
                <w:b w:val="1"/>
                <w:bCs w:val="1"/>
                <w:color w:val="auto"/>
              </w:rPr>
              <w:t>(10)</w:t>
            </w:r>
          </w:p>
        </w:tc>
        <w:tc>
          <w:tcPr>
            <w:tcW w:w="200" w:type="dxa"/>
            <w:vAlign w:val="bottom"/>
          </w:tcPr>
          <w:p>
            <w:pPr>
              <w:spacing w:after="0"/>
              <w:rPr>
                <w:sz w:val="14"/>
                <w:szCs w:val="14"/>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7"/>
              </w:rPr>
              <w:t>of Net Assets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Debt Investments</w:t>
            </w:r>
          </w:p>
        </w:tc>
        <w:tc>
          <w:tcPr>
            <w:tcW w:w="120" w:type="dxa"/>
            <w:vAlign w:val="bottom"/>
            <w:tcBorders>
              <w:top w:val="single" w:sz="8" w:color="CFF0FC"/>
            </w:tcBorders>
            <w:shd w:val="clear" w:color="auto" w:fill="CFF0FC"/>
          </w:tcPr>
          <w:p>
            <w:pPr>
              <w:spacing w:after="0"/>
              <w:rPr>
                <w:sz w:val="19"/>
                <w:szCs w:val="19"/>
                <w:color w:val="auto"/>
              </w:rPr>
            </w:pPr>
          </w:p>
        </w:tc>
        <w:tc>
          <w:tcPr>
            <w:tcW w:w="24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600" w:type="dxa"/>
            <w:vAlign w:val="bottom"/>
            <w:gridSpan w:val="2"/>
          </w:tcPr>
          <w:p>
            <w:pPr>
              <w:spacing w:after="0"/>
              <w:rPr>
                <w:sz w:val="20"/>
                <w:szCs w:val="20"/>
                <w:color w:val="auto"/>
              </w:rPr>
            </w:pPr>
            <w:r>
              <w:rPr>
                <w:rFonts w:ascii="Arial" w:cs="Arial" w:eastAsia="Arial" w:hAnsi="Arial"/>
                <w:sz w:val="18"/>
                <w:szCs w:val="18"/>
                <w:b w:val="1"/>
                <w:bCs w:val="1"/>
                <w:color w:val="auto"/>
              </w:rPr>
              <w:t>Beverage, food and tobacco</w:t>
            </w:r>
          </w:p>
        </w:tc>
        <w:tc>
          <w:tcPr>
            <w:tcW w:w="2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AFS Technologies, Inc. </w:t>
            </w:r>
            <w:r>
              <w:rPr>
                <w:rFonts w:ascii="Arial" w:cs="Arial" w:eastAsia="Arial" w:hAnsi="Arial"/>
                <w:sz w:val="15"/>
                <w:szCs w:val="15"/>
                <w:color w:val="auto"/>
              </w:rPr>
              <w:t>(3)(5)(6)</w:t>
            </w:r>
          </w:p>
        </w:tc>
        <w:tc>
          <w:tcPr>
            <w:tcW w:w="2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First-lien loan ($46,441 par, due</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10/16/2018</w:t>
            </w:r>
          </w:p>
        </w:tc>
        <w:tc>
          <w:tcPr>
            <w:tcW w:w="1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L + 6.25%</w:t>
            </w: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8.75%</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   45,781</w:t>
            </w: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   45,628</w:t>
            </w:r>
          </w:p>
        </w:tc>
        <w:tc>
          <w:tcPr>
            <w:tcW w:w="2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480" w:type="dxa"/>
            <w:vAlign w:val="bottom"/>
            <w:shd w:val="clear" w:color="auto" w:fill="CFF0FC"/>
          </w:tcPr>
          <w:p>
            <w:pPr>
              <w:spacing w:after="0"/>
              <w:rPr>
                <w:sz w:val="20"/>
                <w:szCs w:val="20"/>
                <w:color w:val="auto"/>
              </w:rPr>
            </w:pPr>
            <w:r>
              <w:rPr>
                <w:rFonts w:ascii="Arial" w:cs="Arial" w:eastAsia="Arial" w:hAnsi="Arial"/>
                <w:sz w:val="18"/>
                <w:szCs w:val="18"/>
                <w:color w:val="auto"/>
              </w:rPr>
              <w:t>10/2023)</w:t>
            </w:r>
          </w:p>
        </w:tc>
        <w:tc>
          <w:tcPr>
            <w:tcW w:w="10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600" w:type="dxa"/>
            <w:vAlign w:val="bottom"/>
            <w:gridSpan w:val="2"/>
          </w:tcPr>
          <w:p>
            <w:pPr>
              <w:spacing w:after="0"/>
              <w:rPr>
                <w:sz w:val="20"/>
                <w:szCs w:val="20"/>
                <w:color w:val="auto"/>
              </w:rPr>
            </w:pPr>
            <w:r>
              <w:rPr>
                <w:rFonts w:ascii="Arial" w:cs="Arial" w:eastAsia="Arial" w:hAnsi="Arial"/>
                <w:sz w:val="18"/>
                <w:szCs w:val="18"/>
                <w:b w:val="1"/>
                <w:bCs w:val="1"/>
                <w:color w:val="auto"/>
              </w:rPr>
              <w:t>Business services</w:t>
            </w:r>
          </w:p>
        </w:tc>
        <w:tc>
          <w:tcPr>
            <w:tcW w:w="2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Acceo Solutions, Inc. </w:t>
            </w:r>
            <w:r>
              <w:rPr>
                <w:rFonts w:ascii="Arial" w:cs="Arial" w:eastAsia="Arial" w:hAnsi="Arial"/>
                <w:sz w:val="15"/>
                <w:szCs w:val="15"/>
                <w:color w:val="auto"/>
              </w:rPr>
              <w:t>(3)(4)(5)</w:t>
            </w:r>
          </w:p>
        </w:tc>
        <w:tc>
          <w:tcPr>
            <w:tcW w:w="2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First-lien loan (CAD 64,513 par,</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7/6/2018</w:t>
            </w:r>
          </w:p>
        </w:tc>
        <w:tc>
          <w:tcPr>
            <w:tcW w:w="1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C + 5.25%</w:t>
            </w: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7.23%</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48,205</w:t>
            </w: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47,444</w:t>
            </w:r>
          </w:p>
        </w:tc>
        <w:tc>
          <w:tcPr>
            <w:tcW w:w="2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due 7/2023)</w:t>
            </w: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ind w:left="360"/>
              <w:spacing w:after="0"/>
              <w:rPr>
                <w:sz w:val="20"/>
                <w:szCs w:val="20"/>
                <w:color w:val="auto"/>
              </w:rPr>
            </w:pPr>
            <w:r>
              <w:rPr>
                <w:rFonts w:ascii="Arial" w:cs="Arial" w:eastAsia="Arial" w:hAnsi="Arial"/>
                <w:sz w:val="18"/>
                <w:szCs w:val="18"/>
                <w:color w:val="auto"/>
              </w:rPr>
              <w:t>(CAD</w:t>
            </w: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4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63,384)</w:t>
            </w:r>
          </w:p>
        </w:tc>
        <w:tc>
          <w:tcPr>
            <w:tcW w:w="20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rPr>
              <w:t xml:space="preserve">Integration Appliance, Inc. </w:t>
            </w:r>
            <w:r>
              <w:rPr>
                <w:rFonts w:ascii="Arial" w:cs="Arial" w:eastAsia="Arial" w:hAnsi="Arial"/>
                <w:sz w:val="15"/>
                <w:szCs w:val="15"/>
                <w:color w:val="auto"/>
              </w:rPr>
              <w:t>(3)</w:t>
            </w:r>
          </w:p>
        </w:tc>
        <w:tc>
          <w:tcPr>
            <w:tcW w:w="2580" w:type="dxa"/>
            <w:vAlign w:val="bottom"/>
            <w:gridSpan w:val="2"/>
          </w:tcPr>
          <w:p>
            <w:pPr>
              <w:spacing w:after="0"/>
              <w:rPr>
                <w:sz w:val="20"/>
                <w:szCs w:val="20"/>
                <w:color w:val="auto"/>
              </w:rPr>
            </w:pPr>
            <w:r>
              <w:rPr>
                <w:rFonts w:ascii="Arial" w:cs="Arial" w:eastAsia="Arial" w:hAnsi="Arial"/>
                <w:sz w:val="18"/>
                <w:szCs w:val="18"/>
                <w:color w:val="auto"/>
              </w:rPr>
              <w:t>First-lien loan ($52,381 par, due</w:t>
            </w:r>
          </w:p>
        </w:tc>
        <w:tc>
          <w:tcPr>
            <w:tcW w:w="880" w:type="dxa"/>
            <w:vAlign w:val="bottom"/>
          </w:tcPr>
          <w:p>
            <w:pPr>
              <w:jc w:val="right"/>
              <w:spacing w:after="0"/>
              <w:rPr>
                <w:sz w:val="20"/>
                <w:szCs w:val="20"/>
                <w:color w:val="auto"/>
              </w:rPr>
            </w:pPr>
            <w:r>
              <w:rPr>
                <w:rFonts w:ascii="Arial" w:cs="Arial" w:eastAsia="Arial" w:hAnsi="Arial"/>
                <w:sz w:val="18"/>
                <w:szCs w:val="18"/>
                <w:color w:val="auto"/>
              </w:rPr>
              <w:t>8/13/2018</w:t>
            </w:r>
          </w:p>
        </w:tc>
        <w:tc>
          <w:tcPr>
            <w:tcW w:w="1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L + 7.25%</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9.75%</w:t>
            </w:r>
          </w:p>
        </w:tc>
        <w:tc>
          <w:tcPr>
            <w:tcW w:w="800" w:type="dxa"/>
            <w:vAlign w:val="bottom"/>
          </w:tcPr>
          <w:p>
            <w:pPr>
              <w:jc w:val="right"/>
              <w:spacing w:after="0"/>
              <w:rPr>
                <w:sz w:val="20"/>
                <w:szCs w:val="20"/>
                <w:color w:val="auto"/>
              </w:rPr>
            </w:pPr>
            <w:r>
              <w:rPr>
                <w:rFonts w:ascii="Arial" w:cs="Arial" w:eastAsia="Arial" w:hAnsi="Arial"/>
                <w:sz w:val="18"/>
                <w:szCs w:val="18"/>
                <w:color w:val="auto"/>
              </w:rPr>
              <w:t>51,676</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51,595</w:t>
            </w:r>
          </w:p>
        </w:tc>
        <w:tc>
          <w:tcPr>
            <w:tcW w:w="2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8/2023)</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4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First-lien revolving loan ($2,095</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8/13/2018</w:t>
            </w:r>
          </w:p>
        </w:tc>
        <w:tc>
          <w:tcPr>
            <w:tcW w:w="1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L + 7.25%</w:t>
            </w: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9.74%</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2,061</w:t>
            </w: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2,056</w:t>
            </w:r>
          </w:p>
        </w:tc>
        <w:tc>
          <w:tcPr>
            <w:tcW w:w="2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par, due 8/2023)</w:t>
            </w:r>
          </w:p>
        </w:tc>
        <w:tc>
          <w:tcPr>
            <w:tcW w:w="8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rPr>
              <w:t xml:space="preserve">Jive Software, Inc. </w:t>
            </w:r>
            <w:r>
              <w:rPr>
                <w:rFonts w:ascii="Arial" w:cs="Arial" w:eastAsia="Arial" w:hAnsi="Arial"/>
                <w:sz w:val="15"/>
                <w:szCs w:val="15"/>
                <w:color w:val="auto"/>
              </w:rPr>
              <w:t>(3)(5)</w:t>
            </w:r>
          </w:p>
        </w:tc>
        <w:tc>
          <w:tcPr>
            <w:tcW w:w="2580" w:type="dxa"/>
            <w:vAlign w:val="bottom"/>
            <w:gridSpan w:val="2"/>
          </w:tcPr>
          <w:p>
            <w:pPr>
              <w:spacing w:after="0"/>
              <w:rPr>
                <w:sz w:val="20"/>
                <w:szCs w:val="20"/>
                <w:color w:val="auto"/>
              </w:rPr>
            </w:pPr>
            <w:r>
              <w:rPr>
                <w:rFonts w:ascii="Arial" w:cs="Arial" w:eastAsia="Arial" w:hAnsi="Arial"/>
                <w:sz w:val="18"/>
                <w:szCs w:val="18"/>
                <w:color w:val="auto"/>
              </w:rPr>
              <w:t>First-lien loan ($51,435 par, due</w:t>
            </w:r>
          </w:p>
        </w:tc>
        <w:tc>
          <w:tcPr>
            <w:tcW w:w="880" w:type="dxa"/>
            <w:vAlign w:val="bottom"/>
          </w:tcPr>
          <w:p>
            <w:pPr>
              <w:jc w:val="right"/>
              <w:spacing w:after="0"/>
              <w:rPr>
                <w:sz w:val="20"/>
                <w:szCs w:val="20"/>
                <w:color w:val="auto"/>
              </w:rPr>
            </w:pPr>
            <w:r>
              <w:rPr>
                <w:rFonts w:ascii="Arial" w:cs="Arial" w:eastAsia="Arial" w:hAnsi="Arial"/>
                <w:sz w:val="18"/>
                <w:szCs w:val="18"/>
                <w:color w:val="auto"/>
              </w:rPr>
              <w:t>6/12/2017</w:t>
            </w:r>
          </w:p>
        </w:tc>
        <w:tc>
          <w:tcPr>
            <w:tcW w:w="1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L + 9.25%</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11.75%</w:t>
            </w:r>
          </w:p>
        </w:tc>
        <w:tc>
          <w:tcPr>
            <w:tcW w:w="800" w:type="dxa"/>
            <w:vAlign w:val="bottom"/>
          </w:tcPr>
          <w:p>
            <w:pPr>
              <w:jc w:val="right"/>
              <w:spacing w:after="0"/>
              <w:rPr>
                <w:sz w:val="20"/>
                <w:szCs w:val="20"/>
                <w:color w:val="auto"/>
              </w:rPr>
            </w:pPr>
            <w:r>
              <w:rPr>
                <w:rFonts w:ascii="Arial" w:cs="Arial" w:eastAsia="Arial" w:hAnsi="Arial"/>
                <w:sz w:val="18"/>
                <w:szCs w:val="18"/>
                <w:color w:val="auto"/>
              </w:rPr>
              <w:t>50,085</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53,621</w:t>
            </w:r>
          </w:p>
        </w:tc>
        <w:tc>
          <w:tcPr>
            <w:tcW w:w="2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6/2022)</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Motus, LLC </w:t>
            </w:r>
            <w:r>
              <w:rPr>
                <w:rFonts w:ascii="Arial" w:cs="Arial" w:eastAsia="Arial" w:hAnsi="Arial"/>
                <w:sz w:val="15"/>
                <w:szCs w:val="15"/>
                <w:color w:val="auto"/>
              </w:rPr>
              <w:t>(3)</w:t>
            </w:r>
          </w:p>
        </w:tc>
        <w:tc>
          <w:tcPr>
            <w:tcW w:w="2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First-lien loan ($68,880 par, due</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1/17/2018</w:t>
            </w:r>
          </w:p>
        </w:tc>
        <w:tc>
          <w:tcPr>
            <w:tcW w:w="1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L + 6.75%</w:t>
            </w: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9.53%</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67,328</w:t>
            </w: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69,811</w:t>
            </w:r>
          </w:p>
        </w:tc>
        <w:tc>
          <w:tcPr>
            <w:tcW w:w="2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480" w:type="dxa"/>
            <w:vAlign w:val="bottom"/>
            <w:shd w:val="clear" w:color="auto" w:fill="CFF0FC"/>
          </w:tcPr>
          <w:p>
            <w:pPr>
              <w:spacing w:after="0"/>
              <w:rPr>
                <w:sz w:val="20"/>
                <w:szCs w:val="20"/>
                <w:color w:val="auto"/>
              </w:rPr>
            </w:pPr>
            <w:r>
              <w:rPr>
                <w:rFonts w:ascii="Arial" w:cs="Arial" w:eastAsia="Arial" w:hAnsi="Arial"/>
                <w:sz w:val="18"/>
                <w:szCs w:val="18"/>
                <w:color w:val="auto"/>
              </w:rPr>
              <w:t>1/2024)</w:t>
            </w:r>
          </w:p>
        </w:tc>
        <w:tc>
          <w:tcPr>
            <w:tcW w:w="10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rPr>
              <w:t xml:space="preserve">Nintex Global Limited </w:t>
            </w:r>
            <w:r>
              <w:rPr>
                <w:rFonts w:ascii="Arial" w:cs="Arial" w:eastAsia="Arial" w:hAnsi="Arial"/>
                <w:sz w:val="15"/>
                <w:szCs w:val="15"/>
                <w:color w:val="auto"/>
              </w:rPr>
              <w:t>(3)(5)</w:t>
            </w:r>
          </w:p>
        </w:tc>
        <w:tc>
          <w:tcPr>
            <w:tcW w:w="2580" w:type="dxa"/>
            <w:vAlign w:val="bottom"/>
            <w:gridSpan w:val="2"/>
          </w:tcPr>
          <w:p>
            <w:pPr>
              <w:spacing w:after="0"/>
              <w:rPr>
                <w:sz w:val="20"/>
                <w:szCs w:val="20"/>
                <w:color w:val="auto"/>
              </w:rPr>
            </w:pPr>
            <w:r>
              <w:rPr>
                <w:rFonts w:ascii="Arial" w:cs="Arial" w:eastAsia="Arial" w:hAnsi="Arial"/>
                <w:sz w:val="18"/>
                <w:szCs w:val="18"/>
                <w:color w:val="auto"/>
              </w:rPr>
              <w:t>First-lien loan ($74,789 par, due</w:t>
            </w:r>
          </w:p>
        </w:tc>
        <w:tc>
          <w:tcPr>
            <w:tcW w:w="880" w:type="dxa"/>
            <w:vAlign w:val="bottom"/>
          </w:tcPr>
          <w:p>
            <w:pPr>
              <w:jc w:val="right"/>
              <w:spacing w:after="0"/>
              <w:rPr>
                <w:sz w:val="20"/>
                <w:szCs w:val="20"/>
                <w:color w:val="auto"/>
              </w:rPr>
            </w:pPr>
            <w:r>
              <w:rPr>
                <w:rFonts w:ascii="Arial" w:cs="Arial" w:eastAsia="Arial" w:hAnsi="Arial"/>
                <w:sz w:val="18"/>
                <w:szCs w:val="18"/>
                <w:color w:val="auto"/>
              </w:rPr>
              <w:t>3/30/2018</w:t>
            </w:r>
          </w:p>
        </w:tc>
        <w:tc>
          <w:tcPr>
            <w:tcW w:w="1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L + 6.75%</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9.25%</w:t>
            </w:r>
          </w:p>
        </w:tc>
        <w:tc>
          <w:tcPr>
            <w:tcW w:w="800" w:type="dxa"/>
            <w:vAlign w:val="bottom"/>
          </w:tcPr>
          <w:p>
            <w:pPr>
              <w:jc w:val="right"/>
              <w:spacing w:after="0"/>
              <w:rPr>
                <w:sz w:val="20"/>
                <w:szCs w:val="20"/>
                <w:color w:val="auto"/>
              </w:rPr>
            </w:pPr>
            <w:r>
              <w:rPr>
                <w:rFonts w:ascii="Arial" w:cs="Arial" w:eastAsia="Arial" w:hAnsi="Arial"/>
                <w:sz w:val="18"/>
                <w:szCs w:val="18"/>
                <w:color w:val="auto"/>
              </w:rPr>
              <w:t>73,200</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75,163</w:t>
            </w:r>
          </w:p>
        </w:tc>
        <w:tc>
          <w:tcPr>
            <w:tcW w:w="2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4/2024)</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Sovos Compliance, LLC </w:t>
            </w:r>
            <w:r>
              <w:rPr>
                <w:rFonts w:ascii="Arial" w:cs="Arial" w:eastAsia="Arial" w:hAnsi="Arial"/>
                <w:sz w:val="15"/>
                <w:szCs w:val="15"/>
                <w:color w:val="auto"/>
              </w:rPr>
              <w:t>(3)</w:t>
            </w:r>
          </w:p>
        </w:tc>
        <w:tc>
          <w:tcPr>
            <w:tcW w:w="2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First-lien loan ($36,360 par, due</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7/1/2016</w:t>
            </w:r>
          </w:p>
        </w:tc>
        <w:tc>
          <w:tcPr>
            <w:tcW w:w="1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L + 6.00%</w:t>
            </w: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8.50%</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35,970</w:t>
            </w: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36,457</w:t>
            </w:r>
          </w:p>
        </w:tc>
        <w:tc>
          <w:tcPr>
            <w:tcW w:w="2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480" w:type="dxa"/>
            <w:vAlign w:val="bottom"/>
            <w:shd w:val="clear" w:color="auto" w:fill="CFF0FC"/>
          </w:tcPr>
          <w:p>
            <w:pPr>
              <w:spacing w:after="0"/>
              <w:rPr>
                <w:sz w:val="20"/>
                <w:szCs w:val="20"/>
                <w:color w:val="auto"/>
              </w:rPr>
            </w:pPr>
            <w:r>
              <w:rPr>
                <w:rFonts w:ascii="Arial" w:cs="Arial" w:eastAsia="Arial" w:hAnsi="Arial"/>
                <w:sz w:val="18"/>
                <w:szCs w:val="18"/>
                <w:color w:val="auto"/>
              </w:rPr>
              <w:t>3/2022)</w:t>
            </w:r>
          </w:p>
        </w:tc>
        <w:tc>
          <w:tcPr>
            <w:tcW w:w="10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328,525</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336,147</w:t>
            </w:r>
          </w:p>
        </w:tc>
        <w:tc>
          <w:tcPr>
            <w:tcW w:w="20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Chemicals</w:t>
            </w:r>
          </w:p>
        </w:tc>
        <w:tc>
          <w:tcPr>
            <w:tcW w:w="24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rPr>
              <w:t xml:space="preserve">Vertellus Specialties, Inc. </w:t>
            </w:r>
            <w:r>
              <w:rPr>
                <w:rFonts w:ascii="Arial" w:cs="Arial" w:eastAsia="Arial" w:hAnsi="Arial"/>
                <w:sz w:val="15"/>
                <w:szCs w:val="15"/>
                <w:color w:val="auto"/>
              </w:rPr>
              <w:t>(3)</w:t>
            </w:r>
          </w:p>
        </w:tc>
        <w:tc>
          <w:tcPr>
            <w:tcW w:w="2580" w:type="dxa"/>
            <w:vAlign w:val="bottom"/>
            <w:gridSpan w:val="2"/>
          </w:tcPr>
          <w:p>
            <w:pPr>
              <w:spacing w:after="0"/>
              <w:rPr>
                <w:sz w:val="20"/>
                <w:szCs w:val="20"/>
                <w:color w:val="auto"/>
              </w:rPr>
            </w:pPr>
            <w:r>
              <w:rPr>
                <w:rFonts w:ascii="Arial" w:cs="Arial" w:eastAsia="Arial" w:hAnsi="Arial"/>
                <w:sz w:val="18"/>
                <w:szCs w:val="18"/>
                <w:color w:val="auto"/>
              </w:rPr>
              <w:t>Second-lien loan ($3,341 par,</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10/31/2016</w:t>
            </w:r>
          </w:p>
        </w:tc>
        <w:tc>
          <w:tcPr>
            <w:tcW w:w="1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L + 12.00%</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14.41%</w:t>
            </w:r>
          </w:p>
        </w:tc>
        <w:tc>
          <w:tcPr>
            <w:tcW w:w="800" w:type="dxa"/>
            <w:vAlign w:val="bottom"/>
          </w:tcPr>
          <w:p>
            <w:pPr>
              <w:jc w:val="right"/>
              <w:spacing w:after="0"/>
              <w:rPr>
                <w:sz w:val="20"/>
                <w:szCs w:val="20"/>
                <w:color w:val="auto"/>
              </w:rPr>
            </w:pPr>
            <w:r>
              <w:rPr>
                <w:rFonts w:ascii="Arial" w:cs="Arial" w:eastAsia="Arial" w:hAnsi="Arial"/>
                <w:sz w:val="18"/>
                <w:szCs w:val="18"/>
                <w:color w:val="auto"/>
              </w:rPr>
              <w:t>3,341</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3,341</w:t>
            </w:r>
          </w:p>
        </w:tc>
        <w:tc>
          <w:tcPr>
            <w:tcW w:w="2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80" w:type="dxa"/>
            <w:vAlign w:val="bottom"/>
            <w:gridSpan w:val="2"/>
          </w:tcPr>
          <w:p>
            <w:pPr>
              <w:spacing w:after="0"/>
              <w:rPr>
                <w:sz w:val="20"/>
                <w:szCs w:val="20"/>
                <w:color w:val="auto"/>
              </w:rPr>
            </w:pPr>
            <w:r>
              <w:rPr>
                <w:rFonts w:ascii="Arial" w:cs="Arial" w:eastAsia="Arial" w:hAnsi="Arial"/>
                <w:sz w:val="18"/>
                <w:szCs w:val="18"/>
                <w:color w:val="auto"/>
              </w:rPr>
              <w:t>due 10/2021)</w:t>
            </w: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24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2600" w:type="dxa"/>
            <w:vAlign w:val="bottom"/>
            <w:gridSpan w:val="2"/>
          </w:tcPr>
          <w:p>
            <w:pPr>
              <w:spacing w:after="0"/>
              <w:rPr>
                <w:sz w:val="20"/>
                <w:szCs w:val="20"/>
                <w:color w:val="auto"/>
              </w:rPr>
            </w:pPr>
            <w:r>
              <w:rPr>
                <w:rFonts w:ascii="Arial" w:cs="Arial" w:eastAsia="Arial" w:hAnsi="Arial"/>
                <w:sz w:val="18"/>
                <w:szCs w:val="18"/>
                <w:b w:val="1"/>
                <w:bCs w:val="1"/>
                <w:color w:val="auto"/>
              </w:rPr>
              <w:t>Education</w:t>
            </w:r>
          </w:p>
        </w:tc>
        <w:tc>
          <w:tcPr>
            <w:tcW w:w="2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0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7"/>
              </w:rPr>
              <w:t xml:space="preserve">Curriculum Associates, LLC </w:t>
            </w:r>
            <w:r>
              <w:rPr>
                <w:rFonts w:ascii="Arial" w:cs="Arial" w:eastAsia="Arial" w:hAnsi="Arial"/>
                <w:sz w:val="15"/>
                <w:szCs w:val="15"/>
                <w:color w:val="auto"/>
                <w:w w:val="97"/>
              </w:rPr>
              <w:t>(3)(5)</w:t>
            </w:r>
          </w:p>
        </w:tc>
        <w:tc>
          <w:tcPr>
            <w:tcW w:w="2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First-lien loan ($49,625 par, due</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2/28/2018</w:t>
            </w:r>
          </w:p>
        </w:tc>
        <w:tc>
          <w:tcPr>
            <w:tcW w:w="1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L + 6.00%</w:t>
            </w: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8.53%</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48,307</w:t>
            </w: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50,617</w:t>
            </w:r>
          </w:p>
        </w:tc>
        <w:tc>
          <w:tcPr>
            <w:tcW w:w="2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480" w:type="dxa"/>
            <w:vAlign w:val="bottom"/>
            <w:shd w:val="clear" w:color="auto" w:fill="CFF0FC"/>
          </w:tcPr>
          <w:p>
            <w:pPr>
              <w:spacing w:after="0"/>
              <w:rPr>
                <w:sz w:val="20"/>
                <w:szCs w:val="20"/>
                <w:color w:val="auto"/>
              </w:rPr>
            </w:pPr>
            <w:r>
              <w:rPr>
                <w:rFonts w:ascii="Arial" w:cs="Arial" w:eastAsia="Arial" w:hAnsi="Arial"/>
                <w:sz w:val="18"/>
                <w:szCs w:val="18"/>
                <w:color w:val="auto"/>
              </w:rPr>
              <w:t>2/2024)</w:t>
            </w:r>
          </w:p>
        </w:tc>
        <w:tc>
          <w:tcPr>
            <w:tcW w:w="10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rPr>
              <w:t>Frontline Technologies Group,</w:t>
            </w:r>
          </w:p>
        </w:tc>
        <w:tc>
          <w:tcPr>
            <w:tcW w:w="2580" w:type="dxa"/>
            <w:vAlign w:val="bottom"/>
            <w:gridSpan w:val="2"/>
          </w:tcPr>
          <w:p>
            <w:pPr>
              <w:spacing w:after="0"/>
              <w:rPr>
                <w:sz w:val="20"/>
                <w:szCs w:val="20"/>
                <w:color w:val="auto"/>
              </w:rPr>
            </w:pPr>
            <w:r>
              <w:rPr>
                <w:rFonts w:ascii="Arial" w:cs="Arial" w:eastAsia="Arial" w:hAnsi="Arial"/>
                <w:sz w:val="18"/>
                <w:szCs w:val="18"/>
                <w:color w:val="auto"/>
              </w:rPr>
              <w:t>First-lien loan ($49,192 par, due</w:t>
            </w:r>
          </w:p>
        </w:tc>
        <w:tc>
          <w:tcPr>
            <w:tcW w:w="880" w:type="dxa"/>
            <w:vAlign w:val="bottom"/>
          </w:tcPr>
          <w:p>
            <w:pPr>
              <w:jc w:val="right"/>
              <w:spacing w:after="0"/>
              <w:rPr>
                <w:sz w:val="20"/>
                <w:szCs w:val="20"/>
                <w:color w:val="auto"/>
              </w:rPr>
            </w:pPr>
            <w:r>
              <w:rPr>
                <w:rFonts w:ascii="Arial" w:cs="Arial" w:eastAsia="Arial" w:hAnsi="Arial"/>
                <w:sz w:val="18"/>
                <w:szCs w:val="18"/>
                <w:color w:val="auto"/>
              </w:rPr>
              <w:t>9/18/2017</w:t>
            </w:r>
          </w:p>
        </w:tc>
        <w:tc>
          <w:tcPr>
            <w:tcW w:w="1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L + 6.50%</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9.10%</w:t>
            </w:r>
          </w:p>
        </w:tc>
        <w:tc>
          <w:tcPr>
            <w:tcW w:w="800" w:type="dxa"/>
            <w:vAlign w:val="bottom"/>
          </w:tcPr>
          <w:p>
            <w:pPr>
              <w:jc w:val="right"/>
              <w:spacing w:after="0"/>
              <w:rPr>
                <w:sz w:val="20"/>
                <w:szCs w:val="20"/>
                <w:color w:val="auto"/>
              </w:rPr>
            </w:pPr>
            <w:r>
              <w:rPr>
                <w:rFonts w:ascii="Arial" w:cs="Arial" w:eastAsia="Arial" w:hAnsi="Arial"/>
                <w:sz w:val="18"/>
                <w:szCs w:val="18"/>
                <w:color w:val="auto"/>
              </w:rPr>
              <w:t>48,716</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49,192</w:t>
            </w:r>
          </w:p>
        </w:tc>
        <w:tc>
          <w:tcPr>
            <w:tcW w:w="2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20" w:type="dxa"/>
            <w:vAlign w:val="bottom"/>
            <w:gridSpan w:val="3"/>
          </w:tcPr>
          <w:p>
            <w:pPr>
              <w:spacing w:after="0"/>
              <w:rPr>
                <w:sz w:val="20"/>
                <w:szCs w:val="20"/>
                <w:color w:val="auto"/>
              </w:rPr>
            </w:pPr>
            <w:r>
              <w:rPr>
                <w:rFonts w:ascii="Arial" w:cs="Arial" w:eastAsia="Arial" w:hAnsi="Arial"/>
                <w:sz w:val="18"/>
                <w:szCs w:val="18"/>
                <w:color w:val="auto"/>
              </w:rPr>
              <w:t xml:space="preserve">LLC </w:t>
            </w:r>
            <w:r>
              <w:rPr>
                <w:rFonts w:ascii="Arial" w:cs="Arial" w:eastAsia="Arial" w:hAnsi="Arial"/>
                <w:sz w:val="15"/>
                <w:szCs w:val="15"/>
                <w:color w:val="auto"/>
              </w:rPr>
              <w:t>(3)</w:t>
            </w:r>
          </w:p>
        </w:tc>
        <w:tc>
          <w:tcPr>
            <w:tcW w:w="2480" w:type="dxa"/>
            <w:vAlign w:val="bottom"/>
          </w:tcPr>
          <w:p>
            <w:pPr>
              <w:spacing w:after="0"/>
              <w:rPr>
                <w:sz w:val="20"/>
                <w:szCs w:val="20"/>
                <w:color w:val="auto"/>
              </w:rPr>
            </w:pPr>
            <w:r>
              <w:rPr>
                <w:rFonts w:ascii="Arial" w:cs="Arial" w:eastAsia="Arial" w:hAnsi="Arial"/>
                <w:sz w:val="18"/>
                <w:szCs w:val="18"/>
                <w:color w:val="auto"/>
              </w:rPr>
              <w:t>9/2023)</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Illuminate Education, Inc.</w:t>
            </w:r>
            <w:r>
              <w:rPr>
                <w:rFonts w:ascii="Arial" w:cs="Arial" w:eastAsia="Arial" w:hAnsi="Arial"/>
                <w:sz w:val="15"/>
                <w:szCs w:val="15"/>
                <w:color w:val="auto"/>
              </w:rPr>
              <w:t>(3)(5)</w:t>
            </w:r>
          </w:p>
        </w:tc>
        <w:tc>
          <w:tcPr>
            <w:tcW w:w="2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First-lien loan ($64,513 par, due</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8/25/2017</w:t>
            </w:r>
          </w:p>
        </w:tc>
        <w:tc>
          <w:tcPr>
            <w:tcW w:w="1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L + 7.25%</w:t>
            </w: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9.75%</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63,512</w:t>
            </w: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63,706</w:t>
            </w:r>
          </w:p>
        </w:tc>
        <w:tc>
          <w:tcPr>
            <w:tcW w:w="2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480" w:type="dxa"/>
            <w:vAlign w:val="bottom"/>
            <w:shd w:val="clear" w:color="auto" w:fill="CFF0FC"/>
          </w:tcPr>
          <w:p>
            <w:pPr>
              <w:spacing w:after="0"/>
              <w:rPr>
                <w:sz w:val="20"/>
                <w:szCs w:val="20"/>
                <w:color w:val="auto"/>
              </w:rPr>
            </w:pPr>
            <w:r>
              <w:rPr>
                <w:rFonts w:ascii="Arial" w:cs="Arial" w:eastAsia="Arial" w:hAnsi="Arial"/>
                <w:sz w:val="18"/>
                <w:szCs w:val="18"/>
                <w:color w:val="auto"/>
              </w:rPr>
              <w:t>8/2022)</w:t>
            </w:r>
          </w:p>
        </w:tc>
        <w:tc>
          <w:tcPr>
            <w:tcW w:w="10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160,535</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163,515</w:t>
            </w:r>
          </w:p>
        </w:tc>
        <w:tc>
          <w:tcPr>
            <w:tcW w:w="20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Electronics</w:t>
            </w:r>
          </w:p>
        </w:tc>
        <w:tc>
          <w:tcPr>
            <w:tcW w:w="24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w w:val="99"/>
              </w:rPr>
              <w:t xml:space="preserve">Monitronics International, Inc. </w:t>
            </w:r>
            <w:r>
              <w:rPr>
                <w:rFonts w:ascii="Arial" w:cs="Arial" w:eastAsia="Arial" w:hAnsi="Arial"/>
                <w:sz w:val="15"/>
                <w:szCs w:val="15"/>
                <w:color w:val="auto"/>
                <w:w w:val="99"/>
              </w:rPr>
              <w:t>(3)</w:t>
            </w:r>
          </w:p>
        </w:tc>
        <w:tc>
          <w:tcPr>
            <w:tcW w:w="2580" w:type="dxa"/>
            <w:vAlign w:val="bottom"/>
            <w:gridSpan w:val="2"/>
          </w:tcPr>
          <w:p>
            <w:pPr>
              <w:spacing w:after="0"/>
              <w:rPr>
                <w:sz w:val="20"/>
                <w:szCs w:val="20"/>
                <w:color w:val="auto"/>
              </w:rPr>
            </w:pPr>
            <w:r>
              <w:rPr>
                <w:rFonts w:ascii="Arial" w:cs="Arial" w:eastAsia="Arial" w:hAnsi="Arial"/>
                <w:sz w:val="18"/>
                <w:szCs w:val="18"/>
                <w:color w:val="auto"/>
              </w:rPr>
              <w:t>First-lien loan ($1,164 par, due</w:t>
            </w:r>
          </w:p>
        </w:tc>
        <w:tc>
          <w:tcPr>
            <w:tcW w:w="880" w:type="dxa"/>
            <w:vAlign w:val="bottom"/>
          </w:tcPr>
          <w:p>
            <w:pPr>
              <w:jc w:val="right"/>
              <w:spacing w:after="0"/>
              <w:rPr>
                <w:sz w:val="20"/>
                <w:szCs w:val="20"/>
                <w:color w:val="auto"/>
              </w:rPr>
            </w:pPr>
            <w:r>
              <w:rPr>
                <w:rFonts w:ascii="Arial" w:cs="Arial" w:eastAsia="Arial" w:hAnsi="Arial"/>
                <w:sz w:val="18"/>
                <w:szCs w:val="18"/>
                <w:color w:val="auto"/>
              </w:rPr>
              <w:t>1/2/2019</w:t>
            </w:r>
          </w:p>
        </w:tc>
        <w:tc>
          <w:tcPr>
            <w:tcW w:w="1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L + 5.50%</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8.10%</w:t>
            </w:r>
          </w:p>
        </w:tc>
        <w:tc>
          <w:tcPr>
            <w:tcW w:w="800" w:type="dxa"/>
            <w:vAlign w:val="bottom"/>
          </w:tcPr>
          <w:p>
            <w:pPr>
              <w:jc w:val="right"/>
              <w:spacing w:after="0"/>
              <w:rPr>
                <w:sz w:val="20"/>
                <w:szCs w:val="20"/>
                <w:color w:val="auto"/>
              </w:rPr>
            </w:pPr>
            <w:r>
              <w:rPr>
                <w:rFonts w:ascii="Arial" w:cs="Arial" w:eastAsia="Arial" w:hAnsi="Arial"/>
                <w:sz w:val="18"/>
                <w:szCs w:val="18"/>
                <w:color w:val="auto"/>
              </w:rPr>
              <w:t>1,010</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969</w:t>
            </w:r>
          </w:p>
        </w:tc>
        <w:tc>
          <w:tcPr>
            <w:tcW w:w="2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00" w:type="dxa"/>
            <w:vAlign w:val="bottom"/>
            <w:gridSpan w:val="2"/>
          </w:tcPr>
          <w:p>
            <w:pPr>
              <w:spacing w:after="0"/>
              <w:rPr>
                <w:sz w:val="20"/>
                <w:szCs w:val="20"/>
                <w:color w:val="auto"/>
              </w:rPr>
            </w:pPr>
            <w:r>
              <w:rPr>
                <w:rFonts w:ascii="Arial" w:cs="Arial" w:eastAsia="Arial" w:hAnsi="Arial"/>
                <w:sz w:val="15"/>
                <w:szCs w:val="15"/>
                <w:color w:val="auto"/>
              </w:rPr>
              <w:t>(11)</w:t>
            </w:r>
          </w:p>
        </w:tc>
        <w:tc>
          <w:tcPr>
            <w:tcW w:w="120" w:type="dxa"/>
            <w:vAlign w:val="bottom"/>
          </w:tcPr>
          <w:p>
            <w:pPr>
              <w:spacing w:after="0"/>
              <w:rPr>
                <w:sz w:val="20"/>
                <w:szCs w:val="20"/>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9/2022)</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60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Financial services</w:t>
            </w:r>
          </w:p>
        </w:tc>
        <w:tc>
          <w:tcPr>
            <w:tcW w:w="24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rPr>
              <w:t xml:space="preserve">AppStar Financial, LLC </w:t>
            </w:r>
            <w:r>
              <w:rPr>
                <w:rFonts w:ascii="Arial" w:cs="Arial" w:eastAsia="Arial" w:hAnsi="Arial"/>
                <w:sz w:val="15"/>
                <w:szCs w:val="15"/>
                <w:color w:val="auto"/>
              </w:rPr>
              <w:t>(3)</w:t>
            </w:r>
          </w:p>
        </w:tc>
        <w:tc>
          <w:tcPr>
            <w:tcW w:w="2580" w:type="dxa"/>
            <w:vAlign w:val="bottom"/>
            <w:gridSpan w:val="2"/>
          </w:tcPr>
          <w:p>
            <w:pPr>
              <w:spacing w:after="0"/>
              <w:rPr>
                <w:sz w:val="20"/>
                <w:szCs w:val="20"/>
                <w:color w:val="auto"/>
              </w:rPr>
            </w:pPr>
            <w:r>
              <w:rPr>
                <w:rFonts w:ascii="Arial" w:cs="Arial" w:eastAsia="Arial" w:hAnsi="Arial"/>
                <w:sz w:val="18"/>
                <w:szCs w:val="18"/>
                <w:color w:val="auto"/>
              </w:rPr>
              <w:t>First-lien loan ($18,056 par, due</w:t>
            </w:r>
          </w:p>
        </w:tc>
        <w:tc>
          <w:tcPr>
            <w:tcW w:w="880" w:type="dxa"/>
            <w:vAlign w:val="bottom"/>
          </w:tcPr>
          <w:p>
            <w:pPr>
              <w:jc w:val="right"/>
              <w:spacing w:after="0"/>
              <w:rPr>
                <w:sz w:val="20"/>
                <w:szCs w:val="20"/>
                <w:color w:val="auto"/>
              </w:rPr>
            </w:pPr>
            <w:r>
              <w:rPr>
                <w:rFonts w:ascii="Arial" w:cs="Arial" w:eastAsia="Arial" w:hAnsi="Arial"/>
                <w:sz w:val="18"/>
                <w:szCs w:val="18"/>
                <w:color w:val="auto"/>
              </w:rPr>
              <w:t>8/18/2015</w:t>
            </w:r>
          </w:p>
        </w:tc>
        <w:tc>
          <w:tcPr>
            <w:tcW w:w="1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L + 7.50%</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10.00%</w:t>
            </w:r>
          </w:p>
        </w:tc>
        <w:tc>
          <w:tcPr>
            <w:tcW w:w="800" w:type="dxa"/>
            <w:vAlign w:val="bottom"/>
          </w:tcPr>
          <w:p>
            <w:pPr>
              <w:jc w:val="right"/>
              <w:spacing w:after="0"/>
              <w:rPr>
                <w:sz w:val="20"/>
                <w:szCs w:val="20"/>
                <w:color w:val="auto"/>
              </w:rPr>
            </w:pPr>
            <w:r>
              <w:rPr>
                <w:rFonts w:ascii="Arial" w:cs="Arial" w:eastAsia="Arial" w:hAnsi="Arial"/>
                <w:sz w:val="18"/>
                <w:szCs w:val="18"/>
                <w:color w:val="auto"/>
              </w:rPr>
              <w:t>17,912</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18,207</w:t>
            </w:r>
          </w:p>
        </w:tc>
        <w:tc>
          <w:tcPr>
            <w:tcW w:w="2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8/2020)</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AvidXchange, Inc. </w:t>
            </w:r>
            <w:r>
              <w:rPr>
                <w:rFonts w:ascii="Arial" w:cs="Arial" w:eastAsia="Arial" w:hAnsi="Arial"/>
                <w:sz w:val="15"/>
                <w:szCs w:val="15"/>
                <w:color w:val="auto"/>
              </w:rPr>
              <w:t>(3)</w:t>
            </w:r>
          </w:p>
        </w:tc>
        <w:tc>
          <w:tcPr>
            <w:tcW w:w="2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First-lien loan ($54,449 par, due</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8/7/2015</w:t>
            </w:r>
          </w:p>
        </w:tc>
        <w:tc>
          <w:tcPr>
            <w:tcW w:w="1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L + 9.50%</w:t>
            </w: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12.00%</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54,133</w:t>
            </w: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55,130</w:t>
            </w:r>
          </w:p>
        </w:tc>
        <w:tc>
          <w:tcPr>
            <w:tcW w:w="2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480" w:type="dxa"/>
            <w:vAlign w:val="bottom"/>
            <w:shd w:val="clear" w:color="auto" w:fill="CFF0FC"/>
          </w:tcPr>
          <w:p>
            <w:pPr>
              <w:spacing w:after="0"/>
              <w:rPr>
                <w:sz w:val="20"/>
                <w:szCs w:val="20"/>
                <w:color w:val="auto"/>
              </w:rPr>
            </w:pPr>
            <w:r>
              <w:rPr>
                <w:rFonts w:ascii="Arial" w:cs="Arial" w:eastAsia="Arial" w:hAnsi="Arial"/>
                <w:sz w:val="18"/>
                <w:szCs w:val="18"/>
                <w:color w:val="auto"/>
              </w:rPr>
              <w:t>8/2020)</w:t>
            </w:r>
          </w:p>
        </w:tc>
        <w:tc>
          <w:tcPr>
            <w:tcW w:w="10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rPr>
              <w:t xml:space="preserve">G Treasury SS, LLC </w:t>
            </w:r>
            <w:r>
              <w:rPr>
                <w:rFonts w:ascii="Arial" w:cs="Arial" w:eastAsia="Arial" w:hAnsi="Arial"/>
                <w:sz w:val="15"/>
                <w:szCs w:val="15"/>
                <w:color w:val="auto"/>
              </w:rPr>
              <w:t>(3)</w:t>
            </w:r>
          </w:p>
        </w:tc>
        <w:tc>
          <w:tcPr>
            <w:tcW w:w="2580" w:type="dxa"/>
            <w:vAlign w:val="bottom"/>
            <w:gridSpan w:val="2"/>
          </w:tcPr>
          <w:p>
            <w:pPr>
              <w:spacing w:after="0"/>
              <w:rPr>
                <w:sz w:val="20"/>
                <w:szCs w:val="20"/>
                <w:color w:val="auto"/>
              </w:rPr>
            </w:pPr>
            <w:r>
              <w:rPr>
                <w:rFonts w:ascii="Arial" w:cs="Arial" w:eastAsia="Arial" w:hAnsi="Arial"/>
                <w:sz w:val="18"/>
                <w:szCs w:val="18"/>
                <w:color w:val="auto"/>
              </w:rPr>
              <w:t>First-lien loan ($30,749 par, due</w:t>
            </w:r>
          </w:p>
        </w:tc>
        <w:tc>
          <w:tcPr>
            <w:tcW w:w="880" w:type="dxa"/>
            <w:vAlign w:val="bottom"/>
          </w:tcPr>
          <w:p>
            <w:pPr>
              <w:jc w:val="right"/>
              <w:spacing w:after="0"/>
              <w:rPr>
                <w:sz w:val="20"/>
                <w:szCs w:val="20"/>
                <w:color w:val="auto"/>
              </w:rPr>
            </w:pPr>
            <w:r>
              <w:rPr>
                <w:rFonts w:ascii="Arial" w:cs="Arial" w:eastAsia="Arial" w:hAnsi="Arial"/>
                <w:sz w:val="18"/>
                <w:szCs w:val="18"/>
                <w:color w:val="auto"/>
              </w:rPr>
              <w:t>4/9/2018</w:t>
            </w:r>
          </w:p>
        </w:tc>
        <w:tc>
          <w:tcPr>
            <w:tcW w:w="1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L + 9.25%</w:t>
            </w:r>
          </w:p>
        </w:tc>
        <w:tc>
          <w:tcPr>
            <w:tcW w:w="800" w:type="dxa"/>
            <w:vAlign w:val="bottom"/>
          </w:tcPr>
          <w:p>
            <w:pPr>
              <w:jc w:val="right"/>
              <w:spacing w:after="0"/>
              <w:rPr>
                <w:sz w:val="20"/>
                <w:szCs w:val="20"/>
                <w:color w:val="auto"/>
              </w:rPr>
            </w:pPr>
            <w:r>
              <w:rPr>
                <w:rFonts w:ascii="Arial" w:cs="Arial" w:eastAsia="Arial" w:hAnsi="Arial"/>
                <w:sz w:val="18"/>
                <w:szCs w:val="18"/>
                <w:color w:val="auto"/>
              </w:rPr>
              <w:t>11.99%</w:t>
            </w: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30,196</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30,277</w:t>
            </w:r>
          </w:p>
        </w:tc>
        <w:tc>
          <w:tcPr>
            <w:tcW w:w="2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4/2022)</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(incl.</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3.00%</w:t>
            </w: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PIK)</w:t>
            </w: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ind w:right="233"/>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4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61"/>
        </w:trPr>
        <w:tc>
          <w:tcPr>
            <w:tcW w:w="2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Initial</w:t>
            </w: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Reference</w:t>
            </w: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Company </w:t>
            </w:r>
            <w:r>
              <w:rPr>
                <w:rFonts w:ascii="Arial" w:cs="Arial" w:eastAsia="Arial" w:hAnsi="Arial"/>
                <w:sz w:val="12"/>
                <w:szCs w:val="12"/>
                <w:b w:val="1"/>
                <w:bCs w:val="1"/>
                <w:color w:val="auto"/>
              </w:rPr>
              <w:t>(1)</w:t>
            </w:r>
          </w:p>
        </w:tc>
        <w:tc>
          <w:tcPr>
            <w:tcW w:w="2620" w:type="dxa"/>
            <w:vAlign w:val="bottom"/>
            <w:gridSpan w:val="2"/>
            <w:vMerge w:val="restart"/>
          </w:tcPr>
          <w:p>
            <w:pPr>
              <w:ind w:left="900"/>
              <w:spacing w:after="0"/>
              <w:rPr>
                <w:sz w:val="20"/>
                <w:szCs w:val="20"/>
                <w:color w:val="auto"/>
              </w:rPr>
            </w:pPr>
            <w:r>
              <w:rPr>
                <w:rFonts w:ascii="Arial" w:cs="Arial" w:eastAsia="Arial" w:hAnsi="Arial"/>
                <w:sz w:val="14"/>
                <w:szCs w:val="14"/>
                <w:b w:val="1"/>
                <w:bCs w:val="1"/>
                <w:color w:val="auto"/>
              </w:rPr>
              <w:t>Investment</w:t>
            </w:r>
          </w:p>
        </w:tc>
        <w:tc>
          <w:tcPr>
            <w:tcW w:w="98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91"/>
              </w:rPr>
              <w:t>Acquisition</w:t>
            </w:r>
          </w:p>
        </w:tc>
        <w:tc>
          <w:tcPr>
            <w:tcW w:w="1080" w:type="dxa"/>
            <w:vAlign w:val="bottom"/>
            <w:gridSpan w:val="2"/>
          </w:tcPr>
          <w:p>
            <w:pPr>
              <w:ind w:left="120"/>
              <w:spacing w:after="0" w:line="158" w:lineRule="exact"/>
              <w:rPr>
                <w:sz w:val="20"/>
                <w:szCs w:val="20"/>
                <w:color w:val="auto"/>
              </w:rPr>
            </w:pPr>
            <w:r>
              <w:rPr>
                <w:rFonts w:ascii="Arial" w:cs="Arial" w:eastAsia="Arial" w:hAnsi="Arial"/>
                <w:sz w:val="14"/>
                <w:szCs w:val="14"/>
                <w:b w:val="1"/>
                <w:bCs w:val="1"/>
                <w:color w:val="auto"/>
              </w:rPr>
              <w:t>Rate and</w:t>
            </w:r>
          </w:p>
        </w:tc>
        <w:tc>
          <w:tcPr>
            <w:tcW w:w="1080" w:type="dxa"/>
            <w:vAlign w:val="bottom"/>
            <w:gridSpan w:val="2"/>
          </w:tcPr>
          <w:p>
            <w:pPr>
              <w:jc w:val="right"/>
              <w:ind w:right="370"/>
              <w:spacing w:after="0" w:line="158" w:lineRule="exact"/>
              <w:rPr>
                <w:sz w:val="20"/>
                <w:szCs w:val="20"/>
                <w:color w:val="auto"/>
              </w:rPr>
            </w:pPr>
            <w:r>
              <w:rPr>
                <w:rFonts w:ascii="Arial" w:cs="Arial" w:eastAsia="Arial" w:hAnsi="Arial"/>
                <w:sz w:val="14"/>
                <w:szCs w:val="14"/>
                <w:b w:val="1"/>
                <w:bCs w:val="1"/>
                <w:color w:val="auto"/>
              </w:rPr>
              <w:t>Interest</w:t>
            </w:r>
          </w:p>
        </w:tc>
        <w:tc>
          <w:tcPr>
            <w:tcW w:w="102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6"/>
              </w:rPr>
              <w:t>Amortized</w:t>
            </w:r>
          </w:p>
        </w:tc>
        <w:tc>
          <w:tcPr>
            <w:tcW w:w="1020" w:type="dxa"/>
            <w:vAlign w:val="bottom"/>
            <w:gridSpan w:val="2"/>
          </w:tcPr>
          <w:p>
            <w:pPr>
              <w:ind w:left="80"/>
              <w:spacing w:after="0" w:line="158" w:lineRule="exact"/>
              <w:rPr>
                <w:sz w:val="20"/>
                <w:szCs w:val="20"/>
                <w:color w:val="auto"/>
              </w:rPr>
            </w:pPr>
            <w:r>
              <w:rPr>
                <w:rFonts w:ascii="Arial" w:cs="Arial" w:eastAsia="Arial" w:hAnsi="Arial"/>
                <w:sz w:val="14"/>
                <w:szCs w:val="14"/>
                <w:b w:val="1"/>
                <w:bCs w:val="1"/>
                <w:color w:val="auto"/>
              </w:rPr>
              <w:t>Fair Value</w:t>
            </w:r>
          </w:p>
        </w:tc>
        <w:tc>
          <w:tcPr>
            <w:tcW w:w="980" w:type="dxa"/>
            <w:vAlign w:val="bottom"/>
            <w:gridSpan w:val="2"/>
          </w:tcPr>
          <w:p>
            <w:pPr>
              <w:jc w:val="right"/>
              <w:ind w:right="150"/>
              <w:spacing w:after="0" w:line="158" w:lineRule="exact"/>
              <w:rPr>
                <w:sz w:val="20"/>
                <w:szCs w:val="20"/>
                <w:color w:val="auto"/>
              </w:rPr>
            </w:pPr>
            <w:r>
              <w:rPr>
                <w:rFonts w:ascii="Arial" w:cs="Arial" w:eastAsia="Arial" w:hAnsi="Arial"/>
                <w:sz w:val="14"/>
                <w:szCs w:val="14"/>
                <w:b w:val="1"/>
                <w:bCs w:val="1"/>
                <w:color w:val="auto"/>
                <w:w w:val="95"/>
              </w:rPr>
              <w:t>Percentage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640" w:type="dxa"/>
            <w:vAlign w:val="bottom"/>
            <w:gridSpan w:val="2"/>
            <w:vMerge w:val="continue"/>
          </w:tcPr>
          <w:p>
            <w:pPr>
              <w:spacing w:after="0"/>
              <w:rPr>
                <w:sz w:val="14"/>
                <w:szCs w:val="14"/>
                <w:color w:val="auto"/>
              </w:rPr>
            </w:pPr>
          </w:p>
        </w:tc>
        <w:tc>
          <w:tcPr>
            <w:tcW w:w="2620" w:type="dxa"/>
            <w:vAlign w:val="bottom"/>
            <w:gridSpan w:val="2"/>
            <w:vMerge w:val="continue"/>
          </w:tcPr>
          <w:p>
            <w:pPr>
              <w:spacing w:after="0"/>
              <w:rPr>
                <w:sz w:val="14"/>
                <w:szCs w:val="14"/>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Date</w:t>
            </w:r>
          </w:p>
        </w:tc>
        <w:tc>
          <w:tcPr>
            <w:tcW w:w="1080" w:type="dxa"/>
            <w:vAlign w:val="bottom"/>
            <w:gridSpan w:val="2"/>
          </w:tcPr>
          <w:p>
            <w:pPr>
              <w:ind w:left="180"/>
              <w:spacing w:after="0"/>
              <w:rPr>
                <w:sz w:val="20"/>
                <w:szCs w:val="20"/>
                <w:color w:val="auto"/>
              </w:rPr>
            </w:pPr>
            <w:r>
              <w:rPr>
                <w:rFonts w:ascii="Arial" w:cs="Arial" w:eastAsia="Arial" w:hAnsi="Arial"/>
                <w:sz w:val="14"/>
                <w:szCs w:val="14"/>
                <w:b w:val="1"/>
                <w:bCs w:val="1"/>
                <w:color w:val="auto"/>
              </w:rPr>
              <w:t>Spread</w:t>
            </w:r>
          </w:p>
        </w:tc>
        <w:tc>
          <w:tcPr>
            <w:tcW w:w="1080" w:type="dxa"/>
            <w:vAlign w:val="bottom"/>
            <w:gridSpan w:val="2"/>
          </w:tcPr>
          <w:p>
            <w:pPr>
              <w:jc w:val="right"/>
              <w:ind w:right="470"/>
              <w:spacing w:after="0"/>
              <w:rPr>
                <w:sz w:val="20"/>
                <w:szCs w:val="20"/>
                <w:color w:val="auto"/>
              </w:rPr>
            </w:pPr>
            <w:r>
              <w:rPr>
                <w:rFonts w:ascii="Arial" w:cs="Arial" w:eastAsia="Arial" w:hAnsi="Arial"/>
                <w:sz w:val="14"/>
                <w:szCs w:val="14"/>
                <w:b w:val="1"/>
                <w:bCs w:val="1"/>
                <w:color w:val="auto"/>
              </w:rPr>
              <w:t>Rate</w:t>
            </w: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 xml:space="preserve">Cost </w:t>
            </w:r>
            <w:r>
              <w:rPr>
                <w:rFonts w:ascii="Arial" w:cs="Arial" w:eastAsia="Arial" w:hAnsi="Arial"/>
                <w:sz w:val="12"/>
                <w:szCs w:val="12"/>
                <w:b w:val="1"/>
                <w:bCs w:val="1"/>
                <w:color w:val="auto"/>
                <w:w w:val="93"/>
              </w:rPr>
              <w:t>(2)(8)</w:t>
            </w:r>
          </w:p>
        </w:tc>
        <w:tc>
          <w:tcPr>
            <w:tcW w:w="820" w:type="dxa"/>
            <w:vAlign w:val="bottom"/>
          </w:tcPr>
          <w:p>
            <w:pPr>
              <w:jc w:val="right"/>
              <w:ind w:right="232"/>
              <w:spacing w:after="0"/>
              <w:rPr>
                <w:sz w:val="20"/>
                <w:szCs w:val="20"/>
                <w:color w:val="auto"/>
              </w:rPr>
            </w:pPr>
            <w:r>
              <w:rPr>
                <w:rFonts w:ascii="Arial" w:cs="Arial" w:eastAsia="Arial" w:hAnsi="Arial"/>
                <w:sz w:val="12"/>
                <w:szCs w:val="12"/>
                <w:b w:val="1"/>
                <w:bCs w:val="1"/>
                <w:color w:val="auto"/>
              </w:rPr>
              <w:t>(10)</w:t>
            </w:r>
          </w:p>
        </w:tc>
        <w:tc>
          <w:tcPr>
            <w:tcW w:w="200" w:type="dxa"/>
            <w:vAlign w:val="bottom"/>
          </w:tcPr>
          <w:p>
            <w:pPr>
              <w:spacing w:after="0"/>
              <w:rPr>
                <w:sz w:val="14"/>
                <w:szCs w:val="14"/>
                <w:color w:val="auto"/>
              </w:rPr>
            </w:pPr>
          </w:p>
        </w:tc>
        <w:tc>
          <w:tcPr>
            <w:tcW w:w="980" w:type="dxa"/>
            <w:vAlign w:val="bottom"/>
            <w:gridSpan w:val="2"/>
          </w:tcPr>
          <w:p>
            <w:pPr>
              <w:jc w:val="right"/>
              <w:ind w:right="90"/>
              <w:spacing w:after="0"/>
              <w:rPr>
                <w:sz w:val="20"/>
                <w:szCs w:val="20"/>
                <w:color w:val="auto"/>
              </w:rPr>
            </w:pPr>
            <w:r>
              <w:rPr>
                <w:rFonts w:ascii="Arial" w:cs="Arial" w:eastAsia="Arial" w:hAnsi="Arial"/>
                <w:sz w:val="14"/>
                <w:szCs w:val="14"/>
                <w:b w:val="1"/>
                <w:bCs w:val="1"/>
                <w:color w:val="auto"/>
                <w:w w:val="87"/>
              </w:rPr>
              <w:t>of Net Assets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5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 xml:space="preserve">GC Agile Holdings Limited </w:t>
            </w:r>
            <w:r>
              <w:rPr>
                <w:rFonts w:ascii="Arial" w:cs="Arial" w:eastAsia="Arial" w:hAnsi="Arial"/>
                <w:sz w:val="15"/>
                <w:szCs w:val="15"/>
                <w:color w:val="auto"/>
              </w:rPr>
              <w:t>(3)(4)</w:t>
            </w:r>
          </w:p>
        </w:tc>
        <w:tc>
          <w:tcPr>
            <w:tcW w:w="100" w:type="dxa"/>
            <w:vAlign w:val="bottom"/>
            <w:tcBorders>
              <w:top w:val="single" w:sz="8" w:color="CFF0FC"/>
            </w:tcBorders>
            <w:shd w:val="clear" w:color="auto" w:fill="CFF0FC"/>
          </w:tcPr>
          <w:p>
            <w:pPr>
              <w:spacing w:after="0"/>
              <w:rPr>
                <w:sz w:val="18"/>
                <w:szCs w:val="18"/>
                <w:color w:val="auto"/>
              </w:rPr>
            </w:pPr>
          </w:p>
        </w:tc>
        <w:tc>
          <w:tcPr>
            <w:tcW w:w="25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7"/>
              </w:rPr>
              <w:t>First-lien loan ($32,910 par, due</w:t>
            </w:r>
          </w:p>
        </w:tc>
        <w:tc>
          <w:tcPr>
            <w:tcW w:w="100" w:type="dxa"/>
            <w:vAlign w:val="bottom"/>
            <w:tcBorders>
              <w:top w:val="single" w:sz="8" w:color="CFF0FC"/>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1/31/2019</w:t>
            </w:r>
          </w:p>
        </w:tc>
        <w:tc>
          <w:tcPr>
            <w:tcW w:w="10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ind w:left="160"/>
              <w:spacing w:after="0"/>
              <w:rPr>
                <w:sz w:val="20"/>
                <w:szCs w:val="20"/>
                <w:color w:val="auto"/>
              </w:rPr>
            </w:pPr>
            <w:r>
              <w:rPr>
                <w:rFonts w:ascii="Arial" w:cs="Arial" w:eastAsia="Arial" w:hAnsi="Arial"/>
                <w:sz w:val="18"/>
                <w:szCs w:val="18"/>
                <w:color w:val="auto"/>
                <w:w w:val="94"/>
              </w:rPr>
              <w:t>L + 7.00</w:t>
            </w:r>
          </w:p>
        </w:tc>
        <w:tc>
          <w:tcPr>
            <w:tcW w:w="280" w:type="dxa"/>
            <w:vAlign w:val="bottom"/>
            <w:tcBorders>
              <w:top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74"/>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9.72</w:t>
            </w:r>
          </w:p>
        </w:tc>
        <w:tc>
          <w:tcPr>
            <w:tcW w:w="280" w:type="dxa"/>
            <w:vAlign w:val="bottom"/>
            <w:tcBorders>
              <w:top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74"/>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32,198</w:t>
            </w:r>
          </w:p>
        </w:tc>
        <w:tc>
          <w:tcPr>
            <w:tcW w:w="220" w:type="dxa"/>
            <w:vAlign w:val="bottom"/>
            <w:tcBorders>
              <w:top w:val="single" w:sz="8" w:color="CFF0FC"/>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32,310</w:t>
            </w:r>
          </w:p>
        </w:tc>
        <w:tc>
          <w:tcPr>
            <w:tcW w:w="20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87"/>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6/2025)</w:t>
            </w:r>
          </w:p>
        </w:tc>
        <w:tc>
          <w:tcPr>
            <w:tcW w:w="10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640" w:type="dxa"/>
            <w:vAlign w:val="bottom"/>
            <w:gridSpan w:val="2"/>
          </w:tcPr>
          <w:p>
            <w:pPr>
              <w:spacing w:after="0"/>
              <w:rPr>
                <w:sz w:val="20"/>
                <w:szCs w:val="20"/>
                <w:color w:val="auto"/>
              </w:rPr>
            </w:pPr>
            <w:r>
              <w:rPr>
                <w:rFonts w:ascii="Arial" w:cs="Arial" w:eastAsia="Arial" w:hAnsi="Arial"/>
                <w:sz w:val="18"/>
                <w:szCs w:val="18"/>
                <w:color w:val="auto"/>
              </w:rPr>
              <w:t xml:space="preserve">Government Brands, LLC </w:t>
            </w:r>
            <w:r>
              <w:rPr>
                <w:rFonts w:ascii="Arial" w:cs="Arial" w:eastAsia="Arial" w:hAnsi="Arial"/>
                <w:sz w:val="15"/>
                <w:szCs w:val="15"/>
                <w:color w:val="auto"/>
              </w:rPr>
              <w:t>(3)</w:t>
            </w:r>
          </w:p>
        </w:tc>
        <w:tc>
          <w:tcPr>
            <w:tcW w:w="2620" w:type="dxa"/>
            <w:vAlign w:val="bottom"/>
            <w:gridSpan w:val="2"/>
          </w:tcPr>
          <w:p>
            <w:pPr>
              <w:spacing w:after="0"/>
              <w:rPr>
                <w:sz w:val="20"/>
                <w:szCs w:val="20"/>
                <w:color w:val="auto"/>
              </w:rPr>
            </w:pPr>
            <w:r>
              <w:rPr>
                <w:rFonts w:ascii="Arial" w:cs="Arial" w:eastAsia="Arial" w:hAnsi="Arial"/>
                <w:sz w:val="18"/>
                <w:szCs w:val="18"/>
                <w:color w:val="auto"/>
              </w:rPr>
              <w:t>First-lien loan ($46,151 par, due</w:t>
            </w:r>
          </w:p>
        </w:tc>
        <w:tc>
          <w:tcPr>
            <w:tcW w:w="880" w:type="dxa"/>
            <w:vAlign w:val="bottom"/>
          </w:tcPr>
          <w:p>
            <w:pPr>
              <w:jc w:val="right"/>
              <w:spacing w:after="0"/>
              <w:rPr>
                <w:sz w:val="20"/>
                <w:szCs w:val="20"/>
                <w:color w:val="auto"/>
              </w:rPr>
            </w:pPr>
            <w:r>
              <w:rPr>
                <w:rFonts w:ascii="Arial" w:cs="Arial" w:eastAsia="Arial" w:hAnsi="Arial"/>
                <w:sz w:val="18"/>
                <w:szCs w:val="18"/>
                <w:color w:val="auto"/>
              </w:rPr>
              <w:t>3/15/2018</w:t>
            </w:r>
          </w:p>
        </w:tc>
        <w:tc>
          <w:tcPr>
            <w:tcW w:w="100" w:type="dxa"/>
            <w:vAlign w:val="bottom"/>
          </w:tcPr>
          <w:p>
            <w:pPr>
              <w:spacing w:after="0"/>
              <w:rPr>
                <w:sz w:val="18"/>
                <w:szCs w:val="18"/>
                <w:color w:val="auto"/>
              </w:rPr>
            </w:pPr>
          </w:p>
        </w:tc>
        <w:tc>
          <w:tcPr>
            <w:tcW w:w="1080" w:type="dxa"/>
            <w:vAlign w:val="bottom"/>
            <w:gridSpan w:val="2"/>
          </w:tcPr>
          <w:p>
            <w:pPr>
              <w:ind w:left="160"/>
              <w:spacing w:after="0"/>
              <w:rPr>
                <w:sz w:val="20"/>
                <w:szCs w:val="20"/>
                <w:color w:val="auto"/>
              </w:rPr>
            </w:pPr>
            <w:r>
              <w:rPr>
                <w:rFonts w:ascii="Arial" w:cs="Arial" w:eastAsia="Arial" w:hAnsi="Arial"/>
                <w:sz w:val="18"/>
                <w:szCs w:val="18"/>
                <w:color w:val="auto"/>
              </w:rPr>
              <w:t>L + 9.25%</w:t>
            </w:r>
          </w:p>
        </w:tc>
        <w:tc>
          <w:tcPr>
            <w:tcW w:w="800" w:type="dxa"/>
            <w:vAlign w:val="bottom"/>
          </w:tcPr>
          <w:p>
            <w:pPr>
              <w:jc w:val="right"/>
              <w:spacing w:after="0"/>
              <w:rPr>
                <w:sz w:val="20"/>
                <w:szCs w:val="20"/>
                <w:color w:val="auto"/>
              </w:rPr>
            </w:pPr>
            <w:r>
              <w:rPr>
                <w:rFonts w:ascii="Arial" w:cs="Arial" w:eastAsia="Arial" w:hAnsi="Arial"/>
                <w:sz w:val="18"/>
                <w:szCs w:val="18"/>
                <w:color w:val="auto"/>
              </w:rPr>
              <w:t>11.75%</w:t>
            </w: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45,325</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45,512</w:t>
            </w:r>
          </w:p>
        </w:tc>
        <w:tc>
          <w:tcPr>
            <w:tcW w:w="2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3/2023)</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10"/>
              <w:spacing w:after="0"/>
              <w:rPr>
                <w:sz w:val="20"/>
                <w:szCs w:val="20"/>
                <w:color w:val="auto"/>
              </w:rPr>
            </w:pPr>
            <w:r>
              <w:rPr>
                <w:rFonts w:ascii="Arial" w:cs="Arial" w:eastAsia="Arial" w:hAnsi="Arial"/>
                <w:sz w:val="18"/>
                <w:szCs w:val="18"/>
                <w:color w:val="auto"/>
              </w:rPr>
              <w:t>(incl.</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2.50%</w:t>
            </w: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210"/>
              <w:spacing w:after="0"/>
              <w:rPr>
                <w:sz w:val="20"/>
                <w:szCs w:val="20"/>
                <w:color w:val="auto"/>
              </w:rPr>
            </w:pPr>
            <w:r>
              <w:rPr>
                <w:rFonts w:ascii="Arial" w:cs="Arial" w:eastAsia="Arial" w:hAnsi="Arial"/>
                <w:sz w:val="18"/>
                <w:szCs w:val="18"/>
                <w:color w:val="auto"/>
              </w:rPr>
              <w:t>PIK)</w:t>
            </w: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PayLease, LLC </w:t>
            </w:r>
            <w:r>
              <w:rPr>
                <w:rFonts w:ascii="Arial" w:cs="Arial" w:eastAsia="Arial" w:hAnsi="Arial"/>
                <w:sz w:val="15"/>
                <w:szCs w:val="15"/>
                <w:color w:val="auto"/>
              </w:rPr>
              <w:t>(3)</w:t>
            </w:r>
          </w:p>
        </w:tc>
        <w:tc>
          <w:tcPr>
            <w:tcW w:w="2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First-lien loan ($59,807 par, due</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7/28/2017</w:t>
            </w:r>
          </w:p>
        </w:tc>
        <w:tc>
          <w:tcPr>
            <w:tcW w:w="1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L + 7.00%</w:t>
            </w:r>
          </w:p>
        </w:tc>
        <w:tc>
          <w:tcPr>
            <w:tcW w:w="10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9.50%</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58,892</w:t>
            </w: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59,649</w:t>
            </w:r>
          </w:p>
        </w:tc>
        <w:tc>
          <w:tcPr>
            <w:tcW w:w="2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7/2022)</w:t>
            </w:r>
          </w:p>
        </w:tc>
        <w:tc>
          <w:tcPr>
            <w:tcW w:w="10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640" w:type="dxa"/>
            <w:vAlign w:val="bottom"/>
            <w:gridSpan w:val="2"/>
          </w:tcPr>
          <w:p>
            <w:pPr>
              <w:spacing w:after="0"/>
              <w:rPr>
                <w:sz w:val="20"/>
                <w:szCs w:val="20"/>
                <w:color w:val="auto"/>
              </w:rPr>
            </w:pPr>
            <w:r>
              <w:rPr>
                <w:rFonts w:ascii="Arial" w:cs="Arial" w:eastAsia="Arial" w:hAnsi="Arial"/>
                <w:sz w:val="18"/>
                <w:szCs w:val="18"/>
                <w:color w:val="auto"/>
              </w:rPr>
              <w:t xml:space="preserve">PaySimple, Inc. </w:t>
            </w:r>
            <w:r>
              <w:rPr>
                <w:rFonts w:ascii="Arial" w:cs="Arial" w:eastAsia="Arial" w:hAnsi="Arial"/>
                <w:sz w:val="15"/>
                <w:szCs w:val="15"/>
                <w:color w:val="auto"/>
              </w:rPr>
              <w:t>(3)(5)</w:t>
            </w:r>
          </w:p>
        </w:tc>
        <w:tc>
          <w:tcPr>
            <w:tcW w:w="2620" w:type="dxa"/>
            <w:vAlign w:val="bottom"/>
            <w:gridSpan w:val="2"/>
          </w:tcPr>
          <w:p>
            <w:pPr>
              <w:spacing w:after="0"/>
              <w:rPr>
                <w:sz w:val="20"/>
                <w:szCs w:val="20"/>
                <w:color w:val="auto"/>
              </w:rPr>
            </w:pPr>
            <w:r>
              <w:rPr>
                <w:rFonts w:ascii="Arial" w:cs="Arial" w:eastAsia="Arial" w:hAnsi="Arial"/>
                <w:sz w:val="18"/>
                <w:szCs w:val="18"/>
                <w:color w:val="auto"/>
              </w:rPr>
              <w:t>First-lien loan ($59,621 par, due</w:t>
            </w:r>
          </w:p>
        </w:tc>
        <w:tc>
          <w:tcPr>
            <w:tcW w:w="880" w:type="dxa"/>
            <w:vAlign w:val="bottom"/>
          </w:tcPr>
          <w:p>
            <w:pPr>
              <w:jc w:val="right"/>
              <w:spacing w:after="0"/>
              <w:rPr>
                <w:sz w:val="20"/>
                <w:szCs w:val="20"/>
                <w:color w:val="auto"/>
              </w:rPr>
            </w:pPr>
            <w:r>
              <w:rPr>
                <w:rFonts w:ascii="Arial" w:cs="Arial" w:eastAsia="Arial" w:hAnsi="Arial"/>
                <w:sz w:val="18"/>
                <w:szCs w:val="18"/>
                <w:color w:val="auto"/>
              </w:rPr>
              <w:t>4/17/2018</w:t>
            </w:r>
          </w:p>
        </w:tc>
        <w:tc>
          <w:tcPr>
            <w:tcW w:w="100" w:type="dxa"/>
            <w:vAlign w:val="bottom"/>
          </w:tcPr>
          <w:p>
            <w:pPr>
              <w:spacing w:after="0"/>
              <w:rPr>
                <w:sz w:val="18"/>
                <w:szCs w:val="18"/>
                <w:color w:val="auto"/>
              </w:rPr>
            </w:pPr>
          </w:p>
        </w:tc>
        <w:tc>
          <w:tcPr>
            <w:tcW w:w="1080" w:type="dxa"/>
            <w:vAlign w:val="bottom"/>
            <w:gridSpan w:val="2"/>
          </w:tcPr>
          <w:p>
            <w:pPr>
              <w:ind w:left="160"/>
              <w:spacing w:after="0"/>
              <w:rPr>
                <w:sz w:val="20"/>
                <w:szCs w:val="20"/>
                <w:color w:val="auto"/>
              </w:rPr>
            </w:pPr>
            <w:r>
              <w:rPr>
                <w:rFonts w:ascii="Arial" w:cs="Arial" w:eastAsia="Arial" w:hAnsi="Arial"/>
                <w:sz w:val="18"/>
                <w:szCs w:val="18"/>
                <w:color w:val="auto"/>
              </w:rPr>
              <w:t>L + 8.25%</w:t>
            </w:r>
          </w:p>
        </w:tc>
        <w:tc>
          <w:tcPr>
            <w:tcW w:w="800" w:type="dxa"/>
            <w:vAlign w:val="bottom"/>
          </w:tcPr>
          <w:p>
            <w:pPr>
              <w:jc w:val="right"/>
              <w:spacing w:after="0"/>
              <w:rPr>
                <w:sz w:val="20"/>
                <w:szCs w:val="20"/>
                <w:color w:val="auto"/>
              </w:rPr>
            </w:pPr>
            <w:r>
              <w:rPr>
                <w:rFonts w:ascii="Arial" w:cs="Arial" w:eastAsia="Arial" w:hAnsi="Arial"/>
                <w:sz w:val="18"/>
                <w:szCs w:val="18"/>
                <w:color w:val="auto"/>
              </w:rPr>
              <w:t>10.75%</w:t>
            </w: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59,365</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59,173</w:t>
            </w:r>
          </w:p>
        </w:tc>
        <w:tc>
          <w:tcPr>
            <w:tcW w:w="2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3/2022)</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10"/>
              <w:spacing w:after="0"/>
              <w:rPr>
                <w:sz w:val="20"/>
                <w:szCs w:val="20"/>
                <w:color w:val="auto"/>
              </w:rPr>
            </w:pPr>
            <w:r>
              <w:rPr>
                <w:rFonts w:ascii="Arial" w:cs="Arial" w:eastAsia="Arial" w:hAnsi="Arial"/>
                <w:sz w:val="18"/>
                <w:szCs w:val="18"/>
                <w:color w:val="auto"/>
              </w:rPr>
              <w:t>(incl.</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1.75%</w:t>
            </w: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210"/>
              <w:spacing w:after="0"/>
              <w:rPr>
                <w:sz w:val="20"/>
                <w:szCs w:val="20"/>
                <w:color w:val="auto"/>
              </w:rPr>
            </w:pPr>
            <w:r>
              <w:rPr>
                <w:rFonts w:ascii="Arial" w:cs="Arial" w:eastAsia="Arial" w:hAnsi="Arial"/>
                <w:sz w:val="18"/>
                <w:szCs w:val="18"/>
                <w:color w:val="auto"/>
              </w:rPr>
              <w:t>PIK)</w:t>
            </w: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PrimeRevenue, Inc. </w:t>
            </w:r>
            <w:r>
              <w:rPr>
                <w:rFonts w:ascii="Arial" w:cs="Arial" w:eastAsia="Arial" w:hAnsi="Arial"/>
                <w:sz w:val="15"/>
                <w:szCs w:val="15"/>
                <w:color w:val="auto"/>
              </w:rPr>
              <w:t>(3)</w:t>
            </w:r>
          </w:p>
        </w:tc>
        <w:tc>
          <w:tcPr>
            <w:tcW w:w="2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First-lien loan ($20,270 par, due</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12/31/2018</w:t>
            </w:r>
          </w:p>
        </w:tc>
        <w:tc>
          <w:tcPr>
            <w:tcW w:w="1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L + 8.50%</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11.00%</w:t>
            </w:r>
          </w:p>
        </w:tc>
        <w:tc>
          <w:tcPr>
            <w:tcW w:w="2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19,957</w:t>
            </w: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20,204</w:t>
            </w:r>
          </w:p>
        </w:tc>
        <w:tc>
          <w:tcPr>
            <w:tcW w:w="2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12/2023)</w:t>
            </w: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10"/>
              <w:spacing w:after="0"/>
              <w:rPr>
                <w:sz w:val="20"/>
                <w:szCs w:val="20"/>
                <w:color w:val="auto"/>
              </w:rPr>
            </w:pPr>
            <w:r>
              <w:rPr>
                <w:rFonts w:ascii="Arial" w:cs="Arial" w:eastAsia="Arial" w:hAnsi="Arial"/>
                <w:sz w:val="18"/>
                <w:szCs w:val="18"/>
                <w:color w:val="auto"/>
              </w:rPr>
              <w:t>(incl.</w:t>
            </w: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5.50%</w:t>
            </w:r>
          </w:p>
        </w:tc>
        <w:tc>
          <w:tcPr>
            <w:tcW w:w="2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5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210"/>
              <w:spacing w:after="0"/>
              <w:rPr>
                <w:sz w:val="20"/>
                <w:szCs w:val="20"/>
                <w:color w:val="auto"/>
              </w:rPr>
            </w:pPr>
            <w:r>
              <w:rPr>
                <w:rFonts w:ascii="Arial" w:cs="Arial" w:eastAsia="Arial" w:hAnsi="Arial"/>
                <w:sz w:val="18"/>
                <w:szCs w:val="18"/>
                <w:color w:val="auto"/>
              </w:rPr>
              <w:t>PIK)</w:t>
            </w:r>
          </w:p>
        </w:tc>
        <w:tc>
          <w:tcPr>
            <w:tcW w:w="8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640" w:type="dxa"/>
            <w:vAlign w:val="bottom"/>
            <w:gridSpan w:val="2"/>
          </w:tcPr>
          <w:p>
            <w:pPr>
              <w:spacing w:after="0"/>
              <w:rPr>
                <w:sz w:val="20"/>
                <w:szCs w:val="20"/>
                <w:color w:val="auto"/>
              </w:rPr>
            </w:pPr>
            <w:r>
              <w:rPr>
                <w:rFonts w:ascii="Arial" w:cs="Arial" w:eastAsia="Arial" w:hAnsi="Arial"/>
                <w:sz w:val="18"/>
                <w:szCs w:val="18"/>
                <w:color w:val="auto"/>
              </w:rPr>
              <w:t xml:space="preserve">Swift Gift Limited </w:t>
            </w:r>
            <w:r>
              <w:rPr>
                <w:rFonts w:ascii="Arial" w:cs="Arial" w:eastAsia="Arial" w:hAnsi="Arial"/>
                <w:sz w:val="15"/>
                <w:szCs w:val="15"/>
                <w:color w:val="auto"/>
              </w:rPr>
              <w:t>(3)(5)</w:t>
            </w:r>
          </w:p>
        </w:tc>
        <w:tc>
          <w:tcPr>
            <w:tcW w:w="2620" w:type="dxa"/>
            <w:vAlign w:val="bottom"/>
            <w:gridSpan w:val="2"/>
          </w:tcPr>
          <w:p>
            <w:pPr>
              <w:spacing w:after="0"/>
              <w:rPr>
                <w:sz w:val="20"/>
                <w:szCs w:val="20"/>
                <w:color w:val="auto"/>
              </w:rPr>
            </w:pPr>
            <w:r>
              <w:rPr>
                <w:rFonts w:ascii="Arial" w:cs="Arial" w:eastAsia="Arial" w:hAnsi="Arial"/>
                <w:sz w:val="18"/>
                <w:szCs w:val="18"/>
                <w:color w:val="auto"/>
              </w:rPr>
              <w:t>First-lien loan ($28,693 par, due</w:t>
            </w:r>
          </w:p>
        </w:tc>
        <w:tc>
          <w:tcPr>
            <w:tcW w:w="880" w:type="dxa"/>
            <w:vAlign w:val="bottom"/>
          </w:tcPr>
          <w:p>
            <w:pPr>
              <w:jc w:val="right"/>
              <w:spacing w:after="0"/>
              <w:rPr>
                <w:sz w:val="20"/>
                <w:szCs w:val="20"/>
                <w:color w:val="auto"/>
              </w:rPr>
            </w:pPr>
            <w:r>
              <w:rPr>
                <w:rFonts w:ascii="Arial" w:cs="Arial" w:eastAsia="Arial" w:hAnsi="Arial"/>
                <w:sz w:val="18"/>
                <w:szCs w:val="18"/>
                <w:color w:val="auto"/>
              </w:rPr>
              <w:t>7/31/2017</w:t>
            </w:r>
          </w:p>
        </w:tc>
        <w:tc>
          <w:tcPr>
            <w:tcW w:w="100" w:type="dxa"/>
            <w:vAlign w:val="bottom"/>
          </w:tcPr>
          <w:p>
            <w:pPr>
              <w:spacing w:after="0"/>
              <w:rPr>
                <w:sz w:val="18"/>
                <w:szCs w:val="18"/>
                <w:color w:val="auto"/>
              </w:rPr>
            </w:pPr>
          </w:p>
        </w:tc>
        <w:tc>
          <w:tcPr>
            <w:tcW w:w="1080" w:type="dxa"/>
            <w:vAlign w:val="bottom"/>
            <w:gridSpan w:val="2"/>
          </w:tcPr>
          <w:p>
            <w:pPr>
              <w:ind w:left="160"/>
              <w:spacing w:after="0"/>
              <w:rPr>
                <w:sz w:val="20"/>
                <w:szCs w:val="20"/>
                <w:color w:val="auto"/>
              </w:rPr>
            </w:pPr>
            <w:r>
              <w:rPr>
                <w:rFonts w:ascii="Arial" w:cs="Arial" w:eastAsia="Arial" w:hAnsi="Arial"/>
                <w:sz w:val="18"/>
                <w:szCs w:val="18"/>
                <w:color w:val="auto"/>
              </w:rPr>
              <w:t>L + 6.50%</w:t>
            </w: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9.00%</w:t>
            </w:r>
          </w:p>
        </w:tc>
        <w:tc>
          <w:tcPr>
            <w:tcW w:w="800" w:type="dxa"/>
            <w:vAlign w:val="bottom"/>
          </w:tcPr>
          <w:p>
            <w:pPr>
              <w:jc w:val="right"/>
              <w:spacing w:after="0"/>
              <w:rPr>
                <w:sz w:val="20"/>
                <w:szCs w:val="20"/>
                <w:color w:val="auto"/>
              </w:rPr>
            </w:pPr>
            <w:r>
              <w:rPr>
                <w:rFonts w:ascii="Arial" w:cs="Arial" w:eastAsia="Arial" w:hAnsi="Arial"/>
                <w:sz w:val="18"/>
                <w:szCs w:val="18"/>
                <w:color w:val="auto"/>
              </w:rPr>
              <w:t>28,195</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29,984</w:t>
            </w:r>
          </w:p>
        </w:tc>
        <w:tc>
          <w:tcPr>
            <w:tcW w:w="2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2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1/2022)</w:t>
            </w:r>
          </w:p>
        </w:tc>
        <w:tc>
          <w:tcPr>
            <w:tcW w:w="100" w:type="dxa"/>
            <w:vAlign w:val="bottom"/>
            <w:tcBorders>
              <w:bottom w:val="single" w:sz="8" w:color="CFF0FC"/>
            </w:tcBorders>
          </w:tcPr>
          <w:p>
            <w:pPr>
              <w:spacing w:after="0"/>
              <w:rPr>
                <w:sz w:val="20"/>
                <w:szCs w:val="20"/>
                <w:color w:val="auto"/>
              </w:rPr>
            </w:pPr>
          </w:p>
        </w:tc>
        <w:tc>
          <w:tcPr>
            <w:tcW w:w="88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800" w:type="dxa"/>
            <w:vAlign w:val="bottom"/>
            <w:tcBorders>
              <w:bottom w:val="single" w:sz="8" w:color="CFF0FC"/>
            </w:tcBorders>
          </w:tcPr>
          <w:p>
            <w:pPr>
              <w:spacing w:after="0"/>
              <w:rPr>
                <w:sz w:val="20"/>
                <w:szCs w:val="20"/>
                <w:color w:val="auto"/>
              </w:rPr>
            </w:pPr>
          </w:p>
        </w:tc>
        <w:tc>
          <w:tcPr>
            <w:tcW w:w="280" w:type="dxa"/>
            <w:vAlign w:val="bottom"/>
            <w:tcBorders>
              <w:bottom w:val="single" w:sz="8" w:color="CFF0FC"/>
            </w:tcBorders>
          </w:tcPr>
          <w:p>
            <w:pPr>
              <w:spacing w:after="0"/>
              <w:rPr>
                <w:sz w:val="20"/>
                <w:szCs w:val="20"/>
                <w:color w:val="auto"/>
              </w:rPr>
            </w:pPr>
          </w:p>
        </w:tc>
        <w:tc>
          <w:tcPr>
            <w:tcW w:w="800" w:type="dxa"/>
            <w:vAlign w:val="bottom"/>
            <w:tcBorders>
              <w:bottom w:val="single" w:sz="8" w:color="CFF0FC"/>
            </w:tcBorders>
          </w:tcPr>
          <w:p>
            <w:pPr>
              <w:spacing w:after="0"/>
              <w:rPr>
                <w:sz w:val="20"/>
                <w:szCs w:val="20"/>
                <w:color w:val="auto"/>
              </w:rPr>
            </w:pPr>
          </w:p>
        </w:tc>
        <w:tc>
          <w:tcPr>
            <w:tcW w:w="280" w:type="dxa"/>
            <w:vAlign w:val="bottom"/>
            <w:tcBorders>
              <w:bottom w:val="single" w:sz="8" w:color="CFF0FC"/>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20" w:type="dxa"/>
            <w:vAlign w:val="bottom"/>
            <w:tcBorders>
              <w:bottom w:val="single" w:sz="8" w:color="CFF0FC"/>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80" w:type="dxa"/>
            <w:vAlign w:val="bottom"/>
            <w:tcBorders>
              <w:bottom w:val="single" w:sz="8" w:color="CFF0F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346,173</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350,446</w:t>
            </w: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40" w:type="dxa"/>
            <w:vAlign w:val="bottom"/>
            <w:gridSpan w:val="2"/>
          </w:tcPr>
          <w:p>
            <w:pPr>
              <w:spacing w:after="0"/>
              <w:rPr>
                <w:sz w:val="20"/>
                <w:szCs w:val="20"/>
                <w:color w:val="auto"/>
              </w:rPr>
            </w:pPr>
            <w:r>
              <w:rPr>
                <w:rFonts w:ascii="Arial" w:cs="Arial" w:eastAsia="Arial" w:hAnsi="Arial"/>
                <w:sz w:val="18"/>
                <w:szCs w:val="18"/>
                <w:b w:val="1"/>
                <w:bCs w:val="1"/>
                <w:color w:val="auto"/>
              </w:rPr>
              <w:t>Healthcare</w:t>
            </w:r>
          </w:p>
        </w:tc>
        <w:tc>
          <w:tcPr>
            <w:tcW w:w="2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Caris Life Sciences, Ltd.</w:t>
            </w:r>
          </w:p>
        </w:tc>
        <w:tc>
          <w:tcPr>
            <w:tcW w:w="2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First-lien loan ($2,500 par, due</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9/21/2018</w:t>
            </w:r>
          </w:p>
        </w:tc>
        <w:tc>
          <w:tcPr>
            <w:tcW w:w="1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11.30%</w:t>
            </w:r>
          </w:p>
        </w:tc>
        <w:tc>
          <w:tcPr>
            <w:tcW w:w="10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11.30%</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2,318</w:t>
            </w: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2,306</w:t>
            </w:r>
          </w:p>
        </w:tc>
        <w:tc>
          <w:tcPr>
            <w:tcW w:w="2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9/2023)</w:t>
            </w:r>
          </w:p>
        </w:tc>
        <w:tc>
          <w:tcPr>
            <w:tcW w:w="10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w w:val="96"/>
              </w:rPr>
              <w:t>Convertible note ($2,500 par, due</w:t>
            </w:r>
          </w:p>
        </w:tc>
        <w:tc>
          <w:tcPr>
            <w:tcW w:w="880" w:type="dxa"/>
            <w:vAlign w:val="bottom"/>
          </w:tcPr>
          <w:p>
            <w:pPr>
              <w:jc w:val="right"/>
              <w:spacing w:after="0"/>
              <w:rPr>
                <w:sz w:val="20"/>
                <w:szCs w:val="20"/>
                <w:color w:val="auto"/>
              </w:rPr>
            </w:pPr>
            <w:r>
              <w:rPr>
                <w:rFonts w:ascii="Arial" w:cs="Arial" w:eastAsia="Arial" w:hAnsi="Arial"/>
                <w:sz w:val="18"/>
                <w:szCs w:val="18"/>
                <w:color w:val="auto"/>
              </w:rPr>
              <w:t>9/21/2018</w:t>
            </w:r>
          </w:p>
        </w:tc>
        <w:tc>
          <w:tcPr>
            <w:tcW w:w="100" w:type="dxa"/>
            <w:vAlign w:val="bottom"/>
          </w:tcPr>
          <w:p>
            <w:pPr>
              <w:spacing w:after="0"/>
              <w:rPr>
                <w:sz w:val="18"/>
                <w:szCs w:val="18"/>
                <w:color w:val="auto"/>
              </w:rPr>
            </w:pP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8.00%</w:t>
            </w: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8.00%</w:t>
            </w:r>
          </w:p>
        </w:tc>
        <w:tc>
          <w:tcPr>
            <w:tcW w:w="800" w:type="dxa"/>
            <w:vAlign w:val="bottom"/>
          </w:tcPr>
          <w:p>
            <w:pPr>
              <w:jc w:val="right"/>
              <w:spacing w:after="0"/>
              <w:rPr>
                <w:sz w:val="20"/>
                <w:szCs w:val="20"/>
                <w:color w:val="auto"/>
              </w:rPr>
            </w:pPr>
            <w:r>
              <w:rPr>
                <w:rFonts w:ascii="Arial" w:cs="Arial" w:eastAsia="Arial" w:hAnsi="Arial"/>
                <w:sz w:val="18"/>
                <w:szCs w:val="18"/>
                <w:color w:val="auto"/>
              </w:rPr>
              <w:t>2,500</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2,531</w:t>
            </w:r>
          </w:p>
        </w:tc>
        <w:tc>
          <w:tcPr>
            <w:tcW w:w="2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9/2023)</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64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7"/>
              </w:rPr>
              <w:t>Integrated Practice Solutions, Inc.</w:t>
            </w:r>
          </w:p>
        </w:tc>
        <w:tc>
          <w:tcPr>
            <w:tcW w:w="2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First-lien loan ($36,409 par, due</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6/30/2017</w:t>
            </w:r>
          </w:p>
        </w:tc>
        <w:tc>
          <w:tcPr>
            <w:tcW w:w="1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L + 8.00%</w:t>
            </w:r>
          </w:p>
        </w:tc>
        <w:tc>
          <w:tcPr>
            <w:tcW w:w="10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10.50%</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35,655</w:t>
            </w: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36,227</w:t>
            </w:r>
          </w:p>
        </w:tc>
        <w:tc>
          <w:tcPr>
            <w:tcW w:w="2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40" w:type="dxa"/>
            <w:vAlign w:val="bottom"/>
            <w:shd w:val="clear" w:color="auto" w:fill="CFF0FC"/>
          </w:tcPr>
          <w:p>
            <w:pPr>
              <w:spacing w:after="0"/>
              <w:rPr>
                <w:sz w:val="20"/>
                <w:szCs w:val="20"/>
                <w:color w:val="auto"/>
              </w:rPr>
            </w:pPr>
            <w:r>
              <w:rPr>
                <w:rFonts w:ascii="Arial" w:cs="Arial" w:eastAsia="Arial" w:hAnsi="Arial"/>
                <w:sz w:val="15"/>
                <w:szCs w:val="15"/>
                <w:color w:val="auto"/>
              </w:rPr>
              <w:t>(3)(5)</w:t>
            </w:r>
          </w:p>
        </w:tc>
        <w:tc>
          <w:tcPr>
            <w:tcW w:w="100" w:type="dxa"/>
            <w:vAlign w:val="bottom"/>
            <w:shd w:val="clear" w:color="auto" w:fill="CFF0FC"/>
          </w:tcPr>
          <w:p>
            <w:pPr>
              <w:spacing w:after="0"/>
              <w:rPr>
                <w:sz w:val="20"/>
                <w:szCs w:val="20"/>
                <w:color w:val="auto"/>
              </w:rPr>
            </w:pPr>
          </w:p>
        </w:tc>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6/2022)</w:t>
            </w:r>
          </w:p>
        </w:tc>
        <w:tc>
          <w:tcPr>
            <w:tcW w:w="10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640" w:type="dxa"/>
            <w:vAlign w:val="bottom"/>
            <w:gridSpan w:val="2"/>
          </w:tcPr>
          <w:p>
            <w:pPr>
              <w:spacing w:after="0"/>
              <w:rPr>
                <w:sz w:val="20"/>
                <w:szCs w:val="20"/>
                <w:color w:val="auto"/>
              </w:rPr>
            </w:pPr>
            <w:r>
              <w:rPr>
                <w:rFonts w:ascii="Arial" w:cs="Arial" w:eastAsia="Arial" w:hAnsi="Arial"/>
                <w:sz w:val="18"/>
                <w:szCs w:val="18"/>
                <w:color w:val="auto"/>
              </w:rPr>
              <w:t xml:space="preserve">InterOperability Bidco, Inc. </w:t>
            </w:r>
            <w:r>
              <w:rPr>
                <w:rFonts w:ascii="Arial" w:cs="Arial" w:eastAsia="Arial" w:hAnsi="Arial"/>
                <w:sz w:val="15"/>
                <w:szCs w:val="15"/>
                <w:color w:val="auto"/>
              </w:rPr>
              <w:t>(3)(5)</w:t>
            </w:r>
          </w:p>
        </w:tc>
        <w:tc>
          <w:tcPr>
            <w:tcW w:w="2620" w:type="dxa"/>
            <w:vAlign w:val="bottom"/>
            <w:gridSpan w:val="2"/>
          </w:tcPr>
          <w:p>
            <w:pPr>
              <w:spacing w:after="0"/>
              <w:rPr>
                <w:sz w:val="20"/>
                <w:szCs w:val="20"/>
                <w:color w:val="auto"/>
              </w:rPr>
            </w:pPr>
            <w:r>
              <w:rPr>
                <w:rFonts w:ascii="Arial" w:cs="Arial" w:eastAsia="Arial" w:hAnsi="Arial"/>
                <w:sz w:val="18"/>
                <w:szCs w:val="18"/>
                <w:color w:val="auto"/>
              </w:rPr>
              <w:t>First-lien loan ($29,925 par, due</w:t>
            </w:r>
          </w:p>
        </w:tc>
        <w:tc>
          <w:tcPr>
            <w:tcW w:w="880" w:type="dxa"/>
            <w:vAlign w:val="bottom"/>
          </w:tcPr>
          <w:p>
            <w:pPr>
              <w:jc w:val="right"/>
              <w:spacing w:after="0"/>
              <w:rPr>
                <w:sz w:val="20"/>
                <w:szCs w:val="20"/>
                <w:color w:val="auto"/>
              </w:rPr>
            </w:pPr>
            <w:r>
              <w:rPr>
                <w:rFonts w:ascii="Arial" w:cs="Arial" w:eastAsia="Arial" w:hAnsi="Arial"/>
                <w:sz w:val="18"/>
                <w:szCs w:val="18"/>
                <w:color w:val="auto"/>
                <w:w w:val="93"/>
              </w:rPr>
              <w:t>10/30/2018</w:t>
            </w:r>
          </w:p>
        </w:tc>
        <w:tc>
          <w:tcPr>
            <w:tcW w:w="100" w:type="dxa"/>
            <w:vAlign w:val="bottom"/>
          </w:tcPr>
          <w:p>
            <w:pPr>
              <w:spacing w:after="0"/>
              <w:rPr>
                <w:sz w:val="18"/>
                <w:szCs w:val="18"/>
                <w:color w:val="auto"/>
              </w:rPr>
            </w:pPr>
          </w:p>
        </w:tc>
        <w:tc>
          <w:tcPr>
            <w:tcW w:w="1080" w:type="dxa"/>
            <w:vAlign w:val="bottom"/>
            <w:gridSpan w:val="2"/>
          </w:tcPr>
          <w:p>
            <w:pPr>
              <w:ind w:left="160"/>
              <w:spacing w:after="0"/>
              <w:rPr>
                <w:sz w:val="20"/>
                <w:szCs w:val="20"/>
                <w:color w:val="auto"/>
              </w:rPr>
            </w:pPr>
            <w:r>
              <w:rPr>
                <w:rFonts w:ascii="Arial" w:cs="Arial" w:eastAsia="Arial" w:hAnsi="Arial"/>
                <w:sz w:val="18"/>
                <w:szCs w:val="18"/>
                <w:color w:val="auto"/>
              </w:rPr>
              <w:t>L + 7.00%</w:t>
            </w: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9.50%</w:t>
            </w:r>
          </w:p>
        </w:tc>
        <w:tc>
          <w:tcPr>
            <w:tcW w:w="800" w:type="dxa"/>
            <w:vAlign w:val="bottom"/>
          </w:tcPr>
          <w:p>
            <w:pPr>
              <w:jc w:val="right"/>
              <w:spacing w:after="0"/>
              <w:rPr>
                <w:sz w:val="20"/>
                <w:szCs w:val="20"/>
                <w:color w:val="auto"/>
              </w:rPr>
            </w:pPr>
            <w:r>
              <w:rPr>
                <w:rFonts w:ascii="Arial" w:cs="Arial" w:eastAsia="Arial" w:hAnsi="Arial"/>
                <w:sz w:val="18"/>
                <w:szCs w:val="18"/>
                <w:color w:val="auto"/>
              </w:rPr>
              <w:t>28,778</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28,952</w:t>
            </w:r>
          </w:p>
        </w:tc>
        <w:tc>
          <w:tcPr>
            <w:tcW w:w="2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10/2023)</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MedeAnalytics, Inc. </w:t>
            </w:r>
            <w:r>
              <w:rPr>
                <w:rFonts w:ascii="Arial" w:cs="Arial" w:eastAsia="Arial" w:hAnsi="Arial"/>
                <w:sz w:val="15"/>
                <w:szCs w:val="15"/>
                <w:color w:val="auto"/>
              </w:rPr>
              <w:t>(3)(5)</w:t>
            </w:r>
          </w:p>
        </w:tc>
        <w:tc>
          <w:tcPr>
            <w:tcW w:w="2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First-lien loan ($41,606 par, due</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9/30/2015</w:t>
            </w:r>
          </w:p>
        </w:tc>
        <w:tc>
          <w:tcPr>
            <w:tcW w:w="1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L + 7.50%</w:t>
            </w:r>
          </w:p>
        </w:tc>
        <w:tc>
          <w:tcPr>
            <w:tcW w:w="10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10.00%</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41,176</w:t>
            </w: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41,815</w:t>
            </w:r>
          </w:p>
        </w:tc>
        <w:tc>
          <w:tcPr>
            <w:tcW w:w="2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9/2020)</w:t>
            </w:r>
          </w:p>
        </w:tc>
        <w:tc>
          <w:tcPr>
            <w:tcW w:w="10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640" w:type="dxa"/>
            <w:vAlign w:val="bottom"/>
            <w:gridSpan w:val="2"/>
          </w:tcPr>
          <w:p>
            <w:pPr>
              <w:spacing w:after="0"/>
              <w:rPr>
                <w:sz w:val="20"/>
                <w:szCs w:val="20"/>
                <w:color w:val="auto"/>
              </w:rPr>
            </w:pPr>
            <w:r>
              <w:rPr>
                <w:rFonts w:ascii="Arial" w:cs="Arial" w:eastAsia="Arial" w:hAnsi="Arial"/>
                <w:sz w:val="18"/>
                <w:szCs w:val="18"/>
                <w:color w:val="auto"/>
              </w:rPr>
              <w:t xml:space="preserve">Quantros, Inc. </w:t>
            </w:r>
            <w:r>
              <w:rPr>
                <w:rFonts w:ascii="Arial" w:cs="Arial" w:eastAsia="Arial" w:hAnsi="Arial"/>
                <w:sz w:val="15"/>
                <w:szCs w:val="15"/>
                <w:color w:val="auto"/>
              </w:rPr>
              <w:t>(3)(5)</w:t>
            </w:r>
          </w:p>
        </w:tc>
        <w:tc>
          <w:tcPr>
            <w:tcW w:w="2620" w:type="dxa"/>
            <w:vAlign w:val="bottom"/>
            <w:gridSpan w:val="2"/>
          </w:tcPr>
          <w:p>
            <w:pPr>
              <w:spacing w:after="0"/>
              <w:rPr>
                <w:sz w:val="20"/>
                <w:szCs w:val="20"/>
                <w:color w:val="auto"/>
              </w:rPr>
            </w:pPr>
            <w:r>
              <w:rPr>
                <w:rFonts w:ascii="Arial" w:cs="Arial" w:eastAsia="Arial" w:hAnsi="Arial"/>
                <w:sz w:val="18"/>
                <w:szCs w:val="18"/>
                <w:color w:val="auto"/>
              </w:rPr>
              <w:t>First-lien loan ($27,590 par, due</w:t>
            </w:r>
          </w:p>
        </w:tc>
        <w:tc>
          <w:tcPr>
            <w:tcW w:w="880" w:type="dxa"/>
            <w:vAlign w:val="bottom"/>
          </w:tcPr>
          <w:p>
            <w:pPr>
              <w:jc w:val="right"/>
              <w:spacing w:after="0"/>
              <w:rPr>
                <w:sz w:val="20"/>
                <w:szCs w:val="20"/>
                <w:color w:val="auto"/>
              </w:rPr>
            </w:pPr>
            <w:r>
              <w:rPr>
                <w:rFonts w:ascii="Arial" w:cs="Arial" w:eastAsia="Arial" w:hAnsi="Arial"/>
                <w:sz w:val="18"/>
                <w:szCs w:val="18"/>
                <w:color w:val="auto"/>
              </w:rPr>
              <w:t>2/29/2016</w:t>
            </w:r>
          </w:p>
        </w:tc>
        <w:tc>
          <w:tcPr>
            <w:tcW w:w="100" w:type="dxa"/>
            <w:vAlign w:val="bottom"/>
          </w:tcPr>
          <w:p>
            <w:pPr>
              <w:spacing w:after="0"/>
              <w:rPr>
                <w:sz w:val="18"/>
                <w:szCs w:val="18"/>
                <w:color w:val="auto"/>
              </w:rPr>
            </w:pPr>
          </w:p>
        </w:tc>
        <w:tc>
          <w:tcPr>
            <w:tcW w:w="1080" w:type="dxa"/>
            <w:vAlign w:val="bottom"/>
            <w:gridSpan w:val="2"/>
          </w:tcPr>
          <w:p>
            <w:pPr>
              <w:ind w:left="160"/>
              <w:spacing w:after="0"/>
              <w:rPr>
                <w:sz w:val="20"/>
                <w:szCs w:val="20"/>
                <w:color w:val="auto"/>
              </w:rPr>
            </w:pPr>
            <w:r>
              <w:rPr>
                <w:rFonts w:ascii="Arial" w:cs="Arial" w:eastAsia="Arial" w:hAnsi="Arial"/>
                <w:sz w:val="18"/>
                <w:szCs w:val="18"/>
                <w:color w:val="auto"/>
              </w:rPr>
              <w:t>L + 7.75%</w:t>
            </w: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10.35%</w:t>
            </w:r>
          </w:p>
        </w:tc>
        <w:tc>
          <w:tcPr>
            <w:tcW w:w="800" w:type="dxa"/>
            <w:vAlign w:val="bottom"/>
          </w:tcPr>
          <w:p>
            <w:pPr>
              <w:jc w:val="right"/>
              <w:spacing w:after="0"/>
              <w:rPr>
                <w:sz w:val="20"/>
                <w:szCs w:val="20"/>
                <w:color w:val="auto"/>
              </w:rPr>
            </w:pPr>
            <w:r>
              <w:rPr>
                <w:rFonts w:ascii="Arial" w:cs="Arial" w:eastAsia="Arial" w:hAnsi="Arial"/>
                <w:sz w:val="18"/>
                <w:szCs w:val="18"/>
                <w:color w:val="auto"/>
              </w:rPr>
              <w:t>26,712</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27,314</w:t>
            </w:r>
          </w:p>
        </w:tc>
        <w:tc>
          <w:tcPr>
            <w:tcW w:w="2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9/2019)</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Vita Bidco, Inc. </w:t>
            </w:r>
            <w:r>
              <w:rPr>
                <w:rFonts w:ascii="Arial" w:cs="Arial" w:eastAsia="Arial" w:hAnsi="Arial"/>
                <w:sz w:val="15"/>
                <w:szCs w:val="15"/>
                <w:color w:val="auto"/>
              </w:rPr>
              <w:t>(3)(5)</w:t>
            </w:r>
          </w:p>
        </w:tc>
        <w:tc>
          <w:tcPr>
            <w:tcW w:w="2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First-lien loan ($21,938 par, due</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2/11/2019</w:t>
            </w:r>
          </w:p>
        </w:tc>
        <w:tc>
          <w:tcPr>
            <w:tcW w:w="1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L + 6.50%</w:t>
            </w:r>
          </w:p>
        </w:tc>
        <w:tc>
          <w:tcPr>
            <w:tcW w:w="10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9.00%</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21,317</w:t>
            </w: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21,390</w:t>
            </w:r>
          </w:p>
        </w:tc>
        <w:tc>
          <w:tcPr>
            <w:tcW w:w="2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2/2024)</w:t>
            </w:r>
          </w:p>
        </w:tc>
        <w:tc>
          <w:tcPr>
            <w:tcW w:w="10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158,456</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160,535</w:t>
            </w:r>
          </w:p>
        </w:tc>
        <w:tc>
          <w:tcPr>
            <w:tcW w:w="20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Hotel, gaming, and leisure</w:t>
            </w:r>
          </w:p>
        </w:tc>
        <w:tc>
          <w:tcPr>
            <w:tcW w:w="25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640" w:type="dxa"/>
            <w:vAlign w:val="bottom"/>
            <w:gridSpan w:val="2"/>
          </w:tcPr>
          <w:p>
            <w:pPr>
              <w:spacing w:after="0"/>
              <w:rPr>
                <w:sz w:val="20"/>
                <w:szCs w:val="20"/>
                <w:color w:val="auto"/>
              </w:rPr>
            </w:pPr>
            <w:r>
              <w:rPr>
                <w:rFonts w:ascii="Arial" w:cs="Arial" w:eastAsia="Arial" w:hAnsi="Arial"/>
                <w:sz w:val="18"/>
                <w:szCs w:val="18"/>
                <w:color w:val="auto"/>
              </w:rPr>
              <w:t xml:space="preserve">IRGSE Holding Corp. </w:t>
            </w:r>
            <w:r>
              <w:rPr>
                <w:rFonts w:ascii="Arial" w:cs="Arial" w:eastAsia="Arial" w:hAnsi="Arial"/>
                <w:sz w:val="15"/>
                <w:szCs w:val="15"/>
                <w:color w:val="auto"/>
              </w:rPr>
              <w:t>(3)(7)</w:t>
            </w:r>
          </w:p>
        </w:tc>
        <w:tc>
          <w:tcPr>
            <w:tcW w:w="2620" w:type="dxa"/>
            <w:vAlign w:val="bottom"/>
            <w:gridSpan w:val="2"/>
          </w:tcPr>
          <w:p>
            <w:pPr>
              <w:spacing w:after="0"/>
              <w:rPr>
                <w:sz w:val="20"/>
                <w:szCs w:val="20"/>
                <w:color w:val="auto"/>
              </w:rPr>
            </w:pPr>
            <w:r>
              <w:rPr>
                <w:rFonts w:ascii="Arial" w:cs="Arial" w:eastAsia="Arial" w:hAnsi="Arial"/>
                <w:sz w:val="18"/>
                <w:szCs w:val="18"/>
                <w:color w:val="auto"/>
              </w:rPr>
              <w:t>First-lien loan ($30,410 par, due</w:t>
            </w:r>
          </w:p>
        </w:tc>
        <w:tc>
          <w:tcPr>
            <w:tcW w:w="880" w:type="dxa"/>
            <w:vAlign w:val="bottom"/>
          </w:tcPr>
          <w:p>
            <w:pPr>
              <w:jc w:val="right"/>
              <w:spacing w:after="0"/>
              <w:rPr>
                <w:sz w:val="20"/>
                <w:szCs w:val="20"/>
                <w:color w:val="auto"/>
              </w:rPr>
            </w:pPr>
            <w:r>
              <w:rPr>
                <w:rFonts w:ascii="Arial" w:cs="Arial" w:eastAsia="Arial" w:hAnsi="Arial"/>
                <w:sz w:val="18"/>
                <w:szCs w:val="18"/>
                <w:color w:val="auto"/>
              </w:rPr>
              <w:t>9/29/2015</w:t>
            </w:r>
          </w:p>
        </w:tc>
        <w:tc>
          <w:tcPr>
            <w:tcW w:w="100" w:type="dxa"/>
            <w:vAlign w:val="bottom"/>
          </w:tcPr>
          <w:p>
            <w:pPr>
              <w:spacing w:after="0"/>
              <w:rPr>
                <w:sz w:val="18"/>
                <w:szCs w:val="18"/>
                <w:color w:val="auto"/>
              </w:rPr>
            </w:pPr>
          </w:p>
        </w:tc>
        <w:tc>
          <w:tcPr>
            <w:tcW w:w="1080" w:type="dxa"/>
            <w:vAlign w:val="bottom"/>
            <w:gridSpan w:val="2"/>
          </w:tcPr>
          <w:p>
            <w:pPr>
              <w:ind w:left="160"/>
              <w:spacing w:after="0"/>
              <w:rPr>
                <w:sz w:val="20"/>
                <w:szCs w:val="20"/>
                <w:color w:val="auto"/>
              </w:rPr>
            </w:pPr>
            <w:r>
              <w:rPr>
                <w:rFonts w:ascii="Arial" w:cs="Arial" w:eastAsia="Arial" w:hAnsi="Arial"/>
                <w:sz w:val="18"/>
                <w:szCs w:val="18"/>
                <w:color w:val="auto"/>
              </w:rPr>
              <w:t>L + 9.50%</w:t>
            </w:r>
          </w:p>
        </w:tc>
        <w:tc>
          <w:tcPr>
            <w:tcW w:w="800" w:type="dxa"/>
            <w:vAlign w:val="bottom"/>
          </w:tcPr>
          <w:p>
            <w:pPr>
              <w:jc w:val="right"/>
              <w:spacing w:after="0"/>
              <w:rPr>
                <w:sz w:val="20"/>
                <w:szCs w:val="20"/>
                <w:color w:val="auto"/>
              </w:rPr>
            </w:pPr>
            <w:r>
              <w:rPr>
                <w:rFonts w:ascii="Arial" w:cs="Arial" w:eastAsia="Arial" w:hAnsi="Arial"/>
                <w:sz w:val="18"/>
                <w:szCs w:val="18"/>
                <w:color w:val="auto"/>
              </w:rPr>
              <w:t>12.10%</w:t>
            </w: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28,556</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30,333</w:t>
            </w:r>
          </w:p>
        </w:tc>
        <w:tc>
          <w:tcPr>
            <w:tcW w:w="2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9/2019)</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10"/>
              <w:spacing w:after="0"/>
              <w:rPr>
                <w:sz w:val="20"/>
                <w:szCs w:val="20"/>
                <w:color w:val="auto"/>
              </w:rPr>
            </w:pPr>
            <w:r>
              <w:rPr>
                <w:rFonts w:ascii="Arial" w:cs="Arial" w:eastAsia="Arial" w:hAnsi="Arial"/>
                <w:sz w:val="18"/>
                <w:szCs w:val="18"/>
                <w:color w:val="auto"/>
              </w:rPr>
              <w:t>(incl.</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5.00%</w:t>
            </w: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210"/>
              <w:spacing w:after="0"/>
              <w:rPr>
                <w:sz w:val="20"/>
                <w:szCs w:val="20"/>
                <w:color w:val="auto"/>
              </w:rPr>
            </w:pPr>
            <w:r>
              <w:rPr>
                <w:rFonts w:ascii="Arial" w:cs="Arial" w:eastAsia="Arial" w:hAnsi="Arial"/>
                <w:sz w:val="18"/>
                <w:szCs w:val="18"/>
                <w:color w:val="auto"/>
              </w:rPr>
              <w:t>PIK)</w:t>
            </w: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First-lien revolving loan ($894</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9/29/2015</w:t>
            </w:r>
          </w:p>
        </w:tc>
        <w:tc>
          <w:tcPr>
            <w:tcW w:w="1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L + 9.50%</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12.00%</w:t>
            </w:r>
          </w:p>
        </w:tc>
        <w:tc>
          <w:tcPr>
            <w:tcW w:w="2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894</w:t>
            </w: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886</w:t>
            </w:r>
          </w:p>
        </w:tc>
        <w:tc>
          <w:tcPr>
            <w:tcW w:w="2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par, due 9/2019)</w:t>
            </w: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10"/>
              <w:spacing w:after="0"/>
              <w:rPr>
                <w:sz w:val="20"/>
                <w:szCs w:val="20"/>
                <w:color w:val="auto"/>
              </w:rPr>
            </w:pPr>
            <w:r>
              <w:rPr>
                <w:rFonts w:ascii="Arial" w:cs="Arial" w:eastAsia="Arial" w:hAnsi="Arial"/>
                <w:sz w:val="18"/>
                <w:szCs w:val="18"/>
                <w:color w:val="auto"/>
              </w:rPr>
              <w:t>(incl.</w:t>
            </w: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w:t>
            </w:r>
          </w:p>
        </w:tc>
        <w:tc>
          <w:tcPr>
            <w:tcW w:w="2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5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210"/>
              <w:spacing w:after="0"/>
              <w:rPr>
                <w:sz w:val="20"/>
                <w:szCs w:val="20"/>
                <w:color w:val="auto"/>
              </w:rPr>
            </w:pPr>
            <w:r>
              <w:rPr>
                <w:rFonts w:ascii="Arial" w:cs="Arial" w:eastAsia="Arial" w:hAnsi="Arial"/>
                <w:sz w:val="18"/>
                <w:szCs w:val="18"/>
                <w:color w:val="auto"/>
              </w:rPr>
              <w:t>PIK)</w:t>
            </w:r>
          </w:p>
        </w:tc>
        <w:tc>
          <w:tcPr>
            <w:tcW w:w="800" w:type="dxa"/>
            <w:vAlign w:val="bottom"/>
            <w:tcBorders>
              <w:bottom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5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5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8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800" w:type="dxa"/>
            <w:vAlign w:val="bottom"/>
            <w:tcBorders>
              <w:bottom w:val="single" w:sz="8" w:color="CFF0FC"/>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800" w:type="dxa"/>
            <w:vAlign w:val="bottom"/>
            <w:tcBorders>
              <w:bottom w:val="single" w:sz="8" w:color="CFF0FC"/>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29,450</w:t>
            </w:r>
          </w:p>
        </w:tc>
        <w:tc>
          <w:tcPr>
            <w:tcW w:w="22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31,219</w:t>
            </w:r>
          </w:p>
        </w:tc>
        <w:tc>
          <w:tcPr>
            <w:tcW w:w="20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w w:val="87"/>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640" w:type="dxa"/>
            <w:vAlign w:val="bottom"/>
            <w:gridSpan w:val="2"/>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Human resource support</w:t>
            </w:r>
          </w:p>
        </w:tc>
        <w:tc>
          <w:tcPr>
            <w:tcW w:w="25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4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services</w:t>
            </w:r>
          </w:p>
        </w:tc>
        <w:tc>
          <w:tcPr>
            <w:tcW w:w="25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640" w:type="dxa"/>
            <w:vAlign w:val="bottom"/>
            <w:gridSpan w:val="2"/>
          </w:tcPr>
          <w:p>
            <w:pPr>
              <w:spacing w:after="0"/>
              <w:rPr>
                <w:sz w:val="20"/>
                <w:szCs w:val="20"/>
                <w:color w:val="auto"/>
              </w:rPr>
            </w:pPr>
            <w:r>
              <w:rPr>
                <w:rFonts w:ascii="Arial" w:cs="Arial" w:eastAsia="Arial" w:hAnsi="Arial"/>
                <w:sz w:val="18"/>
                <w:szCs w:val="18"/>
                <w:color w:val="auto"/>
              </w:rPr>
              <w:t xml:space="preserve">ClearCompany, LLC </w:t>
            </w:r>
            <w:r>
              <w:rPr>
                <w:rFonts w:ascii="Arial" w:cs="Arial" w:eastAsia="Arial" w:hAnsi="Arial"/>
                <w:sz w:val="15"/>
                <w:szCs w:val="15"/>
                <w:color w:val="auto"/>
              </w:rPr>
              <w:t>(3)</w:t>
            </w:r>
          </w:p>
        </w:tc>
        <w:tc>
          <w:tcPr>
            <w:tcW w:w="2620" w:type="dxa"/>
            <w:vAlign w:val="bottom"/>
            <w:gridSpan w:val="2"/>
          </w:tcPr>
          <w:p>
            <w:pPr>
              <w:spacing w:after="0"/>
              <w:rPr>
                <w:sz w:val="20"/>
                <w:szCs w:val="20"/>
                <w:color w:val="auto"/>
              </w:rPr>
            </w:pPr>
            <w:r>
              <w:rPr>
                <w:rFonts w:ascii="Arial" w:cs="Arial" w:eastAsia="Arial" w:hAnsi="Arial"/>
                <w:sz w:val="18"/>
                <w:szCs w:val="18"/>
                <w:color w:val="auto"/>
              </w:rPr>
              <w:t>First-lien loan ($17,261 par, due</w:t>
            </w:r>
          </w:p>
        </w:tc>
        <w:tc>
          <w:tcPr>
            <w:tcW w:w="880" w:type="dxa"/>
            <w:vAlign w:val="bottom"/>
          </w:tcPr>
          <w:p>
            <w:pPr>
              <w:jc w:val="right"/>
              <w:spacing w:after="0"/>
              <w:rPr>
                <w:sz w:val="20"/>
                <w:szCs w:val="20"/>
                <w:color w:val="auto"/>
              </w:rPr>
            </w:pPr>
            <w:r>
              <w:rPr>
                <w:rFonts w:ascii="Arial" w:cs="Arial" w:eastAsia="Arial" w:hAnsi="Arial"/>
                <w:sz w:val="18"/>
                <w:szCs w:val="18"/>
                <w:color w:val="auto"/>
              </w:rPr>
              <w:t>7/23/2018</w:t>
            </w:r>
          </w:p>
        </w:tc>
        <w:tc>
          <w:tcPr>
            <w:tcW w:w="100" w:type="dxa"/>
            <w:vAlign w:val="bottom"/>
          </w:tcPr>
          <w:p>
            <w:pPr>
              <w:spacing w:after="0"/>
              <w:rPr>
                <w:sz w:val="18"/>
                <w:szCs w:val="18"/>
                <w:color w:val="auto"/>
              </w:rPr>
            </w:pPr>
          </w:p>
        </w:tc>
        <w:tc>
          <w:tcPr>
            <w:tcW w:w="1080" w:type="dxa"/>
            <w:vAlign w:val="bottom"/>
            <w:gridSpan w:val="2"/>
          </w:tcPr>
          <w:p>
            <w:pPr>
              <w:ind w:left="160"/>
              <w:spacing w:after="0"/>
              <w:rPr>
                <w:sz w:val="20"/>
                <w:szCs w:val="20"/>
                <w:color w:val="auto"/>
              </w:rPr>
            </w:pPr>
            <w:r>
              <w:rPr>
                <w:rFonts w:ascii="Arial" w:cs="Arial" w:eastAsia="Arial" w:hAnsi="Arial"/>
                <w:sz w:val="18"/>
                <w:szCs w:val="18"/>
                <w:color w:val="auto"/>
              </w:rPr>
              <w:t>L + 8.50%</w:t>
            </w:r>
          </w:p>
        </w:tc>
        <w:tc>
          <w:tcPr>
            <w:tcW w:w="800" w:type="dxa"/>
            <w:vAlign w:val="bottom"/>
          </w:tcPr>
          <w:p>
            <w:pPr>
              <w:jc w:val="right"/>
              <w:spacing w:after="0"/>
              <w:rPr>
                <w:sz w:val="20"/>
                <w:szCs w:val="20"/>
                <w:color w:val="auto"/>
              </w:rPr>
            </w:pPr>
            <w:r>
              <w:rPr>
                <w:rFonts w:ascii="Arial" w:cs="Arial" w:eastAsia="Arial" w:hAnsi="Arial"/>
                <w:sz w:val="18"/>
                <w:szCs w:val="18"/>
                <w:color w:val="auto"/>
              </w:rPr>
              <w:t>11.13%</w:t>
            </w: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17,011</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17,008</w:t>
            </w:r>
          </w:p>
        </w:tc>
        <w:tc>
          <w:tcPr>
            <w:tcW w:w="2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7/2023)</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10"/>
              <w:spacing w:after="0"/>
              <w:rPr>
                <w:sz w:val="20"/>
                <w:szCs w:val="20"/>
                <w:color w:val="auto"/>
              </w:rPr>
            </w:pPr>
            <w:r>
              <w:rPr>
                <w:rFonts w:ascii="Arial" w:cs="Arial" w:eastAsia="Arial" w:hAnsi="Arial"/>
                <w:sz w:val="18"/>
                <w:szCs w:val="18"/>
                <w:color w:val="auto"/>
              </w:rPr>
              <w:t>(incl.</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2.50%</w:t>
            </w: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210"/>
              <w:spacing w:after="0"/>
              <w:rPr>
                <w:sz w:val="20"/>
                <w:szCs w:val="20"/>
                <w:color w:val="auto"/>
              </w:rPr>
            </w:pPr>
            <w:r>
              <w:rPr>
                <w:rFonts w:ascii="Arial" w:cs="Arial" w:eastAsia="Arial" w:hAnsi="Arial"/>
                <w:sz w:val="18"/>
                <w:szCs w:val="18"/>
                <w:color w:val="auto"/>
              </w:rPr>
              <w:t>PIK)</w:t>
            </w: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9"/>
              </w:rPr>
              <w:t>7</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5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5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4" w:right="21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Initial</w:t>
            </w: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Reference</w:t>
            </w:r>
          </w:p>
        </w:tc>
        <w:tc>
          <w:tcPr>
            <w:tcW w:w="106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Interest</w:t>
            </w: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Amortized</w:t>
            </w: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vMerge w:val="restart"/>
          </w:tcPr>
          <w:p>
            <w:pPr>
              <w:jc w:val="right"/>
              <w:ind w:right="150"/>
              <w:spacing w:after="0"/>
              <w:rPr>
                <w:sz w:val="20"/>
                <w:szCs w:val="20"/>
                <w:color w:val="auto"/>
              </w:rPr>
            </w:pPr>
            <w:r>
              <w:rPr>
                <w:rFonts w:ascii="Arial" w:cs="Arial" w:eastAsia="Arial" w:hAnsi="Arial"/>
                <w:sz w:val="14"/>
                <w:szCs w:val="14"/>
                <w:b w:val="1"/>
                <w:bCs w:val="1"/>
                <w:color w:val="auto"/>
                <w:w w:val="95"/>
              </w:rPr>
              <w:t>Percentage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420" w:type="dxa"/>
            <w:vAlign w:val="bottom"/>
            <w:vMerge w:val="restart"/>
          </w:tcPr>
          <w:p>
            <w:pPr>
              <w:spacing w:after="0"/>
              <w:rPr>
                <w:sz w:val="20"/>
                <w:szCs w:val="20"/>
                <w:color w:val="auto"/>
              </w:rPr>
            </w:pPr>
            <w:r>
              <w:rPr>
                <w:rFonts w:ascii="Arial" w:cs="Arial" w:eastAsia="Arial" w:hAnsi="Arial"/>
                <w:sz w:val="14"/>
                <w:szCs w:val="14"/>
                <w:b w:val="1"/>
                <w:bCs w:val="1"/>
                <w:color w:val="auto"/>
              </w:rPr>
              <w:t xml:space="preserve">Company </w:t>
            </w:r>
            <w:r>
              <w:rPr>
                <w:rFonts w:ascii="Arial" w:cs="Arial" w:eastAsia="Arial" w:hAnsi="Arial"/>
                <w:sz w:val="12"/>
                <w:szCs w:val="12"/>
                <w:b w:val="1"/>
                <w:bCs w:val="1"/>
                <w:color w:val="auto"/>
              </w:rPr>
              <w:t>(1)</w:t>
            </w:r>
          </w:p>
        </w:tc>
        <w:tc>
          <w:tcPr>
            <w:tcW w:w="100" w:type="dxa"/>
            <w:vAlign w:val="bottom"/>
          </w:tcPr>
          <w:p>
            <w:pPr>
              <w:spacing w:after="0"/>
              <w:rPr>
                <w:sz w:val="12"/>
                <w:szCs w:val="12"/>
                <w:color w:val="auto"/>
              </w:rPr>
            </w:pPr>
          </w:p>
        </w:tc>
        <w:tc>
          <w:tcPr>
            <w:tcW w:w="2480" w:type="dxa"/>
            <w:vAlign w:val="bottom"/>
            <w:gridSpan w:val="2"/>
            <w:vMerge w:val="restart"/>
          </w:tcPr>
          <w:p>
            <w:pPr>
              <w:ind w:left="840"/>
              <w:spacing w:after="0"/>
              <w:rPr>
                <w:sz w:val="20"/>
                <w:szCs w:val="20"/>
                <w:color w:val="auto"/>
              </w:rPr>
            </w:pPr>
            <w:r>
              <w:rPr>
                <w:rFonts w:ascii="Arial" w:cs="Arial" w:eastAsia="Arial" w:hAnsi="Arial"/>
                <w:sz w:val="14"/>
                <w:szCs w:val="14"/>
                <w:b w:val="1"/>
                <w:bCs w:val="1"/>
                <w:color w:val="auto"/>
              </w:rPr>
              <w:t>Investment</w:t>
            </w:r>
          </w:p>
        </w:tc>
        <w:tc>
          <w:tcPr>
            <w:tcW w:w="9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Acquisition</w:t>
            </w:r>
          </w:p>
        </w:tc>
        <w:tc>
          <w:tcPr>
            <w:tcW w:w="11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Rate and</w:t>
            </w:r>
          </w:p>
        </w:tc>
        <w:tc>
          <w:tcPr>
            <w:tcW w:w="1060" w:type="dxa"/>
            <w:vAlign w:val="bottom"/>
            <w:gridSpan w:val="2"/>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 xml:space="preserve">Fair Value </w:t>
            </w:r>
            <w:r>
              <w:rPr>
                <w:rFonts w:ascii="Arial" w:cs="Arial" w:eastAsia="Arial" w:hAnsi="Arial"/>
                <w:sz w:val="12"/>
                <w:szCs w:val="12"/>
                <w:b w:val="1"/>
                <w:bCs w:val="1"/>
                <w:color w:val="auto"/>
                <w:w w:val="95"/>
              </w:rPr>
              <w:t>(10)</w:t>
            </w:r>
          </w:p>
        </w:tc>
        <w:tc>
          <w:tcPr>
            <w:tcW w:w="9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4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480" w:type="dxa"/>
            <w:vAlign w:val="bottom"/>
            <w:gridSpan w:val="2"/>
            <w:vMerge w:val="continue"/>
          </w:tcPr>
          <w:p>
            <w:pPr>
              <w:spacing w:after="0"/>
              <w:rPr>
                <w:sz w:val="14"/>
                <w:szCs w:val="14"/>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Date</w:t>
            </w: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Spread</w:t>
            </w:r>
          </w:p>
        </w:tc>
        <w:tc>
          <w:tcPr>
            <w:tcW w:w="10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Rate</w:t>
            </w:r>
          </w:p>
        </w:tc>
        <w:tc>
          <w:tcPr>
            <w:tcW w:w="800" w:type="dxa"/>
            <w:vAlign w:val="bottom"/>
          </w:tcPr>
          <w:p>
            <w:pPr>
              <w:jc w:val="right"/>
              <w:ind w:right="11"/>
              <w:spacing w:after="0"/>
              <w:rPr>
                <w:sz w:val="20"/>
                <w:szCs w:val="20"/>
                <w:color w:val="auto"/>
              </w:rPr>
            </w:pPr>
            <w:r>
              <w:rPr>
                <w:rFonts w:ascii="Arial" w:cs="Arial" w:eastAsia="Arial" w:hAnsi="Arial"/>
                <w:sz w:val="14"/>
                <w:szCs w:val="14"/>
                <w:b w:val="1"/>
                <w:bCs w:val="1"/>
                <w:color w:val="auto"/>
              </w:rPr>
              <w:t xml:space="preserve">Cost </w:t>
            </w:r>
            <w:r>
              <w:rPr>
                <w:rFonts w:ascii="Arial" w:cs="Arial" w:eastAsia="Arial" w:hAnsi="Arial"/>
                <w:sz w:val="12"/>
                <w:szCs w:val="12"/>
                <w:b w:val="1"/>
                <w:bCs w:val="1"/>
                <w:color w:val="auto"/>
              </w:rPr>
              <w:t>(2)(8)</w:t>
            </w:r>
          </w:p>
        </w:tc>
        <w:tc>
          <w:tcPr>
            <w:tcW w:w="22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980" w:type="dxa"/>
            <w:vAlign w:val="bottom"/>
            <w:gridSpan w:val="2"/>
          </w:tcPr>
          <w:p>
            <w:pPr>
              <w:jc w:val="right"/>
              <w:ind w:right="90"/>
              <w:spacing w:after="0"/>
              <w:rPr>
                <w:sz w:val="20"/>
                <w:szCs w:val="20"/>
                <w:color w:val="auto"/>
              </w:rPr>
            </w:pPr>
            <w:r>
              <w:rPr>
                <w:rFonts w:ascii="Arial" w:cs="Arial" w:eastAsia="Arial" w:hAnsi="Arial"/>
                <w:sz w:val="14"/>
                <w:szCs w:val="14"/>
                <w:b w:val="1"/>
                <w:bCs w:val="1"/>
                <w:color w:val="auto"/>
                <w:w w:val="87"/>
              </w:rPr>
              <w:t>of Net Assets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4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 xml:space="preserve">PageUp People Limited </w:t>
            </w:r>
            <w:r>
              <w:rPr>
                <w:rFonts w:ascii="Arial" w:cs="Arial" w:eastAsia="Arial" w:hAnsi="Arial"/>
                <w:sz w:val="15"/>
                <w:szCs w:val="15"/>
                <w:color w:val="auto"/>
              </w:rPr>
              <w:t>(3)(4)</w:t>
            </w:r>
          </w:p>
        </w:tc>
        <w:tc>
          <w:tcPr>
            <w:tcW w:w="100" w:type="dxa"/>
            <w:vAlign w:val="bottom"/>
            <w:tcBorders>
              <w:top w:val="single" w:sz="8" w:color="CFF0FC"/>
            </w:tcBorders>
            <w:shd w:val="clear" w:color="auto" w:fill="CFF0FC"/>
          </w:tcPr>
          <w:p>
            <w:pPr>
              <w:spacing w:after="0"/>
              <w:rPr>
                <w:sz w:val="18"/>
                <w:szCs w:val="18"/>
                <w:color w:val="auto"/>
              </w:rPr>
            </w:pPr>
          </w:p>
        </w:tc>
        <w:tc>
          <w:tcPr>
            <w:tcW w:w="23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First-lien loan (AUD 47,078</w:t>
            </w:r>
          </w:p>
        </w:tc>
        <w:tc>
          <w:tcPr>
            <w:tcW w:w="120" w:type="dxa"/>
            <w:vAlign w:val="bottom"/>
            <w:tcBorders>
              <w:top w:val="single" w:sz="8" w:color="CFF0FC"/>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1/11/2018</w:t>
            </w:r>
          </w:p>
        </w:tc>
        <w:tc>
          <w:tcPr>
            <w:tcW w:w="120" w:type="dxa"/>
            <w:vAlign w:val="bottom"/>
            <w:tcBorders>
              <w:top w:val="single" w:sz="8" w:color="CFF0FC"/>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3"/>
              </w:rPr>
              <w:t>B + 7.25%</w:t>
            </w:r>
          </w:p>
        </w:tc>
        <w:tc>
          <w:tcPr>
            <w:tcW w:w="28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9.27%</w:t>
            </w:r>
          </w:p>
        </w:tc>
        <w:tc>
          <w:tcPr>
            <w:tcW w:w="30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36,372</w:t>
            </w:r>
          </w:p>
        </w:tc>
        <w:tc>
          <w:tcPr>
            <w:tcW w:w="220" w:type="dxa"/>
            <w:vAlign w:val="bottom"/>
            <w:tcBorders>
              <w:top w:val="single" w:sz="8" w:color="CFF0FC"/>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33,164</w:t>
            </w:r>
          </w:p>
        </w:tc>
        <w:tc>
          <w:tcPr>
            <w:tcW w:w="20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87"/>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shd w:val="clear" w:color="auto" w:fill="CFF0FC"/>
          </w:tcPr>
          <w:p>
            <w:pPr>
              <w:spacing w:after="0"/>
              <w:rPr>
                <w:sz w:val="18"/>
                <w:szCs w:val="18"/>
                <w:color w:val="auto"/>
              </w:rPr>
            </w:pPr>
          </w:p>
        </w:tc>
        <w:tc>
          <w:tcPr>
            <w:tcW w:w="2580" w:type="dxa"/>
            <w:vAlign w:val="bottom"/>
            <w:gridSpan w:val="3"/>
            <w:shd w:val="clear" w:color="auto" w:fill="CFF0FC"/>
          </w:tcPr>
          <w:p>
            <w:pPr>
              <w:ind w:left="100"/>
              <w:spacing w:after="0"/>
              <w:rPr>
                <w:sz w:val="20"/>
                <w:szCs w:val="20"/>
                <w:color w:val="auto"/>
              </w:rPr>
            </w:pPr>
            <w:r>
              <w:rPr>
                <w:rFonts w:ascii="Arial" w:cs="Arial" w:eastAsia="Arial" w:hAnsi="Arial"/>
                <w:sz w:val="18"/>
                <w:szCs w:val="18"/>
                <w:color w:val="auto"/>
              </w:rPr>
              <w:t>par, due 12/2022)</w:t>
            </w: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(incl.</w:t>
            </w:r>
          </w:p>
        </w:tc>
        <w:tc>
          <w:tcPr>
            <w:tcW w:w="800" w:type="dxa"/>
            <w:vAlign w:val="bottom"/>
            <w:shd w:val="clear" w:color="auto" w:fill="CFF0FC"/>
          </w:tcPr>
          <w:p>
            <w:pPr>
              <w:spacing w:after="0"/>
              <w:rPr>
                <w:sz w:val="18"/>
                <w:szCs w:val="18"/>
                <w:color w:val="auto"/>
              </w:rPr>
            </w:pPr>
          </w:p>
        </w:tc>
        <w:tc>
          <w:tcPr>
            <w:tcW w:w="1480" w:type="dxa"/>
            <w:vAlign w:val="bottom"/>
            <w:gridSpan w:val="3"/>
            <w:shd w:val="clear" w:color="auto" w:fill="CFF0FC"/>
          </w:tcPr>
          <w:p>
            <w:pPr>
              <w:jc w:val="center"/>
              <w:spacing w:after="0"/>
              <w:rPr>
                <w:sz w:val="20"/>
                <w:szCs w:val="20"/>
                <w:color w:val="auto"/>
              </w:rPr>
            </w:pPr>
            <w:r>
              <w:rPr>
                <w:rFonts w:ascii="Arial" w:cs="Arial" w:eastAsia="Arial" w:hAnsi="Arial"/>
                <w:sz w:val="18"/>
                <w:szCs w:val="18"/>
                <w:color w:val="auto"/>
                <w:w w:val="94"/>
              </w:rPr>
              <w:t>(AUD 46,688)</w:t>
            </w: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w:t>
            </w:r>
          </w:p>
        </w:tc>
        <w:tc>
          <w:tcPr>
            <w:tcW w:w="3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3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PIK)</w:t>
            </w:r>
          </w:p>
        </w:tc>
        <w:tc>
          <w:tcPr>
            <w:tcW w:w="800" w:type="dxa"/>
            <w:vAlign w:val="bottom"/>
            <w:tcBorders>
              <w:bottom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53,383</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50,172</w:t>
            </w:r>
          </w:p>
        </w:tc>
        <w:tc>
          <w:tcPr>
            <w:tcW w:w="20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Insurance</w:t>
            </w:r>
          </w:p>
        </w:tc>
        <w:tc>
          <w:tcPr>
            <w:tcW w:w="100" w:type="dxa"/>
            <w:vAlign w:val="bottom"/>
            <w:tcBorders>
              <w:top w:val="single" w:sz="8" w:color="CFF0FC"/>
            </w:tcBorders>
            <w:shd w:val="clear" w:color="auto" w:fill="CFF0FC"/>
          </w:tcPr>
          <w:p>
            <w:pPr>
              <w:spacing w:after="0"/>
              <w:rPr>
                <w:sz w:val="19"/>
                <w:szCs w:val="19"/>
                <w:color w:val="auto"/>
              </w:rPr>
            </w:pPr>
          </w:p>
        </w:tc>
        <w:tc>
          <w:tcPr>
            <w:tcW w:w="23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420" w:type="dxa"/>
            <w:vAlign w:val="bottom"/>
          </w:tcPr>
          <w:p>
            <w:pPr>
              <w:spacing w:after="0"/>
              <w:rPr>
                <w:sz w:val="20"/>
                <w:szCs w:val="20"/>
                <w:color w:val="auto"/>
              </w:rPr>
            </w:pPr>
            <w:r>
              <w:rPr>
                <w:rFonts w:ascii="Arial" w:cs="Arial" w:eastAsia="Arial" w:hAnsi="Arial"/>
                <w:sz w:val="18"/>
                <w:szCs w:val="18"/>
                <w:color w:val="auto"/>
              </w:rPr>
              <w:t xml:space="preserve">Insurity, Inc. </w:t>
            </w:r>
            <w:r>
              <w:rPr>
                <w:rFonts w:ascii="Arial" w:cs="Arial" w:eastAsia="Arial" w:hAnsi="Arial"/>
                <w:sz w:val="15"/>
                <w:szCs w:val="15"/>
                <w:color w:val="auto"/>
              </w:rPr>
              <w:t>(3)(5)</w:t>
            </w:r>
          </w:p>
        </w:tc>
        <w:tc>
          <w:tcPr>
            <w:tcW w:w="2580" w:type="dxa"/>
            <w:vAlign w:val="bottom"/>
            <w:gridSpan w:val="3"/>
          </w:tcPr>
          <w:p>
            <w:pPr>
              <w:ind w:left="100"/>
              <w:spacing w:after="0"/>
              <w:rPr>
                <w:sz w:val="20"/>
                <w:szCs w:val="20"/>
                <w:color w:val="auto"/>
              </w:rPr>
            </w:pPr>
            <w:r>
              <w:rPr>
                <w:rFonts w:ascii="Arial" w:cs="Arial" w:eastAsia="Arial" w:hAnsi="Arial"/>
                <w:sz w:val="18"/>
                <w:szCs w:val="18"/>
                <w:color w:val="auto"/>
                <w:w w:val="96"/>
              </w:rPr>
              <w:t>First-lien loan ($60,837 par, due</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10/31/2014</w:t>
            </w:r>
          </w:p>
        </w:tc>
        <w:tc>
          <w:tcPr>
            <w:tcW w:w="1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L + 6.50%</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9.18%</w:t>
            </w:r>
          </w:p>
        </w:tc>
        <w:tc>
          <w:tcPr>
            <w:tcW w:w="800" w:type="dxa"/>
            <w:vAlign w:val="bottom"/>
          </w:tcPr>
          <w:p>
            <w:pPr>
              <w:jc w:val="right"/>
              <w:spacing w:after="0"/>
              <w:rPr>
                <w:sz w:val="20"/>
                <w:szCs w:val="20"/>
                <w:color w:val="auto"/>
              </w:rPr>
            </w:pPr>
            <w:r>
              <w:rPr>
                <w:rFonts w:ascii="Arial" w:cs="Arial" w:eastAsia="Arial" w:hAnsi="Arial"/>
                <w:sz w:val="18"/>
                <w:szCs w:val="18"/>
                <w:color w:val="auto"/>
              </w:rPr>
              <w:t>60,593</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61,293</w:t>
            </w:r>
          </w:p>
        </w:tc>
        <w:tc>
          <w:tcPr>
            <w:tcW w:w="2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20" w:type="dxa"/>
            <w:vAlign w:val="bottom"/>
          </w:tcPr>
          <w:p>
            <w:pPr>
              <w:spacing w:after="0"/>
              <w:rPr>
                <w:sz w:val="20"/>
                <w:szCs w:val="20"/>
                <w:color w:val="auto"/>
              </w:rPr>
            </w:pPr>
          </w:p>
        </w:tc>
        <w:tc>
          <w:tcPr>
            <w:tcW w:w="2460" w:type="dxa"/>
            <w:vAlign w:val="bottom"/>
            <w:gridSpan w:val="2"/>
          </w:tcPr>
          <w:p>
            <w:pPr>
              <w:ind w:left="100"/>
              <w:spacing w:after="0"/>
              <w:rPr>
                <w:sz w:val="20"/>
                <w:szCs w:val="20"/>
                <w:color w:val="auto"/>
              </w:rPr>
            </w:pPr>
            <w:r>
              <w:rPr>
                <w:rFonts w:ascii="Arial" w:cs="Arial" w:eastAsia="Arial" w:hAnsi="Arial"/>
                <w:sz w:val="18"/>
                <w:szCs w:val="18"/>
                <w:color w:val="auto"/>
              </w:rPr>
              <w:t>10/2020)</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4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Riskonnect, Inc. </w:t>
            </w:r>
            <w:r>
              <w:rPr>
                <w:rFonts w:ascii="Arial" w:cs="Arial" w:eastAsia="Arial" w:hAnsi="Arial"/>
                <w:sz w:val="15"/>
                <w:szCs w:val="15"/>
                <w:color w:val="auto"/>
              </w:rPr>
              <w:t>(3)(5)</w:t>
            </w:r>
          </w:p>
        </w:tc>
        <w:tc>
          <w:tcPr>
            <w:tcW w:w="2580" w:type="dxa"/>
            <w:vAlign w:val="bottom"/>
            <w:gridSpan w:val="3"/>
            <w:shd w:val="clear" w:color="auto" w:fill="CFF0FC"/>
          </w:tcPr>
          <w:p>
            <w:pPr>
              <w:ind w:left="100"/>
              <w:spacing w:after="0"/>
              <w:rPr>
                <w:sz w:val="20"/>
                <w:szCs w:val="20"/>
                <w:color w:val="auto"/>
              </w:rPr>
            </w:pPr>
            <w:r>
              <w:rPr>
                <w:rFonts w:ascii="Arial" w:cs="Arial" w:eastAsia="Arial" w:hAnsi="Arial"/>
                <w:sz w:val="18"/>
                <w:szCs w:val="18"/>
                <w:color w:val="auto"/>
                <w:w w:val="96"/>
              </w:rPr>
              <w:t>First-lien loan ($50,000 par, due</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6/30/2017</w:t>
            </w:r>
          </w:p>
        </w:tc>
        <w:tc>
          <w:tcPr>
            <w:tcW w:w="1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L + 7.75%</w:t>
            </w: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10.36%</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49,455</w:t>
            </w: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49,250</w:t>
            </w:r>
          </w:p>
        </w:tc>
        <w:tc>
          <w:tcPr>
            <w:tcW w:w="2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20" w:type="dxa"/>
            <w:vAlign w:val="bottom"/>
            <w:shd w:val="clear" w:color="auto" w:fill="CFF0FC"/>
          </w:tcPr>
          <w:p>
            <w:pPr>
              <w:spacing w:after="0"/>
              <w:rPr>
                <w:sz w:val="20"/>
                <w:szCs w:val="20"/>
                <w:color w:val="auto"/>
              </w:rPr>
            </w:pPr>
          </w:p>
        </w:tc>
        <w:tc>
          <w:tcPr>
            <w:tcW w:w="246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10/2023)</w:t>
            </w:r>
          </w:p>
        </w:tc>
        <w:tc>
          <w:tcPr>
            <w:tcW w:w="12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110,048</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110,543</w:t>
            </w:r>
          </w:p>
        </w:tc>
        <w:tc>
          <w:tcPr>
            <w:tcW w:w="20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Internet services</w:t>
            </w:r>
          </w:p>
        </w:tc>
        <w:tc>
          <w:tcPr>
            <w:tcW w:w="100" w:type="dxa"/>
            <w:vAlign w:val="bottom"/>
            <w:tcBorders>
              <w:top w:val="single" w:sz="8" w:color="CFF0FC"/>
            </w:tcBorders>
            <w:shd w:val="clear" w:color="auto" w:fill="CFF0FC"/>
          </w:tcPr>
          <w:p>
            <w:pPr>
              <w:spacing w:after="0"/>
              <w:rPr>
                <w:sz w:val="19"/>
                <w:szCs w:val="19"/>
                <w:color w:val="auto"/>
              </w:rPr>
            </w:pPr>
          </w:p>
        </w:tc>
        <w:tc>
          <w:tcPr>
            <w:tcW w:w="23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420" w:type="dxa"/>
            <w:vAlign w:val="bottom"/>
          </w:tcPr>
          <w:p>
            <w:pPr>
              <w:spacing w:after="0"/>
              <w:rPr>
                <w:sz w:val="20"/>
                <w:szCs w:val="20"/>
                <w:color w:val="auto"/>
              </w:rPr>
            </w:pPr>
            <w:r>
              <w:rPr>
                <w:rFonts w:ascii="Arial" w:cs="Arial" w:eastAsia="Arial" w:hAnsi="Arial"/>
                <w:sz w:val="18"/>
                <w:szCs w:val="18"/>
                <w:color w:val="auto"/>
              </w:rPr>
              <w:t xml:space="preserve">Higher Logic, LLC </w:t>
            </w:r>
            <w:r>
              <w:rPr>
                <w:rFonts w:ascii="Arial" w:cs="Arial" w:eastAsia="Arial" w:hAnsi="Arial"/>
                <w:sz w:val="15"/>
                <w:szCs w:val="15"/>
                <w:color w:val="auto"/>
              </w:rPr>
              <w:t>(3)(5)</w:t>
            </w:r>
          </w:p>
        </w:tc>
        <w:tc>
          <w:tcPr>
            <w:tcW w:w="2580" w:type="dxa"/>
            <w:vAlign w:val="bottom"/>
            <w:gridSpan w:val="3"/>
          </w:tcPr>
          <w:p>
            <w:pPr>
              <w:ind w:left="100"/>
              <w:spacing w:after="0"/>
              <w:rPr>
                <w:sz w:val="20"/>
                <w:szCs w:val="20"/>
                <w:color w:val="auto"/>
              </w:rPr>
            </w:pPr>
            <w:r>
              <w:rPr>
                <w:rFonts w:ascii="Arial" w:cs="Arial" w:eastAsia="Arial" w:hAnsi="Arial"/>
                <w:sz w:val="18"/>
                <w:szCs w:val="18"/>
                <w:color w:val="auto"/>
                <w:w w:val="96"/>
              </w:rPr>
              <w:t>First-lien loan ($37,715 par, due</w:t>
            </w:r>
          </w:p>
        </w:tc>
        <w:tc>
          <w:tcPr>
            <w:tcW w:w="860" w:type="dxa"/>
            <w:vAlign w:val="bottom"/>
          </w:tcPr>
          <w:p>
            <w:pPr>
              <w:jc w:val="right"/>
              <w:spacing w:after="0"/>
              <w:rPr>
                <w:sz w:val="20"/>
                <w:szCs w:val="20"/>
                <w:color w:val="auto"/>
              </w:rPr>
            </w:pPr>
            <w:r>
              <w:rPr>
                <w:rFonts w:ascii="Arial" w:cs="Arial" w:eastAsia="Arial" w:hAnsi="Arial"/>
                <w:sz w:val="18"/>
                <w:szCs w:val="18"/>
                <w:color w:val="auto"/>
              </w:rPr>
              <w:t>6/18/2018</w:t>
            </w:r>
          </w:p>
        </w:tc>
        <w:tc>
          <w:tcPr>
            <w:tcW w:w="1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L + 6.00%</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8.61%</w:t>
            </w:r>
          </w:p>
        </w:tc>
        <w:tc>
          <w:tcPr>
            <w:tcW w:w="800" w:type="dxa"/>
            <w:vAlign w:val="bottom"/>
          </w:tcPr>
          <w:p>
            <w:pPr>
              <w:jc w:val="right"/>
              <w:spacing w:after="0"/>
              <w:rPr>
                <w:sz w:val="20"/>
                <w:szCs w:val="20"/>
                <w:color w:val="auto"/>
              </w:rPr>
            </w:pPr>
            <w:r>
              <w:rPr>
                <w:rFonts w:ascii="Arial" w:cs="Arial" w:eastAsia="Arial" w:hAnsi="Arial"/>
                <w:sz w:val="18"/>
                <w:szCs w:val="18"/>
                <w:color w:val="auto"/>
              </w:rPr>
              <w:t>37,184</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37,149</w:t>
            </w:r>
          </w:p>
        </w:tc>
        <w:tc>
          <w:tcPr>
            <w:tcW w:w="2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20" w:type="dxa"/>
            <w:vAlign w:val="bottom"/>
          </w:tcPr>
          <w:p>
            <w:pPr>
              <w:spacing w:after="0"/>
              <w:rPr>
                <w:sz w:val="20"/>
                <w:szCs w:val="20"/>
                <w:color w:val="auto"/>
              </w:rPr>
            </w:pPr>
          </w:p>
        </w:tc>
        <w:tc>
          <w:tcPr>
            <w:tcW w:w="2460" w:type="dxa"/>
            <w:vAlign w:val="bottom"/>
            <w:gridSpan w:val="2"/>
          </w:tcPr>
          <w:p>
            <w:pPr>
              <w:ind w:left="100"/>
              <w:spacing w:after="0"/>
              <w:rPr>
                <w:sz w:val="20"/>
                <w:szCs w:val="20"/>
                <w:color w:val="auto"/>
              </w:rPr>
            </w:pPr>
            <w:r>
              <w:rPr>
                <w:rFonts w:ascii="Arial" w:cs="Arial" w:eastAsia="Arial" w:hAnsi="Arial"/>
                <w:sz w:val="18"/>
                <w:szCs w:val="18"/>
                <w:color w:val="auto"/>
              </w:rPr>
              <w:t>1/2022)</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4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Lithium Technologies, LLC </w:t>
            </w:r>
            <w:r>
              <w:rPr>
                <w:rFonts w:ascii="Arial" w:cs="Arial" w:eastAsia="Arial" w:hAnsi="Arial"/>
                <w:sz w:val="15"/>
                <w:szCs w:val="15"/>
                <w:color w:val="auto"/>
              </w:rPr>
              <w:t>(3)</w:t>
            </w:r>
          </w:p>
        </w:tc>
        <w:tc>
          <w:tcPr>
            <w:tcW w:w="2580" w:type="dxa"/>
            <w:vAlign w:val="bottom"/>
            <w:gridSpan w:val="3"/>
            <w:shd w:val="clear" w:color="auto" w:fill="CFF0FC"/>
          </w:tcPr>
          <w:p>
            <w:pPr>
              <w:ind w:left="100"/>
              <w:spacing w:after="0"/>
              <w:rPr>
                <w:sz w:val="20"/>
                <w:szCs w:val="20"/>
                <w:color w:val="auto"/>
              </w:rPr>
            </w:pPr>
            <w:r>
              <w:rPr>
                <w:rFonts w:ascii="Arial" w:cs="Arial" w:eastAsia="Arial" w:hAnsi="Arial"/>
                <w:sz w:val="18"/>
                <w:szCs w:val="18"/>
                <w:color w:val="auto"/>
                <w:w w:val="96"/>
              </w:rPr>
              <w:t>First-lien loan ($54,700 par, due</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10/3/2017</w:t>
            </w:r>
          </w:p>
        </w:tc>
        <w:tc>
          <w:tcPr>
            <w:tcW w:w="1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L + 8.00%</w:t>
            </w: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10.49%</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53,699</w:t>
            </w: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54,260</w:t>
            </w:r>
          </w:p>
        </w:tc>
        <w:tc>
          <w:tcPr>
            <w:tcW w:w="2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20" w:type="dxa"/>
            <w:vAlign w:val="bottom"/>
            <w:shd w:val="clear" w:color="auto" w:fill="CFF0FC"/>
          </w:tcPr>
          <w:p>
            <w:pPr>
              <w:spacing w:after="0"/>
              <w:rPr>
                <w:sz w:val="20"/>
                <w:szCs w:val="20"/>
                <w:color w:val="auto"/>
              </w:rPr>
            </w:pPr>
          </w:p>
        </w:tc>
        <w:tc>
          <w:tcPr>
            <w:tcW w:w="246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10/2022)</w:t>
            </w:r>
          </w:p>
        </w:tc>
        <w:tc>
          <w:tcPr>
            <w:tcW w:w="12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90,883</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91,409</w:t>
            </w:r>
          </w:p>
        </w:tc>
        <w:tc>
          <w:tcPr>
            <w:tcW w:w="20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Manufacturing</w:t>
            </w:r>
          </w:p>
        </w:tc>
        <w:tc>
          <w:tcPr>
            <w:tcW w:w="100" w:type="dxa"/>
            <w:vAlign w:val="bottom"/>
            <w:tcBorders>
              <w:top w:val="single" w:sz="8" w:color="CFF0FC"/>
            </w:tcBorders>
            <w:shd w:val="clear" w:color="auto" w:fill="CFF0FC"/>
          </w:tcPr>
          <w:p>
            <w:pPr>
              <w:spacing w:after="0"/>
              <w:rPr>
                <w:sz w:val="19"/>
                <w:szCs w:val="19"/>
                <w:color w:val="auto"/>
              </w:rPr>
            </w:pPr>
          </w:p>
        </w:tc>
        <w:tc>
          <w:tcPr>
            <w:tcW w:w="23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420" w:type="dxa"/>
            <w:vAlign w:val="bottom"/>
          </w:tcPr>
          <w:p>
            <w:pPr>
              <w:spacing w:after="0"/>
              <w:rPr>
                <w:sz w:val="20"/>
                <w:szCs w:val="20"/>
                <w:color w:val="auto"/>
              </w:rPr>
            </w:pPr>
            <w:r>
              <w:rPr>
                <w:rFonts w:ascii="Arial" w:cs="Arial" w:eastAsia="Arial" w:hAnsi="Arial"/>
                <w:sz w:val="18"/>
                <w:szCs w:val="18"/>
                <w:color w:val="auto"/>
                <w:w w:val="98"/>
              </w:rPr>
              <w:t xml:space="preserve">ScentAir Technologies, Inc. </w:t>
            </w:r>
            <w:r>
              <w:rPr>
                <w:rFonts w:ascii="Arial" w:cs="Arial" w:eastAsia="Arial" w:hAnsi="Arial"/>
                <w:sz w:val="15"/>
                <w:szCs w:val="15"/>
                <w:color w:val="auto"/>
                <w:w w:val="98"/>
              </w:rPr>
              <w:t>(3)</w:t>
            </w:r>
          </w:p>
        </w:tc>
        <w:tc>
          <w:tcPr>
            <w:tcW w:w="2580" w:type="dxa"/>
            <w:vAlign w:val="bottom"/>
            <w:gridSpan w:val="3"/>
          </w:tcPr>
          <w:p>
            <w:pPr>
              <w:ind w:left="100"/>
              <w:spacing w:after="0"/>
              <w:rPr>
                <w:sz w:val="20"/>
                <w:szCs w:val="20"/>
                <w:color w:val="auto"/>
              </w:rPr>
            </w:pPr>
            <w:r>
              <w:rPr>
                <w:rFonts w:ascii="Arial" w:cs="Arial" w:eastAsia="Arial" w:hAnsi="Arial"/>
                <w:sz w:val="18"/>
                <w:szCs w:val="18"/>
                <w:color w:val="auto"/>
                <w:w w:val="96"/>
              </w:rPr>
              <w:t>First-lien loan ($19,986 par, due</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12/30/2014</w:t>
            </w:r>
          </w:p>
        </w:tc>
        <w:tc>
          <w:tcPr>
            <w:tcW w:w="1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L + 7.25%</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9.75%</w:t>
            </w:r>
          </w:p>
        </w:tc>
        <w:tc>
          <w:tcPr>
            <w:tcW w:w="800" w:type="dxa"/>
            <w:vAlign w:val="bottom"/>
          </w:tcPr>
          <w:p>
            <w:pPr>
              <w:jc w:val="right"/>
              <w:spacing w:after="0"/>
              <w:rPr>
                <w:sz w:val="20"/>
                <w:szCs w:val="20"/>
                <w:color w:val="auto"/>
              </w:rPr>
            </w:pPr>
            <w:r>
              <w:rPr>
                <w:rFonts w:ascii="Arial" w:cs="Arial" w:eastAsia="Arial" w:hAnsi="Arial"/>
                <w:sz w:val="18"/>
                <w:szCs w:val="18"/>
                <w:color w:val="auto"/>
              </w:rPr>
              <w:t>19,918</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19,986</w:t>
            </w:r>
          </w:p>
        </w:tc>
        <w:tc>
          <w:tcPr>
            <w:tcW w:w="2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20" w:type="dxa"/>
            <w:vAlign w:val="bottom"/>
          </w:tcPr>
          <w:p>
            <w:pPr>
              <w:spacing w:after="0"/>
              <w:rPr>
                <w:sz w:val="20"/>
                <w:szCs w:val="20"/>
                <w:color w:val="auto"/>
              </w:rPr>
            </w:pPr>
          </w:p>
        </w:tc>
        <w:tc>
          <w:tcPr>
            <w:tcW w:w="2460" w:type="dxa"/>
            <w:vAlign w:val="bottom"/>
            <w:gridSpan w:val="2"/>
          </w:tcPr>
          <w:p>
            <w:pPr>
              <w:ind w:left="100"/>
              <w:spacing w:after="0"/>
              <w:rPr>
                <w:sz w:val="20"/>
                <w:szCs w:val="20"/>
                <w:color w:val="auto"/>
              </w:rPr>
            </w:pPr>
            <w:r>
              <w:rPr>
                <w:rFonts w:ascii="Arial" w:cs="Arial" w:eastAsia="Arial" w:hAnsi="Arial"/>
                <w:sz w:val="18"/>
                <w:szCs w:val="18"/>
                <w:color w:val="auto"/>
              </w:rPr>
              <w:t>12/2019)</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420" w:type="dxa"/>
            <w:vAlign w:val="bottom"/>
            <w:shd w:val="clear" w:color="auto" w:fill="CFF0FC"/>
          </w:tcPr>
          <w:p>
            <w:pPr>
              <w:spacing w:after="0"/>
              <w:rPr>
                <w:sz w:val="18"/>
                <w:szCs w:val="18"/>
                <w:color w:val="auto"/>
              </w:rPr>
            </w:pPr>
          </w:p>
        </w:tc>
        <w:tc>
          <w:tcPr>
            <w:tcW w:w="2580" w:type="dxa"/>
            <w:vAlign w:val="bottom"/>
            <w:gridSpan w:val="3"/>
            <w:shd w:val="clear" w:color="auto" w:fill="CFF0FC"/>
          </w:tcPr>
          <w:p>
            <w:pPr>
              <w:ind w:left="100"/>
              <w:spacing w:after="0"/>
              <w:rPr>
                <w:sz w:val="20"/>
                <w:szCs w:val="20"/>
                <w:color w:val="auto"/>
              </w:rPr>
            </w:pPr>
            <w:r>
              <w:rPr>
                <w:rFonts w:ascii="Arial" w:cs="Arial" w:eastAsia="Arial" w:hAnsi="Arial"/>
                <w:sz w:val="18"/>
                <w:szCs w:val="18"/>
                <w:color w:val="auto"/>
                <w:w w:val="97"/>
              </w:rPr>
              <w:t>First-lien revolving loan ($1,393</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12/30/2014</w:t>
            </w:r>
          </w:p>
        </w:tc>
        <w:tc>
          <w:tcPr>
            <w:tcW w:w="1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L + 7.25%</w:t>
            </w: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9.75%</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1,387</w:t>
            </w: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1,393</w:t>
            </w:r>
          </w:p>
        </w:tc>
        <w:tc>
          <w:tcPr>
            <w:tcW w:w="2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20" w:type="dxa"/>
            <w:vAlign w:val="bottom"/>
            <w:shd w:val="clear" w:color="auto" w:fill="CFF0FC"/>
          </w:tcPr>
          <w:p>
            <w:pPr>
              <w:spacing w:after="0"/>
              <w:rPr>
                <w:sz w:val="20"/>
                <w:szCs w:val="20"/>
                <w:color w:val="auto"/>
              </w:rPr>
            </w:pPr>
          </w:p>
        </w:tc>
        <w:tc>
          <w:tcPr>
            <w:tcW w:w="2580" w:type="dxa"/>
            <w:vAlign w:val="bottom"/>
            <w:gridSpan w:val="3"/>
            <w:shd w:val="clear" w:color="auto" w:fill="CFF0FC"/>
          </w:tcPr>
          <w:p>
            <w:pPr>
              <w:ind w:left="100"/>
              <w:spacing w:after="0"/>
              <w:rPr>
                <w:sz w:val="20"/>
                <w:szCs w:val="20"/>
                <w:color w:val="auto"/>
              </w:rPr>
            </w:pPr>
            <w:r>
              <w:rPr>
                <w:rFonts w:ascii="Arial" w:cs="Arial" w:eastAsia="Arial" w:hAnsi="Arial"/>
                <w:sz w:val="18"/>
                <w:szCs w:val="18"/>
                <w:color w:val="auto"/>
              </w:rPr>
              <w:t>par, due 12/2019)</w:t>
            </w:r>
          </w:p>
        </w:tc>
        <w:tc>
          <w:tcPr>
            <w:tcW w:w="8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21,305</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21,379</w:t>
            </w:r>
          </w:p>
        </w:tc>
        <w:tc>
          <w:tcPr>
            <w:tcW w:w="20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Marketing services</w:t>
            </w:r>
          </w:p>
        </w:tc>
        <w:tc>
          <w:tcPr>
            <w:tcW w:w="100" w:type="dxa"/>
            <w:vAlign w:val="bottom"/>
            <w:tcBorders>
              <w:top w:val="single" w:sz="8" w:color="CFF0FC"/>
            </w:tcBorders>
            <w:shd w:val="clear" w:color="auto" w:fill="CFF0FC"/>
          </w:tcPr>
          <w:p>
            <w:pPr>
              <w:spacing w:after="0"/>
              <w:rPr>
                <w:sz w:val="19"/>
                <w:szCs w:val="19"/>
                <w:color w:val="auto"/>
              </w:rPr>
            </w:pPr>
          </w:p>
        </w:tc>
        <w:tc>
          <w:tcPr>
            <w:tcW w:w="23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420" w:type="dxa"/>
            <w:vAlign w:val="bottom"/>
          </w:tcPr>
          <w:p>
            <w:pPr>
              <w:spacing w:after="0"/>
              <w:rPr>
                <w:sz w:val="20"/>
                <w:szCs w:val="20"/>
                <w:color w:val="auto"/>
              </w:rPr>
            </w:pPr>
            <w:r>
              <w:rPr>
                <w:rFonts w:ascii="Arial" w:cs="Arial" w:eastAsia="Arial" w:hAnsi="Arial"/>
                <w:sz w:val="18"/>
                <w:szCs w:val="18"/>
                <w:color w:val="auto"/>
              </w:rPr>
              <w:t xml:space="preserve">Validity, Inc. </w:t>
            </w:r>
            <w:r>
              <w:rPr>
                <w:rFonts w:ascii="Arial" w:cs="Arial" w:eastAsia="Arial" w:hAnsi="Arial"/>
                <w:sz w:val="15"/>
                <w:szCs w:val="15"/>
                <w:color w:val="auto"/>
              </w:rPr>
              <w:t>(3)(5)(6)</w:t>
            </w:r>
          </w:p>
        </w:tc>
        <w:tc>
          <w:tcPr>
            <w:tcW w:w="2580" w:type="dxa"/>
            <w:vAlign w:val="bottom"/>
            <w:gridSpan w:val="3"/>
          </w:tcPr>
          <w:p>
            <w:pPr>
              <w:ind w:left="100"/>
              <w:spacing w:after="0"/>
              <w:rPr>
                <w:sz w:val="20"/>
                <w:szCs w:val="20"/>
                <w:color w:val="auto"/>
              </w:rPr>
            </w:pPr>
            <w:r>
              <w:rPr>
                <w:rFonts w:ascii="Arial" w:cs="Arial" w:eastAsia="Arial" w:hAnsi="Arial"/>
                <w:sz w:val="18"/>
                <w:szCs w:val="18"/>
                <w:color w:val="auto"/>
                <w:w w:val="96"/>
              </w:rPr>
              <w:t>First-lien loan ($36,797 par, due</w:t>
            </w:r>
          </w:p>
        </w:tc>
        <w:tc>
          <w:tcPr>
            <w:tcW w:w="860" w:type="dxa"/>
            <w:vAlign w:val="bottom"/>
          </w:tcPr>
          <w:p>
            <w:pPr>
              <w:jc w:val="right"/>
              <w:spacing w:after="0"/>
              <w:rPr>
                <w:sz w:val="20"/>
                <w:szCs w:val="20"/>
                <w:color w:val="auto"/>
              </w:rPr>
            </w:pPr>
            <w:r>
              <w:rPr>
                <w:rFonts w:ascii="Arial" w:cs="Arial" w:eastAsia="Arial" w:hAnsi="Arial"/>
                <w:sz w:val="18"/>
                <w:szCs w:val="18"/>
                <w:color w:val="auto"/>
              </w:rPr>
              <w:t>5/31/2018</w:t>
            </w:r>
          </w:p>
        </w:tc>
        <w:tc>
          <w:tcPr>
            <w:tcW w:w="1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L + 6.50%</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9.19%</w:t>
            </w:r>
          </w:p>
        </w:tc>
        <w:tc>
          <w:tcPr>
            <w:tcW w:w="800" w:type="dxa"/>
            <w:vAlign w:val="bottom"/>
          </w:tcPr>
          <w:p>
            <w:pPr>
              <w:jc w:val="right"/>
              <w:spacing w:after="0"/>
              <w:rPr>
                <w:sz w:val="20"/>
                <w:szCs w:val="20"/>
                <w:color w:val="auto"/>
              </w:rPr>
            </w:pPr>
            <w:r>
              <w:rPr>
                <w:rFonts w:ascii="Arial" w:cs="Arial" w:eastAsia="Arial" w:hAnsi="Arial"/>
                <w:sz w:val="18"/>
                <w:szCs w:val="18"/>
                <w:color w:val="auto"/>
              </w:rPr>
              <w:t>36,243</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36,153</w:t>
            </w:r>
          </w:p>
        </w:tc>
        <w:tc>
          <w:tcPr>
            <w:tcW w:w="2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20" w:type="dxa"/>
            <w:vAlign w:val="bottom"/>
          </w:tcPr>
          <w:p>
            <w:pPr>
              <w:spacing w:after="0"/>
              <w:rPr>
                <w:sz w:val="20"/>
                <w:szCs w:val="20"/>
                <w:color w:val="auto"/>
              </w:rPr>
            </w:pPr>
          </w:p>
        </w:tc>
        <w:tc>
          <w:tcPr>
            <w:tcW w:w="2460" w:type="dxa"/>
            <w:vAlign w:val="bottom"/>
            <w:gridSpan w:val="2"/>
          </w:tcPr>
          <w:p>
            <w:pPr>
              <w:ind w:left="100"/>
              <w:spacing w:after="0"/>
              <w:rPr>
                <w:sz w:val="20"/>
                <w:szCs w:val="20"/>
                <w:color w:val="auto"/>
              </w:rPr>
            </w:pPr>
            <w:r>
              <w:rPr>
                <w:rFonts w:ascii="Arial" w:cs="Arial" w:eastAsia="Arial" w:hAnsi="Arial"/>
                <w:sz w:val="18"/>
                <w:szCs w:val="18"/>
                <w:color w:val="auto"/>
              </w:rPr>
              <w:t>5/2023)</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4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Office products</w:t>
            </w:r>
          </w:p>
        </w:tc>
        <w:tc>
          <w:tcPr>
            <w:tcW w:w="100" w:type="dxa"/>
            <w:vAlign w:val="bottom"/>
            <w:shd w:val="clear" w:color="auto" w:fill="CFF0FC"/>
          </w:tcPr>
          <w:p>
            <w:pPr>
              <w:spacing w:after="0"/>
              <w:rPr>
                <w:sz w:val="19"/>
                <w:szCs w:val="19"/>
                <w:color w:val="auto"/>
              </w:rPr>
            </w:pPr>
          </w:p>
        </w:tc>
        <w:tc>
          <w:tcPr>
            <w:tcW w:w="2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420" w:type="dxa"/>
            <w:vAlign w:val="bottom"/>
          </w:tcPr>
          <w:p>
            <w:pPr>
              <w:spacing w:after="0"/>
              <w:rPr>
                <w:sz w:val="20"/>
                <w:szCs w:val="20"/>
                <w:color w:val="auto"/>
              </w:rPr>
            </w:pPr>
            <w:r>
              <w:rPr>
                <w:rFonts w:ascii="Arial" w:cs="Arial" w:eastAsia="Arial" w:hAnsi="Arial"/>
                <w:sz w:val="18"/>
                <w:szCs w:val="18"/>
                <w:color w:val="auto"/>
              </w:rPr>
              <w:t xml:space="preserve">USR Parent Inc. </w:t>
            </w:r>
            <w:r>
              <w:rPr>
                <w:rFonts w:ascii="Arial" w:cs="Arial" w:eastAsia="Arial" w:hAnsi="Arial"/>
                <w:sz w:val="15"/>
                <w:szCs w:val="15"/>
                <w:color w:val="auto"/>
              </w:rPr>
              <w:t>(3)(5)</w:t>
            </w:r>
          </w:p>
        </w:tc>
        <w:tc>
          <w:tcPr>
            <w:tcW w:w="2580" w:type="dxa"/>
            <w:vAlign w:val="bottom"/>
            <w:gridSpan w:val="3"/>
          </w:tcPr>
          <w:p>
            <w:pPr>
              <w:ind w:left="100"/>
              <w:spacing w:after="0"/>
              <w:rPr>
                <w:sz w:val="20"/>
                <w:szCs w:val="20"/>
                <w:color w:val="auto"/>
              </w:rPr>
            </w:pPr>
            <w:r>
              <w:rPr>
                <w:rFonts w:ascii="Arial" w:cs="Arial" w:eastAsia="Arial" w:hAnsi="Arial"/>
                <w:sz w:val="18"/>
                <w:szCs w:val="18"/>
                <w:color w:val="auto"/>
              </w:rPr>
              <w:t>ABL FILO term loan ($13,000</w:t>
            </w:r>
          </w:p>
        </w:tc>
        <w:tc>
          <w:tcPr>
            <w:tcW w:w="860" w:type="dxa"/>
            <w:vAlign w:val="bottom"/>
          </w:tcPr>
          <w:p>
            <w:pPr>
              <w:jc w:val="right"/>
              <w:spacing w:after="0"/>
              <w:rPr>
                <w:sz w:val="20"/>
                <w:szCs w:val="20"/>
                <w:color w:val="auto"/>
              </w:rPr>
            </w:pPr>
            <w:r>
              <w:rPr>
                <w:rFonts w:ascii="Arial" w:cs="Arial" w:eastAsia="Arial" w:hAnsi="Arial"/>
                <w:sz w:val="18"/>
                <w:szCs w:val="18"/>
                <w:color w:val="auto"/>
              </w:rPr>
              <w:t>9/12/2017</w:t>
            </w:r>
          </w:p>
        </w:tc>
        <w:tc>
          <w:tcPr>
            <w:tcW w:w="1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L + 7.75%</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10.23%</w:t>
            </w:r>
          </w:p>
        </w:tc>
        <w:tc>
          <w:tcPr>
            <w:tcW w:w="800" w:type="dxa"/>
            <w:vAlign w:val="bottom"/>
          </w:tcPr>
          <w:p>
            <w:pPr>
              <w:jc w:val="right"/>
              <w:spacing w:after="0"/>
              <w:rPr>
                <w:sz w:val="20"/>
                <w:szCs w:val="20"/>
                <w:color w:val="auto"/>
              </w:rPr>
            </w:pPr>
            <w:r>
              <w:rPr>
                <w:rFonts w:ascii="Arial" w:cs="Arial" w:eastAsia="Arial" w:hAnsi="Arial"/>
                <w:sz w:val="18"/>
                <w:szCs w:val="18"/>
                <w:color w:val="auto"/>
              </w:rPr>
              <w:t>12,773</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12,967</w:t>
            </w:r>
          </w:p>
        </w:tc>
        <w:tc>
          <w:tcPr>
            <w:tcW w:w="2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20" w:type="dxa"/>
            <w:vAlign w:val="bottom"/>
          </w:tcPr>
          <w:p>
            <w:pPr>
              <w:spacing w:after="0"/>
              <w:rPr>
                <w:sz w:val="20"/>
                <w:szCs w:val="20"/>
                <w:color w:val="auto"/>
              </w:rPr>
            </w:pPr>
          </w:p>
        </w:tc>
        <w:tc>
          <w:tcPr>
            <w:tcW w:w="2580" w:type="dxa"/>
            <w:vAlign w:val="bottom"/>
            <w:gridSpan w:val="3"/>
          </w:tcPr>
          <w:p>
            <w:pPr>
              <w:ind w:left="100"/>
              <w:spacing w:after="0"/>
              <w:rPr>
                <w:sz w:val="20"/>
                <w:szCs w:val="20"/>
                <w:color w:val="auto"/>
              </w:rPr>
            </w:pPr>
            <w:r>
              <w:rPr>
                <w:rFonts w:ascii="Arial" w:cs="Arial" w:eastAsia="Arial" w:hAnsi="Arial"/>
                <w:sz w:val="18"/>
                <w:szCs w:val="18"/>
                <w:color w:val="auto"/>
              </w:rPr>
              <w:t>par, due 9/2022)</w:t>
            </w: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4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Oil, gas and consumable</w:t>
            </w:r>
          </w:p>
        </w:tc>
        <w:tc>
          <w:tcPr>
            <w:tcW w:w="100" w:type="dxa"/>
            <w:vAlign w:val="bottom"/>
            <w:shd w:val="clear" w:color="auto" w:fill="CFF0FC"/>
          </w:tcPr>
          <w:p>
            <w:pPr>
              <w:spacing w:after="0"/>
              <w:rPr>
                <w:sz w:val="18"/>
                <w:szCs w:val="18"/>
                <w:color w:val="auto"/>
              </w:rPr>
            </w:pPr>
          </w:p>
        </w:tc>
        <w:tc>
          <w:tcPr>
            <w:tcW w:w="2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42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fuels</w:t>
            </w:r>
          </w:p>
        </w:tc>
        <w:tc>
          <w:tcPr>
            <w:tcW w:w="100" w:type="dxa"/>
            <w:vAlign w:val="bottom"/>
            <w:shd w:val="clear" w:color="auto" w:fill="CFF0FC"/>
          </w:tcPr>
          <w:p>
            <w:pPr>
              <w:spacing w:after="0"/>
              <w:rPr>
                <w:sz w:val="20"/>
                <w:szCs w:val="20"/>
                <w:color w:val="auto"/>
              </w:rPr>
            </w:pPr>
          </w:p>
        </w:tc>
        <w:tc>
          <w:tcPr>
            <w:tcW w:w="23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420" w:type="dxa"/>
            <w:vAlign w:val="bottom"/>
          </w:tcPr>
          <w:p>
            <w:pPr>
              <w:spacing w:after="0"/>
              <w:rPr>
                <w:sz w:val="20"/>
                <w:szCs w:val="20"/>
                <w:color w:val="auto"/>
              </w:rPr>
            </w:pPr>
            <w:r>
              <w:rPr>
                <w:rFonts w:ascii="Arial" w:cs="Arial" w:eastAsia="Arial" w:hAnsi="Arial"/>
                <w:sz w:val="18"/>
                <w:szCs w:val="18"/>
                <w:color w:val="auto"/>
              </w:rPr>
              <w:t xml:space="preserve">MD America Energy, LLC </w:t>
            </w:r>
            <w:r>
              <w:rPr>
                <w:rFonts w:ascii="Arial" w:cs="Arial" w:eastAsia="Arial" w:hAnsi="Arial"/>
                <w:sz w:val="15"/>
                <w:szCs w:val="15"/>
                <w:color w:val="auto"/>
              </w:rPr>
              <w:t>(3)</w:t>
            </w:r>
          </w:p>
        </w:tc>
        <w:tc>
          <w:tcPr>
            <w:tcW w:w="2580" w:type="dxa"/>
            <w:vAlign w:val="bottom"/>
            <w:gridSpan w:val="3"/>
          </w:tcPr>
          <w:p>
            <w:pPr>
              <w:ind w:left="100"/>
              <w:spacing w:after="0"/>
              <w:rPr>
                <w:sz w:val="20"/>
                <w:szCs w:val="20"/>
                <w:color w:val="auto"/>
              </w:rPr>
            </w:pPr>
            <w:r>
              <w:rPr>
                <w:rFonts w:ascii="Arial" w:cs="Arial" w:eastAsia="Arial" w:hAnsi="Arial"/>
                <w:sz w:val="18"/>
                <w:szCs w:val="18"/>
                <w:color w:val="auto"/>
                <w:w w:val="96"/>
              </w:rPr>
              <w:t>First-lien loan ($14,906 par, due</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11/14/2018</w:t>
            </w:r>
          </w:p>
        </w:tc>
        <w:tc>
          <w:tcPr>
            <w:tcW w:w="1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L + 7.75%</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10.44%</w:t>
            </w:r>
          </w:p>
        </w:tc>
        <w:tc>
          <w:tcPr>
            <w:tcW w:w="800" w:type="dxa"/>
            <w:vAlign w:val="bottom"/>
          </w:tcPr>
          <w:p>
            <w:pPr>
              <w:jc w:val="right"/>
              <w:spacing w:after="0"/>
              <w:rPr>
                <w:sz w:val="20"/>
                <w:szCs w:val="20"/>
                <w:color w:val="auto"/>
              </w:rPr>
            </w:pPr>
            <w:r>
              <w:rPr>
                <w:rFonts w:ascii="Arial" w:cs="Arial" w:eastAsia="Arial" w:hAnsi="Arial"/>
                <w:sz w:val="18"/>
                <w:szCs w:val="18"/>
                <w:color w:val="auto"/>
              </w:rPr>
              <w:t>14,512</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14,383</w:t>
            </w:r>
          </w:p>
        </w:tc>
        <w:tc>
          <w:tcPr>
            <w:tcW w:w="2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20" w:type="dxa"/>
            <w:vAlign w:val="bottom"/>
          </w:tcPr>
          <w:p>
            <w:pPr>
              <w:spacing w:after="0"/>
              <w:rPr>
                <w:sz w:val="20"/>
                <w:szCs w:val="20"/>
                <w:color w:val="auto"/>
              </w:rPr>
            </w:pPr>
          </w:p>
        </w:tc>
        <w:tc>
          <w:tcPr>
            <w:tcW w:w="2460" w:type="dxa"/>
            <w:vAlign w:val="bottom"/>
            <w:gridSpan w:val="2"/>
          </w:tcPr>
          <w:p>
            <w:pPr>
              <w:ind w:left="100"/>
              <w:spacing w:after="0"/>
              <w:rPr>
                <w:sz w:val="20"/>
                <w:szCs w:val="20"/>
                <w:color w:val="auto"/>
              </w:rPr>
            </w:pPr>
            <w:r>
              <w:rPr>
                <w:rFonts w:ascii="Arial" w:cs="Arial" w:eastAsia="Arial" w:hAnsi="Arial"/>
                <w:sz w:val="18"/>
                <w:szCs w:val="18"/>
                <w:color w:val="auto"/>
              </w:rPr>
              <w:t>11/2023)</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420" w:type="dxa"/>
            <w:vAlign w:val="bottom"/>
            <w:shd w:val="clear" w:color="auto" w:fill="CFF0FC"/>
          </w:tcPr>
          <w:p>
            <w:pPr>
              <w:spacing w:after="0"/>
              <w:rPr>
                <w:sz w:val="20"/>
                <w:szCs w:val="20"/>
                <w:color w:val="auto"/>
              </w:rPr>
            </w:pPr>
            <w:r>
              <w:rPr>
                <w:rFonts w:ascii="Arial" w:cs="Arial" w:eastAsia="Arial" w:hAnsi="Arial"/>
                <w:sz w:val="18"/>
                <w:szCs w:val="18"/>
                <w:color w:val="auto"/>
                <w:w w:val="98"/>
              </w:rPr>
              <w:t xml:space="preserve">Mississippi Resources, LLC </w:t>
            </w:r>
            <w:r>
              <w:rPr>
                <w:rFonts w:ascii="Arial" w:cs="Arial" w:eastAsia="Arial" w:hAnsi="Arial"/>
                <w:sz w:val="15"/>
                <w:szCs w:val="15"/>
                <w:color w:val="auto"/>
                <w:w w:val="98"/>
              </w:rPr>
              <w:t>(3)</w:t>
            </w:r>
          </w:p>
        </w:tc>
        <w:tc>
          <w:tcPr>
            <w:tcW w:w="2580" w:type="dxa"/>
            <w:vAlign w:val="bottom"/>
            <w:gridSpan w:val="3"/>
            <w:shd w:val="clear" w:color="auto" w:fill="CFF0FC"/>
          </w:tcPr>
          <w:p>
            <w:pPr>
              <w:ind w:left="100"/>
              <w:spacing w:after="0"/>
              <w:rPr>
                <w:sz w:val="20"/>
                <w:szCs w:val="20"/>
                <w:color w:val="auto"/>
              </w:rPr>
            </w:pPr>
            <w:r>
              <w:rPr>
                <w:rFonts w:ascii="Arial" w:cs="Arial" w:eastAsia="Arial" w:hAnsi="Arial"/>
                <w:sz w:val="18"/>
                <w:szCs w:val="18"/>
                <w:color w:val="auto"/>
                <w:w w:val="96"/>
              </w:rPr>
              <w:t>First-lien loan ($17,429 par, due</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6/29/2018</w:t>
            </w:r>
          </w:p>
        </w:tc>
        <w:tc>
          <w:tcPr>
            <w:tcW w:w="1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L + 9.00%</w:t>
            </w: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11.50%</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17,428</w:t>
            </w: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17,212</w:t>
            </w:r>
          </w:p>
        </w:tc>
        <w:tc>
          <w:tcPr>
            <w:tcW w:w="2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20" w:type="dxa"/>
            <w:vAlign w:val="bottom"/>
            <w:shd w:val="clear" w:color="auto" w:fill="CFF0FC"/>
          </w:tcPr>
          <w:p>
            <w:pPr>
              <w:spacing w:after="0"/>
              <w:rPr>
                <w:sz w:val="20"/>
                <w:szCs w:val="20"/>
                <w:color w:val="auto"/>
              </w:rPr>
            </w:pPr>
            <w:r>
              <w:rPr>
                <w:rFonts w:ascii="Arial" w:cs="Arial" w:eastAsia="Arial" w:hAnsi="Arial"/>
                <w:sz w:val="15"/>
                <w:szCs w:val="15"/>
                <w:color w:val="auto"/>
              </w:rPr>
              <w:t>(7)</w:t>
            </w:r>
          </w:p>
        </w:tc>
        <w:tc>
          <w:tcPr>
            <w:tcW w:w="246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6/2020)</w:t>
            </w:r>
          </w:p>
        </w:tc>
        <w:tc>
          <w:tcPr>
            <w:tcW w:w="12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31,940</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31,595</w:t>
            </w:r>
          </w:p>
        </w:tc>
        <w:tc>
          <w:tcPr>
            <w:tcW w:w="20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Pharmaceuticals</w:t>
            </w:r>
          </w:p>
        </w:tc>
        <w:tc>
          <w:tcPr>
            <w:tcW w:w="100" w:type="dxa"/>
            <w:vAlign w:val="bottom"/>
            <w:tcBorders>
              <w:top w:val="single" w:sz="8" w:color="CFF0FC"/>
            </w:tcBorders>
            <w:shd w:val="clear" w:color="auto" w:fill="CFF0FC"/>
          </w:tcPr>
          <w:p>
            <w:pPr>
              <w:spacing w:after="0"/>
              <w:rPr>
                <w:sz w:val="19"/>
                <w:szCs w:val="19"/>
                <w:color w:val="auto"/>
              </w:rPr>
            </w:pPr>
          </w:p>
        </w:tc>
        <w:tc>
          <w:tcPr>
            <w:tcW w:w="23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420" w:type="dxa"/>
            <w:vAlign w:val="bottom"/>
          </w:tcPr>
          <w:p>
            <w:pPr>
              <w:spacing w:after="0"/>
              <w:rPr>
                <w:sz w:val="20"/>
                <w:szCs w:val="20"/>
                <w:color w:val="auto"/>
              </w:rPr>
            </w:pPr>
            <w:r>
              <w:rPr>
                <w:rFonts w:ascii="Arial" w:cs="Arial" w:eastAsia="Arial" w:hAnsi="Arial"/>
                <w:sz w:val="18"/>
                <w:szCs w:val="18"/>
                <w:color w:val="auto"/>
                <w:w w:val="95"/>
              </w:rPr>
              <w:t>Ironwood Pharmaceuticals, Inc.</w:t>
            </w:r>
          </w:p>
        </w:tc>
        <w:tc>
          <w:tcPr>
            <w:tcW w:w="2580" w:type="dxa"/>
            <w:vAlign w:val="bottom"/>
            <w:gridSpan w:val="3"/>
          </w:tcPr>
          <w:p>
            <w:pPr>
              <w:ind w:left="100"/>
              <w:spacing w:after="0"/>
              <w:rPr>
                <w:sz w:val="20"/>
                <w:szCs w:val="20"/>
                <w:color w:val="auto"/>
              </w:rPr>
            </w:pPr>
            <w:r>
              <w:rPr>
                <w:rFonts w:ascii="Arial" w:cs="Arial" w:eastAsia="Arial" w:hAnsi="Arial"/>
                <w:sz w:val="18"/>
                <w:szCs w:val="18"/>
                <w:color w:val="auto"/>
                <w:w w:val="96"/>
              </w:rPr>
              <w:t>Secured note ($30,610 par, due</w:t>
            </w:r>
          </w:p>
        </w:tc>
        <w:tc>
          <w:tcPr>
            <w:tcW w:w="860" w:type="dxa"/>
            <w:vAlign w:val="bottom"/>
          </w:tcPr>
          <w:p>
            <w:pPr>
              <w:jc w:val="right"/>
              <w:spacing w:after="0"/>
              <w:rPr>
                <w:sz w:val="20"/>
                <w:szCs w:val="20"/>
                <w:color w:val="auto"/>
              </w:rPr>
            </w:pPr>
            <w:r>
              <w:rPr>
                <w:rFonts w:ascii="Arial" w:cs="Arial" w:eastAsia="Arial" w:hAnsi="Arial"/>
                <w:sz w:val="18"/>
                <w:szCs w:val="18"/>
                <w:color w:val="auto"/>
              </w:rPr>
              <w:t>1/5/2017</w:t>
            </w:r>
          </w:p>
        </w:tc>
        <w:tc>
          <w:tcPr>
            <w:tcW w:w="1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8.38%</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8.38%</w:t>
            </w:r>
          </w:p>
        </w:tc>
        <w:tc>
          <w:tcPr>
            <w:tcW w:w="800" w:type="dxa"/>
            <w:vAlign w:val="bottom"/>
          </w:tcPr>
          <w:p>
            <w:pPr>
              <w:jc w:val="right"/>
              <w:spacing w:after="0"/>
              <w:rPr>
                <w:sz w:val="20"/>
                <w:szCs w:val="20"/>
                <w:color w:val="auto"/>
              </w:rPr>
            </w:pPr>
            <w:r>
              <w:rPr>
                <w:rFonts w:ascii="Arial" w:cs="Arial" w:eastAsia="Arial" w:hAnsi="Arial"/>
                <w:sz w:val="18"/>
                <w:szCs w:val="18"/>
                <w:color w:val="auto"/>
              </w:rPr>
              <w:t>30,493</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31,529</w:t>
            </w:r>
          </w:p>
        </w:tc>
        <w:tc>
          <w:tcPr>
            <w:tcW w:w="2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20" w:type="dxa"/>
            <w:vAlign w:val="bottom"/>
          </w:tcPr>
          <w:p>
            <w:pPr>
              <w:spacing w:after="0"/>
              <w:rPr>
                <w:sz w:val="20"/>
                <w:szCs w:val="20"/>
                <w:color w:val="auto"/>
              </w:rPr>
            </w:pPr>
            <w:r>
              <w:rPr>
                <w:rFonts w:ascii="Arial" w:cs="Arial" w:eastAsia="Arial" w:hAnsi="Arial"/>
                <w:sz w:val="15"/>
                <w:szCs w:val="15"/>
                <w:color w:val="auto"/>
              </w:rPr>
              <w:t>(4)(5)(9)</w:t>
            </w:r>
          </w:p>
        </w:tc>
        <w:tc>
          <w:tcPr>
            <w:tcW w:w="2460" w:type="dxa"/>
            <w:vAlign w:val="bottom"/>
            <w:gridSpan w:val="2"/>
          </w:tcPr>
          <w:p>
            <w:pPr>
              <w:ind w:left="100"/>
              <w:spacing w:after="0"/>
              <w:rPr>
                <w:sz w:val="20"/>
                <w:szCs w:val="20"/>
                <w:color w:val="auto"/>
              </w:rPr>
            </w:pPr>
            <w:r>
              <w:rPr>
                <w:rFonts w:ascii="Arial" w:cs="Arial" w:eastAsia="Arial" w:hAnsi="Arial"/>
                <w:sz w:val="18"/>
                <w:szCs w:val="18"/>
                <w:color w:val="auto"/>
              </w:rPr>
              <w:t>9/2026)</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4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Nektar Therapeutics </w:t>
            </w:r>
            <w:r>
              <w:rPr>
                <w:rFonts w:ascii="Arial" w:cs="Arial" w:eastAsia="Arial" w:hAnsi="Arial"/>
                <w:sz w:val="15"/>
                <w:szCs w:val="15"/>
                <w:color w:val="auto"/>
              </w:rPr>
              <w:t>(4)(5)(9)</w:t>
            </w:r>
          </w:p>
        </w:tc>
        <w:tc>
          <w:tcPr>
            <w:tcW w:w="2580" w:type="dxa"/>
            <w:vAlign w:val="bottom"/>
            <w:gridSpan w:val="3"/>
            <w:shd w:val="clear" w:color="auto" w:fill="CFF0FC"/>
          </w:tcPr>
          <w:p>
            <w:pPr>
              <w:ind w:left="100"/>
              <w:spacing w:after="0"/>
              <w:rPr>
                <w:sz w:val="20"/>
                <w:szCs w:val="20"/>
                <w:color w:val="auto"/>
              </w:rPr>
            </w:pPr>
            <w:r>
              <w:rPr>
                <w:rFonts w:ascii="Arial" w:cs="Arial" w:eastAsia="Arial" w:hAnsi="Arial"/>
                <w:sz w:val="18"/>
                <w:szCs w:val="18"/>
                <w:color w:val="auto"/>
                <w:w w:val="96"/>
              </w:rPr>
              <w:t>Secured note ($74,950 par, due</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10/5/2015</w:t>
            </w:r>
          </w:p>
        </w:tc>
        <w:tc>
          <w:tcPr>
            <w:tcW w:w="1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7.75%</w:t>
            </w: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7.75%</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74,611</w:t>
            </w: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76,824</w:t>
            </w:r>
          </w:p>
        </w:tc>
        <w:tc>
          <w:tcPr>
            <w:tcW w:w="2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20" w:type="dxa"/>
            <w:vAlign w:val="bottom"/>
            <w:shd w:val="clear" w:color="auto" w:fill="CFF0FC"/>
          </w:tcPr>
          <w:p>
            <w:pPr>
              <w:spacing w:after="0"/>
              <w:rPr>
                <w:sz w:val="20"/>
                <w:szCs w:val="20"/>
                <w:color w:val="auto"/>
              </w:rPr>
            </w:pPr>
          </w:p>
        </w:tc>
        <w:tc>
          <w:tcPr>
            <w:tcW w:w="246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10/2020)</w:t>
            </w:r>
          </w:p>
        </w:tc>
        <w:tc>
          <w:tcPr>
            <w:tcW w:w="12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105,104</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108,353</w:t>
            </w:r>
          </w:p>
        </w:tc>
        <w:tc>
          <w:tcPr>
            <w:tcW w:w="20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420" w:type="dxa"/>
            <w:vAlign w:val="bottom"/>
            <w:tcBorders>
              <w:top w:val="single" w:sz="8" w:color="CFF0FC"/>
            </w:tcBorders>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Retail and consumer</w:t>
            </w:r>
          </w:p>
        </w:tc>
        <w:tc>
          <w:tcPr>
            <w:tcW w:w="100" w:type="dxa"/>
            <w:vAlign w:val="bottom"/>
            <w:tcBorders>
              <w:top w:val="single" w:sz="8" w:color="CFF0FC"/>
            </w:tcBorders>
            <w:shd w:val="clear" w:color="auto" w:fill="CFF0FC"/>
          </w:tcPr>
          <w:p>
            <w:pPr>
              <w:spacing w:after="0"/>
              <w:rPr>
                <w:sz w:val="17"/>
                <w:szCs w:val="17"/>
                <w:color w:val="auto"/>
              </w:rPr>
            </w:pPr>
          </w:p>
        </w:tc>
        <w:tc>
          <w:tcPr>
            <w:tcW w:w="23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8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84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76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CFF0FC"/>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42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products</w:t>
            </w:r>
          </w:p>
        </w:tc>
        <w:tc>
          <w:tcPr>
            <w:tcW w:w="100" w:type="dxa"/>
            <w:vAlign w:val="bottom"/>
            <w:shd w:val="clear" w:color="auto" w:fill="CFF0FC"/>
          </w:tcPr>
          <w:p>
            <w:pPr>
              <w:spacing w:after="0"/>
              <w:rPr>
                <w:sz w:val="20"/>
                <w:szCs w:val="20"/>
                <w:color w:val="auto"/>
              </w:rPr>
            </w:pPr>
          </w:p>
        </w:tc>
        <w:tc>
          <w:tcPr>
            <w:tcW w:w="23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420" w:type="dxa"/>
            <w:vAlign w:val="bottom"/>
          </w:tcPr>
          <w:p>
            <w:pPr>
              <w:spacing w:after="0"/>
              <w:rPr>
                <w:sz w:val="20"/>
                <w:szCs w:val="20"/>
                <w:color w:val="auto"/>
              </w:rPr>
            </w:pPr>
            <w:r>
              <w:rPr>
                <w:rFonts w:ascii="Arial" w:cs="Arial" w:eastAsia="Arial" w:hAnsi="Arial"/>
                <w:sz w:val="18"/>
                <w:szCs w:val="18"/>
                <w:color w:val="auto"/>
              </w:rPr>
              <w:t xml:space="preserve">99 Cents Only Stores LLC </w:t>
            </w:r>
            <w:r>
              <w:rPr>
                <w:rFonts w:ascii="Arial" w:cs="Arial" w:eastAsia="Arial" w:hAnsi="Arial"/>
                <w:sz w:val="15"/>
                <w:szCs w:val="15"/>
                <w:color w:val="auto"/>
              </w:rPr>
              <w:t>(3)</w:t>
            </w:r>
          </w:p>
        </w:tc>
        <w:tc>
          <w:tcPr>
            <w:tcW w:w="2580" w:type="dxa"/>
            <w:vAlign w:val="bottom"/>
            <w:gridSpan w:val="3"/>
          </w:tcPr>
          <w:p>
            <w:pPr>
              <w:ind w:left="100"/>
              <w:spacing w:after="0"/>
              <w:rPr>
                <w:sz w:val="20"/>
                <w:szCs w:val="20"/>
                <w:color w:val="auto"/>
              </w:rPr>
            </w:pPr>
            <w:r>
              <w:rPr>
                <w:rFonts w:ascii="Arial" w:cs="Arial" w:eastAsia="Arial" w:hAnsi="Arial"/>
                <w:sz w:val="18"/>
                <w:szCs w:val="18"/>
                <w:color w:val="auto"/>
              </w:rPr>
              <w:t>ABL FILO term loan ($32,500</w:t>
            </w:r>
          </w:p>
        </w:tc>
        <w:tc>
          <w:tcPr>
            <w:tcW w:w="860" w:type="dxa"/>
            <w:vAlign w:val="bottom"/>
          </w:tcPr>
          <w:p>
            <w:pPr>
              <w:jc w:val="right"/>
              <w:spacing w:after="0"/>
              <w:rPr>
                <w:sz w:val="20"/>
                <w:szCs w:val="20"/>
                <w:color w:val="auto"/>
              </w:rPr>
            </w:pPr>
            <w:r>
              <w:rPr>
                <w:rFonts w:ascii="Arial" w:cs="Arial" w:eastAsia="Arial" w:hAnsi="Arial"/>
                <w:sz w:val="18"/>
                <w:szCs w:val="18"/>
                <w:color w:val="auto"/>
              </w:rPr>
              <w:t>9/6/2017</w:t>
            </w:r>
          </w:p>
        </w:tc>
        <w:tc>
          <w:tcPr>
            <w:tcW w:w="1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L + 7.75%</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10.36%</w:t>
            </w:r>
          </w:p>
        </w:tc>
        <w:tc>
          <w:tcPr>
            <w:tcW w:w="800" w:type="dxa"/>
            <w:vAlign w:val="bottom"/>
          </w:tcPr>
          <w:p>
            <w:pPr>
              <w:jc w:val="right"/>
              <w:spacing w:after="0"/>
              <w:rPr>
                <w:sz w:val="20"/>
                <w:szCs w:val="20"/>
                <w:color w:val="auto"/>
              </w:rPr>
            </w:pPr>
            <w:r>
              <w:rPr>
                <w:rFonts w:ascii="Arial" w:cs="Arial" w:eastAsia="Arial" w:hAnsi="Arial"/>
                <w:sz w:val="18"/>
                <w:szCs w:val="18"/>
                <w:color w:val="auto"/>
              </w:rPr>
              <w:t>32,197</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32,825</w:t>
            </w:r>
          </w:p>
        </w:tc>
        <w:tc>
          <w:tcPr>
            <w:tcW w:w="2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20" w:type="dxa"/>
            <w:vAlign w:val="bottom"/>
          </w:tcPr>
          <w:p>
            <w:pPr>
              <w:spacing w:after="0"/>
              <w:rPr>
                <w:sz w:val="20"/>
                <w:szCs w:val="20"/>
                <w:color w:val="auto"/>
              </w:rPr>
            </w:pPr>
          </w:p>
        </w:tc>
        <w:tc>
          <w:tcPr>
            <w:tcW w:w="2580" w:type="dxa"/>
            <w:vAlign w:val="bottom"/>
            <w:gridSpan w:val="3"/>
          </w:tcPr>
          <w:p>
            <w:pPr>
              <w:ind w:left="100"/>
              <w:spacing w:after="0"/>
              <w:rPr>
                <w:sz w:val="20"/>
                <w:szCs w:val="20"/>
                <w:color w:val="auto"/>
              </w:rPr>
            </w:pPr>
            <w:r>
              <w:rPr>
                <w:rFonts w:ascii="Arial" w:cs="Arial" w:eastAsia="Arial" w:hAnsi="Arial"/>
                <w:sz w:val="18"/>
                <w:szCs w:val="18"/>
                <w:color w:val="auto"/>
              </w:rPr>
              <w:t>par, due 4/2021)</w:t>
            </w: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420" w:type="dxa"/>
            <w:vAlign w:val="bottom"/>
            <w:shd w:val="clear" w:color="auto" w:fill="CFF0FC"/>
          </w:tcPr>
          <w:p>
            <w:pPr>
              <w:spacing w:after="0"/>
              <w:rPr>
                <w:sz w:val="20"/>
                <w:szCs w:val="20"/>
                <w:color w:val="auto"/>
              </w:rPr>
            </w:pPr>
            <w:r>
              <w:rPr>
                <w:rFonts w:ascii="Arial" w:cs="Arial" w:eastAsia="Arial" w:hAnsi="Arial"/>
                <w:sz w:val="18"/>
                <w:szCs w:val="18"/>
                <w:color w:val="auto"/>
              </w:rPr>
              <w:t>American Achievement</w:t>
            </w:r>
          </w:p>
        </w:tc>
        <w:tc>
          <w:tcPr>
            <w:tcW w:w="2580" w:type="dxa"/>
            <w:vAlign w:val="bottom"/>
            <w:gridSpan w:val="3"/>
            <w:shd w:val="clear" w:color="auto" w:fill="CFF0FC"/>
          </w:tcPr>
          <w:p>
            <w:pPr>
              <w:ind w:left="100"/>
              <w:spacing w:after="0"/>
              <w:rPr>
                <w:sz w:val="20"/>
                <w:szCs w:val="20"/>
                <w:color w:val="auto"/>
              </w:rPr>
            </w:pPr>
            <w:r>
              <w:rPr>
                <w:rFonts w:ascii="Arial" w:cs="Arial" w:eastAsia="Arial" w:hAnsi="Arial"/>
                <w:sz w:val="18"/>
                <w:szCs w:val="18"/>
                <w:color w:val="auto"/>
                <w:w w:val="96"/>
              </w:rPr>
              <w:t>First-lien loan ($22,214 par, due</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9/30/2015</w:t>
            </w:r>
          </w:p>
        </w:tc>
        <w:tc>
          <w:tcPr>
            <w:tcW w:w="1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L + 8.25%</w:t>
            </w: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10.74%</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22,105</w:t>
            </w: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21,992</w:t>
            </w:r>
          </w:p>
        </w:tc>
        <w:tc>
          <w:tcPr>
            <w:tcW w:w="2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Corporation </w:t>
            </w:r>
            <w:r>
              <w:rPr>
                <w:rFonts w:ascii="Arial" w:cs="Arial" w:eastAsia="Arial" w:hAnsi="Arial"/>
                <w:sz w:val="15"/>
                <w:szCs w:val="15"/>
                <w:color w:val="auto"/>
              </w:rPr>
              <w:t>(3)</w:t>
            </w:r>
          </w:p>
        </w:tc>
        <w:tc>
          <w:tcPr>
            <w:tcW w:w="246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9/2020)</w:t>
            </w:r>
          </w:p>
        </w:tc>
        <w:tc>
          <w:tcPr>
            <w:tcW w:w="12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420" w:type="dxa"/>
            <w:vAlign w:val="bottom"/>
          </w:tcPr>
          <w:p>
            <w:pPr>
              <w:spacing w:after="0"/>
              <w:rPr>
                <w:sz w:val="18"/>
                <w:szCs w:val="18"/>
                <w:color w:val="auto"/>
              </w:rPr>
            </w:pPr>
          </w:p>
        </w:tc>
        <w:tc>
          <w:tcPr>
            <w:tcW w:w="2580" w:type="dxa"/>
            <w:vAlign w:val="bottom"/>
            <w:gridSpan w:val="3"/>
          </w:tcPr>
          <w:p>
            <w:pPr>
              <w:ind w:left="100"/>
              <w:spacing w:after="0"/>
              <w:rPr>
                <w:sz w:val="20"/>
                <w:szCs w:val="20"/>
                <w:color w:val="auto"/>
              </w:rPr>
            </w:pPr>
            <w:r>
              <w:rPr>
                <w:rFonts w:ascii="Arial" w:cs="Arial" w:eastAsia="Arial" w:hAnsi="Arial"/>
                <w:sz w:val="18"/>
                <w:szCs w:val="18"/>
                <w:color w:val="auto"/>
                <w:w w:val="96"/>
              </w:rPr>
              <w:t>Secured Promissory Note ($795</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12/19/2018</w:t>
            </w:r>
          </w:p>
        </w:tc>
        <w:tc>
          <w:tcPr>
            <w:tcW w:w="1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L + 8.25%</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10.74%</w:t>
            </w:r>
          </w:p>
        </w:tc>
        <w:tc>
          <w:tcPr>
            <w:tcW w:w="800" w:type="dxa"/>
            <w:vAlign w:val="bottom"/>
          </w:tcPr>
          <w:p>
            <w:pPr>
              <w:jc w:val="right"/>
              <w:spacing w:after="0"/>
              <w:rPr>
                <w:sz w:val="20"/>
                <w:szCs w:val="20"/>
                <w:color w:val="auto"/>
              </w:rPr>
            </w:pPr>
            <w:r>
              <w:rPr>
                <w:rFonts w:ascii="Arial" w:cs="Arial" w:eastAsia="Arial" w:hAnsi="Arial"/>
                <w:sz w:val="18"/>
                <w:szCs w:val="18"/>
                <w:color w:val="auto"/>
              </w:rPr>
              <w:t>789</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795</w:t>
            </w:r>
          </w:p>
        </w:tc>
        <w:tc>
          <w:tcPr>
            <w:tcW w:w="2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20" w:type="dxa"/>
            <w:vAlign w:val="bottom"/>
          </w:tcPr>
          <w:p>
            <w:pPr>
              <w:spacing w:after="0"/>
              <w:rPr>
                <w:sz w:val="20"/>
                <w:szCs w:val="20"/>
                <w:color w:val="auto"/>
              </w:rPr>
            </w:pPr>
          </w:p>
        </w:tc>
        <w:tc>
          <w:tcPr>
            <w:tcW w:w="2580" w:type="dxa"/>
            <w:vAlign w:val="bottom"/>
            <w:gridSpan w:val="3"/>
          </w:tcPr>
          <w:p>
            <w:pPr>
              <w:ind w:left="100"/>
              <w:spacing w:after="0"/>
              <w:rPr>
                <w:sz w:val="20"/>
                <w:szCs w:val="20"/>
                <w:color w:val="auto"/>
              </w:rPr>
            </w:pPr>
            <w:r>
              <w:rPr>
                <w:rFonts w:ascii="Arial" w:cs="Arial" w:eastAsia="Arial" w:hAnsi="Arial"/>
                <w:sz w:val="18"/>
                <w:szCs w:val="18"/>
                <w:color w:val="auto"/>
              </w:rPr>
              <w:t>par, due 12/2020)</w:t>
            </w: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4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PayLess Inc. </w:t>
            </w:r>
            <w:r>
              <w:rPr>
                <w:rFonts w:ascii="Arial" w:cs="Arial" w:eastAsia="Arial" w:hAnsi="Arial"/>
                <w:sz w:val="15"/>
                <w:szCs w:val="15"/>
                <w:color w:val="auto"/>
              </w:rPr>
              <w:t>(3)(5)</w:t>
            </w:r>
          </w:p>
        </w:tc>
        <w:tc>
          <w:tcPr>
            <w:tcW w:w="2580" w:type="dxa"/>
            <w:vAlign w:val="bottom"/>
            <w:gridSpan w:val="3"/>
            <w:shd w:val="clear" w:color="auto" w:fill="CFF0FC"/>
          </w:tcPr>
          <w:p>
            <w:pPr>
              <w:ind w:left="100"/>
              <w:spacing w:after="0"/>
              <w:rPr>
                <w:sz w:val="20"/>
                <w:szCs w:val="20"/>
                <w:color w:val="auto"/>
              </w:rPr>
            </w:pPr>
            <w:r>
              <w:rPr>
                <w:rFonts w:ascii="Arial" w:cs="Arial" w:eastAsia="Arial" w:hAnsi="Arial"/>
                <w:sz w:val="18"/>
                <w:szCs w:val="18"/>
                <w:color w:val="auto"/>
              </w:rPr>
              <w:t>ABL FILO term loan ($14,235</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3/1/2018</w:t>
            </w:r>
          </w:p>
        </w:tc>
        <w:tc>
          <w:tcPr>
            <w:tcW w:w="1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L + 10.00%</w:t>
            </w: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12.50%</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14,000</w:t>
            </w: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14,235</w:t>
            </w:r>
          </w:p>
        </w:tc>
        <w:tc>
          <w:tcPr>
            <w:tcW w:w="2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20" w:type="dxa"/>
            <w:vAlign w:val="bottom"/>
            <w:shd w:val="clear" w:color="auto" w:fill="CFF0FC"/>
          </w:tcPr>
          <w:p>
            <w:pPr>
              <w:spacing w:after="0"/>
              <w:rPr>
                <w:sz w:val="20"/>
                <w:szCs w:val="20"/>
                <w:color w:val="auto"/>
              </w:rPr>
            </w:pPr>
          </w:p>
        </w:tc>
        <w:tc>
          <w:tcPr>
            <w:tcW w:w="2580" w:type="dxa"/>
            <w:vAlign w:val="bottom"/>
            <w:gridSpan w:val="3"/>
            <w:shd w:val="clear" w:color="auto" w:fill="CFF0FC"/>
          </w:tcPr>
          <w:p>
            <w:pPr>
              <w:ind w:left="100"/>
              <w:spacing w:after="0"/>
              <w:rPr>
                <w:sz w:val="20"/>
                <w:szCs w:val="20"/>
                <w:color w:val="auto"/>
              </w:rPr>
            </w:pPr>
            <w:r>
              <w:rPr>
                <w:rFonts w:ascii="Arial" w:cs="Arial" w:eastAsia="Arial" w:hAnsi="Arial"/>
                <w:sz w:val="18"/>
                <w:szCs w:val="18"/>
                <w:color w:val="auto"/>
              </w:rPr>
              <w:t>par, due 8/2022)</w:t>
            </w:r>
          </w:p>
        </w:tc>
        <w:tc>
          <w:tcPr>
            <w:tcW w:w="8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420" w:type="dxa"/>
            <w:vAlign w:val="bottom"/>
          </w:tcPr>
          <w:p>
            <w:pPr>
              <w:spacing w:after="0"/>
              <w:rPr>
                <w:sz w:val="20"/>
                <w:szCs w:val="20"/>
                <w:color w:val="auto"/>
              </w:rPr>
            </w:pPr>
            <w:r>
              <w:rPr>
                <w:rFonts w:ascii="Arial" w:cs="Arial" w:eastAsia="Arial" w:hAnsi="Arial"/>
                <w:sz w:val="18"/>
                <w:szCs w:val="18"/>
                <w:color w:val="auto"/>
                <w:w w:val="94"/>
              </w:rPr>
              <w:t xml:space="preserve">Transform SR Holdings, LLC </w:t>
            </w:r>
            <w:r>
              <w:rPr>
                <w:rFonts w:ascii="Arial" w:cs="Arial" w:eastAsia="Arial" w:hAnsi="Arial"/>
                <w:sz w:val="15"/>
                <w:szCs w:val="15"/>
                <w:color w:val="auto"/>
                <w:w w:val="94"/>
              </w:rPr>
              <w:t>(3)</w:t>
            </w:r>
          </w:p>
        </w:tc>
        <w:tc>
          <w:tcPr>
            <w:tcW w:w="2580" w:type="dxa"/>
            <w:vAlign w:val="bottom"/>
            <w:gridSpan w:val="3"/>
          </w:tcPr>
          <w:p>
            <w:pPr>
              <w:ind w:left="100"/>
              <w:spacing w:after="0"/>
              <w:rPr>
                <w:sz w:val="20"/>
                <w:szCs w:val="20"/>
                <w:color w:val="auto"/>
              </w:rPr>
            </w:pPr>
            <w:r>
              <w:rPr>
                <w:rFonts w:ascii="Arial" w:cs="Arial" w:eastAsia="Arial" w:hAnsi="Arial"/>
                <w:sz w:val="18"/>
                <w:szCs w:val="18"/>
                <w:color w:val="auto"/>
              </w:rPr>
              <w:t>ABL FILO term loan ($75,000</w:t>
            </w:r>
          </w:p>
        </w:tc>
        <w:tc>
          <w:tcPr>
            <w:tcW w:w="860" w:type="dxa"/>
            <w:vAlign w:val="bottom"/>
          </w:tcPr>
          <w:p>
            <w:pPr>
              <w:jc w:val="right"/>
              <w:spacing w:after="0"/>
              <w:rPr>
                <w:sz w:val="20"/>
                <w:szCs w:val="20"/>
                <w:color w:val="auto"/>
              </w:rPr>
            </w:pPr>
            <w:r>
              <w:rPr>
                <w:rFonts w:ascii="Arial" w:cs="Arial" w:eastAsia="Arial" w:hAnsi="Arial"/>
                <w:sz w:val="18"/>
                <w:szCs w:val="18"/>
                <w:color w:val="auto"/>
              </w:rPr>
              <w:t>2/11/2019</w:t>
            </w:r>
          </w:p>
        </w:tc>
        <w:tc>
          <w:tcPr>
            <w:tcW w:w="1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L + 7.25%</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9.74%</w:t>
            </w:r>
          </w:p>
        </w:tc>
        <w:tc>
          <w:tcPr>
            <w:tcW w:w="800" w:type="dxa"/>
            <w:vAlign w:val="bottom"/>
          </w:tcPr>
          <w:p>
            <w:pPr>
              <w:jc w:val="right"/>
              <w:spacing w:after="0"/>
              <w:rPr>
                <w:sz w:val="20"/>
                <w:szCs w:val="20"/>
                <w:color w:val="auto"/>
              </w:rPr>
            </w:pPr>
            <w:r>
              <w:rPr>
                <w:rFonts w:ascii="Arial" w:cs="Arial" w:eastAsia="Arial" w:hAnsi="Arial"/>
                <w:sz w:val="18"/>
                <w:szCs w:val="18"/>
                <w:color w:val="auto"/>
              </w:rPr>
              <w:t>74,265</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75,000</w:t>
            </w:r>
          </w:p>
        </w:tc>
        <w:tc>
          <w:tcPr>
            <w:tcW w:w="2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20" w:type="dxa"/>
            <w:vAlign w:val="bottom"/>
          </w:tcPr>
          <w:p>
            <w:pPr>
              <w:spacing w:after="0"/>
              <w:rPr>
                <w:sz w:val="20"/>
                <w:szCs w:val="20"/>
                <w:color w:val="auto"/>
              </w:rPr>
            </w:pPr>
          </w:p>
        </w:tc>
        <w:tc>
          <w:tcPr>
            <w:tcW w:w="2580" w:type="dxa"/>
            <w:vAlign w:val="bottom"/>
            <w:gridSpan w:val="3"/>
          </w:tcPr>
          <w:p>
            <w:pPr>
              <w:ind w:left="100"/>
              <w:spacing w:after="0"/>
              <w:rPr>
                <w:sz w:val="20"/>
                <w:szCs w:val="20"/>
                <w:color w:val="auto"/>
              </w:rPr>
            </w:pPr>
            <w:r>
              <w:rPr>
                <w:rFonts w:ascii="Arial" w:cs="Arial" w:eastAsia="Arial" w:hAnsi="Arial"/>
                <w:sz w:val="18"/>
                <w:szCs w:val="18"/>
                <w:color w:val="auto"/>
              </w:rPr>
              <w:t>par, due 2/2024)</w:t>
            </w: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2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4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3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4" w:right="21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Initial</w:t>
            </w: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Reference</w:t>
            </w: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6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xml:space="preserve">Company </w:t>
            </w:r>
            <w:r>
              <w:rPr>
                <w:rFonts w:ascii="Arial" w:cs="Arial" w:eastAsia="Arial" w:hAnsi="Arial"/>
                <w:sz w:val="12"/>
                <w:szCs w:val="12"/>
                <w:b w:val="1"/>
                <w:bCs w:val="1"/>
                <w:color w:val="auto"/>
              </w:rPr>
              <w:t>(1)</w:t>
            </w:r>
          </w:p>
        </w:tc>
        <w:tc>
          <w:tcPr>
            <w:tcW w:w="2580" w:type="dxa"/>
            <w:vAlign w:val="bottom"/>
            <w:gridSpan w:val="2"/>
            <w:vMerge w:val="restart"/>
          </w:tcPr>
          <w:p>
            <w:pPr>
              <w:ind w:left="880"/>
              <w:spacing w:after="0"/>
              <w:rPr>
                <w:sz w:val="20"/>
                <w:szCs w:val="20"/>
                <w:color w:val="auto"/>
              </w:rPr>
            </w:pPr>
            <w:r>
              <w:rPr>
                <w:rFonts w:ascii="Arial" w:cs="Arial" w:eastAsia="Arial" w:hAnsi="Arial"/>
                <w:sz w:val="14"/>
                <w:szCs w:val="14"/>
                <w:b w:val="1"/>
                <w:bCs w:val="1"/>
                <w:color w:val="auto"/>
              </w:rPr>
              <w:t>Investment</w:t>
            </w:r>
          </w:p>
        </w:tc>
        <w:tc>
          <w:tcPr>
            <w:tcW w:w="98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91"/>
              </w:rPr>
              <w:t>Acquisition</w:t>
            </w:r>
          </w:p>
        </w:tc>
        <w:tc>
          <w:tcPr>
            <w:tcW w:w="106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4"/>
              </w:rPr>
              <w:t>Rate and</w:t>
            </w:r>
          </w:p>
        </w:tc>
        <w:tc>
          <w:tcPr>
            <w:tcW w:w="108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4"/>
              </w:rPr>
              <w:t>Interest</w:t>
            </w:r>
          </w:p>
        </w:tc>
        <w:tc>
          <w:tcPr>
            <w:tcW w:w="106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6"/>
              </w:rPr>
              <w:t>Amortized</w:t>
            </w:r>
          </w:p>
        </w:tc>
        <w:tc>
          <w:tcPr>
            <w:tcW w:w="1060" w:type="dxa"/>
            <w:vAlign w:val="bottom"/>
            <w:gridSpan w:val="2"/>
          </w:tcPr>
          <w:p>
            <w:pPr>
              <w:ind w:left="100"/>
              <w:spacing w:after="0" w:line="158" w:lineRule="exact"/>
              <w:rPr>
                <w:sz w:val="20"/>
                <w:szCs w:val="20"/>
                <w:color w:val="auto"/>
              </w:rPr>
            </w:pPr>
            <w:r>
              <w:rPr>
                <w:rFonts w:ascii="Arial" w:cs="Arial" w:eastAsia="Arial" w:hAnsi="Arial"/>
                <w:sz w:val="14"/>
                <w:szCs w:val="14"/>
                <w:b w:val="1"/>
                <w:bCs w:val="1"/>
                <w:color w:val="auto"/>
              </w:rPr>
              <w:t>Fair Value</w:t>
            </w:r>
          </w:p>
        </w:tc>
        <w:tc>
          <w:tcPr>
            <w:tcW w:w="980" w:type="dxa"/>
            <w:vAlign w:val="bottom"/>
            <w:gridSpan w:val="2"/>
          </w:tcPr>
          <w:p>
            <w:pPr>
              <w:jc w:val="right"/>
              <w:ind w:right="150"/>
              <w:spacing w:after="0" w:line="158" w:lineRule="exact"/>
              <w:rPr>
                <w:sz w:val="20"/>
                <w:szCs w:val="20"/>
                <w:color w:val="auto"/>
              </w:rPr>
            </w:pPr>
            <w:r>
              <w:rPr>
                <w:rFonts w:ascii="Arial" w:cs="Arial" w:eastAsia="Arial" w:hAnsi="Arial"/>
                <w:sz w:val="14"/>
                <w:szCs w:val="14"/>
                <w:b w:val="1"/>
                <w:bCs w:val="1"/>
                <w:color w:val="auto"/>
                <w:w w:val="95"/>
              </w:rPr>
              <w:t>Percentage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620" w:type="dxa"/>
            <w:vAlign w:val="bottom"/>
            <w:gridSpan w:val="3"/>
            <w:vMerge w:val="continue"/>
          </w:tcPr>
          <w:p>
            <w:pPr>
              <w:spacing w:after="0"/>
              <w:rPr>
                <w:sz w:val="14"/>
                <w:szCs w:val="14"/>
                <w:color w:val="auto"/>
              </w:rPr>
            </w:pPr>
          </w:p>
        </w:tc>
        <w:tc>
          <w:tcPr>
            <w:tcW w:w="2580" w:type="dxa"/>
            <w:vAlign w:val="bottom"/>
            <w:gridSpan w:val="2"/>
            <w:vMerge w:val="continue"/>
          </w:tcPr>
          <w:p>
            <w:pPr>
              <w:spacing w:after="0"/>
              <w:rPr>
                <w:sz w:val="14"/>
                <w:szCs w:val="14"/>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Date</w:t>
            </w: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Spread</w:t>
            </w: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Rate</w:t>
            </w: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 xml:space="preserve">Cost </w:t>
            </w:r>
            <w:r>
              <w:rPr>
                <w:rFonts w:ascii="Arial" w:cs="Arial" w:eastAsia="Arial" w:hAnsi="Arial"/>
                <w:sz w:val="12"/>
                <w:szCs w:val="12"/>
                <w:b w:val="1"/>
                <w:bCs w:val="1"/>
                <w:color w:val="auto"/>
                <w:w w:val="93"/>
              </w:rPr>
              <w:t>(2)(8)</w:t>
            </w:r>
          </w:p>
        </w:tc>
        <w:tc>
          <w:tcPr>
            <w:tcW w:w="860" w:type="dxa"/>
            <w:vAlign w:val="bottom"/>
          </w:tcPr>
          <w:p>
            <w:pPr>
              <w:jc w:val="right"/>
              <w:ind w:right="252"/>
              <w:spacing w:after="0"/>
              <w:rPr>
                <w:sz w:val="20"/>
                <w:szCs w:val="20"/>
                <w:color w:val="auto"/>
              </w:rPr>
            </w:pPr>
            <w:r>
              <w:rPr>
                <w:rFonts w:ascii="Arial" w:cs="Arial" w:eastAsia="Arial" w:hAnsi="Arial"/>
                <w:sz w:val="12"/>
                <w:szCs w:val="12"/>
                <w:b w:val="1"/>
                <w:bCs w:val="1"/>
                <w:color w:val="auto"/>
              </w:rPr>
              <w:t>(10)</w:t>
            </w:r>
          </w:p>
        </w:tc>
        <w:tc>
          <w:tcPr>
            <w:tcW w:w="200" w:type="dxa"/>
            <w:vAlign w:val="bottom"/>
          </w:tcPr>
          <w:p>
            <w:pPr>
              <w:spacing w:after="0"/>
              <w:rPr>
                <w:sz w:val="14"/>
                <w:szCs w:val="14"/>
                <w:color w:val="auto"/>
              </w:rPr>
            </w:pPr>
          </w:p>
        </w:tc>
        <w:tc>
          <w:tcPr>
            <w:tcW w:w="980" w:type="dxa"/>
            <w:vAlign w:val="bottom"/>
            <w:gridSpan w:val="2"/>
          </w:tcPr>
          <w:p>
            <w:pPr>
              <w:jc w:val="right"/>
              <w:ind w:right="90"/>
              <w:spacing w:after="0"/>
              <w:rPr>
                <w:sz w:val="20"/>
                <w:szCs w:val="20"/>
                <w:color w:val="auto"/>
              </w:rPr>
            </w:pPr>
            <w:r>
              <w:rPr>
                <w:rFonts w:ascii="Arial" w:cs="Arial" w:eastAsia="Arial" w:hAnsi="Arial"/>
                <w:sz w:val="14"/>
                <w:szCs w:val="14"/>
                <w:b w:val="1"/>
                <w:bCs w:val="1"/>
                <w:color w:val="auto"/>
                <w:w w:val="87"/>
              </w:rPr>
              <w:t>of Net Assets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4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143,356</w:t>
            </w:r>
          </w:p>
        </w:tc>
        <w:tc>
          <w:tcPr>
            <w:tcW w:w="22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144,847</w:t>
            </w:r>
          </w:p>
        </w:tc>
        <w:tc>
          <w:tcPr>
            <w:tcW w:w="20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1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87"/>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20" w:type="dxa"/>
            <w:vAlign w:val="bottom"/>
            <w:gridSpan w:val="3"/>
          </w:tcPr>
          <w:p>
            <w:pPr>
              <w:spacing w:after="0"/>
              <w:rPr>
                <w:sz w:val="20"/>
                <w:szCs w:val="20"/>
                <w:color w:val="auto"/>
              </w:rPr>
            </w:pPr>
            <w:r>
              <w:rPr>
                <w:rFonts w:ascii="Arial" w:cs="Arial" w:eastAsia="Arial" w:hAnsi="Arial"/>
                <w:sz w:val="18"/>
                <w:szCs w:val="18"/>
                <w:b w:val="1"/>
                <w:bCs w:val="1"/>
                <w:color w:val="auto"/>
              </w:rPr>
              <w:t>Transportation</w:t>
            </w:r>
          </w:p>
        </w:tc>
        <w:tc>
          <w:tcPr>
            <w:tcW w:w="2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Ferrellgas, L.P. </w:t>
            </w:r>
            <w:r>
              <w:rPr>
                <w:rFonts w:ascii="Arial" w:cs="Arial" w:eastAsia="Arial" w:hAnsi="Arial"/>
                <w:sz w:val="15"/>
                <w:szCs w:val="15"/>
                <w:color w:val="auto"/>
              </w:rPr>
              <w:t>(3)(4)(5)</w:t>
            </w:r>
          </w:p>
        </w:tc>
        <w:tc>
          <w:tcPr>
            <w:tcW w:w="2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First-lien loan ($82,500 par, due</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5/4/2018</w:t>
            </w:r>
          </w:p>
        </w:tc>
        <w:tc>
          <w:tcPr>
            <w:tcW w:w="1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L + 5.75%</w:t>
            </w: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8.24%</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81,101</w:t>
            </w: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84,188</w:t>
            </w:r>
          </w:p>
        </w:tc>
        <w:tc>
          <w:tcPr>
            <w:tcW w:w="2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460" w:type="dxa"/>
            <w:vAlign w:val="bottom"/>
            <w:shd w:val="clear" w:color="auto" w:fill="CFF0FC"/>
          </w:tcPr>
          <w:p>
            <w:pPr>
              <w:spacing w:after="0"/>
              <w:rPr>
                <w:sz w:val="20"/>
                <w:szCs w:val="20"/>
                <w:color w:val="auto"/>
              </w:rPr>
            </w:pPr>
            <w:r>
              <w:rPr>
                <w:rFonts w:ascii="Arial" w:cs="Arial" w:eastAsia="Arial" w:hAnsi="Arial"/>
                <w:sz w:val="18"/>
                <w:szCs w:val="18"/>
                <w:color w:val="auto"/>
              </w:rPr>
              <w:t>5/2023)</w:t>
            </w:r>
          </w:p>
        </w:tc>
        <w:tc>
          <w:tcPr>
            <w:tcW w:w="12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620" w:type="dxa"/>
            <w:vAlign w:val="bottom"/>
            <w:gridSpan w:val="3"/>
          </w:tcPr>
          <w:p>
            <w:pPr>
              <w:spacing w:after="0"/>
              <w:rPr>
                <w:sz w:val="20"/>
                <w:szCs w:val="20"/>
                <w:color w:val="auto"/>
              </w:rPr>
            </w:pPr>
            <w:r>
              <w:rPr>
                <w:rFonts w:ascii="Arial" w:cs="Arial" w:eastAsia="Arial" w:hAnsi="Arial"/>
                <w:sz w:val="18"/>
                <w:szCs w:val="18"/>
                <w:b w:val="1"/>
                <w:bCs w:val="1"/>
                <w:color w:val="auto"/>
              </w:rPr>
              <w:t>Total Debt Investments</w:t>
            </w:r>
          </w:p>
        </w:tc>
        <w:tc>
          <w:tcPr>
            <w:tcW w:w="2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1,759,407</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1,783,406</w:t>
            </w:r>
          </w:p>
        </w:tc>
        <w:tc>
          <w:tcPr>
            <w:tcW w:w="20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166.0%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24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4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2600" w:type="dxa"/>
            <w:vAlign w:val="bottom"/>
            <w:gridSpan w:val="2"/>
          </w:tcPr>
          <w:p>
            <w:pPr>
              <w:spacing w:after="0"/>
              <w:rPr>
                <w:sz w:val="20"/>
                <w:szCs w:val="20"/>
                <w:color w:val="auto"/>
              </w:rPr>
            </w:pPr>
            <w:r>
              <w:rPr>
                <w:rFonts w:ascii="Arial" w:cs="Arial" w:eastAsia="Arial" w:hAnsi="Arial"/>
                <w:sz w:val="18"/>
                <w:szCs w:val="18"/>
                <w:b w:val="1"/>
                <w:bCs w:val="1"/>
                <w:color w:val="auto"/>
              </w:rPr>
              <w:t>Equity and Other Investments</w:t>
            </w:r>
          </w:p>
        </w:tc>
        <w:tc>
          <w:tcPr>
            <w:tcW w:w="2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60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Beverage, food and tobacco</w:t>
            </w:r>
          </w:p>
        </w:tc>
        <w:tc>
          <w:tcPr>
            <w:tcW w:w="24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w w:val="98"/>
              </w:rPr>
              <w:t xml:space="preserve">AFS Technologies, Inc. </w:t>
            </w:r>
            <w:r>
              <w:rPr>
                <w:rFonts w:ascii="Arial" w:cs="Arial" w:eastAsia="Arial" w:hAnsi="Arial"/>
                <w:sz w:val="15"/>
                <w:szCs w:val="15"/>
                <w:color w:val="auto"/>
                <w:w w:val="98"/>
              </w:rPr>
              <w:t>(6)(13)(14)</w:t>
            </w:r>
          </w:p>
        </w:tc>
        <w:tc>
          <w:tcPr>
            <w:tcW w:w="2580" w:type="dxa"/>
            <w:vAlign w:val="bottom"/>
            <w:gridSpan w:val="2"/>
          </w:tcPr>
          <w:p>
            <w:pPr>
              <w:spacing w:after="0"/>
              <w:rPr>
                <w:sz w:val="20"/>
                <w:szCs w:val="20"/>
                <w:color w:val="auto"/>
              </w:rPr>
            </w:pPr>
            <w:r>
              <w:rPr>
                <w:rFonts w:ascii="Arial" w:cs="Arial" w:eastAsia="Arial" w:hAnsi="Arial"/>
                <w:sz w:val="18"/>
                <w:szCs w:val="18"/>
                <w:color w:val="auto"/>
                <w:w w:val="98"/>
              </w:rPr>
              <w:t>Preferred Units (4,441,090 units)</w:t>
            </w:r>
          </w:p>
        </w:tc>
        <w:tc>
          <w:tcPr>
            <w:tcW w:w="880" w:type="dxa"/>
            <w:vAlign w:val="bottom"/>
          </w:tcPr>
          <w:p>
            <w:pPr>
              <w:jc w:val="right"/>
              <w:spacing w:after="0"/>
              <w:rPr>
                <w:sz w:val="20"/>
                <w:szCs w:val="20"/>
                <w:color w:val="auto"/>
              </w:rPr>
            </w:pPr>
            <w:r>
              <w:rPr>
                <w:rFonts w:ascii="Arial" w:cs="Arial" w:eastAsia="Arial" w:hAnsi="Arial"/>
                <w:sz w:val="18"/>
                <w:szCs w:val="18"/>
                <w:color w:val="auto"/>
                <w:w w:val="93"/>
              </w:rPr>
              <w:t>10/16/2018</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4,441</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4,441</w:t>
            </w:r>
          </w:p>
        </w:tc>
        <w:tc>
          <w:tcPr>
            <w:tcW w:w="20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60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Business Services</w:t>
            </w:r>
          </w:p>
        </w:tc>
        <w:tc>
          <w:tcPr>
            <w:tcW w:w="24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rPr>
              <w:t xml:space="preserve">Motus, LLC </w:t>
            </w:r>
            <w:r>
              <w:rPr>
                <w:rFonts w:ascii="Arial" w:cs="Arial" w:eastAsia="Arial" w:hAnsi="Arial"/>
                <w:sz w:val="15"/>
                <w:szCs w:val="15"/>
                <w:color w:val="auto"/>
              </w:rPr>
              <w:t>(13)</w:t>
            </w:r>
          </w:p>
        </w:tc>
        <w:tc>
          <w:tcPr>
            <w:tcW w:w="2580" w:type="dxa"/>
            <w:vAlign w:val="bottom"/>
            <w:gridSpan w:val="2"/>
          </w:tcPr>
          <w:p>
            <w:pPr>
              <w:spacing w:after="0"/>
              <w:rPr>
                <w:sz w:val="20"/>
                <w:szCs w:val="20"/>
                <w:color w:val="auto"/>
              </w:rPr>
            </w:pPr>
            <w:r>
              <w:rPr>
                <w:rFonts w:ascii="Arial" w:cs="Arial" w:eastAsia="Arial" w:hAnsi="Arial"/>
                <w:sz w:val="18"/>
                <w:szCs w:val="18"/>
                <w:color w:val="auto"/>
              </w:rPr>
              <w:t>Class A Units (1,262 units)</w:t>
            </w:r>
          </w:p>
        </w:tc>
        <w:tc>
          <w:tcPr>
            <w:tcW w:w="880" w:type="dxa"/>
            <w:vAlign w:val="bottom"/>
          </w:tcPr>
          <w:p>
            <w:pPr>
              <w:jc w:val="right"/>
              <w:spacing w:after="0"/>
              <w:rPr>
                <w:sz w:val="20"/>
                <w:szCs w:val="20"/>
                <w:color w:val="auto"/>
              </w:rPr>
            </w:pPr>
            <w:r>
              <w:rPr>
                <w:rFonts w:ascii="Arial" w:cs="Arial" w:eastAsia="Arial" w:hAnsi="Arial"/>
                <w:sz w:val="18"/>
                <w:szCs w:val="18"/>
                <w:color w:val="auto"/>
              </w:rPr>
              <w:t>1/17/2018</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1,262</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1,325</w:t>
            </w:r>
          </w:p>
        </w:tc>
        <w:tc>
          <w:tcPr>
            <w:tcW w:w="20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Class B Units (517,020 units)</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1/17/2018</w:t>
            </w: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rPr>
              <w:t xml:space="preserve">Nintex Global Limited </w:t>
            </w:r>
            <w:r>
              <w:rPr>
                <w:rFonts w:ascii="Arial" w:cs="Arial" w:eastAsia="Arial" w:hAnsi="Arial"/>
                <w:sz w:val="15"/>
                <w:szCs w:val="15"/>
                <w:color w:val="auto"/>
              </w:rPr>
              <w:t>(13)</w:t>
            </w:r>
          </w:p>
        </w:tc>
        <w:tc>
          <w:tcPr>
            <w:tcW w:w="2580" w:type="dxa"/>
            <w:vAlign w:val="bottom"/>
            <w:gridSpan w:val="2"/>
          </w:tcPr>
          <w:p>
            <w:pPr>
              <w:spacing w:after="0"/>
              <w:rPr>
                <w:sz w:val="20"/>
                <w:szCs w:val="20"/>
                <w:color w:val="auto"/>
              </w:rPr>
            </w:pPr>
            <w:r>
              <w:rPr>
                <w:rFonts w:ascii="Arial" w:cs="Arial" w:eastAsia="Arial" w:hAnsi="Arial"/>
                <w:sz w:val="18"/>
                <w:szCs w:val="18"/>
                <w:color w:val="auto"/>
              </w:rPr>
              <w:t>Class A Shares (1,197 shares)</w:t>
            </w:r>
          </w:p>
        </w:tc>
        <w:tc>
          <w:tcPr>
            <w:tcW w:w="880" w:type="dxa"/>
            <w:vAlign w:val="bottom"/>
          </w:tcPr>
          <w:p>
            <w:pPr>
              <w:jc w:val="right"/>
              <w:spacing w:after="0"/>
              <w:rPr>
                <w:sz w:val="20"/>
                <w:szCs w:val="20"/>
                <w:color w:val="auto"/>
              </w:rPr>
            </w:pPr>
            <w:r>
              <w:rPr>
                <w:rFonts w:ascii="Arial" w:cs="Arial" w:eastAsia="Arial" w:hAnsi="Arial"/>
                <w:sz w:val="18"/>
                <w:szCs w:val="18"/>
                <w:color w:val="auto"/>
              </w:rPr>
              <w:t>3/30/2018</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1,197</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1,532</w:t>
            </w:r>
          </w:p>
        </w:tc>
        <w:tc>
          <w:tcPr>
            <w:tcW w:w="20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58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6"/>
              </w:rPr>
              <w:t>Class B Shares (398,557 shares)</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3/30/2018</w:t>
            </w: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2,471</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2,872</w:t>
            </w:r>
          </w:p>
        </w:tc>
        <w:tc>
          <w:tcPr>
            <w:tcW w:w="20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Chemicals</w:t>
            </w:r>
          </w:p>
        </w:tc>
        <w:tc>
          <w:tcPr>
            <w:tcW w:w="24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rPr>
              <w:t xml:space="preserve">Vertellus Specialties, Inc. </w:t>
            </w:r>
            <w:r>
              <w:rPr>
                <w:rFonts w:ascii="Arial" w:cs="Arial" w:eastAsia="Arial" w:hAnsi="Arial"/>
                <w:sz w:val="15"/>
                <w:szCs w:val="15"/>
                <w:color w:val="auto"/>
              </w:rPr>
              <w:t>(13)</w:t>
            </w:r>
          </w:p>
        </w:tc>
        <w:tc>
          <w:tcPr>
            <w:tcW w:w="2580" w:type="dxa"/>
            <w:vAlign w:val="bottom"/>
            <w:gridSpan w:val="2"/>
          </w:tcPr>
          <w:p>
            <w:pPr>
              <w:spacing w:after="0"/>
              <w:rPr>
                <w:sz w:val="20"/>
                <w:szCs w:val="20"/>
                <w:color w:val="auto"/>
              </w:rPr>
            </w:pPr>
            <w:r>
              <w:rPr>
                <w:rFonts w:ascii="Arial" w:cs="Arial" w:eastAsia="Arial" w:hAnsi="Arial"/>
                <w:sz w:val="18"/>
                <w:szCs w:val="18"/>
                <w:color w:val="auto"/>
                <w:w w:val="98"/>
              </w:rPr>
              <w:t>Common Units (2,672,990 units)</w:t>
            </w:r>
          </w:p>
        </w:tc>
        <w:tc>
          <w:tcPr>
            <w:tcW w:w="880" w:type="dxa"/>
            <w:vAlign w:val="bottom"/>
          </w:tcPr>
          <w:p>
            <w:pPr>
              <w:jc w:val="right"/>
              <w:spacing w:after="0"/>
              <w:rPr>
                <w:sz w:val="20"/>
                <w:szCs w:val="20"/>
                <w:color w:val="auto"/>
              </w:rPr>
            </w:pPr>
            <w:r>
              <w:rPr>
                <w:rFonts w:ascii="Arial" w:cs="Arial" w:eastAsia="Arial" w:hAnsi="Arial"/>
                <w:sz w:val="18"/>
                <w:szCs w:val="18"/>
                <w:color w:val="auto"/>
                <w:w w:val="93"/>
              </w:rPr>
              <w:t>10/31/2016</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3,828</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3,560</w:t>
            </w:r>
          </w:p>
        </w:tc>
        <w:tc>
          <w:tcPr>
            <w:tcW w:w="20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60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Financial services</w:t>
            </w:r>
          </w:p>
        </w:tc>
        <w:tc>
          <w:tcPr>
            <w:tcW w:w="24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rPr>
              <w:t xml:space="preserve">AvidXchange, Inc. </w:t>
            </w:r>
            <w:r>
              <w:rPr>
                <w:rFonts w:ascii="Arial" w:cs="Arial" w:eastAsia="Arial" w:hAnsi="Arial"/>
                <w:sz w:val="15"/>
                <w:szCs w:val="15"/>
                <w:color w:val="auto"/>
              </w:rPr>
              <w:t>(13)</w:t>
            </w:r>
          </w:p>
        </w:tc>
        <w:tc>
          <w:tcPr>
            <w:tcW w:w="2580" w:type="dxa"/>
            <w:vAlign w:val="bottom"/>
            <w:gridSpan w:val="2"/>
          </w:tcPr>
          <w:p>
            <w:pPr>
              <w:spacing w:after="0"/>
              <w:rPr>
                <w:sz w:val="20"/>
                <w:szCs w:val="20"/>
                <w:color w:val="auto"/>
              </w:rPr>
            </w:pPr>
            <w:r>
              <w:rPr>
                <w:rFonts w:ascii="Arial" w:cs="Arial" w:eastAsia="Arial" w:hAnsi="Arial"/>
                <w:sz w:val="18"/>
                <w:szCs w:val="18"/>
                <w:color w:val="auto"/>
              </w:rPr>
              <w:t>Series E Preferred Equity</w:t>
            </w:r>
          </w:p>
        </w:tc>
        <w:tc>
          <w:tcPr>
            <w:tcW w:w="880" w:type="dxa"/>
            <w:vAlign w:val="bottom"/>
          </w:tcPr>
          <w:p>
            <w:pPr>
              <w:jc w:val="right"/>
              <w:spacing w:after="0"/>
              <w:rPr>
                <w:sz w:val="20"/>
                <w:szCs w:val="20"/>
                <w:color w:val="auto"/>
              </w:rPr>
            </w:pPr>
            <w:r>
              <w:rPr>
                <w:rFonts w:ascii="Arial" w:cs="Arial" w:eastAsia="Arial" w:hAnsi="Arial"/>
                <w:sz w:val="18"/>
                <w:szCs w:val="18"/>
                <w:color w:val="auto"/>
              </w:rPr>
              <w:t>8/7/2015</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3,846</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7,481</w:t>
            </w:r>
          </w:p>
        </w:tc>
        <w:tc>
          <w:tcPr>
            <w:tcW w:w="2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80" w:type="dxa"/>
            <w:vAlign w:val="bottom"/>
            <w:gridSpan w:val="2"/>
          </w:tcPr>
          <w:p>
            <w:pPr>
              <w:spacing w:after="0"/>
              <w:rPr>
                <w:sz w:val="20"/>
                <w:szCs w:val="20"/>
                <w:color w:val="auto"/>
              </w:rPr>
            </w:pPr>
            <w:r>
              <w:rPr>
                <w:rFonts w:ascii="Arial" w:cs="Arial" w:eastAsia="Arial" w:hAnsi="Arial"/>
                <w:sz w:val="18"/>
                <w:szCs w:val="18"/>
                <w:color w:val="auto"/>
              </w:rPr>
              <w:t>(214,132 shares)</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Oxford Square Capital Corp. </w:t>
            </w:r>
            <w:r>
              <w:rPr>
                <w:rFonts w:ascii="Arial" w:cs="Arial" w:eastAsia="Arial" w:hAnsi="Arial"/>
                <w:sz w:val="15"/>
                <w:szCs w:val="15"/>
                <w:color w:val="auto"/>
              </w:rPr>
              <w:t>(4)</w:t>
            </w:r>
          </w:p>
        </w:tc>
        <w:tc>
          <w:tcPr>
            <w:tcW w:w="258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9"/>
              </w:rPr>
              <w:t>Common Shares (1,059 shares)</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8/5/2015</w:t>
            </w: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480" w:type="dxa"/>
            <w:vAlign w:val="bottom"/>
            <w:shd w:val="clear" w:color="auto" w:fill="CFF0FC"/>
          </w:tcPr>
          <w:p>
            <w:pPr>
              <w:spacing w:after="0"/>
              <w:rPr>
                <w:sz w:val="20"/>
                <w:szCs w:val="20"/>
                <w:color w:val="auto"/>
              </w:rPr>
            </w:pPr>
            <w:r>
              <w:rPr>
                <w:rFonts w:ascii="Arial" w:cs="Arial" w:eastAsia="Arial" w:hAnsi="Arial"/>
                <w:sz w:val="15"/>
                <w:szCs w:val="15"/>
                <w:color w:val="auto"/>
              </w:rPr>
              <w:t>(12)</w:t>
            </w:r>
          </w:p>
        </w:tc>
        <w:tc>
          <w:tcPr>
            <w:tcW w:w="120" w:type="dxa"/>
            <w:vAlign w:val="bottom"/>
            <w:shd w:val="clear" w:color="auto" w:fill="CFF0FC"/>
          </w:tcPr>
          <w:p>
            <w:pPr>
              <w:spacing w:after="0"/>
              <w:rPr>
                <w:sz w:val="15"/>
                <w:szCs w:val="15"/>
                <w:color w:val="auto"/>
              </w:rPr>
            </w:pPr>
          </w:p>
        </w:tc>
        <w:tc>
          <w:tcPr>
            <w:tcW w:w="24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rPr>
              <w:t xml:space="preserve">Swift Gift Limited </w:t>
            </w:r>
            <w:r>
              <w:rPr>
                <w:rFonts w:ascii="Arial" w:cs="Arial" w:eastAsia="Arial" w:hAnsi="Arial"/>
                <w:sz w:val="15"/>
                <w:szCs w:val="15"/>
                <w:color w:val="auto"/>
              </w:rPr>
              <w:t>(13)</w:t>
            </w:r>
          </w:p>
        </w:tc>
        <w:tc>
          <w:tcPr>
            <w:tcW w:w="2580" w:type="dxa"/>
            <w:vAlign w:val="bottom"/>
            <w:gridSpan w:val="2"/>
          </w:tcPr>
          <w:p>
            <w:pPr>
              <w:spacing w:after="0"/>
              <w:rPr>
                <w:sz w:val="20"/>
                <w:szCs w:val="20"/>
                <w:color w:val="auto"/>
              </w:rPr>
            </w:pPr>
            <w:r>
              <w:rPr>
                <w:rFonts w:ascii="Arial" w:cs="Arial" w:eastAsia="Arial" w:hAnsi="Arial"/>
                <w:sz w:val="18"/>
                <w:szCs w:val="18"/>
                <w:color w:val="auto"/>
                <w:w w:val="96"/>
              </w:rPr>
              <w:t>Common Shares (35,000 shares)</w:t>
            </w:r>
          </w:p>
        </w:tc>
        <w:tc>
          <w:tcPr>
            <w:tcW w:w="880" w:type="dxa"/>
            <w:vAlign w:val="bottom"/>
          </w:tcPr>
          <w:p>
            <w:pPr>
              <w:jc w:val="right"/>
              <w:spacing w:after="0"/>
              <w:rPr>
                <w:sz w:val="20"/>
                <w:szCs w:val="20"/>
                <w:color w:val="auto"/>
              </w:rPr>
            </w:pPr>
            <w:r>
              <w:rPr>
                <w:rFonts w:ascii="Arial" w:cs="Arial" w:eastAsia="Arial" w:hAnsi="Arial"/>
                <w:sz w:val="18"/>
                <w:szCs w:val="18"/>
                <w:color w:val="auto"/>
              </w:rPr>
              <w:t>7/31/2017</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3,500</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7,997</w:t>
            </w:r>
          </w:p>
        </w:tc>
        <w:tc>
          <w:tcPr>
            <w:tcW w:w="20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4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78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80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4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7,353</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15,485</w:t>
            </w: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20" w:type="dxa"/>
            <w:vAlign w:val="bottom"/>
            <w:gridSpan w:val="3"/>
          </w:tcPr>
          <w:p>
            <w:pPr>
              <w:spacing w:after="0"/>
              <w:rPr>
                <w:sz w:val="20"/>
                <w:szCs w:val="20"/>
                <w:color w:val="auto"/>
              </w:rPr>
            </w:pPr>
            <w:r>
              <w:rPr>
                <w:rFonts w:ascii="Arial" w:cs="Arial" w:eastAsia="Arial" w:hAnsi="Arial"/>
                <w:sz w:val="18"/>
                <w:szCs w:val="18"/>
                <w:b w:val="1"/>
                <w:bCs w:val="1"/>
                <w:color w:val="auto"/>
              </w:rPr>
              <w:t>Healthcare</w:t>
            </w:r>
          </w:p>
        </w:tc>
        <w:tc>
          <w:tcPr>
            <w:tcW w:w="2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Caris Life Sciences, Ltd. </w:t>
            </w:r>
            <w:r>
              <w:rPr>
                <w:rFonts w:ascii="Arial" w:cs="Arial" w:eastAsia="Arial" w:hAnsi="Arial"/>
                <w:sz w:val="15"/>
                <w:szCs w:val="15"/>
                <w:color w:val="auto"/>
              </w:rPr>
              <w:t>(13)(14)</w:t>
            </w:r>
          </w:p>
        </w:tc>
        <w:tc>
          <w:tcPr>
            <w:tcW w:w="2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Common Shares Class A</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9/21/2018</w:t>
            </w: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w:t>
            </w: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w:t>
            </w:r>
          </w:p>
        </w:tc>
        <w:tc>
          <w:tcPr>
            <w:tcW w:w="2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(1,980 shares)</w:t>
            </w:r>
          </w:p>
        </w:tc>
        <w:tc>
          <w:tcPr>
            <w:tcW w:w="8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rPr>
              <w:t xml:space="preserve">Vita Topco, Inc. </w:t>
            </w:r>
            <w:r>
              <w:rPr>
                <w:rFonts w:ascii="Arial" w:cs="Arial" w:eastAsia="Arial" w:hAnsi="Arial"/>
                <w:sz w:val="15"/>
                <w:szCs w:val="15"/>
                <w:color w:val="auto"/>
              </w:rPr>
              <w:t>(13)(14)(15)</w:t>
            </w:r>
          </w:p>
        </w:tc>
        <w:tc>
          <w:tcPr>
            <w:tcW w:w="2580" w:type="dxa"/>
            <w:vAlign w:val="bottom"/>
            <w:gridSpan w:val="2"/>
          </w:tcPr>
          <w:p>
            <w:pPr>
              <w:spacing w:after="0"/>
              <w:rPr>
                <w:sz w:val="20"/>
                <w:szCs w:val="20"/>
                <w:color w:val="auto"/>
              </w:rPr>
            </w:pPr>
            <w:r>
              <w:rPr>
                <w:rFonts w:ascii="Arial" w:cs="Arial" w:eastAsia="Arial" w:hAnsi="Arial"/>
                <w:sz w:val="18"/>
                <w:szCs w:val="18"/>
                <w:color w:val="auto"/>
                <w:w w:val="99"/>
              </w:rPr>
              <w:t>Common Shares (1,000 shares)</w:t>
            </w:r>
          </w:p>
        </w:tc>
        <w:tc>
          <w:tcPr>
            <w:tcW w:w="880" w:type="dxa"/>
            <w:vAlign w:val="bottom"/>
          </w:tcPr>
          <w:p>
            <w:pPr>
              <w:jc w:val="right"/>
              <w:spacing w:after="0"/>
              <w:rPr>
                <w:sz w:val="20"/>
                <w:szCs w:val="20"/>
                <w:color w:val="auto"/>
              </w:rPr>
            </w:pPr>
            <w:r>
              <w:rPr>
                <w:rFonts w:ascii="Arial" w:cs="Arial" w:eastAsia="Arial" w:hAnsi="Arial"/>
                <w:sz w:val="18"/>
                <w:szCs w:val="18"/>
                <w:color w:val="auto"/>
              </w:rPr>
              <w:t>2/11/2019</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4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78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80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4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1,192</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1,192</w:t>
            </w: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20" w:type="dxa"/>
            <w:vAlign w:val="bottom"/>
            <w:gridSpan w:val="3"/>
          </w:tcPr>
          <w:p>
            <w:pPr>
              <w:spacing w:after="0"/>
              <w:rPr>
                <w:sz w:val="20"/>
                <w:szCs w:val="20"/>
                <w:color w:val="auto"/>
              </w:rPr>
            </w:pPr>
            <w:r>
              <w:rPr>
                <w:rFonts w:ascii="Arial" w:cs="Arial" w:eastAsia="Arial" w:hAnsi="Arial"/>
                <w:sz w:val="18"/>
                <w:szCs w:val="18"/>
                <w:b w:val="1"/>
                <w:bCs w:val="1"/>
                <w:color w:val="auto"/>
              </w:rPr>
              <w:t>Hotel, gaming, and leisure</w:t>
            </w:r>
          </w:p>
        </w:tc>
        <w:tc>
          <w:tcPr>
            <w:tcW w:w="2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IRGSE Holding Corp. </w:t>
            </w:r>
            <w:r>
              <w:rPr>
                <w:rFonts w:ascii="Arial" w:cs="Arial" w:eastAsia="Arial" w:hAnsi="Arial"/>
                <w:sz w:val="15"/>
                <w:szCs w:val="15"/>
                <w:color w:val="auto"/>
              </w:rPr>
              <w:t>(7)(13)</w:t>
            </w:r>
          </w:p>
        </w:tc>
        <w:tc>
          <w:tcPr>
            <w:tcW w:w="258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9"/>
              </w:rPr>
              <w:t>Class A Units (27,690,171 units)</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12/21/2018</w:t>
            </w: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20,063</w:t>
            </w: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3,600</w:t>
            </w:r>
          </w:p>
        </w:tc>
        <w:tc>
          <w:tcPr>
            <w:tcW w:w="2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4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460" w:type="dxa"/>
            <w:vAlign w:val="bottom"/>
            <w:shd w:val="clear" w:color="auto" w:fill="CFF0FC"/>
          </w:tcPr>
          <w:p>
            <w:pPr>
              <w:spacing w:after="0"/>
              <w:rPr>
                <w:sz w:val="20"/>
                <w:szCs w:val="20"/>
                <w:color w:val="auto"/>
              </w:rPr>
            </w:pPr>
            <w:r>
              <w:rPr>
                <w:rFonts w:ascii="Arial" w:cs="Arial" w:eastAsia="Arial" w:hAnsi="Arial"/>
                <w:sz w:val="15"/>
                <w:szCs w:val="15"/>
                <w:color w:val="auto"/>
              </w:rPr>
              <w:t>(14)</w:t>
            </w:r>
          </w:p>
        </w:tc>
        <w:tc>
          <w:tcPr>
            <w:tcW w:w="12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80" w:type="dxa"/>
            <w:vAlign w:val="bottom"/>
            <w:gridSpan w:val="2"/>
          </w:tcPr>
          <w:p>
            <w:pPr>
              <w:spacing w:after="0"/>
              <w:rPr>
                <w:sz w:val="20"/>
                <w:szCs w:val="20"/>
                <w:color w:val="auto"/>
              </w:rPr>
            </w:pPr>
            <w:r>
              <w:rPr>
                <w:rFonts w:ascii="Arial" w:cs="Arial" w:eastAsia="Arial" w:hAnsi="Arial"/>
                <w:sz w:val="18"/>
                <w:szCs w:val="18"/>
                <w:color w:val="auto"/>
              </w:rPr>
              <w:t>Common Shares (8,800,000</w:t>
            </w:r>
          </w:p>
        </w:tc>
        <w:tc>
          <w:tcPr>
            <w:tcW w:w="880" w:type="dxa"/>
            <w:vAlign w:val="bottom"/>
          </w:tcPr>
          <w:p>
            <w:pPr>
              <w:jc w:val="right"/>
              <w:spacing w:after="0"/>
              <w:rPr>
                <w:sz w:val="20"/>
                <w:szCs w:val="20"/>
                <w:color w:val="auto"/>
              </w:rPr>
            </w:pPr>
            <w:r>
              <w:rPr>
                <w:rFonts w:ascii="Arial" w:cs="Arial" w:eastAsia="Arial" w:hAnsi="Arial"/>
                <w:sz w:val="18"/>
                <w:szCs w:val="18"/>
                <w:color w:val="auto"/>
                <w:w w:val="93"/>
              </w:rPr>
              <w:t>12/21/2018</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48</w:t>
            </w:r>
          </w:p>
        </w:tc>
        <w:tc>
          <w:tcPr>
            <w:tcW w:w="2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80" w:type="dxa"/>
            <w:vAlign w:val="bottom"/>
            <w:tcBorders>
              <w:bottom w:val="single" w:sz="8" w:color="CFF0FC"/>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25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shares)</w:t>
            </w:r>
          </w:p>
        </w:tc>
        <w:tc>
          <w:tcPr>
            <w:tcW w:w="88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780" w:type="dxa"/>
            <w:vAlign w:val="bottom"/>
            <w:tcBorders>
              <w:bottom w:val="single" w:sz="8" w:color="CFF0FC"/>
            </w:tcBorders>
          </w:tcPr>
          <w:p>
            <w:pPr>
              <w:spacing w:after="0"/>
              <w:rPr>
                <w:sz w:val="20"/>
                <w:szCs w:val="20"/>
                <w:color w:val="auto"/>
              </w:rPr>
            </w:pPr>
          </w:p>
        </w:tc>
        <w:tc>
          <w:tcPr>
            <w:tcW w:w="280" w:type="dxa"/>
            <w:vAlign w:val="bottom"/>
            <w:tcBorders>
              <w:bottom w:val="single" w:sz="8" w:color="CFF0FC"/>
            </w:tcBorders>
          </w:tcPr>
          <w:p>
            <w:pPr>
              <w:spacing w:after="0"/>
              <w:rPr>
                <w:sz w:val="20"/>
                <w:szCs w:val="20"/>
                <w:color w:val="auto"/>
              </w:rPr>
            </w:pPr>
          </w:p>
        </w:tc>
        <w:tc>
          <w:tcPr>
            <w:tcW w:w="800" w:type="dxa"/>
            <w:vAlign w:val="bottom"/>
            <w:tcBorders>
              <w:bottom w:val="single" w:sz="8" w:color="CFF0FC"/>
            </w:tcBorders>
          </w:tcPr>
          <w:p>
            <w:pPr>
              <w:spacing w:after="0"/>
              <w:rPr>
                <w:sz w:val="20"/>
                <w:szCs w:val="20"/>
                <w:color w:val="auto"/>
              </w:rPr>
            </w:pPr>
          </w:p>
        </w:tc>
        <w:tc>
          <w:tcPr>
            <w:tcW w:w="280" w:type="dxa"/>
            <w:vAlign w:val="bottom"/>
            <w:tcBorders>
              <w:bottom w:val="single" w:sz="8" w:color="CFF0FC"/>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20" w:type="dxa"/>
            <w:vAlign w:val="bottom"/>
            <w:tcBorders>
              <w:bottom w:val="single" w:sz="8" w:color="CFF0FC"/>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80" w:type="dxa"/>
            <w:vAlign w:val="bottom"/>
            <w:tcBorders>
              <w:bottom w:val="single" w:sz="8" w:color="CFF0F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20,163</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3,648</w:t>
            </w: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620" w:type="dxa"/>
            <w:vAlign w:val="bottom"/>
            <w:gridSpan w:val="3"/>
          </w:tcPr>
          <w:p>
            <w:pPr>
              <w:spacing w:after="0" w:line="205" w:lineRule="exact"/>
              <w:rPr>
                <w:sz w:val="20"/>
                <w:szCs w:val="20"/>
                <w:color w:val="auto"/>
              </w:rPr>
            </w:pPr>
            <w:r>
              <w:rPr>
                <w:rFonts w:ascii="Arial" w:cs="Arial" w:eastAsia="Arial" w:hAnsi="Arial"/>
                <w:sz w:val="18"/>
                <w:szCs w:val="18"/>
                <w:b w:val="1"/>
                <w:bCs w:val="1"/>
                <w:color w:val="auto"/>
              </w:rPr>
              <w:t>Human resource support</w:t>
            </w:r>
          </w:p>
        </w:tc>
        <w:tc>
          <w:tcPr>
            <w:tcW w:w="2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20" w:type="dxa"/>
            <w:vAlign w:val="bottom"/>
            <w:gridSpan w:val="3"/>
          </w:tcPr>
          <w:p>
            <w:pPr>
              <w:spacing w:after="0"/>
              <w:rPr>
                <w:sz w:val="20"/>
                <w:szCs w:val="20"/>
                <w:color w:val="auto"/>
              </w:rPr>
            </w:pPr>
            <w:r>
              <w:rPr>
                <w:rFonts w:ascii="Arial" w:cs="Arial" w:eastAsia="Arial" w:hAnsi="Arial"/>
                <w:sz w:val="18"/>
                <w:szCs w:val="18"/>
                <w:b w:val="1"/>
                <w:bCs w:val="1"/>
                <w:color w:val="auto"/>
              </w:rPr>
              <w:t>services</w:t>
            </w:r>
          </w:p>
        </w:tc>
        <w:tc>
          <w:tcPr>
            <w:tcW w:w="2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ClearCompany, LLC </w:t>
            </w:r>
            <w:r>
              <w:rPr>
                <w:rFonts w:ascii="Arial" w:cs="Arial" w:eastAsia="Arial" w:hAnsi="Arial"/>
                <w:sz w:val="15"/>
                <w:szCs w:val="15"/>
                <w:color w:val="auto"/>
              </w:rPr>
              <w:t>(13)(14)(15)</w:t>
            </w:r>
          </w:p>
        </w:tc>
        <w:tc>
          <w:tcPr>
            <w:tcW w:w="2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Class A Units (44,944 units)</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8/24/2018</w:t>
            </w: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2,014</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2,014</w:t>
            </w: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600" w:type="dxa"/>
            <w:vAlign w:val="bottom"/>
            <w:gridSpan w:val="2"/>
          </w:tcPr>
          <w:p>
            <w:pPr>
              <w:spacing w:after="0"/>
              <w:rPr>
                <w:sz w:val="20"/>
                <w:szCs w:val="20"/>
                <w:color w:val="auto"/>
              </w:rPr>
            </w:pPr>
            <w:r>
              <w:rPr>
                <w:rFonts w:ascii="Arial" w:cs="Arial" w:eastAsia="Arial" w:hAnsi="Arial"/>
                <w:sz w:val="18"/>
                <w:szCs w:val="18"/>
                <w:b w:val="1"/>
                <w:bCs w:val="1"/>
                <w:color w:val="auto"/>
              </w:rPr>
              <w:t>Insurance</w:t>
            </w:r>
          </w:p>
        </w:tc>
        <w:tc>
          <w:tcPr>
            <w:tcW w:w="2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Riskonnect, Inc. </w:t>
            </w:r>
            <w:r>
              <w:rPr>
                <w:rFonts w:ascii="Arial" w:cs="Arial" w:eastAsia="Arial" w:hAnsi="Arial"/>
                <w:sz w:val="15"/>
                <w:szCs w:val="15"/>
                <w:color w:val="auto"/>
              </w:rPr>
              <w:t>(13)(14)</w:t>
            </w:r>
          </w:p>
        </w:tc>
        <w:tc>
          <w:tcPr>
            <w:tcW w:w="258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9"/>
              </w:rPr>
              <w:t>Common Shares Class A (1,020</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6/30/2017</w:t>
            </w: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1,020</w:t>
            </w: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1,020</w:t>
            </w:r>
          </w:p>
        </w:tc>
        <w:tc>
          <w:tcPr>
            <w:tcW w:w="2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units)</w:t>
            </w:r>
          </w:p>
        </w:tc>
        <w:tc>
          <w:tcPr>
            <w:tcW w:w="8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80" w:type="dxa"/>
            <w:vAlign w:val="bottom"/>
            <w:gridSpan w:val="2"/>
          </w:tcPr>
          <w:p>
            <w:pPr>
              <w:spacing w:after="0"/>
              <w:rPr>
                <w:sz w:val="20"/>
                <w:szCs w:val="20"/>
                <w:color w:val="auto"/>
              </w:rPr>
            </w:pPr>
            <w:r>
              <w:rPr>
                <w:rFonts w:ascii="Arial" w:cs="Arial" w:eastAsia="Arial" w:hAnsi="Arial"/>
                <w:sz w:val="18"/>
                <w:szCs w:val="18"/>
                <w:color w:val="auto"/>
              </w:rPr>
              <w:t>Common Shares Class B</w:t>
            </w:r>
          </w:p>
        </w:tc>
        <w:tc>
          <w:tcPr>
            <w:tcW w:w="880" w:type="dxa"/>
            <w:vAlign w:val="bottom"/>
          </w:tcPr>
          <w:p>
            <w:pPr>
              <w:jc w:val="right"/>
              <w:spacing w:after="0"/>
              <w:rPr>
                <w:sz w:val="20"/>
                <w:szCs w:val="20"/>
                <w:color w:val="auto"/>
              </w:rPr>
            </w:pPr>
            <w:r>
              <w:rPr>
                <w:rFonts w:ascii="Arial" w:cs="Arial" w:eastAsia="Arial" w:hAnsi="Arial"/>
                <w:sz w:val="18"/>
                <w:szCs w:val="18"/>
                <w:color w:val="auto"/>
              </w:rPr>
              <w:t>6/30/2017</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80" w:type="dxa"/>
            <w:vAlign w:val="bottom"/>
            <w:gridSpan w:val="2"/>
          </w:tcPr>
          <w:p>
            <w:pPr>
              <w:spacing w:after="0"/>
              <w:rPr>
                <w:sz w:val="20"/>
                <w:szCs w:val="20"/>
                <w:color w:val="auto"/>
              </w:rPr>
            </w:pPr>
            <w:r>
              <w:rPr>
                <w:rFonts w:ascii="Arial" w:cs="Arial" w:eastAsia="Arial" w:hAnsi="Arial"/>
                <w:sz w:val="18"/>
                <w:szCs w:val="18"/>
                <w:color w:val="auto"/>
              </w:rPr>
              <w:t>(987,929 units)</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ind w:right="233"/>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4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4" w:right="21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61"/>
        </w:trPr>
        <w:tc>
          <w:tcPr>
            <w:tcW w:w="1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8"/>
              </w:rPr>
              <w:t>Initial</w:t>
            </w:r>
          </w:p>
        </w:tc>
        <w:tc>
          <w:tcPr>
            <w:tcW w:w="6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Reference</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1900" w:type="dxa"/>
            <w:vAlign w:val="bottom"/>
            <w:vMerge w:val="restart"/>
          </w:tcPr>
          <w:p>
            <w:pPr>
              <w:spacing w:after="0"/>
              <w:rPr>
                <w:sz w:val="20"/>
                <w:szCs w:val="20"/>
                <w:color w:val="auto"/>
              </w:rPr>
            </w:pPr>
            <w:r>
              <w:rPr>
                <w:rFonts w:ascii="Arial" w:cs="Arial" w:eastAsia="Arial" w:hAnsi="Arial"/>
                <w:sz w:val="14"/>
                <w:szCs w:val="14"/>
                <w:b w:val="1"/>
                <w:bCs w:val="1"/>
                <w:color w:val="auto"/>
              </w:rPr>
              <w:t xml:space="preserve">Company </w:t>
            </w:r>
            <w:r>
              <w:rPr>
                <w:rFonts w:ascii="Arial" w:cs="Arial" w:eastAsia="Arial" w:hAnsi="Arial"/>
                <w:sz w:val="12"/>
                <w:szCs w:val="12"/>
                <w:b w:val="1"/>
                <w:bCs w:val="1"/>
                <w:color w:val="auto"/>
              </w:rPr>
              <w:t>(1)</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920" w:type="dxa"/>
            <w:vAlign w:val="bottom"/>
            <w:gridSpan w:val="5"/>
            <w:vMerge w:val="restart"/>
          </w:tcPr>
          <w:p>
            <w:pPr>
              <w:ind w:left="200"/>
              <w:spacing w:after="0"/>
              <w:rPr>
                <w:sz w:val="20"/>
                <w:szCs w:val="20"/>
                <w:color w:val="auto"/>
              </w:rPr>
            </w:pPr>
            <w:r>
              <w:rPr>
                <w:rFonts w:ascii="Arial" w:cs="Arial" w:eastAsia="Arial" w:hAnsi="Arial"/>
                <w:sz w:val="14"/>
                <w:szCs w:val="14"/>
                <w:b w:val="1"/>
                <w:bCs w:val="1"/>
                <w:color w:val="auto"/>
              </w:rPr>
              <w:t>Investment</w:t>
            </w:r>
          </w:p>
        </w:tc>
        <w:tc>
          <w:tcPr>
            <w:tcW w:w="1060" w:type="dxa"/>
            <w:vAlign w:val="bottom"/>
            <w:gridSpan w:val="3"/>
          </w:tcPr>
          <w:p>
            <w:pPr>
              <w:jc w:val="center"/>
              <w:ind w:right="180"/>
              <w:spacing w:after="0" w:line="158" w:lineRule="exact"/>
              <w:rPr>
                <w:sz w:val="20"/>
                <w:szCs w:val="20"/>
                <w:color w:val="auto"/>
              </w:rPr>
            </w:pPr>
            <w:r>
              <w:rPr>
                <w:rFonts w:ascii="Arial" w:cs="Arial" w:eastAsia="Arial" w:hAnsi="Arial"/>
                <w:sz w:val="14"/>
                <w:szCs w:val="14"/>
                <w:b w:val="1"/>
                <w:bCs w:val="1"/>
                <w:color w:val="auto"/>
                <w:w w:val="94"/>
              </w:rPr>
              <w:t>Acquisition</w:t>
            </w:r>
          </w:p>
        </w:tc>
        <w:tc>
          <w:tcPr>
            <w:tcW w:w="640" w:type="dxa"/>
            <w:vAlign w:val="bottom"/>
            <w:gridSpan w:val="3"/>
          </w:tcPr>
          <w:p>
            <w:pPr>
              <w:jc w:val="center"/>
              <w:spacing w:after="0" w:line="158" w:lineRule="exact"/>
              <w:rPr>
                <w:sz w:val="20"/>
                <w:szCs w:val="20"/>
                <w:color w:val="auto"/>
              </w:rPr>
            </w:pPr>
            <w:r>
              <w:rPr>
                <w:rFonts w:ascii="Arial" w:cs="Arial" w:eastAsia="Arial" w:hAnsi="Arial"/>
                <w:sz w:val="14"/>
                <w:szCs w:val="14"/>
                <w:b w:val="1"/>
                <w:bCs w:val="1"/>
                <w:color w:val="auto"/>
                <w:w w:val="94"/>
              </w:rPr>
              <w:t>Rate and</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gridSpan w:val="3"/>
          </w:tcPr>
          <w:p>
            <w:pPr>
              <w:jc w:val="right"/>
              <w:spacing w:after="0" w:line="158" w:lineRule="exact"/>
              <w:rPr>
                <w:sz w:val="20"/>
                <w:szCs w:val="20"/>
                <w:color w:val="auto"/>
              </w:rPr>
            </w:pPr>
            <w:r>
              <w:rPr>
                <w:rFonts w:ascii="Arial" w:cs="Arial" w:eastAsia="Arial" w:hAnsi="Arial"/>
                <w:sz w:val="14"/>
                <w:szCs w:val="14"/>
                <w:b w:val="1"/>
                <w:bCs w:val="1"/>
                <w:color w:val="auto"/>
              </w:rPr>
              <w:t>Interest</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gridSpan w:val="4"/>
          </w:tcPr>
          <w:p>
            <w:pPr>
              <w:jc w:val="right"/>
              <w:ind w:right="21"/>
              <w:spacing w:after="0" w:line="158" w:lineRule="exact"/>
              <w:rPr>
                <w:sz w:val="20"/>
                <w:szCs w:val="20"/>
                <w:color w:val="auto"/>
              </w:rPr>
            </w:pPr>
            <w:r>
              <w:rPr>
                <w:rFonts w:ascii="Arial" w:cs="Arial" w:eastAsia="Arial" w:hAnsi="Arial"/>
                <w:sz w:val="14"/>
                <w:szCs w:val="14"/>
                <w:b w:val="1"/>
                <w:bCs w:val="1"/>
                <w:color w:val="auto"/>
              </w:rPr>
              <w:t>Amortized</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5"/>
          </w:tcPr>
          <w:p>
            <w:pPr>
              <w:jc w:val="center"/>
              <w:ind w:right="320"/>
              <w:spacing w:after="0" w:line="158" w:lineRule="exact"/>
              <w:rPr>
                <w:sz w:val="20"/>
                <w:szCs w:val="20"/>
                <w:color w:val="auto"/>
              </w:rPr>
            </w:pPr>
            <w:r>
              <w:rPr>
                <w:rFonts w:ascii="Arial" w:cs="Arial" w:eastAsia="Arial" w:hAnsi="Arial"/>
                <w:sz w:val="14"/>
                <w:szCs w:val="14"/>
                <w:b w:val="1"/>
                <w:bCs w:val="1"/>
                <w:color w:val="auto"/>
                <w:w w:val="98"/>
              </w:rPr>
              <w:t>Fair Value</w:t>
            </w:r>
          </w:p>
        </w:tc>
        <w:tc>
          <w:tcPr>
            <w:tcW w:w="1000" w:type="dxa"/>
            <w:vAlign w:val="bottom"/>
            <w:gridSpan w:val="3"/>
          </w:tcPr>
          <w:p>
            <w:pPr>
              <w:jc w:val="right"/>
              <w:ind w:right="260"/>
              <w:spacing w:after="0" w:line="158" w:lineRule="exact"/>
              <w:rPr>
                <w:sz w:val="20"/>
                <w:szCs w:val="20"/>
                <w:color w:val="auto"/>
              </w:rPr>
            </w:pPr>
            <w:r>
              <w:rPr>
                <w:rFonts w:ascii="Arial" w:cs="Arial" w:eastAsia="Arial" w:hAnsi="Arial"/>
                <w:sz w:val="14"/>
                <w:szCs w:val="14"/>
                <w:b w:val="1"/>
                <w:bCs w:val="1"/>
                <w:color w:val="auto"/>
                <w:w w:val="95"/>
              </w:rPr>
              <w:t>Percentage</w:t>
            </w:r>
          </w:p>
        </w:tc>
        <w:tc>
          <w:tcPr>
            <w:tcW w:w="0" w:type="dxa"/>
            <w:vAlign w:val="bottom"/>
          </w:tcPr>
          <w:p>
            <w:pPr>
              <w:spacing w:after="0"/>
              <w:rPr>
                <w:sz w:val="1"/>
                <w:szCs w:val="1"/>
                <w:color w:val="auto"/>
              </w:rPr>
            </w:pPr>
          </w:p>
        </w:tc>
      </w:tr>
      <w:tr>
        <w:trPr>
          <w:trHeight w:val="162"/>
        </w:trPr>
        <w:tc>
          <w:tcPr>
            <w:tcW w:w="1900" w:type="dxa"/>
            <w:vAlign w:val="bottom"/>
            <w:vMerge w:val="continue"/>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920" w:type="dxa"/>
            <w:vAlign w:val="bottom"/>
            <w:gridSpan w:val="5"/>
            <w:vMerge w:val="continue"/>
          </w:tcPr>
          <w:p>
            <w:pPr>
              <w:spacing w:after="0"/>
              <w:rPr>
                <w:sz w:val="14"/>
                <w:szCs w:val="14"/>
                <w:color w:val="auto"/>
              </w:rPr>
            </w:pPr>
          </w:p>
        </w:tc>
        <w:tc>
          <w:tcPr>
            <w:tcW w:w="10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2"/>
              </w:rPr>
              <w:t>Date</w:t>
            </w:r>
          </w:p>
        </w:tc>
        <w:tc>
          <w:tcPr>
            <w:tcW w:w="6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Spread</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gridSpan w:val="2"/>
          </w:tcPr>
          <w:p>
            <w:pPr>
              <w:jc w:val="right"/>
              <w:ind w:right="46"/>
              <w:spacing w:after="0"/>
              <w:rPr>
                <w:sz w:val="20"/>
                <w:szCs w:val="20"/>
                <w:color w:val="auto"/>
              </w:rPr>
            </w:pPr>
            <w:r>
              <w:rPr>
                <w:rFonts w:ascii="Arial" w:cs="Arial" w:eastAsia="Arial" w:hAnsi="Arial"/>
                <w:sz w:val="14"/>
                <w:szCs w:val="14"/>
                <w:b w:val="1"/>
                <w:bCs w:val="1"/>
                <w:color w:val="auto"/>
                <w:w w:val="98"/>
              </w:rPr>
              <w:t>Rate</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4"/>
          </w:tcPr>
          <w:p>
            <w:pPr>
              <w:jc w:val="right"/>
              <w:ind w:right="61"/>
              <w:spacing w:after="0"/>
              <w:rPr>
                <w:sz w:val="20"/>
                <w:szCs w:val="20"/>
                <w:color w:val="auto"/>
              </w:rPr>
            </w:pPr>
            <w:r>
              <w:rPr>
                <w:rFonts w:ascii="Arial" w:cs="Arial" w:eastAsia="Arial" w:hAnsi="Arial"/>
                <w:sz w:val="14"/>
                <w:szCs w:val="14"/>
                <w:b w:val="1"/>
                <w:bCs w:val="1"/>
                <w:color w:val="auto"/>
              </w:rPr>
              <w:t xml:space="preserve">Cost </w:t>
            </w:r>
            <w:r>
              <w:rPr>
                <w:rFonts w:ascii="Arial" w:cs="Arial" w:eastAsia="Arial" w:hAnsi="Arial"/>
                <w:sz w:val="12"/>
                <w:szCs w:val="12"/>
                <w:b w:val="1"/>
                <w:bCs w:val="1"/>
                <w:color w:val="auto"/>
              </w:rPr>
              <w:t>(2)(8)</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2"/>
                <w:szCs w:val="12"/>
                <w:b w:val="1"/>
                <w:bCs w:val="1"/>
                <w:color w:val="auto"/>
                <w:w w:val="93"/>
              </w:rPr>
              <w:t>(10)</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84"/>
              </w:rPr>
              <w:t>of Net Assets</w:t>
            </w:r>
          </w:p>
        </w:tc>
        <w:tc>
          <w:tcPr>
            <w:tcW w:w="0" w:type="dxa"/>
            <w:vAlign w:val="bottom"/>
          </w:tcPr>
          <w:p>
            <w:pPr>
              <w:spacing w:after="0"/>
              <w:rPr>
                <w:sz w:val="1"/>
                <w:szCs w:val="1"/>
                <w:color w:val="auto"/>
              </w:rPr>
            </w:pPr>
          </w:p>
        </w:tc>
      </w:tr>
      <w:tr>
        <w:trPr>
          <w:trHeight w:val="223"/>
        </w:trPr>
        <w:tc>
          <w:tcPr>
            <w:tcW w:w="190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1,030</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1,030</w:t>
            </w:r>
          </w:p>
        </w:tc>
        <w:tc>
          <w:tcPr>
            <w:tcW w:w="22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2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900" w:type="dxa"/>
            <w:vAlign w:val="bottom"/>
          </w:tcPr>
          <w:p>
            <w:pPr>
              <w:spacing w:after="0"/>
              <w:rPr>
                <w:sz w:val="20"/>
                <w:szCs w:val="20"/>
                <w:color w:val="auto"/>
              </w:rPr>
            </w:pPr>
            <w:r>
              <w:rPr>
                <w:rFonts w:ascii="Arial" w:cs="Arial" w:eastAsia="Arial" w:hAnsi="Arial"/>
                <w:sz w:val="18"/>
                <w:szCs w:val="18"/>
                <w:b w:val="1"/>
                <w:bCs w:val="1"/>
                <w:color w:val="auto"/>
              </w:rPr>
              <w:t>Marketing services</w:t>
            </w: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9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Validity, Inc. </w:t>
            </w:r>
            <w:r>
              <w:rPr>
                <w:rFonts w:ascii="Arial" w:cs="Arial" w:eastAsia="Arial" w:hAnsi="Arial"/>
                <w:sz w:val="15"/>
                <w:szCs w:val="15"/>
                <w:color w:val="auto"/>
              </w:rPr>
              <w:t>(6)(13)(14)</w:t>
            </w:r>
          </w:p>
        </w:tc>
        <w:tc>
          <w:tcPr>
            <w:tcW w:w="640" w:type="dxa"/>
            <w:vAlign w:val="bottom"/>
            <w:shd w:val="clear" w:color="auto" w:fill="CFF0FC"/>
          </w:tcPr>
          <w:p>
            <w:pPr>
              <w:spacing w:after="0"/>
              <w:rPr>
                <w:sz w:val="18"/>
                <w:szCs w:val="18"/>
                <w:color w:val="auto"/>
              </w:rPr>
            </w:pPr>
          </w:p>
        </w:tc>
        <w:tc>
          <w:tcPr>
            <w:tcW w:w="2740" w:type="dxa"/>
            <w:vAlign w:val="bottom"/>
            <w:gridSpan w:val="7"/>
            <w:shd w:val="clear" w:color="auto" w:fill="CFF0FC"/>
          </w:tcPr>
          <w:p>
            <w:pPr>
              <w:ind w:left="120"/>
              <w:spacing w:after="0"/>
              <w:rPr>
                <w:sz w:val="20"/>
                <w:szCs w:val="20"/>
                <w:color w:val="auto"/>
              </w:rPr>
            </w:pPr>
            <w:r>
              <w:rPr>
                <w:rFonts w:ascii="Arial" w:cs="Arial" w:eastAsia="Arial" w:hAnsi="Arial"/>
                <w:sz w:val="18"/>
                <w:szCs w:val="18"/>
                <w:color w:val="auto"/>
              </w:rPr>
              <w:t>Series A Preferred Shares</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5/31/2018</w:t>
            </w: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3,840</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3,840</w:t>
            </w:r>
          </w:p>
        </w:tc>
        <w:tc>
          <w:tcPr>
            <w:tcW w:w="220" w:type="dxa"/>
            <w:vAlign w:val="bottom"/>
            <w:shd w:val="clear" w:color="auto" w:fill="CFF0FC"/>
          </w:tcPr>
          <w:p>
            <w:pPr>
              <w:spacing w:after="0"/>
              <w:rPr>
                <w:sz w:val="18"/>
                <w:szCs w:val="18"/>
                <w:color w:val="auto"/>
              </w:rPr>
            </w:pPr>
          </w:p>
        </w:tc>
        <w:tc>
          <w:tcPr>
            <w:tcW w:w="100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30"/>
        </w:trPr>
        <w:tc>
          <w:tcPr>
            <w:tcW w:w="190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2740" w:type="dxa"/>
            <w:vAlign w:val="bottom"/>
            <w:gridSpan w:val="7"/>
            <w:shd w:val="clear" w:color="auto" w:fill="CFF0FC"/>
          </w:tcPr>
          <w:p>
            <w:pPr>
              <w:ind w:left="120"/>
              <w:spacing w:after="0"/>
              <w:rPr>
                <w:sz w:val="20"/>
                <w:szCs w:val="20"/>
                <w:color w:val="auto"/>
              </w:rPr>
            </w:pPr>
            <w:r>
              <w:rPr>
                <w:rFonts w:ascii="Arial" w:cs="Arial" w:eastAsia="Arial" w:hAnsi="Arial"/>
                <w:sz w:val="18"/>
                <w:szCs w:val="18"/>
                <w:color w:val="auto"/>
              </w:rPr>
              <w:t>(3,840,000 shares)</w:t>
            </w:r>
          </w:p>
        </w:tc>
        <w:tc>
          <w:tcPr>
            <w:tcW w:w="8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900" w:type="dxa"/>
            <w:vAlign w:val="bottom"/>
          </w:tcPr>
          <w:p>
            <w:pPr>
              <w:spacing w:after="0"/>
              <w:rPr>
                <w:sz w:val="20"/>
                <w:szCs w:val="20"/>
                <w:color w:val="auto"/>
              </w:rPr>
            </w:pPr>
            <w:r>
              <w:rPr>
                <w:rFonts w:ascii="Arial" w:cs="Arial" w:eastAsia="Arial" w:hAnsi="Arial"/>
                <w:sz w:val="18"/>
                <w:szCs w:val="18"/>
                <w:b w:val="1"/>
                <w:bCs w:val="1"/>
                <w:color w:val="auto"/>
                <w:w w:val="88"/>
              </w:rPr>
              <w:t>Oil, gas and consumable</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900" w:type="dxa"/>
            <w:vAlign w:val="bottom"/>
          </w:tcPr>
          <w:p>
            <w:pPr>
              <w:ind w:left="140"/>
              <w:spacing w:after="0"/>
              <w:rPr>
                <w:sz w:val="20"/>
                <w:szCs w:val="20"/>
                <w:color w:val="auto"/>
              </w:rPr>
            </w:pPr>
            <w:r>
              <w:rPr>
                <w:rFonts w:ascii="Arial" w:cs="Arial" w:eastAsia="Arial" w:hAnsi="Arial"/>
                <w:sz w:val="18"/>
                <w:szCs w:val="18"/>
                <w:b w:val="1"/>
                <w:bCs w:val="1"/>
                <w:color w:val="auto"/>
              </w:rPr>
              <w:t>fuels</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54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2"/>
              </w:rPr>
              <w:t xml:space="preserve">Mississippi Resources, LLC </w:t>
            </w:r>
            <w:r>
              <w:rPr>
                <w:rFonts w:ascii="Arial" w:cs="Arial" w:eastAsia="Arial" w:hAnsi="Arial"/>
                <w:sz w:val="15"/>
                <w:szCs w:val="15"/>
                <w:color w:val="auto"/>
                <w:w w:val="92"/>
              </w:rPr>
              <w:t>(7)(13)</w:t>
            </w:r>
          </w:p>
        </w:tc>
        <w:tc>
          <w:tcPr>
            <w:tcW w:w="2740" w:type="dxa"/>
            <w:vAlign w:val="bottom"/>
            <w:gridSpan w:val="7"/>
            <w:shd w:val="clear" w:color="auto" w:fill="CFF0FC"/>
          </w:tcPr>
          <w:p>
            <w:pPr>
              <w:ind w:left="120"/>
              <w:spacing w:after="0"/>
              <w:rPr>
                <w:sz w:val="20"/>
                <w:szCs w:val="20"/>
                <w:color w:val="auto"/>
              </w:rPr>
            </w:pPr>
            <w:r>
              <w:rPr>
                <w:rFonts w:ascii="Arial" w:cs="Arial" w:eastAsia="Arial" w:hAnsi="Arial"/>
                <w:sz w:val="18"/>
                <w:szCs w:val="18"/>
                <w:color w:val="auto"/>
              </w:rPr>
              <w:t>Class A-1 Member Units (1,360</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5/3/2017</w:t>
            </w: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4"/>
              </w:rPr>
              <w:t>10,366</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2,021</w:t>
            </w:r>
          </w:p>
        </w:tc>
        <w:tc>
          <w:tcPr>
            <w:tcW w:w="220" w:type="dxa"/>
            <w:vAlign w:val="bottom"/>
            <w:shd w:val="clear" w:color="auto" w:fill="CFF0FC"/>
          </w:tcPr>
          <w:p>
            <w:pPr>
              <w:spacing w:after="0"/>
              <w:rPr>
                <w:sz w:val="18"/>
                <w:szCs w:val="18"/>
                <w:color w:val="auto"/>
              </w:rPr>
            </w:pPr>
          </w:p>
        </w:tc>
        <w:tc>
          <w:tcPr>
            <w:tcW w:w="100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0"/>
        </w:trPr>
        <w:tc>
          <w:tcPr>
            <w:tcW w:w="1900" w:type="dxa"/>
            <w:vAlign w:val="bottom"/>
            <w:shd w:val="clear" w:color="auto" w:fill="CFF0FC"/>
          </w:tcPr>
          <w:p>
            <w:pPr>
              <w:spacing w:after="0"/>
              <w:rPr>
                <w:sz w:val="20"/>
                <w:szCs w:val="20"/>
                <w:color w:val="auto"/>
              </w:rPr>
            </w:pPr>
            <w:r>
              <w:rPr>
                <w:rFonts w:ascii="Arial" w:cs="Arial" w:eastAsia="Arial" w:hAnsi="Arial"/>
                <w:sz w:val="15"/>
                <w:szCs w:val="15"/>
                <w:color w:val="auto"/>
              </w:rPr>
              <w:t>(14)</w:t>
            </w:r>
          </w:p>
        </w:tc>
        <w:tc>
          <w:tcPr>
            <w:tcW w:w="640" w:type="dxa"/>
            <w:vAlign w:val="bottom"/>
            <w:shd w:val="clear" w:color="auto" w:fill="CFF0FC"/>
          </w:tcPr>
          <w:p>
            <w:pPr>
              <w:spacing w:after="0"/>
              <w:rPr>
                <w:sz w:val="20"/>
                <w:szCs w:val="20"/>
                <w:color w:val="auto"/>
              </w:rPr>
            </w:pPr>
          </w:p>
        </w:tc>
        <w:tc>
          <w:tcPr>
            <w:tcW w:w="82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units)</w:t>
            </w:r>
          </w:p>
        </w:tc>
        <w:tc>
          <w:tcPr>
            <w:tcW w:w="240" w:type="dxa"/>
            <w:vAlign w:val="bottom"/>
            <w:shd w:val="clear" w:color="auto" w:fill="CFF0FC"/>
          </w:tcPr>
          <w:p>
            <w:pPr>
              <w:spacing w:after="0"/>
              <w:rPr>
                <w:sz w:val="20"/>
                <w:szCs w:val="20"/>
                <w:color w:val="auto"/>
              </w:rPr>
            </w:pPr>
          </w:p>
        </w:tc>
        <w:tc>
          <w:tcPr>
            <w:tcW w:w="14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9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740" w:type="dxa"/>
            <w:vAlign w:val="bottom"/>
            <w:gridSpan w:val="7"/>
          </w:tcPr>
          <w:p>
            <w:pPr>
              <w:ind w:left="120"/>
              <w:spacing w:after="0"/>
              <w:rPr>
                <w:sz w:val="20"/>
                <w:szCs w:val="20"/>
                <w:color w:val="auto"/>
              </w:rPr>
            </w:pPr>
            <w:r>
              <w:rPr>
                <w:rFonts w:ascii="Arial" w:cs="Arial" w:eastAsia="Arial" w:hAnsi="Arial"/>
                <w:sz w:val="18"/>
                <w:szCs w:val="18"/>
                <w:color w:val="auto"/>
              </w:rPr>
              <w:t>Class A-2 Member Units (933</w:t>
            </w:r>
          </w:p>
        </w:tc>
        <w:tc>
          <w:tcPr>
            <w:tcW w:w="880" w:type="dxa"/>
            <w:vAlign w:val="bottom"/>
          </w:tcPr>
          <w:p>
            <w:pPr>
              <w:jc w:val="right"/>
              <w:spacing w:after="0"/>
              <w:rPr>
                <w:sz w:val="20"/>
                <w:szCs w:val="20"/>
                <w:color w:val="auto"/>
              </w:rPr>
            </w:pPr>
            <w:r>
              <w:rPr>
                <w:rFonts w:ascii="Arial" w:cs="Arial" w:eastAsia="Arial" w:hAnsi="Arial"/>
                <w:sz w:val="18"/>
                <w:szCs w:val="18"/>
                <w:color w:val="auto"/>
              </w:rPr>
              <w:t>6/4/2014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8,874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30"/>
        </w:trPr>
        <w:tc>
          <w:tcPr>
            <w:tcW w:w="19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0" w:type="dxa"/>
            <w:vAlign w:val="bottom"/>
            <w:gridSpan w:val="2"/>
          </w:tcPr>
          <w:p>
            <w:pPr>
              <w:ind w:left="120"/>
              <w:spacing w:after="0"/>
              <w:rPr>
                <w:sz w:val="20"/>
                <w:szCs w:val="20"/>
                <w:color w:val="auto"/>
              </w:rPr>
            </w:pPr>
            <w:r>
              <w:rPr>
                <w:rFonts w:ascii="Arial" w:cs="Arial" w:eastAsia="Arial" w:hAnsi="Arial"/>
                <w:sz w:val="18"/>
                <w:szCs w:val="18"/>
                <w:color w:val="auto"/>
              </w:rPr>
              <w:t>units)</w:t>
            </w:r>
          </w:p>
        </w:tc>
        <w:tc>
          <w:tcPr>
            <w:tcW w:w="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54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4"/>
              </w:rPr>
              <w:t xml:space="preserve">Northern Oil and Gas, Inc. </w:t>
            </w:r>
            <w:r>
              <w:rPr>
                <w:rFonts w:ascii="Arial" w:cs="Arial" w:eastAsia="Arial" w:hAnsi="Arial"/>
                <w:sz w:val="15"/>
                <w:szCs w:val="15"/>
                <w:color w:val="auto"/>
                <w:w w:val="94"/>
              </w:rPr>
              <w:t>(12)(13)</w:t>
            </w:r>
          </w:p>
        </w:tc>
        <w:tc>
          <w:tcPr>
            <w:tcW w:w="2740" w:type="dxa"/>
            <w:vAlign w:val="bottom"/>
            <w:gridSpan w:val="7"/>
            <w:shd w:val="clear" w:color="auto" w:fill="CFF0FC"/>
          </w:tcPr>
          <w:p>
            <w:pPr>
              <w:ind w:left="120"/>
              <w:spacing w:after="0"/>
              <w:rPr>
                <w:sz w:val="20"/>
                <w:szCs w:val="20"/>
                <w:color w:val="auto"/>
              </w:rPr>
            </w:pPr>
            <w:r>
              <w:rPr>
                <w:rFonts w:ascii="Arial" w:cs="Arial" w:eastAsia="Arial" w:hAnsi="Arial"/>
                <w:sz w:val="18"/>
                <w:szCs w:val="18"/>
                <w:color w:val="auto"/>
                <w:w w:val="94"/>
              </w:rPr>
              <w:t>Common Shares (493,316 shares)</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5/15/2018</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740</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1,352</w:t>
            </w:r>
          </w:p>
        </w:tc>
        <w:tc>
          <w:tcPr>
            <w:tcW w:w="220" w:type="dxa"/>
            <w:vAlign w:val="bottom"/>
            <w:shd w:val="clear" w:color="auto" w:fill="CFF0FC"/>
          </w:tcPr>
          <w:p>
            <w:pPr>
              <w:spacing w:after="0"/>
              <w:rPr>
                <w:sz w:val="19"/>
                <w:szCs w:val="19"/>
                <w:color w:val="auto"/>
              </w:rPr>
            </w:pPr>
          </w:p>
        </w:tc>
        <w:tc>
          <w:tcPr>
            <w:tcW w:w="100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9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4"/>
              </w:rPr>
              <w:t>19,980</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3,373</w:t>
            </w:r>
          </w:p>
        </w:tc>
        <w:tc>
          <w:tcPr>
            <w:tcW w:w="220" w:type="dxa"/>
            <w:vAlign w:val="bottom"/>
          </w:tcPr>
          <w:p>
            <w:pPr>
              <w:spacing w:after="0"/>
              <w:rPr>
                <w:sz w:val="19"/>
                <w:szCs w:val="19"/>
                <w:color w:val="auto"/>
              </w:rPr>
            </w:pP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
        </w:trPr>
        <w:tc>
          <w:tcPr>
            <w:tcW w:w="1900" w:type="dxa"/>
            <w:vAlign w:val="bottom"/>
            <w:vMerge w:val="restart"/>
            <w:shd w:val="clear" w:color="auto" w:fill="CFF0FC"/>
          </w:tcPr>
          <w:p>
            <w:pPr>
              <w:spacing w:after="0"/>
              <w:rPr>
                <w:sz w:val="20"/>
                <w:szCs w:val="20"/>
                <w:color w:val="auto"/>
              </w:rPr>
            </w:pPr>
            <w:r>
              <w:rPr>
                <w:rFonts w:ascii="Arial" w:cs="Arial" w:eastAsia="Arial" w:hAnsi="Arial"/>
                <w:sz w:val="18"/>
                <w:szCs w:val="18"/>
                <w:b w:val="1"/>
                <w:bCs w:val="1"/>
                <w:color w:val="auto"/>
                <w:w w:val="97"/>
              </w:rPr>
              <w:t>Total Equity and Other</w:t>
            </w:r>
          </w:p>
        </w:tc>
        <w:tc>
          <w:tcPr>
            <w:tcW w:w="6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70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8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900" w:type="dxa"/>
            <w:vAlign w:val="bottom"/>
            <w:vMerge w:val="continue"/>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60" w:type="dxa"/>
            <w:vAlign w:val="bottom"/>
            <w:gridSpan w:val="2"/>
            <w:shd w:val="clear" w:color="auto" w:fill="CFF0FC"/>
          </w:tcPr>
          <w:p>
            <w:pPr>
              <w:jc w:val="right"/>
              <w:spacing w:after="0" w:line="205" w:lineRule="exact"/>
              <w:rPr>
                <w:sz w:val="20"/>
                <w:szCs w:val="20"/>
                <w:color w:val="auto"/>
              </w:rPr>
            </w:pPr>
            <w:r>
              <w:rPr>
                <w:rFonts w:ascii="Arial" w:cs="Arial" w:eastAsia="Arial" w:hAnsi="Arial"/>
                <w:sz w:val="18"/>
                <w:szCs w:val="18"/>
                <w:color w:val="auto"/>
                <w:w w:val="94"/>
              </w:rPr>
              <w:t>66,312</w:t>
            </w: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540" w:type="dxa"/>
            <w:vAlign w:val="bottom"/>
            <w:gridSpan w:val="3"/>
            <w:shd w:val="clear" w:color="auto" w:fill="CFF0FC"/>
          </w:tcPr>
          <w:p>
            <w:pPr>
              <w:jc w:val="right"/>
              <w:spacing w:after="0" w:line="205" w:lineRule="exact"/>
              <w:rPr>
                <w:sz w:val="20"/>
                <w:szCs w:val="20"/>
                <w:color w:val="auto"/>
              </w:rPr>
            </w:pPr>
            <w:r>
              <w:rPr>
                <w:rFonts w:ascii="Arial" w:cs="Arial" w:eastAsia="Arial" w:hAnsi="Arial"/>
                <w:sz w:val="18"/>
                <w:szCs w:val="18"/>
                <w:color w:val="auto"/>
                <w:w w:val="94"/>
              </w:rPr>
              <w:t>41,455</w:t>
            </w:r>
          </w:p>
        </w:tc>
        <w:tc>
          <w:tcPr>
            <w:tcW w:w="220" w:type="dxa"/>
            <w:vAlign w:val="bottom"/>
            <w:shd w:val="clear" w:color="auto" w:fill="CFF0FC"/>
          </w:tcPr>
          <w:p>
            <w:pPr>
              <w:spacing w:after="0"/>
              <w:rPr>
                <w:sz w:val="17"/>
                <w:szCs w:val="17"/>
                <w:color w:val="auto"/>
              </w:rPr>
            </w:pPr>
          </w:p>
        </w:tc>
        <w:tc>
          <w:tcPr>
            <w:tcW w:w="1000" w:type="dxa"/>
            <w:vAlign w:val="bottom"/>
            <w:gridSpan w:val="3"/>
            <w:shd w:val="clear" w:color="auto" w:fill="CFF0FC"/>
          </w:tcPr>
          <w:p>
            <w:pPr>
              <w:jc w:val="right"/>
              <w:ind w:right="60"/>
              <w:spacing w:after="0" w:line="205"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34"/>
        </w:trPr>
        <w:tc>
          <w:tcPr>
            <w:tcW w:w="190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Investments</w:t>
            </w:r>
          </w:p>
        </w:tc>
        <w:tc>
          <w:tcPr>
            <w:tcW w:w="6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440" w:type="dxa"/>
            <w:vAlign w:val="bottom"/>
            <w:tcBorders>
              <w:bottom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0" w:type="dxa"/>
            <w:vAlign w:val="bottom"/>
            <w:tcBorders>
              <w:bottom w:val="single" w:sz="8" w:color="auto"/>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20" w:type="dxa"/>
            <w:vAlign w:val="bottom"/>
            <w:tcBorders>
              <w:bottom w:val="single" w:sz="8" w:color="auto"/>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900" w:type="dxa"/>
            <w:vAlign w:val="bottom"/>
          </w:tcPr>
          <w:p>
            <w:pPr>
              <w:spacing w:after="0"/>
              <w:rPr>
                <w:sz w:val="20"/>
                <w:szCs w:val="20"/>
                <w:color w:val="auto"/>
              </w:rPr>
            </w:pPr>
            <w:r>
              <w:rPr>
                <w:rFonts w:ascii="Arial" w:cs="Arial" w:eastAsia="Arial" w:hAnsi="Arial"/>
                <w:sz w:val="18"/>
                <w:szCs w:val="18"/>
                <w:b w:val="1"/>
                <w:bCs w:val="1"/>
                <w:color w:val="auto"/>
              </w:rPr>
              <w:t>Total Investments</w:t>
            </w: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86"/>
              </w:rPr>
              <w:t>$ 1,825,719</w:t>
            </w:r>
          </w:p>
        </w:tc>
        <w:tc>
          <w:tcPr>
            <w:tcW w:w="2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92"/>
              </w:rPr>
              <w:t>1,824,861</w:t>
            </w:r>
          </w:p>
        </w:tc>
        <w:tc>
          <w:tcPr>
            <w:tcW w:w="22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169.6</w:t>
            </w:r>
          </w:p>
        </w:tc>
        <w:tc>
          <w:tcPr>
            <w:tcW w:w="200" w:type="dxa"/>
            <w:vAlign w:val="bottom"/>
            <w:gridSpan w:val="2"/>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40" w:type="dxa"/>
            <w:vAlign w:val="bottom"/>
            <w:gridSpan w:val="11"/>
            <w:vMerge w:val="restart"/>
          </w:tcPr>
          <w:p>
            <w:pPr>
              <w:jc w:val="right"/>
              <w:spacing w:after="0"/>
              <w:rPr>
                <w:sz w:val="20"/>
                <w:szCs w:val="20"/>
                <w:color w:val="auto"/>
              </w:rPr>
            </w:pPr>
            <w:r>
              <w:rPr>
                <w:rFonts w:ascii="Arial" w:cs="Arial" w:eastAsia="Arial" w:hAnsi="Arial"/>
                <w:sz w:val="14"/>
                <w:szCs w:val="14"/>
                <w:b w:val="1"/>
                <w:bCs w:val="1"/>
                <w:color w:val="auto"/>
                <w:w w:val="93"/>
              </w:rPr>
              <w:t>Interest Rate Swaps as of March 31, 2019</w:t>
            </w: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1"/>
        </w:trPr>
        <w:tc>
          <w:tcPr>
            <w:tcW w:w="19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40" w:type="dxa"/>
            <w:vAlign w:val="bottom"/>
            <w:gridSpan w:val="11"/>
            <w:vMerge w:val="continue"/>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9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gridSpan w:val="4"/>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gridSpan w:val="3"/>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gridSpan w:val="5"/>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190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gridSpan w:val="4"/>
            <w:vMerge w:val="restart"/>
          </w:tcPr>
          <w:p>
            <w:pPr>
              <w:jc w:val="right"/>
              <w:ind w:right="159"/>
              <w:spacing w:after="0"/>
              <w:rPr>
                <w:sz w:val="20"/>
                <w:szCs w:val="20"/>
                <w:color w:val="auto"/>
              </w:rPr>
            </w:pPr>
            <w:r>
              <w:rPr>
                <w:rFonts w:ascii="Arial" w:cs="Arial" w:eastAsia="Arial" w:hAnsi="Arial"/>
                <w:sz w:val="14"/>
                <w:szCs w:val="14"/>
                <w:b w:val="1"/>
                <w:bCs w:val="1"/>
                <w:color w:val="auto"/>
              </w:rPr>
              <w:t>Notional</w:t>
            </w:r>
          </w:p>
        </w:tc>
        <w:tc>
          <w:tcPr>
            <w:tcW w:w="26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gridSpan w:val="4"/>
          </w:tcPr>
          <w:p>
            <w:pPr>
              <w:jc w:val="center"/>
              <w:ind w:right="320"/>
              <w:spacing w:after="0" w:line="133" w:lineRule="exact"/>
              <w:rPr>
                <w:sz w:val="20"/>
                <w:szCs w:val="20"/>
                <w:color w:val="auto"/>
              </w:rPr>
            </w:pPr>
            <w:r>
              <w:rPr>
                <w:rFonts w:ascii="Arial" w:cs="Arial" w:eastAsia="Arial" w:hAnsi="Arial"/>
                <w:sz w:val="14"/>
                <w:szCs w:val="14"/>
                <w:b w:val="1"/>
                <w:bCs w:val="1"/>
                <w:color w:val="auto"/>
              </w:rPr>
              <w:t>Fair</w:t>
            </w:r>
          </w:p>
        </w:tc>
        <w:tc>
          <w:tcPr>
            <w:tcW w:w="1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gridSpan w:val="3"/>
          </w:tcPr>
          <w:p>
            <w:pPr>
              <w:jc w:val="center"/>
              <w:ind w:left="161"/>
              <w:spacing w:after="0" w:line="133" w:lineRule="exact"/>
              <w:rPr>
                <w:sz w:val="20"/>
                <w:szCs w:val="20"/>
                <w:color w:val="auto"/>
              </w:rPr>
            </w:pPr>
            <w:r>
              <w:rPr>
                <w:rFonts w:ascii="Arial" w:cs="Arial" w:eastAsia="Arial" w:hAnsi="Arial"/>
                <w:sz w:val="14"/>
                <w:szCs w:val="14"/>
                <w:b w:val="1"/>
                <w:bCs w:val="1"/>
                <w:color w:val="auto"/>
                <w:w w:val="98"/>
              </w:rPr>
              <w:t>Upfront</w:t>
            </w:r>
          </w:p>
        </w:tc>
        <w:tc>
          <w:tcPr>
            <w:tcW w:w="2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gridSpan w:val="4"/>
          </w:tcPr>
          <w:p>
            <w:pPr>
              <w:jc w:val="right"/>
              <w:spacing w:after="0" w:line="133" w:lineRule="exact"/>
              <w:rPr>
                <w:sz w:val="20"/>
                <w:szCs w:val="20"/>
                <w:color w:val="auto"/>
              </w:rPr>
            </w:pPr>
            <w:r>
              <w:rPr>
                <w:rFonts w:ascii="Arial" w:cs="Arial" w:eastAsia="Arial" w:hAnsi="Arial"/>
                <w:sz w:val="14"/>
                <w:szCs w:val="14"/>
                <w:b w:val="1"/>
                <w:bCs w:val="1"/>
                <w:color w:val="auto"/>
                <w:w w:val="94"/>
              </w:rPr>
              <w:t>Change in Unrealized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900" w:type="dxa"/>
            <w:vAlign w:val="bottom"/>
          </w:tcPr>
          <w:p>
            <w:pPr>
              <w:spacing w:after="0"/>
              <w:rPr>
                <w:sz w:val="12"/>
                <w:szCs w:val="12"/>
                <w:color w:val="auto"/>
              </w:rPr>
            </w:pPr>
          </w:p>
        </w:tc>
        <w:tc>
          <w:tcPr>
            <w:tcW w:w="1460" w:type="dxa"/>
            <w:vAlign w:val="bottom"/>
            <w:gridSpan w:val="3"/>
            <w:vMerge w:val="restart"/>
          </w:tcPr>
          <w:p>
            <w:pPr>
              <w:jc w:val="center"/>
              <w:ind w:right="20"/>
              <w:spacing w:after="0"/>
              <w:rPr>
                <w:sz w:val="20"/>
                <w:szCs w:val="20"/>
                <w:color w:val="auto"/>
              </w:rPr>
            </w:pPr>
            <w:r>
              <w:rPr>
                <w:rFonts w:ascii="Arial" w:cs="Arial" w:eastAsia="Arial" w:hAnsi="Arial"/>
                <w:sz w:val="14"/>
                <w:szCs w:val="14"/>
                <w:b w:val="1"/>
                <w:bCs w:val="1"/>
                <w:color w:val="auto"/>
                <w:w w:val="90"/>
              </w:rPr>
              <w:t>Company Receives</w:t>
            </w:r>
          </w:p>
        </w:tc>
        <w:tc>
          <w:tcPr>
            <w:tcW w:w="240" w:type="dxa"/>
            <w:vAlign w:val="bottom"/>
          </w:tcPr>
          <w:p>
            <w:pPr>
              <w:spacing w:after="0"/>
              <w:rPr>
                <w:sz w:val="12"/>
                <w:szCs w:val="12"/>
                <w:color w:val="auto"/>
              </w:rPr>
            </w:pPr>
          </w:p>
        </w:tc>
        <w:tc>
          <w:tcPr>
            <w:tcW w:w="1680" w:type="dxa"/>
            <w:vAlign w:val="bottom"/>
            <w:gridSpan w:val="4"/>
            <w:vMerge w:val="restart"/>
          </w:tcPr>
          <w:p>
            <w:pPr>
              <w:jc w:val="center"/>
              <w:ind w:right="280"/>
              <w:spacing w:after="0"/>
              <w:rPr>
                <w:sz w:val="20"/>
                <w:szCs w:val="20"/>
                <w:color w:val="auto"/>
              </w:rPr>
            </w:pPr>
            <w:r>
              <w:rPr>
                <w:rFonts w:ascii="Arial" w:cs="Arial" w:eastAsia="Arial" w:hAnsi="Arial"/>
                <w:sz w:val="14"/>
                <w:szCs w:val="14"/>
                <w:b w:val="1"/>
                <w:bCs w:val="1"/>
                <w:color w:val="auto"/>
                <w:w w:val="91"/>
              </w:rPr>
              <w:t>Company Pays</w:t>
            </w:r>
          </w:p>
        </w:tc>
        <w:tc>
          <w:tcPr>
            <w:tcW w:w="1060" w:type="dxa"/>
            <w:vAlign w:val="bottom"/>
            <w:gridSpan w:val="3"/>
            <w:vMerge w:val="restart"/>
          </w:tcPr>
          <w:p>
            <w:pPr>
              <w:jc w:val="right"/>
              <w:ind w:right="120"/>
              <w:spacing w:after="0"/>
              <w:rPr>
                <w:sz w:val="20"/>
                <w:szCs w:val="20"/>
                <w:color w:val="auto"/>
              </w:rPr>
            </w:pPr>
            <w:r>
              <w:rPr>
                <w:rFonts w:ascii="Arial" w:cs="Arial" w:eastAsia="Arial" w:hAnsi="Arial"/>
                <w:sz w:val="14"/>
                <w:szCs w:val="14"/>
                <w:b w:val="1"/>
                <w:bCs w:val="1"/>
                <w:color w:val="auto"/>
              </w:rPr>
              <w:t>Maturity Date</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4"/>
            <w:vMerge w:val="continue"/>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gridSpan w:val="5"/>
          </w:tcPr>
          <w:p>
            <w:pPr>
              <w:jc w:val="center"/>
              <w:ind w:right="140"/>
              <w:spacing w:after="0" w:line="149" w:lineRule="exact"/>
              <w:rPr>
                <w:sz w:val="20"/>
                <w:szCs w:val="20"/>
                <w:color w:val="auto"/>
              </w:rPr>
            </w:pPr>
            <w:r>
              <w:rPr>
                <w:rFonts w:ascii="Arial" w:cs="Arial" w:eastAsia="Arial" w:hAnsi="Arial"/>
                <w:sz w:val="14"/>
                <w:szCs w:val="14"/>
                <w:b w:val="1"/>
                <w:bCs w:val="1"/>
                <w:color w:val="auto"/>
              </w:rPr>
              <w:t>Market</w:t>
            </w:r>
          </w:p>
        </w:tc>
        <w:tc>
          <w:tcPr>
            <w:tcW w:w="120" w:type="dxa"/>
            <w:vAlign w:val="bottom"/>
          </w:tcPr>
          <w:p>
            <w:pPr>
              <w:spacing w:after="0"/>
              <w:rPr>
                <w:sz w:val="12"/>
                <w:szCs w:val="12"/>
                <w:color w:val="auto"/>
              </w:rPr>
            </w:pPr>
          </w:p>
        </w:tc>
        <w:tc>
          <w:tcPr>
            <w:tcW w:w="96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1"/>
              </w:rPr>
              <w:t>Payments /</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00" w:type="dxa"/>
            <w:vAlign w:val="bottom"/>
            <w:gridSpan w:val="5"/>
          </w:tcPr>
          <w:p>
            <w:pPr>
              <w:jc w:val="right"/>
              <w:ind w:right="360"/>
              <w:spacing w:after="0" w:line="149" w:lineRule="exact"/>
              <w:rPr>
                <w:sz w:val="20"/>
                <w:szCs w:val="20"/>
                <w:color w:val="auto"/>
              </w:rPr>
            </w:pPr>
            <w:r>
              <w:rPr>
                <w:rFonts w:ascii="Arial" w:cs="Arial" w:eastAsia="Arial" w:hAnsi="Arial"/>
                <w:sz w:val="14"/>
                <w:szCs w:val="14"/>
                <w:b w:val="1"/>
                <w:bCs w:val="1"/>
                <w:color w:val="auto"/>
              </w:rPr>
              <w:t>Appreciation /</w:t>
            </w:r>
          </w:p>
        </w:tc>
        <w:tc>
          <w:tcPr>
            <w:tcW w:w="0" w:type="dxa"/>
            <w:vAlign w:val="bottom"/>
          </w:tcPr>
          <w:p>
            <w:pPr>
              <w:spacing w:after="0"/>
              <w:rPr>
                <w:sz w:val="1"/>
                <w:szCs w:val="1"/>
                <w:color w:val="auto"/>
              </w:rPr>
            </w:pPr>
          </w:p>
        </w:tc>
      </w:tr>
      <w:tr>
        <w:trPr>
          <w:trHeight w:val="171"/>
        </w:trPr>
        <w:tc>
          <w:tcPr>
            <w:tcW w:w="1900" w:type="dxa"/>
            <w:vAlign w:val="bottom"/>
          </w:tcPr>
          <w:p>
            <w:pPr>
              <w:spacing w:after="0"/>
              <w:rPr>
                <w:sz w:val="14"/>
                <w:szCs w:val="14"/>
                <w:color w:val="auto"/>
              </w:rPr>
            </w:pPr>
          </w:p>
        </w:tc>
        <w:tc>
          <w:tcPr>
            <w:tcW w:w="146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1680" w:type="dxa"/>
            <w:vAlign w:val="bottom"/>
            <w:gridSpan w:val="4"/>
            <w:vMerge w:val="continue"/>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4"/>
          </w:tcPr>
          <w:p>
            <w:pPr>
              <w:jc w:val="right"/>
              <w:ind w:right="179"/>
              <w:spacing w:after="0"/>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0"/>
              </w:rPr>
              <w:t>Value</w:t>
            </w:r>
          </w:p>
        </w:tc>
        <w:tc>
          <w:tcPr>
            <w:tcW w:w="120" w:type="dxa"/>
            <w:vAlign w:val="bottom"/>
          </w:tcPr>
          <w:p>
            <w:pPr>
              <w:spacing w:after="0"/>
              <w:rPr>
                <w:sz w:val="14"/>
                <w:szCs w:val="14"/>
                <w:color w:val="auto"/>
              </w:rPr>
            </w:pPr>
          </w:p>
        </w:tc>
        <w:tc>
          <w:tcPr>
            <w:tcW w:w="740" w:type="dxa"/>
            <w:vAlign w:val="bottom"/>
            <w:gridSpan w:val="3"/>
          </w:tcPr>
          <w:p>
            <w:pPr>
              <w:jc w:val="center"/>
              <w:ind w:left="141"/>
              <w:spacing w:after="0"/>
              <w:rPr>
                <w:sz w:val="20"/>
                <w:szCs w:val="20"/>
                <w:color w:val="auto"/>
              </w:rPr>
            </w:pPr>
            <w:r>
              <w:rPr>
                <w:rFonts w:ascii="Arial" w:cs="Arial" w:eastAsia="Arial" w:hAnsi="Arial"/>
                <w:sz w:val="14"/>
                <w:szCs w:val="14"/>
                <w:b w:val="1"/>
                <w:bCs w:val="1"/>
                <w:color w:val="auto"/>
                <w:w w:val="89"/>
              </w:rPr>
              <w:t>Receipts</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rPr>
              <w:t>(Depreciation)</w:t>
            </w:r>
          </w:p>
        </w:tc>
        <w:tc>
          <w:tcPr>
            <w:tcW w:w="0" w:type="dxa"/>
            <w:vAlign w:val="bottom"/>
          </w:tcPr>
          <w:p>
            <w:pPr>
              <w:spacing w:after="0"/>
              <w:rPr>
                <w:sz w:val="1"/>
                <w:szCs w:val="1"/>
                <w:color w:val="auto"/>
              </w:rPr>
            </w:pPr>
          </w:p>
        </w:tc>
      </w:tr>
      <w:tr>
        <w:trPr>
          <w:trHeight w:val="223"/>
        </w:trPr>
        <w:tc>
          <w:tcPr>
            <w:tcW w:w="1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(b)</w:t>
            </w:r>
          </w:p>
        </w:tc>
        <w:tc>
          <w:tcPr>
            <w:tcW w:w="64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gridSpan w:val="2"/>
            <w:shd w:val="clear" w:color="auto" w:fill="CFF0FC"/>
          </w:tcPr>
          <w:p>
            <w:pPr>
              <w:jc w:val="center"/>
              <w:ind w:right="660"/>
              <w:spacing w:after="0"/>
              <w:rPr>
                <w:sz w:val="20"/>
                <w:szCs w:val="20"/>
                <w:color w:val="auto"/>
              </w:rPr>
            </w:pPr>
            <w:r>
              <w:rPr>
                <w:rFonts w:ascii="Arial" w:cs="Arial" w:eastAsia="Arial" w:hAnsi="Arial"/>
                <w:sz w:val="18"/>
                <w:szCs w:val="18"/>
                <w:color w:val="auto"/>
              </w:rPr>
              <w:t>L</w:t>
            </w:r>
          </w:p>
        </w:tc>
        <w:tc>
          <w:tcPr>
            <w:tcW w:w="24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2.66%</w:t>
            </w:r>
          </w:p>
        </w:tc>
        <w:tc>
          <w:tcPr>
            <w:tcW w:w="18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6/27/2019</w:t>
            </w:r>
          </w:p>
        </w:tc>
        <w:tc>
          <w:tcPr>
            <w:tcW w:w="1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FF0FC"/>
          </w:tcPr>
          <w:p>
            <w:pPr>
              <w:spacing w:after="0"/>
              <w:rPr>
                <w:sz w:val="19"/>
                <w:szCs w:val="19"/>
                <w:color w:val="auto"/>
              </w:rPr>
            </w:pPr>
          </w:p>
        </w:tc>
        <w:tc>
          <w:tcPr>
            <w:tcW w:w="50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w w:val="87"/>
              </w:rPr>
              <w:t>91,500</w:t>
            </w: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6"/>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jc w:val="right"/>
              <w:ind w:right="261"/>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w w:val="88"/>
              </w:rPr>
              <w:t>—</w:t>
            </w:r>
          </w:p>
        </w:tc>
        <w:tc>
          <w:tcPr>
            <w:tcW w:w="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99"/>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00" w:type="dxa"/>
            <w:vAlign w:val="bottom"/>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(b)</w:t>
            </w:r>
          </w:p>
        </w:tc>
        <w:tc>
          <w:tcPr>
            <w:tcW w:w="1460" w:type="dxa"/>
            <w:vAlign w:val="bottom"/>
            <w:gridSpan w:val="3"/>
          </w:tcPr>
          <w:p>
            <w:pPr>
              <w:jc w:val="center"/>
              <w:ind w:right="20"/>
              <w:spacing w:after="0"/>
              <w:rPr>
                <w:sz w:val="20"/>
                <w:szCs w:val="20"/>
                <w:color w:val="auto"/>
              </w:rPr>
            </w:pPr>
            <w:r>
              <w:rPr>
                <w:rFonts w:ascii="Arial" w:cs="Arial" w:eastAsia="Arial" w:hAnsi="Arial"/>
                <w:sz w:val="18"/>
                <w:szCs w:val="18"/>
                <w:color w:val="auto"/>
                <w:w w:val="93"/>
              </w:rPr>
              <w:t>4.50%</w:t>
            </w:r>
          </w:p>
        </w:tc>
        <w:tc>
          <w:tcPr>
            <w:tcW w:w="240" w:type="dxa"/>
            <w:vAlign w:val="bottom"/>
          </w:tcPr>
          <w:p>
            <w:pPr>
              <w:spacing w:after="0"/>
              <w:rPr>
                <w:sz w:val="19"/>
                <w:szCs w:val="19"/>
                <w:color w:val="auto"/>
              </w:rPr>
            </w:pPr>
          </w:p>
        </w:tc>
        <w:tc>
          <w:tcPr>
            <w:tcW w:w="1680" w:type="dxa"/>
            <w:vAlign w:val="bottom"/>
            <w:gridSpan w:val="4"/>
          </w:tcPr>
          <w:p>
            <w:pPr>
              <w:jc w:val="center"/>
              <w:ind w:right="280"/>
              <w:spacing w:after="0"/>
              <w:rPr>
                <w:sz w:val="20"/>
                <w:szCs w:val="20"/>
                <w:color w:val="auto"/>
              </w:rPr>
            </w:pPr>
            <w:r>
              <w:rPr>
                <w:rFonts w:ascii="Arial" w:cs="Arial" w:eastAsia="Arial" w:hAnsi="Arial"/>
                <w:sz w:val="18"/>
                <w:szCs w:val="18"/>
                <w:color w:val="auto"/>
                <w:w w:val="93"/>
              </w:rPr>
              <w:t>L + 2.86%</w:t>
            </w: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12/15/2019</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115,000</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gridSpan w:val="4"/>
          </w:tcPr>
          <w:p>
            <w:pPr>
              <w:jc w:val="right"/>
              <w:ind w:right="60"/>
              <w:spacing w:after="0"/>
              <w:rPr>
                <w:sz w:val="20"/>
                <w:szCs w:val="20"/>
                <w:color w:val="auto"/>
              </w:rPr>
            </w:pPr>
            <w:r>
              <w:rPr>
                <w:rFonts w:ascii="Arial" w:cs="Arial" w:eastAsia="Arial" w:hAnsi="Arial"/>
                <w:sz w:val="18"/>
                <w:szCs w:val="18"/>
                <w:color w:val="auto"/>
              </w:rPr>
              <w:t>(870)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w w:val="88"/>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(a)(b)</w:t>
            </w:r>
          </w:p>
        </w:tc>
        <w:tc>
          <w:tcPr>
            <w:tcW w:w="6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center"/>
              <w:ind w:right="660"/>
              <w:spacing w:after="0"/>
              <w:rPr>
                <w:sz w:val="20"/>
                <w:szCs w:val="20"/>
                <w:color w:val="auto"/>
              </w:rPr>
            </w:pPr>
            <w:r>
              <w:rPr>
                <w:rFonts w:ascii="Arial" w:cs="Arial" w:eastAsia="Arial" w:hAnsi="Arial"/>
                <w:sz w:val="18"/>
                <w:szCs w:val="18"/>
                <w:color w:val="auto"/>
              </w:rPr>
              <w:t>L</w:t>
            </w:r>
          </w:p>
        </w:tc>
        <w:tc>
          <w:tcPr>
            <w:tcW w:w="1640" w:type="dxa"/>
            <w:vAlign w:val="bottom"/>
            <w:gridSpan w:val="2"/>
            <w:shd w:val="clear" w:color="auto" w:fill="CFF0FC"/>
          </w:tcPr>
          <w:p>
            <w:pPr>
              <w:jc w:val="center"/>
              <w:ind w:left="139"/>
              <w:spacing w:after="0"/>
              <w:rPr>
                <w:sz w:val="20"/>
                <w:szCs w:val="20"/>
                <w:color w:val="auto"/>
              </w:rPr>
            </w:pPr>
            <w:r>
              <w:rPr>
                <w:rFonts w:ascii="Arial" w:cs="Arial" w:eastAsia="Arial" w:hAnsi="Arial"/>
                <w:sz w:val="18"/>
                <w:szCs w:val="18"/>
                <w:color w:val="auto"/>
                <w:w w:val="90"/>
              </w:rPr>
              <w:t>1.72%</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1/10/2020</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5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w w:val="87"/>
              </w:rPr>
              <w:t>33,333</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267</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ind w:left="40"/>
              <w:spacing w:after="0"/>
              <w:rPr>
                <w:sz w:val="20"/>
                <w:szCs w:val="20"/>
                <w:color w:val="auto"/>
              </w:rPr>
            </w:pPr>
            <w:r>
              <w:rPr>
                <w:rFonts w:ascii="Arial" w:cs="Arial" w:eastAsia="Arial" w:hAnsi="Arial"/>
                <w:sz w:val="18"/>
                <w:szCs w:val="18"/>
                <w:color w:val="auto"/>
                <w:w w:val="88"/>
              </w:rPr>
              <w:t>—</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30"/>
        </w:trPr>
        <w:tc>
          <w:tcPr>
            <w:tcW w:w="1900" w:type="dxa"/>
            <w:vAlign w:val="bottom"/>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(b)</w:t>
            </w:r>
          </w:p>
        </w:tc>
        <w:tc>
          <w:tcPr>
            <w:tcW w:w="1460" w:type="dxa"/>
            <w:vAlign w:val="bottom"/>
            <w:gridSpan w:val="3"/>
          </w:tcPr>
          <w:p>
            <w:pPr>
              <w:jc w:val="center"/>
              <w:ind w:right="20"/>
              <w:spacing w:after="0"/>
              <w:rPr>
                <w:sz w:val="20"/>
                <w:szCs w:val="20"/>
                <w:color w:val="auto"/>
              </w:rPr>
            </w:pPr>
            <w:r>
              <w:rPr>
                <w:rFonts w:ascii="Arial" w:cs="Arial" w:eastAsia="Arial" w:hAnsi="Arial"/>
                <w:sz w:val="18"/>
                <w:szCs w:val="18"/>
                <w:color w:val="auto"/>
                <w:w w:val="93"/>
              </w:rPr>
              <w:t>4.50%</w:t>
            </w:r>
          </w:p>
        </w:tc>
        <w:tc>
          <w:tcPr>
            <w:tcW w:w="240" w:type="dxa"/>
            <w:vAlign w:val="bottom"/>
          </w:tcPr>
          <w:p>
            <w:pPr>
              <w:spacing w:after="0"/>
              <w:rPr>
                <w:sz w:val="19"/>
                <w:szCs w:val="19"/>
                <w:color w:val="auto"/>
              </w:rPr>
            </w:pPr>
          </w:p>
        </w:tc>
        <w:tc>
          <w:tcPr>
            <w:tcW w:w="1680" w:type="dxa"/>
            <w:vAlign w:val="bottom"/>
            <w:gridSpan w:val="4"/>
          </w:tcPr>
          <w:p>
            <w:pPr>
              <w:jc w:val="center"/>
              <w:ind w:right="280"/>
              <w:spacing w:after="0"/>
              <w:rPr>
                <w:sz w:val="20"/>
                <w:szCs w:val="20"/>
                <w:color w:val="auto"/>
              </w:rPr>
            </w:pPr>
            <w:r>
              <w:rPr>
                <w:rFonts w:ascii="Arial" w:cs="Arial" w:eastAsia="Arial" w:hAnsi="Arial"/>
                <w:sz w:val="18"/>
                <w:szCs w:val="18"/>
                <w:color w:val="auto"/>
                <w:w w:val="93"/>
              </w:rPr>
              <w:t>L + 2.37%</w:t>
            </w: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8/1/2022</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115,000</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gridSpan w:val="4"/>
          </w:tcPr>
          <w:p>
            <w:pPr>
              <w:jc w:val="right"/>
              <w:ind w:right="60"/>
              <w:spacing w:after="0"/>
              <w:rPr>
                <w:sz w:val="20"/>
                <w:szCs w:val="20"/>
                <w:color w:val="auto"/>
              </w:rPr>
            </w:pPr>
            <w:r>
              <w:rPr>
                <w:rFonts w:ascii="Arial" w:cs="Arial" w:eastAsia="Arial" w:hAnsi="Arial"/>
                <w:sz w:val="18"/>
                <w:szCs w:val="18"/>
                <w:color w:val="auto"/>
              </w:rPr>
              <w:t>(781)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w w:val="88"/>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(b)</w:t>
            </w:r>
          </w:p>
        </w:tc>
        <w:tc>
          <w:tcPr>
            <w:tcW w:w="1460" w:type="dxa"/>
            <w:vAlign w:val="bottom"/>
            <w:gridSpan w:val="3"/>
            <w:shd w:val="clear" w:color="auto" w:fill="CFF0FC"/>
          </w:tcPr>
          <w:p>
            <w:pPr>
              <w:jc w:val="center"/>
              <w:ind w:right="20"/>
              <w:spacing w:after="0"/>
              <w:rPr>
                <w:sz w:val="20"/>
                <w:szCs w:val="20"/>
                <w:color w:val="auto"/>
              </w:rPr>
            </w:pPr>
            <w:r>
              <w:rPr>
                <w:rFonts w:ascii="Arial" w:cs="Arial" w:eastAsia="Arial" w:hAnsi="Arial"/>
                <w:sz w:val="18"/>
                <w:szCs w:val="18"/>
                <w:color w:val="auto"/>
                <w:w w:val="93"/>
              </w:rPr>
              <w:t>4.50%</w:t>
            </w:r>
          </w:p>
        </w:tc>
        <w:tc>
          <w:tcPr>
            <w:tcW w:w="240" w:type="dxa"/>
            <w:vAlign w:val="bottom"/>
            <w:shd w:val="clear" w:color="auto" w:fill="CFF0FC"/>
          </w:tcPr>
          <w:p>
            <w:pPr>
              <w:spacing w:after="0"/>
              <w:rPr>
                <w:sz w:val="19"/>
                <w:szCs w:val="19"/>
                <w:color w:val="auto"/>
              </w:rPr>
            </w:pPr>
          </w:p>
        </w:tc>
        <w:tc>
          <w:tcPr>
            <w:tcW w:w="1680" w:type="dxa"/>
            <w:vAlign w:val="bottom"/>
            <w:gridSpan w:val="4"/>
            <w:shd w:val="clear" w:color="auto" w:fill="CFF0FC"/>
          </w:tcPr>
          <w:p>
            <w:pPr>
              <w:jc w:val="center"/>
              <w:ind w:right="280"/>
              <w:spacing w:after="0"/>
              <w:rPr>
                <w:sz w:val="20"/>
                <w:szCs w:val="20"/>
                <w:color w:val="auto"/>
              </w:rPr>
            </w:pPr>
            <w:r>
              <w:rPr>
                <w:rFonts w:ascii="Arial" w:cs="Arial" w:eastAsia="Arial" w:hAnsi="Arial"/>
                <w:sz w:val="18"/>
                <w:szCs w:val="18"/>
                <w:color w:val="auto"/>
                <w:w w:val="93"/>
              </w:rPr>
              <w:t>L + 1.59%</w:t>
            </w:r>
          </w:p>
        </w:tc>
        <w:tc>
          <w:tcPr>
            <w:tcW w:w="10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8/1/2022</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5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w w:val="87"/>
              </w:rPr>
              <w:t>50,000</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933</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ind w:left="40"/>
              <w:spacing w:after="0"/>
              <w:rPr>
                <w:sz w:val="20"/>
                <w:szCs w:val="20"/>
                <w:color w:val="auto"/>
              </w:rPr>
            </w:pPr>
            <w:r>
              <w:rPr>
                <w:rFonts w:ascii="Arial" w:cs="Arial" w:eastAsia="Arial" w:hAnsi="Arial"/>
                <w:sz w:val="18"/>
                <w:szCs w:val="18"/>
                <w:color w:val="auto"/>
                <w:w w:val="88"/>
              </w:rPr>
              <w:t>—</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394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00" w:type="dxa"/>
            <w:vAlign w:val="bottom"/>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(b)</w:t>
            </w:r>
          </w:p>
        </w:tc>
        <w:tc>
          <w:tcPr>
            <w:tcW w:w="1460" w:type="dxa"/>
            <w:vAlign w:val="bottom"/>
            <w:gridSpan w:val="3"/>
          </w:tcPr>
          <w:p>
            <w:pPr>
              <w:jc w:val="center"/>
              <w:ind w:right="20"/>
              <w:spacing w:after="0"/>
              <w:rPr>
                <w:sz w:val="20"/>
                <w:szCs w:val="20"/>
                <w:color w:val="auto"/>
              </w:rPr>
            </w:pPr>
            <w:r>
              <w:rPr>
                <w:rFonts w:ascii="Arial" w:cs="Arial" w:eastAsia="Arial" w:hAnsi="Arial"/>
                <w:sz w:val="18"/>
                <w:szCs w:val="18"/>
                <w:color w:val="auto"/>
                <w:w w:val="93"/>
              </w:rPr>
              <w:t>4.50%</w:t>
            </w:r>
          </w:p>
        </w:tc>
        <w:tc>
          <w:tcPr>
            <w:tcW w:w="240" w:type="dxa"/>
            <w:vAlign w:val="bottom"/>
          </w:tcPr>
          <w:p>
            <w:pPr>
              <w:spacing w:after="0"/>
              <w:rPr>
                <w:sz w:val="19"/>
                <w:szCs w:val="19"/>
                <w:color w:val="auto"/>
              </w:rPr>
            </w:pPr>
          </w:p>
        </w:tc>
        <w:tc>
          <w:tcPr>
            <w:tcW w:w="1680" w:type="dxa"/>
            <w:vAlign w:val="bottom"/>
            <w:gridSpan w:val="4"/>
          </w:tcPr>
          <w:p>
            <w:pPr>
              <w:jc w:val="center"/>
              <w:ind w:right="280"/>
              <w:spacing w:after="0"/>
              <w:rPr>
                <w:sz w:val="20"/>
                <w:szCs w:val="20"/>
                <w:color w:val="auto"/>
              </w:rPr>
            </w:pPr>
            <w:r>
              <w:rPr>
                <w:rFonts w:ascii="Arial" w:cs="Arial" w:eastAsia="Arial" w:hAnsi="Arial"/>
                <w:sz w:val="18"/>
                <w:szCs w:val="18"/>
                <w:color w:val="auto"/>
                <w:w w:val="93"/>
              </w:rPr>
              <w:t>L + 1.60%</w:t>
            </w: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8/1/2022</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7,500</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w w:val="88"/>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(b)</w:t>
            </w:r>
          </w:p>
        </w:tc>
        <w:tc>
          <w:tcPr>
            <w:tcW w:w="1460" w:type="dxa"/>
            <w:vAlign w:val="bottom"/>
            <w:gridSpan w:val="3"/>
            <w:shd w:val="clear" w:color="auto" w:fill="CFF0FC"/>
          </w:tcPr>
          <w:p>
            <w:pPr>
              <w:jc w:val="center"/>
              <w:ind w:right="20"/>
              <w:spacing w:after="0"/>
              <w:rPr>
                <w:sz w:val="20"/>
                <w:szCs w:val="20"/>
                <w:color w:val="auto"/>
              </w:rPr>
            </w:pPr>
            <w:r>
              <w:rPr>
                <w:rFonts w:ascii="Arial" w:cs="Arial" w:eastAsia="Arial" w:hAnsi="Arial"/>
                <w:sz w:val="18"/>
                <w:szCs w:val="18"/>
                <w:color w:val="auto"/>
                <w:w w:val="93"/>
              </w:rPr>
              <w:t>4.50%</w:t>
            </w:r>
          </w:p>
        </w:tc>
        <w:tc>
          <w:tcPr>
            <w:tcW w:w="240" w:type="dxa"/>
            <w:vAlign w:val="bottom"/>
            <w:shd w:val="clear" w:color="auto" w:fill="CFF0FC"/>
          </w:tcPr>
          <w:p>
            <w:pPr>
              <w:spacing w:after="0"/>
              <w:rPr>
                <w:sz w:val="19"/>
                <w:szCs w:val="19"/>
                <w:color w:val="auto"/>
              </w:rPr>
            </w:pPr>
          </w:p>
        </w:tc>
        <w:tc>
          <w:tcPr>
            <w:tcW w:w="1680" w:type="dxa"/>
            <w:vAlign w:val="bottom"/>
            <w:gridSpan w:val="4"/>
            <w:shd w:val="clear" w:color="auto" w:fill="CFF0FC"/>
          </w:tcPr>
          <w:p>
            <w:pPr>
              <w:jc w:val="center"/>
              <w:ind w:right="280"/>
              <w:spacing w:after="0"/>
              <w:rPr>
                <w:sz w:val="20"/>
                <w:szCs w:val="20"/>
                <w:color w:val="auto"/>
              </w:rPr>
            </w:pPr>
            <w:r>
              <w:rPr>
                <w:rFonts w:ascii="Arial" w:cs="Arial" w:eastAsia="Arial" w:hAnsi="Arial"/>
                <w:sz w:val="18"/>
                <w:szCs w:val="18"/>
                <w:color w:val="auto"/>
                <w:w w:val="93"/>
              </w:rPr>
              <w:t>L + 1.99%</w:t>
            </w:r>
          </w:p>
        </w:tc>
        <w:tc>
          <w:tcPr>
            <w:tcW w:w="10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1/22/2023</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150,000</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983</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1,521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00" w:type="dxa"/>
            <w:vAlign w:val="bottom"/>
          </w:tcPr>
          <w:p>
            <w:pPr>
              <w:spacing w:after="0"/>
              <w:rPr>
                <w:sz w:val="20"/>
                <w:szCs w:val="20"/>
                <w:color w:val="auto"/>
              </w:rPr>
            </w:pPr>
            <w:r>
              <w:rPr>
                <w:rFonts w:ascii="Arial" w:cs="Arial" w:eastAsia="Arial" w:hAnsi="Arial"/>
                <w:sz w:val="18"/>
                <w:szCs w:val="18"/>
                <w:color w:val="auto"/>
              </w:rPr>
              <w:t>Cash collateral</w:t>
            </w: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w w:val="88"/>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90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b w:val="1"/>
                <w:bCs w:val="1"/>
                <w:color w:val="auto"/>
              </w:rPr>
              <w:t>Total</w:t>
            </w:r>
          </w:p>
        </w:tc>
        <w:tc>
          <w:tcPr>
            <w:tcW w:w="6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7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4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8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gridSpan w:val="4"/>
            <w:shd w:val="clear" w:color="auto" w:fill="CFF0FC"/>
          </w:tcPr>
          <w:p>
            <w:pPr>
              <w:jc w:val="right"/>
              <w:spacing w:after="0"/>
              <w:rPr>
                <w:sz w:val="20"/>
                <w:szCs w:val="20"/>
                <w:color w:val="auto"/>
              </w:rPr>
            </w:pPr>
            <w:r>
              <w:rPr>
                <w:rFonts w:ascii="Arial" w:cs="Arial" w:eastAsia="Arial" w:hAnsi="Arial"/>
                <w:sz w:val="18"/>
                <w:szCs w:val="18"/>
                <w:color w:val="auto"/>
              </w:rPr>
              <w:t>562,333</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6"/>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656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440" w:type="dxa"/>
            <w:vAlign w:val="bottom"/>
            <w:tcBorders>
              <w:top w:val="single" w:sz="8" w:color="auto"/>
              <w:bottom w:val="single" w:sz="8" w:color="auto"/>
            </w:tcBorders>
            <w:shd w:val="clear" w:color="auto" w:fill="CFF0FC"/>
          </w:tcPr>
          <w:p>
            <w:pPr>
              <w:jc w:val="right"/>
              <w:ind w:right="261"/>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w w:val="88"/>
              </w:rPr>
              <w:t>—</w:t>
            </w: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9"/>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3,319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1040" w:hanging="519"/>
        <w:spacing w:after="0"/>
        <w:tabs>
          <w:tab w:leader="none" w:pos="1040" w:val="left"/>
        </w:tabs>
        <w:numPr>
          <w:ilvl w:val="1"/>
          <w:numId w:val="4"/>
        </w:numPr>
        <w:rPr>
          <w:rFonts w:ascii="Arial" w:cs="Arial" w:eastAsia="Arial" w:hAnsi="Arial"/>
          <w:sz w:val="18"/>
          <w:szCs w:val="18"/>
          <w:color w:val="auto"/>
        </w:rPr>
      </w:pPr>
      <w:r>
        <w:rPr>
          <w:rFonts w:ascii="Arial" w:cs="Arial" w:eastAsia="Arial" w:hAnsi="Arial"/>
          <w:sz w:val="18"/>
          <w:szCs w:val="18"/>
          <w:color w:val="auto"/>
        </w:rPr>
        <w:t>Contract terms are shown net of Company receiving 6.65% and paying 8.38%.</w:t>
      </w:r>
    </w:p>
    <w:p>
      <w:pPr>
        <w:spacing w:after="0" w:line="23" w:lineRule="exact"/>
        <w:rPr>
          <w:rFonts w:ascii="Arial" w:cs="Arial" w:eastAsia="Arial" w:hAnsi="Arial"/>
          <w:sz w:val="18"/>
          <w:szCs w:val="18"/>
          <w:color w:val="auto"/>
        </w:rPr>
      </w:pPr>
    </w:p>
    <w:p>
      <w:pPr>
        <w:ind w:left="1040" w:hanging="519"/>
        <w:spacing w:after="0"/>
        <w:tabs>
          <w:tab w:leader="none" w:pos="1040" w:val="left"/>
        </w:tabs>
        <w:numPr>
          <w:ilvl w:val="1"/>
          <w:numId w:val="4"/>
        </w:numPr>
        <w:rPr>
          <w:rFonts w:ascii="Arial" w:cs="Arial" w:eastAsia="Arial" w:hAnsi="Arial"/>
          <w:sz w:val="18"/>
          <w:szCs w:val="18"/>
          <w:color w:val="auto"/>
        </w:rPr>
      </w:pPr>
      <w:r>
        <w:rPr>
          <w:rFonts w:ascii="Arial" w:cs="Arial" w:eastAsia="Arial" w:hAnsi="Arial"/>
          <w:sz w:val="18"/>
          <w:szCs w:val="18"/>
          <w:color w:val="auto"/>
        </w:rPr>
        <w:t>Contains a variable rate structure. Bears interest at a rate determined by three-month LIBOR.</w:t>
      </w:r>
    </w:p>
    <w:p>
      <w:pPr>
        <w:spacing w:after="0" w:line="102" w:lineRule="exact"/>
        <w:rPr>
          <w:rFonts w:ascii="Arial" w:cs="Arial" w:eastAsia="Arial" w:hAnsi="Arial"/>
          <w:sz w:val="18"/>
          <w:szCs w:val="18"/>
          <w:color w:val="auto"/>
        </w:rPr>
      </w:pPr>
    </w:p>
    <w:p>
      <w:pPr>
        <w:ind w:left="520" w:hanging="512"/>
        <w:spacing w:after="0"/>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Certain portfolio company investments are subject to contractual restrictions on sales.</w:t>
      </w:r>
    </w:p>
    <w:p>
      <w:pPr>
        <w:spacing w:after="0" w:line="23" w:lineRule="exact"/>
        <w:rPr>
          <w:rFonts w:ascii="Arial" w:cs="Arial" w:eastAsia="Arial" w:hAnsi="Arial"/>
          <w:sz w:val="18"/>
          <w:szCs w:val="18"/>
          <w:color w:val="auto"/>
        </w:rPr>
      </w:pPr>
    </w:p>
    <w:p>
      <w:pPr>
        <w:ind w:left="520" w:right="180" w:hanging="512"/>
        <w:spacing w:after="0" w:line="250" w:lineRule="auto"/>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amortized cost represents the original cost adjusted for the amortization of discounts and premiums, as applicable, on debt investments using the effective interest method.</w:t>
      </w:r>
    </w:p>
    <w:p>
      <w:pPr>
        <w:ind w:left="520" w:right="20" w:hanging="512"/>
        <w:spacing w:after="0" w:line="265" w:lineRule="auto"/>
        <w:tabs>
          <w:tab w:leader="none" w:pos="520" w:val="left"/>
        </w:tabs>
        <w:numPr>
          <w:ilvl w:val="0"/>
          <w:numId w:val="5"/>
        </w:numPr>
        <w:rPr>
          <w:rFonts w:ascii="Arial" w:cs="Arial" w:eastAsia="Arial" w:hAnsi="Arial"/>
          <w:sz w:val="17"/>
          <w:szCs w:val="17"/>
          <w:color w:val="auto"/>
        </w:rPr>
      </w:pPr>
      <w:r>
        <w:rPr>
          <w:rFonts w:ascii="Arial" w:cs="Arial" w:eastAsia="Arial" w:hAnsi="Arial"/>
          <w:sz w:val="17"/>
          <w:szCs w:val="17"/>
          <w:color w:val="auto"/>
        </w:rPr>
        <w:t>Investment contains a variable rate structure, subject to an interest rate floor. Variable rate investments bear interest at a rate that may be determined by reference to either London Interbank Offered Rate (“LIBOR” or “L”) (which can include one-, two-, three- or six-month LIBOR), Canadian Dollar Offered Rate (“CDOR” or “C”), Bank Bill Swap Bid Rate (“BBSY” or “B”) or an alternate base rate (which can include the Federal Funds Effective Rate or the Prime Rate or “P”), at the borrower’s option, which reset periodically based on the terms of the credit agreement. For investments with multiple interest rate contracts, the interest rate shown is the weighted average interest rate in effect at March 31, 2019.</w:t>
      </w:r>
    </w:p>
    <w:p>
      <w:pPr>
        <w:spacing w:after="0" w:line="1" w:lineRule="exact"/>
        <w:rPr>
          <w:rFonts w:ascii="Arial" w:cs="Arial" w:eastAsia="Arial" w:hAnsi="Arial"/>
          <w:sz w:val="17"/>
          <w:szCs w:val="17"/>
          <w:color w:val="auto"/>
        </w:rPr>
      </w:pPr>
    </w:p>
    <w:p>
      <w:pPr>
        <w:jc w:val="both"/>
        <w:ind w:left="520" w:right="40" w:hanging="512"/>
        <w:spacing w:after="0" w:line="250" w:lineRule="auto"/>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This portfolio company is not a qualifying asset under Section 55(a) of the Investment Company Act of 1940, as amended (the “1940 Act”). Under the 1940 Act, the Company may not acquire any non-qualifying asset unless, at the time such acquisition is made, qualifying assets represent at least 70% of total assets. Non-qualifying assets represented 16.5% of total assets as of March 31, 2019.</w:t>
      </w:r>
    </w:p>
    <w:p>
      <w:pPr>
        <w:spacing w:after="0" w:line="1" w:lineRule="exact"/>
        <w:rPr>
          <w:rFonts w:ascii="Arial" w:cs="Arial" w:eastAsia="Arial" w:hAnsi="Arial"/>
          <w:sz w:val="18"/>
          <w:szCs w:val="18"/>
          <w:color w:val="auto"/>
        </w:rPr>
      </w:pPr>
    </w:p>
    <w:p>
      <w:pPr>
        <w:ind w:left="520" w:right="20" w:hanging="512"/>
        <w:spacing w:after="0" w:line="250" w:lineRule="auto"/>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addition to the interest earned based on the stated interest rate of this investment, which is the amount reflected in this schedule, the Company may be entitled to receive additional interest as a result of an arrangement with other members in the syndicate to the extent an investment has been allocated to “first out” and “last out” tranches, whereby the “first out” tranche will have priority as to the “last out” tranche with respect to payments of principal, interest and any amounts due thereunder and the Company hold the “last out” tranche.</w:t>
      </w:r>
    </w:p>
    <w:p>
      <w:pPr>
        <w:spacing w:after="0" w:line="1" w:lineRule="exact"/>
        <w:rPr>
          <w:rFonts w:ascii="Arial" w:cs="Arial" w:eastAsia="Arial" w:hAnsi="Arial"/>
          <w:sz w:val="18"/>
          <w:szCs w:val="18"/>
          <w:color w:val="auto"/>
        </w:rPr>
      </w:pPr>
    </w:p>
    <w:p>
      <w:pPr>
        <w:ind w:left="520" w:right="20" w:hanging="512"/>
        <w:spacing w:after="0" w:line="255" w:lineRule="auto"/>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Under the 1940 Act, the Company is deemed to be an “Affiliated Person” of, as defined in the 1940 Act, this portfolio company, as the Company owns more than 5% of the portfolio company’s outstanding voting securities. Transactions during the three months ended March 31, 2019 in which the issuer was an Affiliated Person of the portfolio company are as follows: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u w:val="single" w:color="auto"/>
          <w:color w:val="auto"/>
        </w:rPr>
        <w:t>Non-controlled, Affiliated Investments during the three months ended March 31, 2019</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center"/>
              <w:ind w:right="79"/>
              <w:spacing w:after="0"/>
              <w:rPr>
                <w:sz w:val="20"/>
                <w:szCs w:val="20"/>
                <w:color w:val="auto"/>
              </w:rPr>
            </w:pPr>
            <w:r>
              <w:rPr>
                <w:rFonts w:ascii="Arial" w:cs="Arial" w:eastAsia="Arial" w:hAnsi="Arial"/>
                <w:sz w:val="14"/>
                <w:szCs w:val="14"/>
                <w:b w:val="1"/>
                <w:bCs w:val="1"/>
                <w:color w:val="auto"/>
              </w:rPr>
              <w:t>Fair</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Net Change</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Fair</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93"/>
              </w:rPr>
              <w:t>Value at</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rPr>
              <w:t>Gross</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Gross</w:t>
            </w:r>
          </w:p>
        </w:tc>
        <w:tc>
          <w:tcPr>
            <w:tcW w:w="8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Realized</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Value at</w:t>
            </w:r>
          </w:p>
        </w:tc>
        <w:tc>
          <w:tcPr>
            <w:tcW w:w="140" w:type="dxa"/>
            <w:vAlign w:val="bottom"/>
          </w:tcPr>
          <w:p>
            <w:pPr>
              <w:spacing w:after="0"/>
              <w:rPr>
                <w:sz w:val="12"/>
                <w:szCs w:val="12"/>
                <w:color w:val="auto"/>
              </w:rPr>
            </w:pPr>
          </w:p>
        </w:tc>
        <w:tc>
          <w:tcPr>
            <w:tcW w:w="9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2"/>
                <w:szCs w:val="12"/>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Interest</w:t>
            </w:r>
          </w:p>
        </w:tc>
        <w:tc>
          <w:tcPr>
            <w:tcW w:w="0" w:type="dxa"/>
            <w:vAlign w:val="bottom"/>
          </w:tcPr>
          <w:p>
            <w:pPr>
              <w:spacing w:after="0"/>
              <w:rPr>
                <w:sz w:val="1"/>
                <w:szCs w:val="1"/>
                <w:color w:val="auto"/>
              </w:rPr>
            </w:pPr>
          </w:p>
        </w:tc>
      </w:tr>
      <w:tr>
        <w:trPr>
          <w:trHeight w:val="149"/>
        </w:trPr>
        <w:tc>
          <w:tcPr>
            <w:tcW w:w="260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Company</w:t>
            </w:r>
          </w:p>
        </w:tc>
        <w:tc>
          <w:tcPr>
            <w:tcW w:w="14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In Unrealized</w:t>
            </w:r>
          </w:p>
        </w:tc>
        <w:tc>
          <w:tcPr>
            <w:tcW w:w="1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9"/>
              </w:rPr>
              <w:t>March 31,</w:t>
            </w: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6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center"/>
              <w:ind w:right="79"/>
              <w:spacing w:after="0"/>
              <w:rPr>
                <w:sz w:val="20"/>
                <w:szCs w:val="20"/>
                <w:color w:val="auto"/>
              </w:rPr>
            </w:pPr>
            <w:r>
              <w:rPr>
                <w:rFonts w:ascii="Arial" w:cs="Arial" w:eastAsia="Arial" w:hAnsi="Arial"/>
                <w:sz w:val="14"/>
                <w:szCs w:val="14"/>
                <w:b w:val="1"/>
                <w:bCs w:val="1"/>
                <w:color w:val="auto"/>
                <w:w w:val="89"/>
              </w:rPr>
              <w:t>2018</w:t>
            </w:r>
          </w:p>
        </w:tc>
        <w:tc>
          <w:tcPr>
            <w:tcW w:w="24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Additions (a)</w:t>
            </w:r>
          </w:p>
        </w:tc>
        <w:tc>
          <w:tcPr>
            <w:tcW w:w="22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Reductions (b)</w:t>
            </w:r>
          </w:p>
        </w:tc>
        <w:tc>
          <w:tcPr>
            <w:tcW w:w="80" w:type="dxa"/>
            <w:vAlign w:val="bottom"/>
          </w:tcPr>
          <w:p>
            <w:pPr>
              <w:spacing w:after="0"/>
              <w:rPr>
                <w:sz w:val="14"/>
                <w:szCs w:val="14"/>
                <w:color w:val="auto"/>
              </w:rPr>
            </w:pPr>
          </w:p>
        </w:tc>
        <w:tc>
          <w:tcPr>
            <w:tcW w:w="1100" w:type="dxa"/>
            <w:vAlign w:val="bottom"/>
            <w:gridSpan w:val="3"/>
          </w:tcPr>
          <w:p>
            <w:pPr>
              <w:ind w:left="80"/>
              <w:spacing w:after="0"/>
              <w:rPr>
                <w:sz w:val="20"/>
                <w:szCs w:val="20"/>
                <w:color w:val="auto"/>
              </w:rPr>
            </w:pPr>
            <w:r>
              <w:rPr>
                <w:rFonts w:ascii="Arial" w:cs="Arial" w:eastAsia="Arial" w:hAnsi="Arial"/>
                <w:sz w:val="14"/>
                <w:szCs w:val="14"/>
                <w:b w:val="1"/>
                <w:bCs w:val="1"/>
                <w:color w:val="auto"/>
              </w:rPr>
              <w:t>Gain/(Loss)</w:t>
            </w: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w w:val="92"/>
              </w:rPr>
              <w:t>Gain/(Losses)</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center"/>
              <w:ind w:right="40"/>
              <w:spacing w:after="0"/>
              <w:rPr>
                <w:sz w:val="20"/>
                <w:szCs w:val="20"/>
                <w:color w:val="auto"/>
              </w:rPr>
            </w:pPr>
            <w:r>
              <w:rPr>
                <w:rFonts w:ascii="Arial" w:cs="Arial" w:eastAsia="Arial" w:hAnsi="Arial"/>
                <w:sz w:val="14"/>
                <w:szCs w:val="14"/>
                <w:b w:val="1"/>
                <w:bCs w:val="1"/>
                <w:color w:val="auto"/>
                <w:w w:val="89"/>
              </w:rPr>
              <w:t>2019</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Income</w:t>
            </w:r>
          </w:p>
        </w:tc>
        <w:tc>
          <w:tcPr>
            <w:tcW w:w="1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223"/>
        </w:trPr>
        <w:tc>
          <w:tcPr>
            <w:tcW w:w="26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AFS Technologies, Inc.</w:t>
            </w:r>
          </w:p>
        </w:tc>
        <w:tc>
          <w:tcPr>
            <w:tcW w:w="1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45,342</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4,742</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FF0FC"/>
          </w:tcPr>
          <w:p>
            <w:pPr>
              <w:ind w:left="400"/>
              <w:spacing w:after="0"/>
              <w:rPr>
                <w:sz w:val="20"/>
                <w:szCs w:val="20"/>
                <w:color w:val="auto"/>
              </w:rPr>
            </w:pPr>
            <w:r>
              <w:rPr>
                <w:rFonts w:ascii="Arial" w:cs="Arial" w:eastAsia="Arial" w:hAnsi="Arial"/>
                <w:sz w:val="18"/>
                <w:szCs w:val="18"/>
                <w:color w:val="auto"/>
                <w:w w:val="76"/>
              </w:rPr>
              <w:t>(294)</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FF0FC"/>
          </w:tcPr>
          <w:p>
            <w:pPr>
              <w:ind w:left="56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50,069</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1,248</w:t>
            </w: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00" w:type="dxa"/>
            <w:vAlign w:val="bottom"/>
          </w:tcPr>
          <w:p>
            <w:pPr>
              <w:spacing w:after="0"/>
              <w:rPr>
                <w:sz w:val="20"/>
                <w:szCs w:val="20"/>
                <w:color w:val="auto"/>
              </w:rPr>
            </w:pPr>
            <w:r>
              <w:rPr>
                <w:rFonts w:ascii="Arial" w:cs="Arial" w:eastAsia="Arial" w:hAnsi="Arial"/>
                <w:sz w:val="18"/>
                <w:szCs w:val="18"/>
                <w:color w:val="auto"/>
              </w:rPr>
              <w:t>Validity, Inc.</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38,590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1,489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ind w:left="400"/>
              <w:spacing w:after="0"/>
              <w:rPr>
                <w:sz w:val="20"/>
                <w:szCs w:val="20"/>
                <w:color w:val="auto"/>
              </w:rPr>
            </w:pPr>
            <w:r>
              <w:rPr>
                <w:rFonts w:ascii="Arial" w:cs="Arial" w:eastAsia="Arial" w:hAnsi="Arial"/>
                <w:sz w:val="18"/>
                <w:szCs w:val="18"/>
                <w:color w:val="auto"/>
              </w:rPr>
              <w:t>(234)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148</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ind w:left="56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39,993</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1,163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83,932</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6,231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tcBorders>
              <w:top w:val="single" w:sz="8" w:color="auto"/>
              <w:bottom w:val="single" w:sz="8" w:color="auto"/>
            </w:tcBorders>
            <w:shd w:val="clear" w:color="auto" w:fill="CFF0FC"/>
          </w:tcPr>
          <w:p>
            <w:pPr>
              <w:ind w:left="400"/>
              <w:spacing w:after="0"/>
              <w:rPr>
                <w:sz w:val="20"/>
                <w:szCs w:val="20"/>
                <w:color w:val="auto"/>
              </w:rPr>
            </w:pPr>
            <w:r>
              <w:rPr>
                <w:rFonts w:ascii="Arial" w:cs="Arial" w:eastAsia="Arial" w:hAnsi="Arial"/>
                <w:sz w:val="18"/>
                <w:szCs w:val="18"/>
                <w:b w:val="1"/>
                <w:bCs w:val="1"/>
                <w:color w:val="auto"/>
                <w:w w:val="76"/>
              </w:rPr>
              <w:t>(528)</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427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bottom w:val="single" w:sz="8" w:color="auto"/>
            </w:tcBorders>
            <w:shd w:val="clear" w:color="auto" w:fill="CFF0FC"/>
          </w:tcPr>
          <w:p>
            <w:pPr>
              <w:ind w:left="560"/>
              <w:spacing w:after="0"/>
              <w:rPr>
                <w:sz w:val="20"/>
                <w:szCs w:val="20"/>
                <w:color w:val="auto"/>
              </w:rPr>
            </w:pPr>
            <w:r>
              <w:rPr>
                <w:rFonts w:ascii="Arial" w:cs="Arial" w:eastAsia="Arial" w:hAnsi="Arial"/>
                <w:sz w:val="18"/>
                <w:szCs w:val="18"/>
                <w:b w:val="1"/>
                <w:bCs w:val="1"/>
                <w:color w:val="auto"/>
                <w:w w:val="99"/>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90,062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2,411</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1040" w:right="260" w:hanging="519"/>
        <w:spacing w:after="0" w:line="258" w:lineRule="auto"/>
        <w:tabs>
          <w:tab w:leader="none" w:pos="1040" w:val="left"/>
        </w:tabs>
        <w:numPr>
          <w:ilvl w:val="1"/>
          <w:numId w:val="6"/>
        </w:numPr>
        <w:rPr>
          <w:rFonts w:ascii="Arial" w:cs="Arial" w:eastAsia="Arial" w:hAnsi="Arial"/>
          <w:sz w:val="18"/>
          <w:szCs w:val="18"/>
          <w:color w:val="auto"/>
        </w:rPr>
      </w:pPr>
      <w:r>
        <w:rPr>
          <w:rFonts w:ascii="Arial" w:cs="Arial" w:eastAsia="Arial" w:hAnsi="Arial"/>
          <w:sz w:val="18"/>
          <w:szCs w:val="18"/>
          <w:color w:val="auto"/>
        </w:rPr>
        <w:t>Gross additions include increases in the cost basis of investments resulting from new investments, payment-in-kind interest or dividends, the amortization of any unearned income or discounts on debt investments, as applicable.</w:t>
      </w:r>
    </w:p>
    <w:p>
      <w:pPr>
        <w:spacing w:after="0" w:line="1" w:lineRule="exact"/>
        <w:rPr>
          <w:rFonts w:ascii="Arial" w:cs="Arial" w:eastAsia="Arial" w:hAnsi="Arial"/>
          <w:sz w:val="18"/>
          <w:szCs w:val="18"/>
          <w:color w:val="auto"/>
        </w:rPr>
      </w:pPr>
    </w:p>
    <w:p>
      <w:pPr>
        <w:ind w:left="1040" w:right="160" w:hanging="519"/>
        <w:spacing w:after="0" w:line="255" w:lineRule="auto"/>
        <w:tabs>
          <w:tab w:leader="none" w:pos="1040" w:val="left"/>
        </w:tabs>
        <w:numPr>
          <w:ilvl w:val="1"/>
          <w:numId w:val="6"/>
        </w:numPr>
        <w:rPr>
          <w:rFonts w:ascii="Arial" w:cs="Arial" w:eastAsia="Arial" w:hAnsi="Arial"/>
          <w:sz w:val="18"/>
          <w:szCs w:val="18"/>
          <w:color w:val="auto"/>
        </w:rPr>
      </w:pPr>
      <w:r>
        <w:rPr>
          <w:rFonts w:ascii="Arial" w:cs="Arial" w:eastAsia="Arial" w:hAnsi="Arial"/>
          <w:sz w:val="18"/>
          <w:szCs w:val="18"/>
          <w:color w:val="auto"/>
        </w:rPr>
        <w:t>Gross reductions include decreases in the cost basis of investments resulting from principal collections related to investment repayments or sales, and the amortization of any premiums on debt investments, as applicable. When an investment is placed on non-accrual status, any cash flows received by the Company are applied to the outstanding principal balance.</w:t>
      </w:r>
    </w:p>
    <w:p>
      <w:pPr>
        <w:spacing w:after="0" w:line="82" w:lineRule="exact"/>
        <w:rPr>
          <w:rFonts w:ascii="Arial" w:cs="Arial" w:eastAsia="Arial" w:hAnsi="Arial"/>
          <w:sz w:val="18"/>
          <w:szCs w:val="18"/>
          <w:color w:val="auto"/>
        </w:rPr>
      </w:pPr>
    </w:p>
    <w:p>
      <w:pPr>
        <w:ind w:left="520" w:right="60" w:hanging="512"/>
        <w:spacing w:after="0" w:line="279" w:lineRule="auto"/>
        <w:tabs>
          <w:tab w:leader="none" w:pos="520" w:val="left"/>
        </w:tabs>
        <w:numPr>
          <w:ilvl w:val="0"/>
          <w:numId w:val="7"/>
        </w:numPr>
        <w:rPr>
          <w:rFonts w:ascii="Arial" w:cs="Arial" w:eastAsia="Arial" w:hAnsi="Arial"/>
          <w:sz w:val="17"/>
          <w:szCs w:val="17"/>
          <w:color w:val="auto"/>
        </w:rPr>
      </w:pPr>
      <w:r>
        <w:rPr>
          <w:rFonts w:ascii="Arial" w:cs="Arial" w:eastAsia="Arial" w:hAnsi="Arial"/>
          <w:sz w:val="17"/>
          <w:szCs w:val="17"/>
          <w:color w:val="auto"/>
        </w:rPr>
        <w:t>Under the 1940 Act, the Company is deemed to be both an “Affiliated Person” of and “Control,” as such terms are defined in the 1940 Act, this portfolio company, as the Company owns more than 25% of the portfolio company’s outstanding voting securities or has the power to exercise control over management or policies of such portfolio company (including through a management agreement). Transactions during the three months ended March 31, 2019 in which the issuer was an Affiliated Person of and was deemed to Control a portfolio company are as follows: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Controlled, Affiliated Investments during the three months ended March 31, 2019</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center"/>
              <w:ind w:right="79"/>
              <w:spacing w:after="0"/>
              <w:rPr>
                <w:sz w:val="20"/>
                <w:szCs w:val="20"/>
                <w:color w:val="auto"/>
              </w:rPr>
            </w:pPr>
            <w:r>
              <w:rPr>
                <w:rFonts w:ascii="Arial" w:cs="Arial" w:eastAsia="Arial" w:hAnsi="Arial"/>
                <w:sz w:val="14"/>
                <w:szCs w:val="14"/>
                <w:b w:val="1"/>
                <w:bCs w:val="1"/>
                <w:color w:val="auto"/>
              </w:rPr>
              <w:t>Fair</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Net Change</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Fair</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93"/>
              </w:rPr>
              <w:t>Value at</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rPr>
              <w:t>Gross</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Gross</w:t>
            </w:r>
          </w:p>
        </w:tc>
        <w:tc>
          <w:tcPr>
            <w:tcW w:w="22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Realized</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Value at</w:t>
            </w:r>
          </w:p>
        </w:tc>
        <w:tc>
          <w:tcPr>
            <w:tcW w:w="140" w:type="dxa"/>
            <w:vAlign w:val="bottom"/>
          </w:tcPr>
          <w:p>
            <w:pPr>
              <w:spacing w:after="0"/>
              <w:rPr>
                <w:sz w:val="12"/>
                <w:szCs w:val="12"/>
                <w:color w:val="auto"/>
              </w:rPr>
            </w:pPr>
          </w:p>
        </w:tc>
        <w:tc>
          <w:tcPr>
            <w:tcW w:w="9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2"/>
                <w:szCs w:val="12"/>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Interest</w:t>
            </w:r>
          </w:p>
        </w:tc>
        <w:tc>
          <w:tcPr>
            <w:tcW w:w="0" w:type="dxa"/>
            <w:vAlign w:val="bottom"/>
          </w:tcPr>
          <w:p>
            <w:pPr>
              <w:spacing w:after="0"/>
              <w:rPr>
                <w:sz w:val="1"/>
                <w:szCs w:val="1"/>
                <w:color w:val="auto"/>
              </w:rPr>
            </w:pPr>
          </w:p>
        </w:tc>
      </w:tr>
      <w:tr>
        <w:trPr>
          <w:trHeight w:val="149"/>
        </w:trPr>
        <w:tc>
          <w:tcPr>
            <w:tcW w:w="260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Company</w:t>
            </w:r>
          </w:p>
        </w:tc>
        <w:tc>
          <w:tcPr>
            <w:tcW w:w="14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In Unrealized</w:t>
            </w:r>
          </w:p>
        </w:tc>
        <w:tc>
          <w:tcPr>
            <w:tcW w:w="1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9"/>
              </w:rPr>
              <w:t>March 31,</w:t>
            </w: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6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center"/>
              <w:ind w:right="79"/>
              <w:spacing w:after="0"/>
              <w:rPr>
                <w:sz w:val="20"/>
                <w:szCs w:val="20"/>
                <w:color w:val="auto"/>
              </w:rPr>
            </w:pPr>
            <w:r>
              <w:rPr>
                <w:rFonts w:ascii="Arial" w:cs="Arial" w:eastAsia="Arial" w:hAnsi="Arial"/>
                <w:sz w:val="14"/>
                <w:szCs w:val="14"/>
                <w:b w:val="1"/>
                <w:bCs w:val="1"/>
                <w:color w:val="auto"/>
                <w:w w:val="89"/>
              </w:rPr>
              <w:t>2018</w:t>
            </w:r>
          </w:p>
        </w:tc>
        <w:tc>
          <w:tcPr>
            <w:tcW w:w="24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Additions (a)</w:t>
            </w:r>
          </w:p>
        </w:tc>
        <w:tc>
          <w:tcPr>
            <w:tcW w:w="220" w:type="dxa"/>
            <w:vAlign w:val="bottom"/>
          </w:tcPr>
          <w:p>
            <w:pPr>
              <w:spacing w:after="0"/>
              <w:rPr>
                <w:sz w:val="14"/>
                <w:szCs w:val="14"/>
                <w:color w:val="auto"/>
              </w:rPr>
            </w:pP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w w:val="91"/>
              </w:rPr>
              <w:t>Reductions (b)</w:t>
            </w:r>
          </w:p>
        </w:tc>
        <w:tc>
          <w:tcPr>
            <w:tcW w:w="220" w:type="dxa"/>
            <w:vAlign w:val="bottom"/>
          </w:tcPr>
          <w:p>
            <w:pPr>
              <w:spacing w:after="0"/>
              <w:rPr>
                <w:sz w:val="14"/>
                <w:szCs w:val="14"/>
                <w:color w:val="auto"/>
              </w:rPr>
            </w:pPr>
          </w:p>
        </w:tc>
        <w:tc>
          <w:tcPr>
            <w:tcW w:w="1100" w:type="dxa"/>
            <w:vAlign w:val="bottom"/>
            <w:gridSpan w:val="3"/>
          </w:tcPr>
          <w:p>
            <w:pPr>
              <w:ind w:left="80"/>
              <w:spacing w:after="0"/>
              <w:rPr>
                <w:sz w:val="20"/>
                <w:szCs w:val="20"/>
                <w:color w:val="auto"/>
              </w:rPr>
            </w:pPr>
            <w:r>
              <w:rPr>
                <w:rFonts w:ascii="Arial" w:cs="Arial" w:eastAsia="Arial" w:hAnsi="Arial"/>
                <w:sz w:val="14"/>
                <w:szCs w:val="14"/>
                <w:b w:val="1"/>
                <w:bCs w:val="1"/>
                <w:color w:val="auto"/>
              </w:rPr>
              <w:t>Gain/(Loss)</w:t>
            </w: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w w:val="92"/>
              </w:rPr>
              <w:t>Gain/(Losses)</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center"/>
              <w:ind w:right="40"/>
              <w:spacing w:after="0"/>
              <w:rPr>
                <w:sz w:val="20"/>
                <w:szCs w:val="20"/>
                <w:color w:val="auto"/>
              </w:rPr>
            </w:pPr>
            <w:r>
              <w:rPr>
                <w:rFonts w:ascii="Arial" w:cs="Arial" w:eastAsia="Arial" w:hAnsi="Arial"/>
                <w:sz w:val="14"/>
                <w:szCs w:val="14"/>
                <w:b w:val="1"/>
                <w:bCs w:val="1"/>
                <w:color w:val="auto"/>
                <w:w w:val="89"/>
              </w:rPr>
              <w:t>2019</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Income</w:t>
            </w:r>
          </w:p>
        </w:tc>
        <w:tc>
          <w:tcPr>
            <w:tcW w:w="1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223"/>
        </w:trPr>
        <w:tc>
          <w:tcPr>
            <w:tcW w:w="26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IRGSE Holding Corp.</w:t>
            </w:r>
          </w:p>
        </w:tc>
        <w:tc>
          <w:tcPr>
            <w:tcW w:w="1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34,527</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1,262</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FF0FC"/>
          </w:tcPr>
          <w:p>
            <w:pPr>
              <w:ind w:left="54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(922)</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FF0FC"/>
          </w:tcPr>
          <w:p>
            <w:pPr>
              <w:ind w:left="56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34,867</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937</w:t>
            </w: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00" w:type="dxa"/>
            <w:vAlign w:val="bottom"/>
          </w:tcPr>
          <w:p>
            <w:pPr>
              <w:spacing w:after="0"/>
              <w:rPr>
                <w:sz w:val="20"/>
                <w:szCs w:val="20"/>
                <w:color w:val="auto"/>
              </w:rPr>
            </w:pPr>
            <w:r>
              <w:rPr>
                <w:rFonts w:ascii="Arial" w:cs="Arial" w:eastAsia="Arial" w:hAnsi="Arial"/>
                <w:sz w:val="18"/>
                <w:szCs w:val="18"/>
                <w:color w:val="auto"/>
              </w:rPr>
              <w:t>Mississippi Resources, LLC</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21,978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ind w:left="54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(2,745)</w:t>
            </w:r>
          </w:p>
        </w:tc>
        <w:tc>
          <w:tcPr>
            <w:tcW w:w="120" w:type="dxa"/>
            <w:vAlign w:val="bottom"/>
          </w:tcPr>
          <w:p>
            <w:pPr>
              <w:spacing w:after="0"/>
              <w:rPr>
                <w:sz w:val="19"/>
                <w:szCs w:val="19"/>
                <w:color w:val="auto"/>
              </w:rPr>
            </w:pPr>
          </w:p>
        </w:tc>
        <w:tc>
          <w:tcPr>
            <w:tcW w:w="760" w:type="dxa"/>
            <w:vAlign w:val="bottom"/>
          </w:tcPr>
          <w:p>
            <w:pPr>
              <w:ind w:left="56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19,233</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56,505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1,262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tcBorders>
              <w:top w:val="single" w:sz="8" w:color="auto"/>
              <w:bottom w:val="single" w:sz="8" w:color="auto"/>
            </w:tcBorders>
            <w:shd w:val="clear" w:color="auto" w:fill="CFF0FC"/>
          </w:tcPr>
          <w:p>
            <w:pPr>
              <w:ind w:left="540"/>
              <w:spacing w:after="0"/>
              <w:rPr>
                <w:sz w:val="20"/>
                <w:szCs w:val="20"/>
                <w:color w:val="auto"/>
              </w:rPr>
            </w:pPr>
            <w:r>
              <w:rPr>
                <w:rFonts w:ascii="Arial" w:cs="Arial" w:eastAsia="Arial" w:hAnsi="Arial"/>
                <w:sz w:val="18"/>
                <w:szCs w:val="18"/>
                <w:b w:val="1"/>
                <w:bCs w:val="1"/>
                <w:color w:val="auto"/>
                <w:w w:val="99"/>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(3,667</w:t>
            </w:r>
          </w:p>
        </w:tc>
        <w:tc>
          <w:tcPr>
            <w:tcW w:w="220" w:type="dxa"/>
            <w:vAlign w:val="bottom"/>
            <w:tcBorders>
              <w:top w:val="single" w:sz="8" w:color="CFF0FC"/>
              <w:bottom w:val="single" w:sz="8" w:color="CFF0FC"/>
            </w:tcBorders>
            <w:shd w:val="clear" w:color="auto" w:fill="CFF0FC"/>
          </w:tcPr>
          <w:p>
            <w:pPr>
              <w:jc w:val="right"/>
              <w:ind w:right="80"/>
              <w:spacing w:after="0"/>
              <w:rPr>
                <w:sz w:val="20"/>
                <w:szCs w:val="20"/>
                <w:color w:val="auto"/>
              </w:rPr>
            </w:pPr>
            <w:r>
              <w:rPr>
                <w:rFonts w:ascii="Arial" w:cs="Arial" w:eastAsia="Arial" w:hAnsi="Arial"/>
                <w:sz w:val="16"/>
                <w:szCs w:val="16"/>
                <w:b w:val="1"/>
                <w:bCs w:val="1"/>
                <w:color w:val="auto"/>
                <w:w w:val="74"/>
              </w:rPr>
              <w:t>)</w:t>
            </w:r>
          </w:p>
        </w:tc>
        <w:tc>
          <w:tcPr>
            <w:tcW w:w="1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bottom w:val="single" w:sz="8" w:color="auto"/>
            </w:tcBorders>
            <w:shd w:val="clear" w:color="auto" w:fill="CFF0FC"/>
          </w:tcPr>
          <w:p>
            <w:pPr>
              <w:ind w:left="560"/>
              <w:spacing w:after="0"/>
              <w:rPr>
                <w:sz w:val="20"/>
                <w:szCs w:val="20"/>
                <w:color w:val="auto"/>
              </w:rPr>
            </w:pPr>
            <w:r>
              <w:rPr>
                <w:rFonts w:ascii="Arial" w:cs="Arial" w:eastAsia="Arial" w:hAnsi="Arial"/>
                <w:sz w:val="18"/>
                <w:szCs w:val="18"/>
                <w:b w:val="1"/>
                <w:bCs w:val="1"/>
                <w:color w:val="auto"/>
                <w:w w:val="99"/>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54,100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1,439</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1040" w:right="260" w:hanging="519"/>
        <w:spacing w:after="0" w:line="258" w:lineRule="auto"/>
        <w:tabs>
          <w:tab w:leader="none" w:pos="1040" w:val="left"/>
        </w:tabs>
        <w:numPr>
          <w:ilvl w:val="1"/>
          <w:numId w:val="8"/>
        </w:numPr>
        <w:rPr>
          <w:rFonts w:ascii="Arial" w:cs="Arial" w:eastAsia="Arial" w:hAnsi="Arial"/>
          <w:sz w:val="18"/>
          <w:szCs w:val="18"/>
          <w:color w:val="auto"/>
        </w:rPr>
      </w:pPr>
      <w:r>
        <w:rPr>
          <w:rFonts w:ascii="Arial" w:cs="Arial" w:eastAsia="Arial" w:hAnsi="Arial"/>
          <w:sz w:val="18"/>
          <w:szCs w:val="18"/>
          <w:color w:val="auto"/>
        </w:rPr>
        <w:t>Gross additions include increases in the cost basis of investments resulting from new investments, payment-in-kind interest or dividends, the amortization of any unearned income or discounts on debt investments, as applicable.</w:t>
      </w:r>
    </w:p>
    <w:p>
      <w:pPr>
        <w:spacing w:after="0" w:line="1" w:lineRule="exact"/>
        <w:rPr>
          <w:rFonts w:ascii="Arial" w:cs="Arial" w:eastAsia="Arial" w:hAnsi="Arial"/>
          <w:sz w:val="18"/>
          <w:szCs w:val="18"/>
          <w:color w:val="auto"/>
        </w:rPr>
      </w:pPr>
    </w:p>
    <w:p>
      <w:pPr>
        <w:ind w:left="1040" w:right="160" w:hanging="519"/>
        <w:spacing w:after="0" w:line="255" w:lineRule="auto"/>
        <w:tabs>
          <w:tab w:leader="none" w:pos="1040" w:val="left"/>
        </w:tabs>
        <w:numPr>
          <w:ilvl w:val="1"/>
          <w:numId w:val="8"/>
        </w:numPr>
        <w:rPr>
          <w:rFonts w:ascii="Arial" w:cs="Arial" w:eastAsia="Arial" w:hAnsi="Arial"/>
          <w:sz w:val="18"/>
          <w:szCs w:val="18"/>
          <w:color w:val="auto"/>
        </w:rPr>
      </w:pPr>
      <w:r>
        <w:rPr>
          <w:rFonts w:ascii="Arial" w:cs="Arial" w:eastAsia="Arial" w:hAnsi="Arial"/>
          <w:sz w:val="18"/>
          <w:szCs w:val="18"/>
          <w:color w:val="auto"/>
        </w:rPr>
        <w:t>Gross reductions include decreases in the cost basis of investments resulting from principal collections related to investment repayments or sales, and the amortization of any premiums on debt investments, as applicable. When an investment is placed on non-accrual status, any cash flows received by the Company are applied to the outstanding principal balance.</w:t>
      </w:r>
    </w:p>
    <w:p>
      <w:pPr>
        <w:spacing w:after="0" w:line="82" w:lineRule="exact"/>
        <w:rPr>
          <w:rFonts w:ascii="Arial" w:cs="Arial" w:eastAsia="Arial" w:hAnsi="Arial"/>
          <w:sz w:val="18"/>
          <w:szCs w:val="18"/>
          <w:color w:val="auto"/>
        </w:rPr>
      </w:pPr>
    </w:p>
    <w:p>
      <w:pPr>
        <w:ind w:left="520" w:right="280" w:hanging="512"/>
        <w:spacing w:after="0" w:line="258" w:lineRule="auto"/>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As of March 31, 2019, the estimated cost basis of investments for U.S. federal tax purposes was $1,825,595, resulting in estimated gross unrealized gains and losses of $86,883 and $82,732, respectively.</w:t>
      </w:r>
    </w:p>
    <w:p>
      <w:pPr>
        <w:spacing w:after="0" w:line="1" w:lineRule="exact"/>
        <w:rPr>
          <w:rFonts w:ascii="Arial" w:cs="Arial" w:eastAsia="Arial" w:hAnsi="Arial"/>
          <w:sz w:val="18"/>
          <w:szCs w:val="18"/>
          <w:color w:val="auto"/>
        </w:rPr>
      </w:pPr>
    </w:p>
    <w:p>
      <w:pPr>
        <w:ind w:left="520" w:right="100" w:hanging="512"/>
        <w:spacing w:after="0" w:line="250" w:lineRule="auto"/>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These investments contain a fixed rate structure. The Company entered into an interest rate swap agreement to swap to a floating rate. Refer to Note 5 for further information related to the Company’s interest rate swaps on investments.</w:t>
      </w:r>
    </w:p>
    <w:p>
      <w:pPr>
        <w:ind w:left="520" w:right="140" w:hanging="512"/>
        <w:spacing w:after="0" w:line="250" w:lineRule="auto"/>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In accordance with Financial Accounting Standards Board Accounting Standards Codification 820, </w:t>
      </w:r>
      <w:r>
        <w:rPr>
          <w:rFonts w:ascii="Arial" w:cs="Arial" w:eastAsia="Arial" w:hAnsi="Arial"/>
          <w:sz w:val="18"/>
          <w:szCs w:val="18"/>
          <w:i w:val="1"/>
          <w:iCs w:val="1"/>
          <w:color w:val="auto"/>
        </w:rPr>
        <w:t>Fair Value Measurements</w:t>
      </w:r>
      <w:r>
        <w:rPr>
          <w:rFonts w:ascii="Arial" w:cs="Arial" w:eastAsia="Arial" w:hAnsi="Arial"/>
          <w:sz w:val="18"/>
          <w:szCs w:val="18"/>
          <w:color w:val="auto"/>
        </w:rPr>
        <w:t xml:space="preserve"> (“ASC 820”), unless otherwise indicated, the fair values of all investments were determined using significant unobservable inputs and are considered Level 3 investments. See Note 6 for further information related to investments at fair value.</w:t>
      </w:r>
    </w:p>
    <w:p>
      <w:pPr>
        <w:spacing w:after="0" w:line="1" w:lineRule="exact"/>
        <w:rPr>
          <w:rFonts w:ascii="Arial" w:cs="Arial" w:eastAsia="Arial" w:hAnsi="Arial"/>
          <w:sz w:val="18"/>
          <w:szCs w:val="18"/>
          <w:color w:val="auto"/>
        </w:rPr>
      </w:pPr>
    </w:p>
    <w:p>
      <w:pPr>
        <w:ind w:left="520" w:right="100" w:hanging="512"/>
        <w:spacing w:after="0" w:line="250" w:lineRule="auto"/>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This investment is valued using observable inputs and is considered a Level 2 investment. See Note 6 for further information related to investments at fair value.</w:t>
      </w:r>
    </w:p>
    <w:p>
      <w:pPr>
        <w:ind w:left="520" w:right="100" w:hanging="512"/>
        <w:spacing w:after="0" w:line="250" w:lineRule="auto"/>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This investment is valued using observable inputs and is considered a Level 1 investment. See Note 6 for further information related to investments at fair value.</w:t>
      </w:r>
    </w:p>
    <w:p>
      <w:pPr>
        <w:ind w:left="520" w:hanging="512"/>
        <w:spacing w:after="0"/>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This equity investment is non-income producing.</w:t>
      </w:r>
    </w:p>
    <w:p>
      <w:pPr>
        <w:spacing w:after="0" w:line="9" w:lineRule="exact"/>
        <w:rPr>
          <w:rFonts w:ascii="Arial" w:cs="Arial" w:eastAsia="Arial" w:hAnsi="Arial"/>
          <w:sz w:val="18"/>
          <w:szCs w:val="18"/>
          <w:color w:val="auto"/>
        </w:rPr>
      </w:pPr>
    </w:p>
    <w:p>
      <w:pPr>
        <w:ind w:left="520" w:right="160" w:hanging="512"/>
        <w:spacing w:after="0" w:line="265" w:lineRule="auto"/>
        <w:tabs>
          <w:tab w:leader="none" w:pos="520" w:val="left"/>
        </w:tabs>
        <w:numPr>
          <w:ilvl w:val="0"/>
          <w:numId w:val="9"/>
        </w:numPr>
        <w:rPr>
          <w:rFonts w:ascii="Arial" w:cs="Arial" w:eastAsia="Arial" w:hAnsi="Arial"/>
          <w:sz w:val="17"/>
          <w:szCs w:val="17"/>
          <w:color w:val="auto"/>
        </w:rPr>
      </w:pPr>
      <w:r>
        <w:rPr>
          <w:rFonts w:ascii="Arial" w:cs="Arial" w:eastAsia="Arial" w:hAnsi="Arial"/>
          <w:sz w:val="17"/>
          <w:szCs w:val="17"/>
          <w:color w:val="auto"/>
        </w:rPr>
        <w:t>Security acquired in transaction exempt from registration under the Securities Act of 1933, and may be deemed to be “restricted securities” under the Securities Act. As of March 31, 2019, the aggregate fair value of these securities is $15,652, or 1.5% of the Company’s net assets.</w:t>
      </w:r>
    </w:p>
    <w:p>
      <w:pPr>
        <w:ind w:left="520" w:hanging="512"/>
        <w:spacing w:after="0"/>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Ownership of equity investments may occur through a holding company or partnership.</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11" w:name="page12"/>
    <w:bookmarkEnd w:id="11"/>
    <w:p>
      <w:pPr>
        <w:jc w:val="center"/>
        <w:ind w:right="20"/>
        <w:spacing w:after="0"/>
        <w:rPr>
          <w:sz w:val="20"/>
          <w:szCs w:val="20"/>
          <w:color w:val="auto"/>
        </w:rPr>
      </w:pPr>
      <w:r>
        <w:rPr>
          <w:rFonts w:ascii="Arial" w:cs="Arial" w:eastAsia="Arial" w:hAnsi="Arial"/>
          <w:sz w:val="18"/>
          <w:szCs w:val="18"/>
          <w:b w:val="1"/>
          <w:bCs w:val="1"/>
          <w:color w:val="auto"/>
        </w:rPr>
        <w:t>TPG Specialty Lending, Inc.</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Schedule of Investments as of December 31, 2018</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(Amounts in thousands, except share amounts)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94"/>
              </w:rPr>
              <w:t>Initial</w:t>
            </w: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35"/>
        </w:trPr>
        <w:tc>
          <w:tcPr>
            <w:tcW w:w="2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4"/>
              </w:rPr>
              <w:t>Acquisition</w:t>
            </w:r>
          </w:p>
        </w:tc>
        <w:tc>
          <w:tcPr>
            <w:tcW w:w="120" w:type="dxa"/>
            <w:vAlign w:val="bottom"/>
          </w:tcPr>
          <w:p>
            <w:pPr>
              <w:spacing w:after="0"/>
              <w:rPr>
                <w:sz w:val="11"/>
                <w:szCs w:val="11"/>
                <w:color w:val="auto"/>
              </w:rPr>
            </w:pPr>
          </w:p>
        </w:tc>
        <w:tc>
          <w:tcPr>
            <w:tcW w:w="1120" w:type="dxa"/>
            <w:vAlign w:val="bottom"/>
            <w:gridSpan w:val="2"/>
          </w:tcPr>
          <w:p>
            <w:pPr>
              <w:jc w:val="right"/>
              <w:ind w:right="300"/>
              <w:spacing w:after="0" w:line="135" w:lineRule="exact"/>
              <w:rPr>
                <w:sz w:val="20"/>
                <w:szCs w:val="20"/>
                <w:color w:val="auto"/>
              </w:rPr>
            </w:pPr>
            <w:r>
              <w:rPr>
                <w:rFonts w:ascii="Arial" w:cs="Arial" w:eastAsia="Arial" w:hAnsi="Arial"/>
                <w:sz w:val="13"/>
                <w:szCs w:val="13"/>
                <w:b w:val="1"/>
                <w:bCs w:val="1"/>
                <w:color w:val="auto"/>
                <w:w w:val="84"/>
              </w:rPr>
              <w:t>Reference Rate</w:t>
            </w:r>
          </w:p>
        </w:tc>
        <w:tc>
          <w:tcPr>
            <w:tcW w:w="1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gridSpan w:val="2"/>
          </w:tcPr>
          <w:p>
            <w:pPr>
              <w:jc w:val="right"/>
              <w:ind w:right="11"/>
              <w:spacing w:after="0" w:line="135" w:lineRule="exact"/>
              <w:rPr>
                <w:sz w:val="20"/>
                <w:szCs w:val="20"/>
                <w:color w:val="auto"/>
              </w:rPr>
            </w:pPr>
            <w:r>
              <w:rPr>
                <w:rFonts w:ascii="Arial" w:cs="Arial" w:eastAsia="Arial" w:hAnsi="Arial"/>
                <w:sz w:val="13"/>
                <w:szCs w:val="13"/>
                <w:b w:val="1"/>
                <w:bCs w:val="1"/>
                <w:color w:val="auto"/>
              </w:rPr>
              <w:t>Amortized</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2"/>
          </w:tcPr>
          <w:p>
            <w:pPr>
              <w:jc w:val="right"/>
              <w:ind w:right="240"/>
              <w:spacing w:after="0" w:line="135" w:lineRule="exact"/>
              <w:rPr>
                <w:sz w:val="20"/>
                <w:szCs w:val="20"/>
                <w:color w:val="auto"/>
              </w:rPr>
            </w:pPr>
            <w:r>
              <w:rPr>
                <w:rFonts w:ascii="Arial" w:cs="Arial" w:eastAsia="Arial" w:hAnsi="Arial"/>
                <w:sz w:val="13"/>
                <w:szCs w:val="13"/>
                <w:b w:val="1"/>
                <w:bCs w:val="1"/>
                <w:color w:val="auto"/>
                <w:w w:val="88"/>
              </w:rPr>
              <w:t>Percentage</w:t>
            </w:r>
          </w:p>
        </w:tc>
        <w:tc>
          <w:tcPr>
            <w:tcW w:w="20" w:type="dxa"/>
            <w:vAlign w:val="bottom"/>
          </w:tcPr>
          <w:p>
            <w:pPr>
              <w:spacing w:after="0"/>
              <w:rPr>
                <w:sz w:val="11"/>
                <w:szCs w:val="11"/>
                <w:color w:val="auto"/>
              </w:rPr>
            </w:pPr>
          </w:p>
        </w:tc>
      </w:tr>
      <w:tr>
        <w:trPr>
          <w:trHeight w:val="153"/>
        </w:trPr>
        <w:tc>
          <w:tcPr>
            <w:tcW w:w="2540" w:type="dxa"/>
            <w:vAlign w:val="bottom"/>
            <w:gridSpan w:val="2"/>
          </w:tcPr>
          <w:p>
            <w:pPr>
              <w:spacing w:after="0"/>
              <w:rPr>
                <w:sz w:val="20"/>
                <w:szCs w:val="20"/>
                <w:color w:val="auto"/>
              </w:rPr>
            </w:pPr>
            <w:r>
              <w:rPr>
                <w:rFonts w:ascii="Arial" w:cs="Arial" w:eastAsia="Arial" w:hAnsi="Arial"/>
                <w:sz w:val="13"/>
                <w:szCs w:val="13"/>
                <w:b w:val="1"/>
                <w:bCs w:val="1"/>
                <w:color w:val="auto"/>
              </w:rPr>
              <w:t xml:space="preserve">Company </w:t>
            </w:r>
            <w:r>
              <w:rPr>
                <w:rFonts w:ascii="Arial" w:cs="Arial" w:eastAsia="Arial" w:hAnsi="Arial"/>
                <w:sz w:val="10"/>
                <w:szCs w:val="10"/>
                <w:b w:val="1"/>
                <w:bCs w:val="1"/>
                <w:color w:val="auto"/>
              </w:rPr>
              <w:t>(1)</w:t>
            </w:r>
          </w:p>
        </w:tc>
        <w:tc>
          <w:tcPr>
            <w:tcW w:w="2240" w:type="dxa"/>
            <w:vAlign w:val="bottom"/>
            <w:gridSpan w:val="2"/>
          </w:tcPr>
          <w:p>
            <w:pPr>
              <w:ind w:left="760"/>
              <w:spacing w:after="0"/>
              <w:rPr>
                <w:sz w:val="20"/>
                <w:szCs w:val="20"/>
                <w:color w:val="auto"/>
              </w:rPr>
            </w:pPr>
            <w:r>
              <w:rPr>
                <w:rFonts w:ascii="Arial" w:cs="Arial" w:eastAsia="Arial" w:hAnsi="Arial"/>
                <w:sz w:val="13"/>
                <w:szCs w:val="13"/>
                <w:b w:val="1"/>
                <w:bCs w:val="1"/>
                <w:color w:val="auto"/>
              </w:rPr>
              <w:t>Investment</w:t>
            </w: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85"/>
              </w:rPr>
              <w:t>Date</w:t>
            </w:r>
          </w:p>
        </w:tc>
        <w:tc>
          <w:tcPr>
            <w:tcW w:w="120" w:type="dxa"/>
            <w:vAlign w:val="bottom"/>
          </w:tcPr>
          <w:p>
            <w:pPr>
              <w:spacing w:after="0"/>
              <w:rPr>
                <w:sz w:val="13"/>
                <w:szCs w:val="13"/>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w w:val="98"/>
              </w:rPr>
              <w:t>and Spread</w:t>
            </w:r>
          </w:p>
        </w:tc>
        <w:tc>
          <w:tcPr>
            <w:tcW w:w="144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rPr>
              <w:t>Interest Rate</w:t>
            </w:r>
          </w:p>
        </w:tc>
        <w:tc>
          <w:tcPr>
            <w:tcW w:w="100" w:type="dxa"/>
            <w:vAlign w:val="bottom"/>
          </w:tcPr>
          <w:p>
            <w:pPr>
              <w:spacing w:after="0"/>
              <w:rPr>
                <w:sz w:val="13"/>
                <w:szCs w:val="13"/>
                <w:color w:val="auto"/>
              </w:rPr>
            </w:pPr>
          </w:p>
        </w:tc>
        <w:tc>
          <w:tcPr>
            <w:tcW w:w="660" w:type="dxa"/>
            <w:vAlign w:val="bottom"/>
          </w:tcPr>
          <w:p>
            <w:pPr>
              <w:jc w:val="right"/>
              <w:ind w:right="31"/>
              <w:spacing w:after="0"/>
              <w:rPr>
                <w:sz w:val="20"/>
                <w:szCs w:val="20"/>
                <w:color w:val="auto"/>
              </w:rPr>
            </w:pPr>
            <w:r>
              <w:rPr>
                <w:rFonts w:ascii="Arial" w:cs="Arial" w:eastAsia="Arial" w:hAnsi="Arial"/>
                <w:sz w:val="13"/>
                <w:szCs w:val="13"/>
                <w:b w:val="1"/>
                <w:bCs w:val="1"/>
                <w:color w:val="auto"/>
                <w:w w:val="91"/>
              </w:rPr>
              <w:t xml:space="preserve">Cost </w:t>
            </w:r>
            <w:r>
              <w:rPr>
                <w:rFonts w:ascii="Arial" w:cs="Arial" w:eastAsia="Arial" w:hAnsi="Arial"/>
                <w:sz w:val="10"/>
                <w:szCs w:val="10"/>
                <w:b w:val="1"/>
                <w:bCs w:val="1"/>
                <w:color w:val="auto"/>
                <w:w w:val="91"/>
              </w:rPr>
              <w:t>(2)(8)</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ind w:left="20"/>
              <w:spacing w:after="0"/>
              <w:rPr>
                <w:sz w:val="20"/>
                <w:szCs w:val="20"/>
                <w:color w:val="auto"/>
              </w:rPr>
            </w:pPr>
            <w:r>
              <w:rPr>
                <w:rFonts w:ascii="Arial" w:cs="Arial" w:eastAsia="Arial" w:hAnsi="Arial"/>
                <w:sz w:val="13"/>
                <w:szCs w:val="13"/>
                <w:b w:val="1"/>
                <w:bCs w:val="1"/>
                <w:color w:val="auto"/>
              </w:rPr>
              <w:t xml:space="preserve">Fair Value </w:t>
            </w:r>
            <w:r>
              <w:rPr>
                <w:rFonts w:ascii="Arial" w:cs="Arial" w:eastAsia="Arial" w:hAnsi="Arial"/>
                <w:sz w:val="10"/>
                <w:szCs w:val="10"/>
                <w:b w:val="1"/>
                <w:bCs w:val="1"/>
                <w:color w:val="auto"/>
              </w:rPr>
              <w:t>(10)</w:t>
            </w:r>
          </w:p>
        </w:tc>
        <w:tc>
          <w:tcPr>
            <w:tcW w:w="88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w w:val="79"/>
              </w:rPr>
              <w:t>of Net Assets</w:t>
            </w:r>
          </w:p>
        </w:tc>
        <w:tc>
          <w:tcPr>
            <w:tcW w:w="20" w:type="dxa"/>
            <w:vAlign w:val="bottom"/>
          </w:tcPr>
          <w:p>
            <w:pPr>
              <w:spacing w:after="0"/>
              <w:rPr>
                <w:sz w:val="13"/>
                <w:szCs w:val="13"/>
                <w:color w:val="auto"/>
              </w:rPr>
            </w:pPr>
          </w:p>
        </w:tc>
      </w:tr>
      <w:tr>
        <w:trPr>
          <w:trHeight w:val="223"/>
        </w:trPr>
        <w:tc>
          <w:tcPr>
            <w:tcW w:w="24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Debt Investments</w:t>
            </w:r>
          </w:p>
        </w:tc>
        <w:tc>
          <w:tcPr>
            <w:tcW w:w="120" w:type="dxa"/>
            <w:vAlign w:val="bottom"/>
            <w:tcBorders>
              <w:top w:val="single" w:sz="8" w:color="CFF0FC"/>
            </w:tcBorders>
            <w:shd w:val="clear" w:color="auto" w:fill="CFF0FC"/>
          </w:tcPr>
          <w:p>
            <w:pPr>
              <w:spacing w:after="0"/>
              <w:rPr>
                <w:sz w:val="19"/>
                <w:szCs w:val="19"/>
                <w:color w:val="auto"/>
              </w:rPr>
            </w:pPr>
          </w:p>
        </w:tc>
        <w:tc>
          <w:tcPr>
            <w:tcW w:w="21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right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540" w:type="dxa"/>
            <w:vAlign w:val="bottom"/>
            <w:gridSpan w:val="2"/>
          </w:tcPr>
          <w:p>
            <w:pPr>
              <w:spacing w:after="0"/>
              <w:rPr>
                <w:sz w:val="20"/>
                <w:szCs w:val="20"/>
                <w:color w:val="auto"/>
              </w:rPr>
            </w:pPr>
            <w:r>
              <w:rPr>
                <w:rFonts w:ascii="Arial" w:cs="Arial" w:eastAsia="Arial" w:hAnsi="Arial"/>
                <w:sz w:val="18"/>
                <w:szCs w:val="18"/>
                <w:b w:val="1"/>
                <w:bCs w:val="1"/>
                <w:color w:val="auto"/>
              </w:rPr>
              <w:t>Beverage, food and tobacco</w:t>
            </w:r>
          </w:p>
        </w:tc>
        <w:tc>
          <w:tcPr>
            <w:tcW w:w="2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AFS Technologies, Inc. </w:t>
            </w:r>
            <w:r>
              <w:rPr>
                <w:rFonts w:ascii="Arial" w:cs="Arial" w:eastAsia="Arial" w:hAnsi="Arial"/>
                <w:sz w:val="15"/>
                <w:szCs w:val="15"/>
                <w:color w:val="auto"/>
              </w:rPr>
              <w:t>(3)(5)(6)</w:t>
            </w:r>
          </w:p>
        </w:tc>
        <w:tc>
          <w:tcPr>
            <w:tcW w:w="2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First-lien loan ($42,234 par,</w:t>
            </w: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4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due 10/2023)</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10/16/2018</w:t>
            </w:r>
          </w:p>
        </w:tc>
        <w:tc>
          <w:tcPr>
            <w:tcW w:w="1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L + 6.25%</w:t>
            </w:r>
          </w:p>
        </w:tc>
        <w:tc>
          <w:tcPr>
            <w:tcW w:w="14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8.77%</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41,611</w:t>
            </w:r>
          </w:p>
        </w:tc>
        <w:tc>
          <w:tcPr>
            <w:tcW w:w="32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41,179</w:t>
            </w:r>
          </w:p>
        </w:tc>
        <w:tc>
          <w:tcPr>
            <w:tcW w:w="22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20"/>
                <w:szCs w:val="20"/>
                <w:color w:val="auto"/>
              </w:rPr>
            </w:pPr>
          </w:p>
        </w:tc>
      </w:tr>
      <w:tr>
        <w:trPr>
          <w:trHeight w:val="230"/>
        </w:trPr>
        <w:tc>
          <w:tcPr>
            <w:tcW w:w="2540" w:type="dxa"/>
            <w:vAlign w:val="bottom"/>
            <w:gridSpan w:val="2"/>
          </w:tcPr>
          <w:p>
            <w:pPr>
              <w:spacing w:after="0"/>
              <w:rPr>
                <w:sz w:val="20"/>
                <w:szCs w:val="20"/>
                <w:color w:val="auto"/>
              </w:rPr>
            </w:pPr>
            <w:r>
              <w:rPr>
                <w:rFonts w:ascii="Arial" w:cs="Arial" w:eastAsia="Arial" w:hAnsi="Arial"/>
                <w:sz w:val="18"/>
                <w:szCs w:val="18"/>
                <w:b w:val="1"/>
                <w:bCs w:val="1"/>
                <w:color w:val="auto"/>
              </w:rPr>
              <w:t>Business services</w:t>
            </w:r>
          </w:p>
        </w:tc>
        <w:tc>
          <w:tcPr>
            <w:tcW w:w="2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Acceo Solutions, Inc. </w:t>
            </w:r>
            <w:r>
              <w:rPr>
                <w:rFonts w:ascii="Arial" w:cs="Arial" w:eastAsia="Arial" w:hAnsi="Arial"/>
                <w:sz w:val="15"/>
                <w:szCs w:val="15"/>
                <w:color w:val="auto"/>
              </w:rPr>
              <w:t>(3)(4)(5)</w:t>
            </w:r>
          </w:p>
        </w:tc>
        <w:tc>
          <w:tcPr>
            <w:tcW w:w="2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First-lien loan (CAD 64,675</w:t>
            </w: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46,051</w:t>
            </w: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4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par, due 7/2023)</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7/6/2018</w:t>
            </w:r>
          </w:p>
        </w:tc>
        <w:tc>
          <w:tcPr>
            <w:tcW w:w="1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C + 5.25%</w:t>
            </w:r>
          </w:p>
        </w:tc>
        <w:tc>
          <w:tcPr>
            <w:tcW w:w="14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7.41%</w:t>
            </w:r>
          </w:p>
        </w:tc>
        <w:tc>
          <w:tcPr>
            <w:tcW w:w="10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48,275</w:t>
            </w:r>
          </w:p>
        </w:tc>
        <w:tc>
          <w:tcPr>
            <w:tcW w:w="1480" w:type="dxa"/>
            <w:vAlign w:val="bottom"/>
            <w:gridSpan w:val="4"/>
            <w:shd w:val="clear" w:color="auto" w:fill="CFF0FC"/>
          </w:tcPr>
          <w:p>
            <w:pPr>
              <w:ind w:left="220"/>
              <w:spacing w:after="0"/>
              <w:rPr>
                <w:sz w:val="20"/>
                <w:szCs w:val="20"/>
                <w:color w:val="auto"/>
              </w:rPr>
            </w:pPr>
            <w:r>
              <w:rPr>
                <w:rFonts w:ascii="Arial" w:cs="Arial" w:eastAsia="Arial" w:hAnsi="Arial"/>
                <w:sz w:val="18"/>
                <w:szCs w:val="18"/>
                <w:color w:val="auto"/>
              </w:rPr>
              <w:t>(CAD 62,896)</w:t>
            </w: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20"/>
                <w:szCs w:val="20"/>
                <w:color w:val="auto"/>
              </w:rPr>
            </w:pPr>
          </w:p>
        </w:tc>
      </w:tr>
      <w:tr>
        <w:trPr>
          <w:trHeight w:val="215"/>
        </w:trPr>
        <w:tc>
          <w:tcPr>
            <w:tcW w:w="2540" w:type="dxa"/>
            <w:vAlign w:val="bottom"/>
            <w:gridSpan w:val="2"/>
          </w:tcPr>
          <w:p>
            <w:pPr>
              <w:spacing w:after="0"/>
              <w:rPr>
                <w:sz w:val="20"/>
                <w:szCs w:val="20"/>
                <w:color w:val="auto"/>
              </w:rPr>
            </w:pPr>
            <w:r>
              <w:rPr>
                <w:rFonts w:ascii="Arial" w:cs="Arial" w:eastAsia="Arial" w:hAnsi="Arial"/>
                <w:sz w:val="18"/>
                <w:szCs w:val="18"/>
                <w:color w:val="auto"/>
              </w:rPr>
              <w:t xml:space="preserve">Integration Appliance, Inc. </w:t>
            </w:r>
            <w:r>
              <w:rPr>
                <w:rFonts w:ascii="Arial" w:cs="Arial" w:eastAsia="Arial" w:hAnsi="Arial"/>
                <w:sz w:val="15"/>
                <w:szCs w:val="15"/>
                <w:color w:val="auto"/>
              </w:rPr>
              <w:t>(3)</w:t>
            </w:r>
          </w:p>
        </w:tc>
        <w:tc>
          <w:tcPr>
            <w:tcW w:w="2240" w:type="dxa"/>
            <w:vAlign w:val="bottom"/>
            <w:gridSpan w:val="2"/>
          </w:tcPr>
          <w:p>
            <w:pPr>
              <w:spacing w:after="0"/>
              <w:rPr>
                <w:sz w:val="20"/>
                <w:szCs w:val="20"/>
                <w:color w:val="auto"/>
              </w:rPr>
            </w:pPr>
            <w:r>
              <w:rPr>
                <w:rFonts w:ascii="Arial" w:cs="Arial" w:eastAsia="Arial" w:hAnsi="Arial"/>
                <w:sz w:val="18"/>
                <w:szCs w:val="18"/>
                <w:color w:val="auto"/>
              </w:rPr>
              <w:t>First-lien loan ($52,381 par,</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rPr>
              <w:t>due 8/2023)</w:t>
            </w:r>
          </w:p>
        </w:tc>
        <w:tc>
          <w:tcPr>
            <w:tcW w:w="840" w:type="dxa"/>
            <w:vAlign w:val="bottom"/>
          </w:tcPr>
          <w:p>
            <w:pPr>
              <w:jc w:val="right"/>
              <w:spacing w:after="0"/>
              <w:rPr>
                <w:sz w:val="20"/>
                <w:szCs w:val="20"/>
                <w:color w:val="auto"/>
              </w:rPr>
            </w:pPr>
            <w:r>
              <w:rPr>
                <w:rFonts w:ascii="Arial" w:cs="Arial" w:eastAsia="Arial" w:hAnsi="Arial"/>
                <w:sz w:val="18"/>
                <w:szCs w:val="18"/>
                <w:color w:val="auto"/>
              </w:rPr>
              <w:t>8/13/2018</w:t>
            </w:r>
          </w:p>
        </w:tc>
        <w:tc>
          <w:tcPr>
            <w:tcW w:w="12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L + 7.25%</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9.60%</w:t>
            </w: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51,608</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51,281</w:t>
            </w:r>
          </w:p>
        </w:tc>
        <w:tc>
          <w:tcPr>
            <w:tcW w:w="22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20"/>
                <w:szCs w:val="20"/>
                <w:color w:val="auto"/>
              </w:rPr>
            </w:pPr>
          </w:p>
        </w:tc>
      </w:tr>
      <w:tr>
        <w:trPr>
          <w:trHeight w:val="215"/>
        </w:trPr>
        <w:tc>
          <w:tcPr>
            <w:tcW w:w="2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Jive Software, Inc. </w:t>
            </w:r>
            <w:r>
              <w:rPr>
                <w:rFonts w:ascii="Arial" w:cs="Arial" w:eastAsia="Arial" w:hAnsi="Arial"/>
                <w:sz w:val="15"/>
                <w:szCs w:val="15"/>
                <w:color w:val="auto"/>
              </w:rPr>
              <w:t>(3)(5)</w:t>
            </w:r>
          </w:p>
        </w:tc>
        <w:tc>
          <w:tcPr>
            <w:tcW w:w="2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First-lien loan ($52,110 par,</w:t>
            </w: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4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due 6/2022)</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6/12/2017</w:t>
            </w:r>
          </w:p>
        </w:tc>
        <w:tc>
          <w:tcPr>
            <w:tcW w:w="1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L + 9.25%</w:t>
            </w:r>
          </w:p>
        </w:tc>
        <w:tc>
          <w:tcPr>
            <w:tcW w:w="14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11.77%</w:t>
            </w:r>
          </w:p>
        </w:tc>
        <w:tc>
          <w:tcPr>
            <w:tcW w:w="10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50,656</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54,194</w:t>
            </w:r>
          </w:p>
        </w:tc>
        <w:tc>
          <w:tcPr>
            <w:tcW w:w="22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20"/>
                <w:szCs w:val="20"/>
                <w:color w:val="auto"/>
              </w:rPr>
            </w:pPr>
          </w:p>
        </w:tc>
      </w:tr>
      <w:tr>
        <w:trPr>
          <w:trHeight w:val="215"/>
        </w:trPr>
        <w:tc>
          <w:tcPr>
            <w:tcW w:w="2540" w:type="dxa"/>
            <w:vAlign w:val="bottom"/>
            <w:gridSpan w:val="2"/>
          </w:tcPr>
          <w:p>
            <w:pPr>
              <w:spacing w:after="0"/>
              <w:rPr>
                <w:sz w:val="20"/>
                <w:szCs w:val="20"/>
                <w:color w:val="auto"/>
              </w:rPr>
            </w:pPr>
            <w:r>
              <w:rPr>
                <w:rFonts w:ascii="Arial" w:cs="Arial" w:eastAsia="Arial" w:hAnsi="Arial"/>
                <w:sz w:val="18"/>
                <w:szCs w:val="18"/>
                <w:color w:val="auto"/>
              </w:rPr>
              <w:t xml:space="preserve">Motus, LLC </w:t>
            </w:r>
            <w:r>
              <w:rPr>
                <w:rFonts w:ascii="Arial" w:cs="Arial" w:eastAsia="Arial" w:hAnsi="Arial"/>
                <w:sz w:val="15"/>
                <w:szCs w:val="15"/>
                <w:color w:val="auto"/>
              </w:rPr>
              <w:t>(3)</w:t>
            </w:r>
          </w:p>
        </w:tc>
        <w:tc>
          <w:tcPr>
            <w:tcW w:w="2240" w:type="dxa"/>
            <w:vAlign w:val="bottom"/>
            <w:gridSpan w:val="2"/>
          </w:tcPr>
          <w:p>
            <w:pPr>
              <w:spacing w:after="0"/>
              <w:rPr>
                <w:sz w:val="20"/>
                <w:szCs w:val="20"/>
                <w:color w:val="auto"/>
              </w:rPr>
            </w:pPr>
            <w:r>
              <w:rPr>
                <w:rFonts w:ascii="Arial" w:cs="Arial" w:eastAsia="Arial" w:hAnsi="Arial"/>
                <w:sz w:val="18"/>
                <w:szCs w:val="18"/>
                <w:color w:val="auto"/>
              </w:rPr>
              <w:t>First-lien loan ($68,880 par,</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rPr>
              <w:t>due 1/2024)</w:t>
            </w:r>
          </w:p>
        </w:tc>
        <w:tc>
          <w:tcPr>
            <w:tcW w:w="840" w:type="dxa"/>
            <w:vAlign w:val="bottom"/>
          </w:tcPr>
          <w:p>
            <w:pPr>
              <w:jc w:val="right"/>
              <w:spacing w:after="0"/>
              <w:rPr>
                <w:sz w:val="20"/>
                <w:szCs w:val="20"/>
                <w:color w:val="auto"/>
              </w:rPr>
            </w:pPr>
            <w:r>
              <w:rPr>
                <w:rFonts w:ascii="Arial" w:cs="Arial" w:eastAsia="Arial" w:hAnsi="Arial"/>
                <w:sz w:val="18"/>
                <w:szCs w:val="18"/>
                <w:color w:val="auto"/>
              </w:rPr>
              <w:t>1/17/2018</w:t>
            </w:r>
          </w:p>
        </w:tc>
        <w:tc>
          <w:tcPr>
            <w:tcW w:w="12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L + 6.75%</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9.22%</w:t>
            </w: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67,262</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69,624</w:t>
            </w:r>
          </w:p>
        </w:tc>
        <w:tc>
          <w:tcPr>
            <w:tcW w:w="22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6.5%</w:t>
            </w:r>
          </w:p>
        </w:tc>
        <w:tc>
          <w:tcPr>
            <w:tcW w:w="20" w:type="dxa"/>
            <w:vAlign w:val="bottom"/>
          </w:tcPr>
          <w:p>
            <w:pPr>
              <w:spacing w:after="0"/>
              <w:rPr>
                <w:sz w:val="20"/>
                <w:szCs w:val="20"/>
                <w:color w:val="auto"/>
              </w:rPr>
            </w:pPr>
          </w:p>
        </w:tc>
      </w:tr>
      <w:tr>
        <w:trPr>
          <w:trHeight w:val="215"/>
        </w:trPr>
        <w:tc>
          <w:tcPr>
            <w:tcW w:w="2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Nintex Global Limited </w:t>
            </w:r>
            <w:r>
              <w:rPr>
                <w:rFonts w:ascii="Arial" w:cs="Arial" w:eastAsia="Arial" w:hAnsi="Arial"/>
                <w:sz w:val="15"/>
                <w:szCs w:val="15"/>
                <w:color w:val="auto"/>
              </w:rPr>
              <w:t>(3)(5)</w:t>
            </w:r>
          </w:p>
        </w:tc>
        <w:tc>
          <w:tcPr>
            <w:tcW w:w="2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First-lien loan ($71,975 par,</w:t>
            </w: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4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due 4/2024)</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3/30/2018</w:t>
            </w:r>
          </w:p>
        </w:tc>
        <w:tc>
          <w:tcPr>
            <w:tcW w:w="1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L + 6.75%</w:t>
            </w:r>
          </w:p>
        </w:tc>
        <w:tc>
          <w:tcPr>
            <w:tcW w:w="14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9.28%</w:t>
            </w:r>
          </w:p>
        </w:tc>
        <w:tc>
          <w:tcPr>
            <w:tcW w:w="10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70,382</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70,176</w:t>
            </w:r>
          </w:p>
        </w:tc>
        <w:tc>
          <w:tcPr>
            <w:tcW w:w="22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6.6%</w:t>
            </w:r>
          </w:p>
        </w:tc>
        <w:tc>
          <w:tcPr>
            <w:tcW w:w="20" w:type="dxa"/>
            <w:vAlign w:val="bottom"/>
          </w:tcPr>
          <w:p>
            <w:pPr>
              <w:spacing w:after="0"/>
              <w:rPr>
                <w:sz w:val="20"/>
                <w:szCs w:val="20"/>
                <w:color w:val="auto"/>
              </w:rPr>
            </w:pPr>
          </w:p>
        </w:tc>
      </w:tr>
      <w:tr>
        <w:trPr>
          <w:trHeight w:val="215"/>
        </w:trPr>
        <w:tc>
          <w:tcPr>
            <w:tcW w:w="2540" w:type="dxa"/>
            <w:vAlign w:val="bottom"/>
            <w:gridSpan w:val="2"/>
          </w:tcPr>
          <w:p>
            <w:pPr>
              <w:spacing w:after="0"/>
              <w:rPr>
                <w:sz w:val="20"/>
                <w:szCs w:val="20"/>
                <w:color w:val="auto"/>
              </w:rPr>
            </w:pPr>
            <w:r>
              <w:rPr>
                <w:rFonts w:ascii="Arial" w:cs="Arial" w:eastAsia="Arial" w:hAnsi="Arial"/>
                <w:sz w:val="18"/>
                <w:szCs w:val="18"/>
                <w:color w:val="auto"/>
              </w:rPr>
              <w:t xml:space="preserve">Sovos Compliance, LLC </w:t>
            </w:r>
            <w:r>
              <w:rPr>
                <w:rFonts w:ascii="Arial" w:cs="Arial" w:eastAsia="Arial" w:hAnsi="Arial"/>
                <w:sz w:val="15"/>
                <w:szCs w:val="15"/>
                <w:color w:val="auto"/>
              </w:rPr>
              <w:t>(3)</w:t>
            </w:r>
          </w:p>
        </w:tc>
        <w:tc>
          <w:tcPr>
            <w:tcW w:w="2240" w:type="dxa"/>
            <w:vAlign w:val="bottom"/>
            <w:gridSpan w:val="2"/>
          </w:tcPr>
          <w:p>
            <w:pPr>
              <w:spacing w:after="0"/>
              <w:rPr>
                <w:sz w:val="20"/>
                <w:szCs w:val="20"/>
                <w:color w:val="auto"/>
              </w:rPr>
            </w:pPr>
            <w:r>
              <w:rPr>
                <w:rFonts w:ascii="Arial" w:cs="Arial" w:eastAsia="Arial" w:hAnsi="Arial"/>
                <w:sz w:val="18"/>
                <w:szCs w:val="18"/>
                <w:color w:val="auto"/>
              </w:rPr>
              <w:t>First-lien loan ($36,453 par,</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rPr>
              <w:t>due 3/2022)</w:t>
            </w:r>
          </w:p>
        </w:tc>
        <w:tc>
          <w:tcPr>
            <w:tcW w:w="840" w:type="dxa"/>
            <w:vAlign w:val="bottom"/>
          </w:tcPr>
          <w:p>
            <w:pPr>
              <w:jc w:val="right"/>
              <w:spacing w:after="0"/>
              <w:rPr>
                <w:sz w:val="20"/>
                <w:szCs w:val="20"/>
                <w:color w:val="auto"/>
              </w:rPr>
            </w:pPr>
            <w:r>
              <w:rPr>
                <w:rFonts w:ascii="Arial" w:cs="Arial" w:eastAsia="Arial" w:hAnsi="Arial"/>
                <w:sz w:val="18"/>
                <w:szCs w:val="18"/>
                <w:color w:val="auto"/>
              </w:rPr>
              <w:t>7/1/2016</w:t>
            </w:r>
          </w:p>
        </w:tc>
        <w:tc>
          <w:tcPr>
            <w:tcW w:w="12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L + 6.00%</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8.52%</w:t>
            </w: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36,032</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36,453</w:t>
            </w:r>
          </w:p>
        </w:tc>
        <w:tc>
          <w:tcPr>
            <w:tcW w:w="22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20"/>
                <w:szCs w:val="20"/>
                <w:color w:val="auto"/>
              </w:rPr>
            </w:pPr>
          </w:p>
        </w:tc>
      </w:tr>
      <w:tr>
        <w:trPr>
          <w:trHeight w:val="20"/>
        </w:trPr>
        <w:tc>
          <w:tcPr>
            <w:tcW w:w="24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4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160" w:type="dxa"/>
            <w:vAlign w:val="bottom"/>
            <w:shd w:val="clear" w:color="auto" w:fill="CFF0FC"/>
          </w:tcPr>
          <w:p>
            <w:pPr>
              <w:spacing w:after="0" w:line="20" w:lineRule="exact"/>
              <w:rPr>
                <w:sz w:val="1"/>
                <w:szCs w:val="1"/>
                <w:color w:val="auto"/>
              </w:rPr>
            </w:pPr>
          </w:p>
        </w:tc>
        <w:tc>
          <w:tcPr>
            <w:tcW w:w="28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8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324,215</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327,779</w:t>
            </w:r>
          </w:p>
        </w:tc>
        <w:tc>
          <w:tcPr>
            <w:tcW w:w="2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30.7%</w:t>
            </w:r>
          </w:p>
        </w:tc>
        <w:tc>
          <w:tcPr>
            <w:tcW w:w="20" w:type="dxa"/>
            <w:vAlign w:val="bottom"/>
          </w:tcPr>
          <w:p>
            <w:pPr>
              <w:spacing w:after="0"/>
              <w:rPr>
                <w:sz w:val="19"/>
                <w:szCs w:val="19"/>
                <w:color w:val="auto"/>
              </w:rPr>
            </w:pPr>
          </w:p>
        </w:tc>
      </w:tr>
      <w:tr>
        <w:trPr>
          <w:trHeight w:val="223"/>
        </w:trPr>
        <w:tc>
          <w:tcPr>
            <w:tcW w:w="2540" w:type="dxa"/>
            <w:vAlign w:val="bottom"/>
            <w:gridSpan w:val="2"/>
          </w:tcPr>
          <w:p>
            <w:pPr>
              <w:spacing w:after="0"/>
              <w:rPr>
                <w:sz w:val="20"/>
                <w:szCs w:val="20"/>
                <w:color w:val="auto"/>
              </w:rPr>
            </w:pPr>
            <w:r>
              <w:rPr>
                <w:rFonts w:ascii="Arial" w:cs="Arial" w:eastAsia="Arial" w:hAnsi="Arial"/>
                <w:sz w:val="18"/>
                <w:szCs w:val="18"/>
                <w:b w:val="1"/>
                <w:bCs w:val="1"/>
                <w:color w:val="auto"/>
              </w:rPr>
              <w:t>Chemicals</w:t>
            </w:r>
          </w:p>
        </w:tc>
        <w:tc>
          <w:tcPr>
            <w:tcW w:w="2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Vertellus Specialties, Inc. </w:t>
            </w:r>
            <w:r>
              <w:rPr>
                <w:rFonts w:ascii="Arial" w:cs="Arial" w:eastAsia="Arial" w:hAnsi="Arial"/>
                <w:sz w:val="15"/>
                <w:szCs w:val="15"/>
                <w:color w:val="auto"/>
              </w:rPr>
              <w:t>(3)</w:t>
            </w:r>
          </w:p>
        </w:tc>
        <w:tc>
          <w:tcPr>
            <w:tcW w:w="2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First-lien loan ($4,967 par,</w:t>
            </w: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4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due 1/2019)</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10/31/2016</w:t>
            </w:r>
          </w:p>
        </w:tc>
        <w:tc>
          <w:tcPr>
            <w:tcW w:w="1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L + 9.00%</w:t>
            </w:r>
          </w:p>
        </w:tc>
        <w:tc>
          <w:tcPr>
            <w:tcW w:w="14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11.42%</w:t>
            </w:r>
          </w:p>
        </w:tc>
        <w:tc>
          <w:tcPr>
            <w:tcW w:w="10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4,967</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4,967</w:t>
            </w:r>
          </w:p>
        </w:tc>
        <w:tc>
          <w:tcPr>
            <w:tcW w:w="22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20"/>
                <w:szCs w:val="20"/>
                <w:color w:val="auto"/>
              </w:rPr>
            </w:pPr>
          </w:p>
        </w:tc>
      </w:tr>
      <w:tr>
        <w:trPr>
          <w:trHeight w:val="215"/>
        </w:trPr>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rPr>
              <w:t>Second-lien loan ($3,341</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rPr>
              <w:t>par, due 10/2021)</w:t>
            </w:r>
          </w:p>
        </w:tc>
        <w:tc>
          <w:tcPr>
            <w:tcW w:w="840" w:type="dxa"/>
            <w:vAlign w:val="bottom"/>
          </w:tcPr>
          <w:p>
            <w:pPr>
              <w:jc w:val="right"/>
              <w:spacing w:after="0"/>
              <w:rPr>
                <w:sz w:val="20"/>
                <w:szCs w:val="20"/>
                <w:color w:val="auto"/>
              </w:rPr>
            </w:pPr>
            <w:r>
              <w:rPr>
                <w:rFonts w:ascii="Arial" w:cs="Arial" w:eastAsia="Arial" w:hAnsi="Arial"/>
                <w:sz w:val="18"/>
                <w:szCs w:val="18"/>
                <w:color w:val="auto"/>
                <w:w w:val="90"/>
              </w:rPr>
              <w:t>10/31/2016</w:t>
            </w:r>
          </w:p>
        </w:tc>
        <w:tc>
          <w:tcPr>
            <w:tcW w:w="12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L + 12.00%</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14.42%</w:t>
            </w: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3,341</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3,350</w:t>
            </w:r>
          </w:p>
        </w:tc>
        <w:tc>
          <w:tcPr>
            <w:tcW w:w="22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20"/>
                <w:szCs w:val="20"/>
                <w:color w:val="auto"/>
              </w:rPr>
            </w:pPr>
          </w:p>
        </w:tc>
      </w:tr>
      <w:tr>
        <w:trPr>
          <w:trHeight w:val="20"/>
        </w:trPr>
        <w:tc>
          <w:tcPr>
            <w:tcW w:w="24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4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160" w:type="dxa"/>
            <w:vAlign w:val="bottom"/>
            <w:shd w:val="clear" w:color="auto" w:fill="CFF0FC"/>
          </w:tcPr>
          <w:p>
            <w:pPr>
              <w:spacing w:after="0" w:line="20" w:lineRule="exact"/>
              <w:rPr>
                <w:sz w:val="1"/>
                <w:szCs w:val="1"/>
                <w:color w:val="auto"/>
              </w:rPr>
            </w:pPr>
          </w:p>
        </w:tc>
        <w:tc>
          <w:tcPr>
            <w:tcW w:w="28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8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8,308</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8,317</w:t>
            </w:r>
          </w:p>
        </w:tc>
        <w:tc>
          <w:tcPr>
            <w:tcW w:w="2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0.8%</w:t>
            </w:r>
          </w:p>
        </w:tc>
        <w:tc>
          <w:tcPr>
            <w:tcW w:w="20" w:type="dxa"/>
            <w:vAlign w:val="bottom"/>
          </w:tcPr>
          <w:p>
            <w:pPr>
              <w:spacing w:after="0"/>
              <w:rPr>
                <w:sz w:val="19"/>
                <w:szCs w:val="19"/>
                <w:color w:val="auto"/>
              </w:rPr>
            </w:pPr>
          </w:p>
        </w:tc>
      </w:tr>
      <w:tr>
        <w:trPr>
          <w:trHeight w:val="223"/>
        </w:trPr>
        <w:tc>
          <w:tcPr>
            <w:tcW w:w="2540" w:type="dxa"/>
            <w:vAlign w:val="bottom"/>
            <w:gridSpan w:val="2"/>
          </w:tcPr>
          <w:p>
            <w:pPr>
              <w:spacing w:after="0"/>
              <w:rPr>
                <w:sz w:val="20"/>
                <w:szCs w:val="20"/>
                <w:color w:val="auto"/>
              </w:rPr>
            </w:pPr>
            <w:r>
              <w:rPr>
                <w:rFonts w:ascii="Arial" w:cs="Arial" w:eastAsia="Arial" w:hAnsi="Arial"/>
                <w:sz w:val="18"/>
                <w:szCs w:val="18"/>
                <w:b w:val="1"/>
                <w:bCs w:val="1"/>
                <w:color w:val="auto"/>
              </w:rPr>
              <w:t>Education</w:t>
            </w:r>
          </w:p>
        </w:tc>
        <w:tc>
          <w:tcPr>
            <w:tcW w:w="2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Curriculum Associates, LLC </w:t>
            </w:r>
            <w:r>
              <w:rPr>
                <w:rFonts w:ascii="Arial" w:cs="Arial" w:eastAsia="Arial" w:hAnsi="Arial"/>
                <w:sz w:val="15"/>
                <w:szCs w:val="15"/>
                <w:color w:val="auto"/>
              </w:rPr>
              <w:t>(3)</w:t>
            </w:r>
          </w:p>
        </w:tc>
        <w:tc>
          <w:tcPr>
            <w:tcW w:w="2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First-lien loan ($49,875 par,</w:t>
            </w: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420" w:type="dxa"/>
            <w:vAlign w:val="bottom"/>
            <w:shd w:val="clear" w:color="auto" w:fill="CFF0FC"/>
          </w:tcPr>
          <w:p>
            <w:pPr>
              <w:spacing w:after="0"/>
              <w:rPr>
                <w:sz w:val="20"/>
                <w:szCs w:val="20"/>
                <w:color w:val="auto"/>
              </w:rPr>
            </w:pPr>
            <w:r>
              <w:rPr>
                <w:rFonts w:ascii="Arial" w:cs="Arial" w:eastAsia="Arial" w:hAnsi="Arial"/>
                <w:sz w:val="15"/>
                <w:szCs w:val="15"/>
                <w:color w:val="auto"/>
              </w:rPr>
              <w:t>(5)</w:t>
            </w:r>
          </w:p>
        </w:tc>
        <w:tc>
          <w:tcPr>
            <w:tcW w:w="120" w:type="dxa"/>
            <w:vAlign w:val="bottom"/>
            <w:shd w:val="clear" w:color="auto" w:fill="CFF0FC"/>
          </w:tcPr>
          <w:p>
            <w:pPr>
              <w:spacing w:after="0"/>
              <w:rPr>
                <w:sz w:val="20"/>
                <w:szCs w:val="20"/>
                <w:color w:val="auto"/>
              </w:rPr>
            </w:pPr>
          </w:p>
        </w:tc>
        <w:tc>
          <w:tcPr>
            <w:tcW w:w="2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due 2/2024)</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2/28/2018</w:t>
            </w:r>
          </w:p>
        </w:tc>
        <w:tc>
          <w:tcPr>
            <w:tcW w:w="1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L + 6.00%</w:t>
            </w:r>
          </w:p>
        </w:tc>
        <w:tc>
          <w:tcPr>
            <w:tcW w:w="14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8.52%</w:t>
            </w:r>
          </w:p>
        </w:tc>
        <w:tc>
          <w:tcPr>
            <w:tcW w:w="10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48,497</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50,374</w:t>
            </w:r>
          </w:p>
        </w:tc>
        <w:tc>
          <w:tcPr>
            <w:tcW w:w="22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20"/>
                <w:szCs w:val="20"/>
                <w:color w:val="auto"/>
              </w:rPr>
            </w:pPr>
          </w:p>
        </w:tc>
      </w:tr>
      <w:tr>
        <w:trPr>
          <w:trHeight w:val="215"/>
        </w:trPr>
        <w:tc>
          <w:tcPr>
            <w:tcW w:w="2540" w:type="dxa"/>
            <w:vAlign w:val="bottom"/>
            <w:gridSpan w:val="2"/>
          </w:tcPr>
          <w:p>
            <w:pPr>
              <w:spacing w:after="0"/>
              <w:rPr>
                <w:sz w:val="20"/>
                <w:szCs w:val="20"/>
                <w:color w:val="auto"/>
              </w:rPr>
            </w:pPr>
            <w:r>
              <w:rPr>
                <w:rFonts w:ascii="Arial" w:cs="Arial" w:eastAsia="Arial" w:hAnsi="Arial"/>
                <w:sz w:val="18"/>
                <w:szCs w:val="18"/>
                <w:color w:val="auto"/>
              </w:rPr>
              <w:t>Frontline Technologies Group,</w:t>
            </w:r>
          </w:p>
        </w:tc>
        <w:tc>
          <w:tcPr>
            <w:tcW w:w="2240" w:type="dxa"/>
            <w:vAlign w:val="bottom"/>
            <w:gridSpan w:val="2"/>
          </w:tcPr>
          <w:p>
            <w:pPr>
              <w:spacing w:after="0"/>
              <w:rPr>
                <w:sz w:val="20"/>
                <w:szCs w:val="20"/>
                <w:color w:val="auto"/>
              </w:rPr>
            </w:pPr>
            <w:r>
              <w:rPr>
                <w:rFonts w:ascii="Arial" w:cs="Arial" w:eastAsia="Arial" w:hAnsi="Arial"/>
                <w:sz w:val="18"/>
                <w:szCs w:val="18"/>
                <w:color w:val="auto"/>
              </w:rPr>
              <w:t>First-lien loan ($47,225 par,</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540" w:type="dxa"/>
            <w:vAlign w:val="bottom"/>
            <w:gridSpan w:val="2"/>
          </w:tcPr>
          <w:p>
            <w:pPr>
              <w:spacing w:after="0"/>
              <w:rPr>
                <w:sz w:val="20"/>
                <w:szCs w:val="20"/>
                <w:color w:val="auto"/>
              </w:rPr>
            </w:pPr>
            <w:r>
              <w:rPr>
                <w:rFonts w:ascii="Arial" w:cs="Arial" w:eastAsia="Arial" w:hAnsi="Arial"/>
                <w:sz w:val="18"/>
                <w:szCs w:val="18"/>
                <w:color w:val="auto"/>
              </w:rPr>
              <w:t xml:space="preserve">LLC </w:t>
            </w:r>
            <w:r>
              <w:rPr>
                <w:rFonts w:ascii="Arial" w:cs="Arial" w:eastAsia="Arial" w:hAnsi="Arial"/>
                <w:sz w:val="15"/>
                <w:szCs w:val="15"/>
                <w:color w:val="auto"/>
              </w:rPr>
              <w:t>(3)</w:t>
            </w:r>
          </w:p>
        </w:tc>
        <w:tc>
          <w:tcPr>
            <w:tcW w:w="2240" w:type="dxa"/>
            <w:vAlign w:val="bottom"/>
            <w:gridSpan w:val="2"/>
          </w:tcPr>
          <w:p>
            <w:pPr>
              <w:spacing w:after="0"/>
              <w:rPr>
                <w:sz w:val="20"/>
                <w:szCs w:val="20"/>
                <w:color w:val="auto"/>
              </w:rPr>
            </w:pPr>
            <w:r>
              <w:rPr>
                <w:rFonts w:ascii="Arial" w:cs="Arial" w:eastAsia="Arial" w:hAnsi="Arial"/>
                <w:sz w:val="18"/>
                <w:szCs w:val="18"/>
                <w:color w:val="auto"/>
              </w:rPr>
              <w:t>due 9/2023)</w:t>
            </w:r>
          </w:p>
        </w:tc>
        <w:tc>
          <w:tcPr>
            <w:tcW w:w="840" w:type="dxa"/>
            <w:vAlign w:val="bottom"/>
          </w:tcPr>
          <w:p>
            <w:pPr>
              <w:jc w:val="right"/>
              <w:spacing w:after="0"/>
              <w:rPr>
                <w:sz w:val="20"/>
                <w:szCs w:val="20"/>
                <w:color w:val="auto"/>
              </w:rPr>
            </w:pPr>
            <w:r>
              <w:rPr>
                <w:rFonts w:ascii="Arial" w:cs="Arial" w:eastAsia="Arial" w:hAnsi="Arial"/>
                <w:sz w:val="18"/>
                <w:szCs w:val="18"/>
                <w:color w:val="auto"/>
              </w:rPr>
              <w:t>9/18/2017</w:t>
            </w:r>
          </w:p>
        </w:tc>
        <w:tc>
          <w:tcPr>
            <w:tcW w:w="12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L + 6.50%</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9.02%</w:t>
            </w: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46,713</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46,801</w:t>
            </w:r>
          </w:p>
        </w:tc>
        <w:tc>
          <w:tcPr>
            <w:tcW w:w="22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20"/>
                <w:szCs w:val="20"/>
                <w:color w:val="auto"/>
              </w:rPr>
            </w:pPr>
          </w:p>
        </w:tc>
      </w:tr>
      <w:tr>
        <w:trPr>
          <w:trHeight w:val="215"/>
        </w:trPr>
        <w:tc>
          <w:tcPr>
            <w:tcW w:w="2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Illuminate Education, Inc.</w:t>
            </w:r>
            <w:r>
              <w:rPr>
                <w:rFonts w:ascii="Arial" w:cs="Arial" w:eastAsia="Arial" w:hAnsi="Arial"/>
                <w:sz w:val="15"/>
                <w:szCs w:val="15"/>
                <w:color w:val="auto"/>
              </w:rPr>
              <w:t>(3)(5)</w:t>
            </w:r>
          </w:p>
        </w:tc>
        <w:tc>
          <w:tcPr>
            <w:tcW w:w="2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First-lien loan ($64,675 par,</w:t>
            </w: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4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due 8/2022)</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8/25/2017</w:t>
            </w:r>
          </w:p>
        </w:tc>
        <w:tc>
          <w:tcPr>
            <w:tcW w:w="1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L + 7.25%</w:t>
            </w:r>
          </w:p>
        </w:tc>
        <w:tc>
          <w:tcPr>
            <w:tcW w:w="14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9.78%</w:t>
            </w:r>
          </w:p>
        </w:tc>
        <w:tc>
          <w:tcPr>
            <w:tcW w:w="10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63,611</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63,544</w:t>
            </w:r>
          </w:p>
        </w:tc>
        <w:tc>
          <w:tcPr>
            <w:tcW w:w="22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20"/>
                <w:szCs w:val="20"/>
                <w:color w:val="auto"/>
              </w:rPr>
            </w:pPr>
          </w:p>
        </w:tc>
      </w:tr>
      <w:tr>
        <w:trPr>
          <w:trHeight w:val="20"/>
        </w:trPr>
        <w:tc>
          <w:tcPr>
            <w:tcW w:w="2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158,821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160,719</w:t>
            </w:r>
          </w:p>
        </w:tc>
        <w:tc>
          <w:tcPr>
            <w:tcW w:w="22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15.1%</w:t>
            </w:r>
          </w:p>
        </w:tc>
        <w:tc>
          <w:tcPr>
            <w:tcW w:w="20" w:type="dxa"/>
            <w:vAlign w:val="bottom"/>
          </w:tcPr>
          <w:p>
            <w:pPr>
              <w:spacing w:after="0"/>
              <w:rPr>
                <w:sz w:val="19"/>
                <w:szCs w:val="19"/>
                <w:color w:val="auto"/>
              </w:rPr>
            </w:pPr>
          </w:p>
        </w:tc>
      </w:tr>
      <w:tr>
        <w:trPr>
          <w:trHeight w:val="223"/>
        </w:trPr>
        <w:tc>
          <w:tcPr>
            <w:tcW w:w="25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Financial services</w:t>
            </w:r>
          </w:p>
        </w:tc>
        <w:tc>
          <w:tcPr>
            <w:tcW w:w="2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CFF0FC"/>
              <w:right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540" w:type="dxa"/>
            <w:vAlign w:val="bottom"/>
            <w:gridSpan w:val="2"/>
          </w:tcPr>
          <w:p>
            <w:pPr>
              <w:spacing w:after="0"/>
              <w:rPr>
                <w:sz w:val="20"/>
                <w:szCs w:val="20"/>
                <w:color w:val="auto"/>
              </w:rPr>
            </w:pPr>
            <w:r>
              <w:rPr>
                <w:rFonts w:ascii="Arial" w:cs="Arial" w:eastAsia="Arial" w:hAnsi="Arial"/>
                <w:sz w:val="18"/>
                <w:szCs w:val="18"/>
                <w:color w:val="auto"/>
              </w:rPr>
              <w:t xml:space="preserve">AppStar Financial, LLC </w:t>
            </w:r>
            <w:r>
              <w:rPr>
                <w:rFonts w:ascii="Arial" w:cs="Arial" w:eastAsia="Arial" w:hAnsi="Arial"/>
                <w:sz w:val="15"/>
                <w:szCs w:val="15"/>
                <w:color w:val="auto"/>
              </w:rPr>
              <w:t>(3)</w:t>
            </w:r>
          </w:p>
        </w:tc>
        <w:tc>
          <w:tcPr>
            <w:tcW w:w="2240" w:type="dxa"/>
            <w:vAlign w:val="bottom"/>
            <w:gridSpan w:val="2"/>
          </w:tcPr>
          <w:p>
            <w:pPr>
              <w:spacing w:after="0"/>
              <w:rPr>
                <w:sz w:val="20"/>
                <w:szCs w:val="20"/>
                <w:color w:val="auto"/>
              </w:rPr>
            </w:pPr>
            <w:r>
              <w:rPr>
                <w:rFonts w:ascii="Arial" w:cs="Arial" w:eastAsia="Arial" w:hAnsi="Arial"/>
                <w:sz w:val="18"/>
                <w:szCs w:val="18"/>
                <w:color w:val="auto"/>
              </w:rPr>
              <w:t>First-lien loan ($18,506 par,</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rPr>
              <w:t>due 8/2020)</w:t>
            </w:r>
          </w:p>
        </w:tc>
        <w:tc>
          <w:tcPr>
            <w:tcW w:w="840" w:type="dxa"/>
            <w:vAlign w:val="bottom"/>
          </w:tcPr>
          <w:p>
            <w:pPr>
              <w:jc w:val="right"/>
              <w:spacing w:after="0"/>
              <w:rPr>
                <w:sz w:val="20"/>
                <w:szCs w:val="20"/>
                <w:color w:val="auto"/>
              </w:rPr>
            </w:pPr>
            <w:r>
              <w:rPr>
                <w:rFonts w:ascii="Arial" w:cs="Arial" w:eastAsia="Arial" w:hAnsi="Arial"/>
                <w:sz w:val="18"/>
                <w:szCs w:val="18"/>
                <w:color w:val="auto"/>
              </w:rPr>
              <w:t>8/18/2015</w:t>
            </w:r>
          </w:p>
        </w:tc>
        <w:tc>
          <w:tcPr>
            <w:tcW w:w="12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L + 7.50%</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10.02%</w:t>
            </w: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18,333</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18,609</w:t>
            </w:r>
          </w:p>
        </w:tc>
        <w:tc>
          <w:tcPr>
            <w:tcW w:w="22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20"/>
                <w:szCs w:val="20"/>
                <w:color w:val="auto"/>
              </w:rPr>
            </w:pPr>
          </w:p>
        </w:tc>
      </w:tr>
      <w:tr>
        <w:trPr>
          <w:trHeight w:val="215"/>
        </w:trPr>
        <w:tc>
          <w:tcPr>
            <w:tcW w:w="2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AvidXchange, Inc. </w:t>
            </w:r>
            <w:r>
              <w:rPr>
                <w:rFonts w:ascii="Arial" w:cs="Arial" w:eastAsia="Arial" w:hAnsi="Arial"/>
                <w:sz w:val="15"/>
                <w:szCs w:val="15"/>
                <w:color w:val="auto"/>
              </w:rPr>
              <w:t>(3)</w:t>
            </w:r>
          </w:p>
        </w:tc>
        <w:tc>
          <w:tcPr>
            <w:tcW w:w="2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First-lien loan ($54,449 par,</w:t>
            </w: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4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due 8/2020)</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8/7/2015</w:t>
            </w:r>
          </w:p>
        </w:tc>
        <w:tc>
          <w:tcPr>
            <w:tcW w:w="1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L + 9.50%</w:t>
            </w:r>
          </w:p>
        </w:tc>
        <w:tc>
          <w:tcPr>
            <w:tcW w:w="14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12.06%</w:t>
            </w:r>
          </w:p>
        </w:tc>
        <w:tc>
          <w:tcPr>
            <w:tcW w:w="10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54,080</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54,994</w:t>
            </w:r>
          </w:p>
        </w:tc>
        <w:tc>
          <w:tcPr>
            <w:tcW w:w="22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20"/>
                <w:szCs w:val="20"/>
                <w:color w:val="auto"/>
              </w:rPr>
            </w:pPr>
          </w:p>
        </w:tc>
      </w:tr>
      <w:tr>
        <w:trPr>
          <w:trHeight w:val="215"/>
        </w:trPr>
        <w:tc>
          <w:tcPr>
            <w:tcW w:w="2540" w:type="dxa"/>
            <w:vAlign w:val="bottom"/>
            <w:gridSpan w:val="2"/>
          </w:tcPr>
          <w:p>
            <w:pPr>
              <w:spacing w:after="0"/>
              <w:rPr>
                <w:sz w:val="20"/>
                <w:szCs w:val="20"/>
                <w:color w:val="auto"/>
              </w:rPr>
            </w:pPr>
            <w:r>
              <w:rPr>
                <w:rFonts w:ascii="Arial" w:cs="Arial" w:eastAsia="Arial" w:hAnsi="Arial"/>
                <w:sz w:val="18"/>
                <w:szCs w:val="18"/>
                <w:color w:val="auto"/>
              </w:rPr>
              <w:t xml:space="preserve">G Treasury SS, LLC </w:t>
            </w:r>
            <w:r>
              <w:rPr>
                <w:rFonts w:ascii="Arial" w:cs="Arial" w:eastAsia="Arial" w:hAnsi="Arial"/>
                <w:sz w:val="15"/>
                <w:szCs w:val="15"/>
                <w:color w:val="auto"/>
              </w:rPr>
              <w:t>(3)</w:t>
            </w:r>
          </w:p>
        </w:tc>
        <w:tc>
          <w:tcPr>
            <w:tcW w:w="2240" w:type="dxa"/>
            <w:vAlign w:val="bottom"/>
            <w:gridSpan w:val="2"/>
          </w:tcPr>
          <w:p>
            <w:pPr>
              <w:spacing w:after="0"/>
              <w:rPr>
                <w:sz w:val="20"/>
                <w:szCs w:val="20"/>
                <w:color w:val="auto"/>
              </w:rPr>
            </w:pPr>
            <w:r>
              <w:rPr>
                <w:rFonts w:ascii="Arial" w:cs="Arial" w:eastAsia="Arial" w:hAnsi="Arial"/>
                <w:sz w:val="18"/>
                <w:szCs w:val="18"/>
                <w:color w:val="auto"/>
              </w:rPr>
              <w:t>First-lien loan ($30,515 par,</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11.78% (incl.</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rPr>
              <w:t>due 4/2022)</w:t>
            </w:r>
          </w:p>
        </w:tc>
        <w:tc>
          <w:tcPr>
            <w:tcW w:w="840" w:type="dxa"/>
            <w:vAlign w:val="bottom"/>
          </w:tcPr>
          <w:p>
            <w:pPr>
              <w:jc w:val="right"/>
              <w:spacing w:after="0"/>
              <w:rPr>
                <w:sz w:val="20"/>
                <w:szCs w:val="20"/>
                <w:color w:val="auto"/>
              </w:rPr>
            </w:pPr>
            <w:r>
              <w:rPr>
                <w:rFonts w:ascii="Arial" w:cs="Arial" w:eastAsia="Arial" w:hAnsi="Arial"/>
                <w:sz w:val="18"/>
                <w:szCs w:val="18"/>
                <w:color w:val="auto"/>
              </w:rPr>
              <w:t>4/9/2018</w:t>
            </w:r>
          </w:p>
        </w:tc>
        <w:tc>
          <w:tcPr>
            <w:tcW w:w="12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L + 9.25%</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3.00% PIK)</w:t>
            </w: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29,914</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29,765</w:t>
            </w:r>
          </w:p>
        </w:tc>
        <w:tc>
          <w:tcPr>
            <w:tcW w:w="22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20"/>
                <w:szCs w:val="20"/>
                <w:color w:val="auto"/>
              </w:rPr>
            </w:pPr>
          </w:p>
        </w:tc>
      </w:tr>
      <w:tr>
        <w:trPr>
          <w:trHeight w:val="215"/>
        </w:trPr>
        <w:tc>
          <w:tcPr>
            <w:tcW w:w="2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Government Brands, LLC </w:t>
            </w:r>
            <w:r>
              <w:rPr>
                <w:rFonts w:ascii="Arial" w:cs="Arial" w:eastAsia="Arial" w:hAnsi="Arial"/>
                <w:sz w:val="15"/>
                <w:szCs w:val="15"/>
                <w:color w:val="auto"/>
              </w:rPr>
              <w:t>(3)</w:t>
            </w:r>
          </w:p>
        </w:tc>
        <w:tc>
          <w:tcPr>
            <w:tcW w:w="2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First-lien loan ($45,870 par,</w:t>
            </w: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40" w:type="dxa"/>
            <w:vAlign w:val="bottom"/>
            <w:tcBorders>
              <w:right w:val="single" w:sz="8" w:color="CFF0FC"/>
            </w:tcBorders>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11.81% (incl.</w:t>
            </w: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4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due 3/2023)</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3/15/2018</w:t>
            </w:r>
          </w:p>
        </w:tc>
        <w:tc>
          <w:tcPr>
            <w:tcW w:w="1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L + 9.25%</w:t>
            </w:r>
          </w:p>
        </w:tc>
        <w:tc>
          <w:tcPr>
            <w:tcW w:w="1440" w:type="dxa"/>
            <w:vAlign w:val="bottom"/>
            <w:tcBorders>
              <w:right w:val="single" w:sz="8" w:color="CFF0FC"/>
            </w:tcBorders>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2.50% PIK)</w:t>
            </w:r>
          </w:p>
        </w:tc>
        <w:tc>
          <w:tcPr>
            <w:tcW w:w="10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45,001</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44,853</w:t>
            </w:r>
          </w:p>
        </w:tc>
        <w:tc>
          <w:tcPr>
            <w:tcW w:w="22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20"/>
                <w:szCs w:val="20"/>
                <w:color w:val="auto"/>
              </w:rPr>
            </w:pPr>
          </w:p>
        </w:tc>
      </w:tr>
      <w:tr>
        <w:trPr>
          <w:trHeight w:val="215"/>
        </w:trPr>
        <w:tc>
          <w:tcPr>
            <w:tcW w:w="2540" w:type="dxa"/>
            <w:vAlign w:val="bottom"/>
            <w:gridSpan w:val="2"/>
          </w:tcPr>
          <w:p>
            <w:pPr>
              <w:spacing w:after="0"/>
              <w:rPr>
                <w:sz w:val="20"/>
                <w:szCs w:val="20"/>
                <w:color w:val="auto"/>
              </w:rPr>
            </w:pPr>
            <w:r>
              <w:rPr>
                <w:rFonts w:ascii="Arial" w:cs="Arial" w:eastAsia="Arial" w:hAnsi="Arial"/>
                <w:sz w:val="18"/>
                <w:szCs w:val="18"/>
                <w:color w:val="auto"/>
              </w:rPr>
              <w:t xml:space="preserve">PayLease, LLC </w:t>
            </w:r>
            <w:r>
              <w:rPr>
                <w:rFonts w:ascii="Arial" w:cs="Arial" w:eastAsia="Arial" w:hAnsi="Arial"/>
                <w:sz w:val="15"/>
                <w:szCs w:val="15"/>
                <w:color w:val="auto"/>
              </w:rPr>
              <w:t>(3)</w:t>
            </w:r>
          </w:p>
        </w:tc>
        <w:tc>
          <w:tcPr>
            <w:tcW w:w="2240" w:type="dxa"/>
            <w:vAlign w:val="bottom"/>
            <w:gridSpan w:val="2"/>
          </w:tcPr>
          <w:p>
            <w:pPr>
              <w:spacing w:after="0"/>
              <w:rPr>
                <w:sz w:val="20"/>
                <w:szCs w:val="20"/>
                <w:color w:val="auto"/>
              </w:rPr>
            </w:pPr>
            <w:r>
              <w:rPr>
                <w:rFonts w:ascii="Arial" w:cs="Arial" w:eastAsia="Arial" w:hAnsi="Arial"/>
                <w:sz w:val="18"/>
                <w:szCs w:val="18"/>
                <w:color w:val="auto"/>
              </w:rPr>
              <w:t>First-lien loan ($55,958 par,</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rPr>
              <w:t>due 7/2022)</w:t>
            </w:r>
          </w:p>
        </w:tc>
        <w:tc>
          <w:tcPr>
            <w:tcW w:w="840" w:type="dxa"/>
            <w:vAlign w:val="bottom"/>
          </w:tcPr>
          <w:p>
            <w:pPr>
              <w:jc w:val="right"/>
              <w:spacing w:after="0"/>
              <w:rPr>
                <w:sz w:val="20"/>
                <w:szCs w:val="20"/>
                <w:color w:val="auto"/>
              </w:rPr>
            </w:pPr>
            <w:r>
              <w:rPr>
                <w:rFonts w:ascii="Arial" w:cs="Arial" w:eastAsia="Arial" w:hAnsi="Arial"/>
                <w:sz w:val="18"/>
                <w:szCs w:val="18"/>
                <w:color w:val="auto"/>
              </w:rPr>
              <w:t>7/28/2017</w:t>
            </w:r>
          </w:p>
        </w:tc>
        <w:tc>
          <w:tcPr>
            <w:tcW w:w="12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L + 7.00%</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9.52%</w:t>
            </w: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55,065</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55,810</w:t>
            </w:r>
          </w:p>
        </w:tc>
        <w:tc>
          <w:tcPr>
            <w:tcW w:w="22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20"/>
                <w:szCs w:val="20"/>
                <w:color w:val="auto"/>
              </w:rPr>
            </w:pPr>
          </w:p>
        </w:tc>
      </w:tr>
      <w:tr>
        <w:trPr>
          <w:trHeight w:val="432"/>
        </w:trPr>
        <w:tc>
          <w:tcPr>
            <w:tcW w:w="2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60" w:type="dxa"/>
            <w:vAlign w:val="bottom"/>
            <w:gridSpan w:val="2"/>
          </w:tcPr>
          <w:p>
            <w:pPr>
              <w:jc w:val="right"/>
              <w:ind w:right="693"/>
              <w:spacing w:after="0"/>
              <w:rPr>
                <w:sz w:val="20"/>
                <w:szCs w:val="20"/>
                <w:color w:val="auto"/>
              </w:rPr>
            </w:pPr>
            <w:r>
              <w:rPr>
                <w:rFonts w:ascii="Arial" w:cs="Arial" w:eastAsia="Arial" w:hAnsi="Arial"/>
                <w:sz w:val="18"/>
                <w:szCs w:val="18"/>
                <w:color w:val="auto"/>
                <w:w w:val="79"/>
              </w:rPr>
              <w:t>12</w:t>
            </w: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4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15"/>
        </w:trPr>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PaySimple, Inc. </w:t>
            </w:r>
            <w:r>
              <w:rPr>
                <w:rFonts w:ascii="Arial" w:cs="Arial" w:eastAsia="Arial" w:hAnsi="Arial"/>
                <w:sz w:val="15"/>
                <w:szCs w:val="15"/>
                <w:color w:val="auto"/>
              </w:rPr>
              <w:t>(3)(5)</w:t>
            </w:r>
          </w:p>
        </w:tc>
        <w:tc>
          <w:tcPr>
            <w:tcW w:w="2260" w:type="dxa"/>
            <w:vAlign w:val="bottom"/>
            <w:shd w:val="clear" w:color="auto" w:fill="CFF0FC"/>
          </w:tcPr>
          <w:p>
            <w:pPr>
              <w:ind w:left="60"/>
              <w:spacing w:after="0"/>
              <w:rPr>
                <w:sz w:val="20"/>
                <w:szCs w:val="20"/>
                <w:color w:val="auto"/>
              </w:rPr>
            </w:pPr>
            <w:r>
              <w:rPr>
                <w:rFonts w:ascii="Arial" w:cs="Arial" w:eastAsia="Arial" w:hAnsi="Arial"/>
                <w:sz w:val="18"/>
                <w:szCs w:val="18"/>
                <w:color w:val="auto"/>
                <w:w w:val="99"/>
              </w:rPr>
              <w:t>First-lien loan ($59,395 par,</w:t>
            </w:r>
          </w:p>
        </w:tc>
        <w:tc>
          <w:tcPr>
            <w:tcW w:w="10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rPr>
              <w:t>10.81% (incl.</w:t>
            </w: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20" w:type="dxa"/>
            <w:vAlign w:val="bottom"/>
            <w:shd w:val="clear" w:color="auto" w:fill="CFF0FC"/>
          </w:tcPr>
          <w:p>
            <w:pPr>
              <w:spacing w:after="0"/>
              <w:rPr>
                <w:sz w:val="20"/>
                <w:szCs w:val="20"/>
                <w:color w:val="auto"/>
              </w:rPr>
            </w:pPr>
          </w:p>
        </w:tc>
        <w:tc>
          <w:tcPr>
            <w:tcW w:w="2260" w:type="dxa"/>
            <w:vAlign w:val="bottom"/>
            <w:shd w:val="clear" w:color="auto" w:fill="CFF0FC"/>
          </w:tcPr>
          <w:p>
            <w:pPr>
              <w:ind w:left="60"/>
              <w:spacing w:after="0"/>
              <w:rPr>
                <w:sz w:val="20"/>
                <w:szCs w:val="20"/>
                <w:color w:val="auto"/>
              </w:rPr>
            </w:pPr>
            <w:r>
              <w:rPr>
                <w:rFonts w:ascii="Arial" w:cs="Arial" w:eastAsia="Arial" w:hAnsi="Arial"/>
                <w:sz w:val="18"/>
                <w:szCs w:val="18"/>
                <w:color w:val="auto"/>
              </w:rPr>
              <w:t>due 3/2022)</w:t>
            </w:r>
          </w:p>
        </w:tc>
        <w:tc>
          <w:tcPr>
            <w:tcW w:w="10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4/17/2018</w:t>
            </w:r>
          </w:p>
        </w:tc>
        <w:tc>
          <w:tcPr>
            <w:tcW w:w="102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L + 8.25%</w:t>
            </w:r>
          </w:p>
        </w:tc>
        <w:tc>
          <w:tcPr>
            <w:tcW w:w="144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rPr>
              <w:t>1.75% PIK)</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59,121</w:t>
            </w:r>
          </w:p>
        </w:tc>
        <w:tc>
          <w:tcPr>
            <w:tcW w:w="20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58,652</w:t>
            </w:r>
          </w:p>
        </w:tc>
        <w:tc>
          <w:tcPr>
            <w:tcW w:w="22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520" w:type="dxa"/>
            <w:vAlign w:val="bottom"/>
          </w:tcPr>
          <w:p>
            <w:pPr>
              <w:spacing w:after="0"/>
              <w:rPr>
                <w:sz w:val="20"/>
                <w:szCs w:val="20"/>
                <w:color w:val="auto"/>
              </w:rPr>
            </w:pPr>
            <w:r>
              <w:rPr>
                <w:rFonts w:ascii="Arial" w:cs="Arial" w:eastAsia="Arial" w:hAnsi="Arial"/>
                <w:sz w:val="18"/>
                <w:szCs w:val="18"/>
                <w:color w:val="auto"/>
              </w:rPr>
              <w:t xml:space="preserve">PrimeRevenue, Inc. </w:t>
            </w:r>
            <w:r>
              <w:rPr>
                <w:rFonts w:ascii="Arial" w:cs="Arial" w:eastAsia="Arial" w:hAnsi="Arial"/>
                <w:sz w:val="15"/>
                <w:szCs w:val="15"/>
                <w:color w:val="auto"/>
              </w:rPr>
              <w:t>(3)</w:t>
            </w:r>
          </w:p>
        </w:tc>
        <w:tc>
          <w:tcPr>
            <w:tcW w:w="2260" w:type="dxa"/>
            <w:vAlign w:val="bottom"/>
          </w:tcPr>
          <w:p>
            <w:pPr>
              <w:ind w:left="60"/>
              <w:spacing w:after="0"/>
              <w:rPr>
                <w:sz w:val="20"/>
                <w:szCs w:val="20"/>
                <w:color w:val="auto"/>
              </w:rPr>
            </w:pPr>
            <w:r>
              <w:rPr>
                <w:rFonts w:ascii="Arial" w:cs="Arial" w:eastAsia="Arial" w:hAnsi="Arial"/>
                <w:sz w:val="18"/>
                <w:szCs w:val="18"/>
                <w:color w:val="auto"/>
                <w:w w:val="99"/>
              </w:rPr>
              <w:t>First-lien loan ($20,000 par,</w:t>
            </w:r>
          </w:p>
        </w:tc>
        <w:tc>
          <w:tcPr>
            <w:tcW w:w="10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40" w:type="dxa"/>
            <w:vAlign w:val="bottom"/>
          </w:tcPr>
          <w:p>
            <w:pPr>
              <w:jc w:val="right"/>
              <w:ind w:right="210"/>
              <w:spacing w:after="0"/>
              <w:rPr>
                <w:sz w:val="20"/>
                <w:szCs w:val="20"/>
                <w:color w:val="auto"/>
              </w:rPr>
            </w:pPr>
            <w:r>
              <w:rPr>
                <w:rFonts w:ascii="Arial" w:cs="Arial" w:eastAsia="Arial" w:hAnsi="Arial"/>
                <w:sz w:val="18"/>
                <w:szCs w:val="18"/>
                <w:color w:val="auto"/>
              </w:rPr>
              <w:t>11.02% (incl.</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20" w:type="dxa"/>
            <w:vAlign w:val="bottom"/>
          </w:tcPr>
          <w:p>
            <w:pPr>
              <w:spacing w:after="0"/>
              <w:rPr>
                <w:sz w:val="20"/>
                <w:szCs w:val="20"/>
                <w:color w:val="auto"/>
              </w:rPr>
            </w:pPr>
          </w:p>
        </w:tc>
        <w:tc>
          <w:tcPr>
            <w:tcW w:w="2260" w:type="dxa"/>
            <w:vAlign w:val="bottom"/>
          </w:tcPr>
          <w:p>
            <w:pPr>
              <w:ind w:left="60"/>
              <w:spacing w:after="0"/>
              <w:rPr>
                <w:sz w:val="20"/>
                <w:szCs w:val="20"/>
                <w:color w:val="auto"/>
              </w:rPr>
            </w:pPr>
            <w:r>
              <w:rPr>
                <w:rFonts w:ascii="Arial" w:cs="Arial" w:eastAsia="Arial" w:hAnsi="Arial"/>
                <w:sz w:val="18"/>
                <w:szCs w:val="18"/>
                <w:color w:val="auto"/>
              </w:rPr>
              <w:t>due 12/2023)</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w w:val="99"/>
              </w:rPr>
              <w:t>12/31/2018</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L + 8.50%</w:t>
            </w:r>
          </w:p>
        </w:tc>
        <w:tc>
          <w:tcPr>
            <w:tcW w:w="1440" w:type="dxa"/>
            <w:vAlign w:val="bottom"/>
          </w:tcPr>
          <w:p>
            <w:pPr>
              <w:jc w:val="right"/>
              <w:ind w:right="210"/>
              <w:spacing w:after="0"/>
              <w:rPr>
                <w:sz w:val="20"/>
                <w:szCs w:val="20"/>
                <w:color w:val="auto"/>
              </w:rPr>
            </w:pPr>
            <w:r>
              <w:rPr>
                <w:rFonts w:ascii="Arial" w:cs="Arial" w:eastAsia="Arial" w:hAnsi="Arial"/>
                <w:sz w:val="18"/>
                <w:szCs w:val="18"/>
                <w:color w:val="auto"/>
              </w:rPr>
              <w:t>5.50% PIK)</w:t>
            </w:r>
          </w:p>
        </w:tc>
        <w:tc>
          <w:tcPr>
            <w:tcW w:w="760" w:type="dxa"/>
            <w:vAlign w:val="bottom"/>
          </w:tcPr>
          <w:p>
            <w:pPr>
              <w:jc w:val="right"/>
              <w:spacing w:after="0"/>
              <w:rPr>
                <w:sz w:val="20"/>
                <w:szCs w:val="20"/>
                <w:color w:val="auto"/>
              </w:rPr>
            </w:pPr>
            <w:r>
              <w:rPr>
                <w:rFonts w:ascii="Arial" w:cs="Arial" w:eastAsia="Arial" w:hAnsi="Arial"/>
                <w:sz w:val="18"/>
                <w:szCs w:val="18"/>
                <w:color w:val="auto"/>
              </w:rPr>
              <w:t>19,672</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19,672</w:t>
            </w:r>
          </w:p>
        </w:tc>
        <w:tc>
          <w:tcPr>
            <w:tcW w:w="22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Swift Gift Limited </w:t>
            </w:r>
            <w:r>
              <w:rPr>
                <w:rFonts w:ascii="Arial" w:cs="Arial" w:eastAsia="Arial" w:hAnsi="Arial"/>
                <w:sz w:val="15"/>
                <w:szCs w:val="15"/>
                <w:color w:val="auto"/>
              </w:rPr>
              <w:t>(3)(5)</w:t>
            </w:r>
          </w:p>
        </w:tc>
        <w:tc>
          <w:tcPr>
            <w:tcW w:w="2260" w:type="dxa"/>
            <w:vAlign w:val="bottom"/>
            <w:shd w:val="clear" w:color="auto" w:fill="CFF0FC"/>
          </w:tcPr>
          <w:p>
            <w:pPr>
              <w:ind w:left="60"/>
              <w:spacing w:after="0"/>
              <w:rPr>
                <w:sz w:val="20"/>
                <w:szCs w:val="20"/>
                <w:color w:val="auto"/>
              </w:rPr>
            </w:pPr>
            <w:r>
              <w:rPr>
                <w:rFonts w:ascii="Arial" w:cs="Arial" w:eastAsia="Arial" w:hAnsi="Arial"/>
                <w:sz w:val="18"/>
                <w:szCs w:val="18"/>
                <w:color w:val="auto"/>
                <w:w w:val="99"/>
              </w:rPr>
              <w:t>First-lien loan ($28,875 par,</w:t>
            </w:r>
          </w:p>
        </w:tc>
        <w:tc>
          <w:tcPr>
            <w:tcW w:w="10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20" w:type="dxa"/>
            <w:vAlign w:val="bottom"/>
            <w:shd w:val="clear" w:color="auto" w:fill="CFF0FC"/>
          </w:tcPr>
          <w:p>
            <w:pPr>
              <w:spacing w:after="0"/>
              <w:rPr>
                <w:sz w:val="20"/>
                <w:szCs w:val="20"/>
                <w:color w:val="auto"/>
              </w:rPr>
            </w:pPr>
          </w:p>
        </w:tc>
        <w:tc>
          <w:tcPr>
            <w:tcW w:w="2260" w:type="dxa"/>
            <w:vAlign w:val="bottom"/>
            <w:shd w:val="clear" w:color="auto" w:fill="CFF0FC"/>
          </w:tcPr>
          <w:p>
            <w:pPr>
              <w:ind w:left="60"/>
              <w:spacing w:after="0"/>
              <w:rPr>
                <w:sz w:val="20"/>
                <w:szCs w:val="20"/>
                <w:color w:val="auto"/>
              </w:rPr>
            </w:pPr>
            <w:r>
              <w:rPr>
                <w:rFonts w:ascii="Arial" w:cs="Arial" w:eastAsia="Arial" w:hAnsi="Arial"/>
                <w:sz w:val="18"/>
                <w:szCs w:val="18"/>
                <w:color w:val="auto"/>
              </w:rPr>
              <w:t>due 1/2022)</w:t>
            </w:r>
          </w:p>
        </w:tc>
        <w:tc>
          <w:tcPr>
            <w:tcW w:w="10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7/31/2017</w:t>
            </w:r>
          </w:p>
        </w:tc>
        <w:tc>
          <w:tcPr>
            <w:tcW w:w="102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L + 6.50%</w:t>
            </w:r>
          </w:p>
        </w:tc>
        <w:tc>
          <w:tcPr>
            <w:tcW w:w="14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9.06%</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28,335</w:t>
            </w:r>
          </w:p>
        </w:tc>
        <w:tc>
          <w:tcPr>
            <w:tcW w:w="20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29,958</w:t>
            </w:r>
          </w:p>
        </w:tc>
        <w:tc>
          <w:tcPr>
            <w:tcW w:w="22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520" w:type="dxa"/>
            <w:vAlign w:val="bottom"/>
            <w:tcBorders>
              <w:bottom w:val="single" w:sz="8" w:color="CFF0FC"/>
            </w:tcBorders>
          </w:tcPr>
          <w:p>
            <w:pPr>
              <w:spacing w:after="0"/>
              <w:rPr>
                <w:sz w:val="19"/>
                <w:szCs w:val="19"/>
                <w:color w:val="auto"/>
              </w:rPr>
            </w:pPr>
          </w:p>
        </w:tc>
        <w:tc>
          <w:tcPr>
            <w:tcW w:w="2260" w:type="dxa"/>
            <w:vAlign w:val="bottom"/>
            <w:tcBorders>
              <w:bottom w:val="single" w:sz="8" w:color="CFF0FC"/>
            </w:tcBorders>
          </w:tcPr>
          <w:p>
            <w:pPr>
              <w:spacing w:after="0"/>
              <w:rPr>
                <w:sz w:val="19"/>
                <w:szCs w:val="19"/>
                <w:color w:val="auto"/>
              </w:rPr>
            </w:pPr>
          </w:p>
        </w:tc>
        <w:tc>
          <w:tcPr>
            <w:tcW w:w="1080" w:type="dxa"/>
            <w:vAlign w:val="bottom"/>
            <w:tcBorders>
              <w:bottom w:val="single" w:sz="8" w:color="CFF0FC"/>
            </w:tcBorders>
          </w:tcPr>
          <w:p>
            <w:pPr>
              <w:spacing w:after="0"/>
              <w:rPr>
                <w:sz w:val="19"/>
                <w:szCs w:val="19"/>
                <w:color w:val="auto"/>
              </w:rPr>
            </w:pPr>
          </w:p>
        </w:tc>
        <w:tc>
          <w:tcPr>
            <w:tcW w:w="1020" w:type="dxa"/>
            <w:vAlign w:val="bottom"/>
            <w:tcBorders>
              <w:bottom w:val="single" w:sz="8" w:color="CFF0FC"/>
            </w:tcBorders>
          </w:tcPr>
          <w:p>
            <w:pPr>
              <w:spacing w:after="0"/>
              <w:rPr>
                <w:sz w:val="19"/>
                <w:szCs w:val="19"/>
                <w:color w:val="auto"/>
              </w:rPr>
            </w:pPr>
          </w:p>
        </w:tc>
        <w:tc>
          <w:tcPr>
            <w:tcW w:w="1440" w:type="dxa"/>
            <w:vAlign w:val="bottom"/>
            <w:tcBorders>
              <w:bottom w:val="single" w:sz="8" w:color="CFF0FC"/>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309,521</w:t>
            </w:r>
          </w:p>
        </w:tc>
        <w:tc>
          <w:tcPr>
            <w:tcW w:w="200" w:type="dxa"/>
            <w:vAlign w:val="bottom"/>
            <w:tcBorders>
              <w:bottom w:val="single" w:sz="8" w:color="CFF0FC"/>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312,313</w:t>
            </w:r>
          </w:p>
        </w:tc>
        <w:tc>
          <w:tcPr>
            <w:tcW w:w="220" w:type="dxa"/>
            <w:vAlign w:val="bottom"/>
            <w:tcBorders>
              <w:bottom w:val="single" w:sz="8" w:color="CFF0FC"/>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29.4</w:t>
            </w:r>
          </w:p>
        </w:tc>
        <w:tc>
          <w:tcPr>
            <w:tcW w:w="1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w w:val="87"/>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5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Healthcare</w:t>
            </w:r>
          </w:p>
        </w:tc>
        <w:tc>
          <w:tcPr>
            <w:tcW w:w="2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520" w:type="dxa"/>
            <w:vAlign w:val="bottom"/>
          </w:tcPr>
          <w:p>
            <w:pPr>
              <w:spacing w:after="0"/>
              <w:rPr>
                <w:sz w:val="20"/>
                <w:szCs w:val="20"/>
                <w:color w:val="auto"/>
              </w:rPr>
            </w:pPr>
            <w:r>
              <w:rPr>
                <w:rFonts w:ascii="Arial" w:cs="Arial" w:eastAsia="Arial" w:hAnsi="Arial"/>
                <w:sz w:val="18"/>
                <w:szCs w:val="18"/>
                <w:color w:val="auto"/>
              </w:rPr>
              <w:t>Caris Life Sciences, Ltd.</w:t>
            </w:r>
          </w:p>
        </w:tc>
        <w:tc>
          <w:tcPr>
            <w:tcW w:w="2260" w:type="dxa"/>
            <w:vAlign w:val="bottom"/>
          </w:tcPr>
          <w:p>
            <w:pPr>
              <w:ind w:left="60"/>
              <w:spacing w:after="0"/>
              <w:rPr>
                <w:sz w:val="20"/>
                <w:szCs w:val="20"/>
                <w:color w:val="auto"/>
              </w:rPr>
            </w:pPr>
            <w:r>
              <w:rPr>
                <w:rFonts w:ascii="Arial" w:cs="Arial" w:eastAsia="Arial" w:hAnsi="Arial"/>
                <w:sz w:val="18"/>
                <w:szCs w:val="18"/>
                <w:color w:val="auto"/>
              </w:rPr>
              <w:t>First-lien loan ($2,500 par,</w:t>
            </w:r>
          </w:p>
        </w:tc>
        <w:tc>
          <w:tcPr>
            <w:tcW w:w="10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20" w:type="dxa"/>
            <w:vAlign w:val="bottom"/>
          </w:tcPr>
          <w:p>
            <w:pPr>
              <w:spacing w:after="0"/>
              <w:rPr>
                <w:sz w:val="20"/>
                <w:szCs w:val="20"/>
                <w:color w:val="auto"/>
              </w:rPr>
            </w:pPr>
          </w:p>
        </w:tc>
        <w:tc>
          <w:tcPr>
            <w:tcW w:w="2260" w:type="dxa"/>
            <w:vAlign w:val="bottom"/>
          </w:tcPr>
          <w:p>
            <w:pPr>
              <w:ind w:left="60"/>
              <w:spacing w:after="0"/>
              <w:rPr>
                <w:sz w:val="20"/>
                <w:szCs w:val="20"/>
                <w:color w:val="auto"/>
              </w:rPr>
            </w:pPr>
            <w:r>
              <w:rPr>
                <w:rFonts w:ascii="Arial" w:cs="Arial" w:eastAsia="Arial" w:hAnsi="Arial"/>
                <w:sz w:val="18"/>
                <w:szCs w:val="18"/>
                <w:color w:val="auto"/>
              </w:rPr>
              <w:t>due 9/2023)</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9/21/2018</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11.30%</w:t>
            </w: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11.30%</w:t>
            </w:r>
          </w:p>
        </w:tc>
        <w:tc>
          <w:tcPr>
            <w:tcW w:w="760" w:type="dxa"/>
            <w:vAlign w:val="bottom"/>
          </w:tcPr>
          <w:p>
            <w:pPr>
              <w:jc w:val="right"/>
              <w:spacing w:after="0"/>
              <w:rPr>
                <w:sz w:val="20"/>
                <w:szCs w:val="20"/>
                <w:color w:val="auto"/>
              </w:rPr>
            </w:pPr>
            <w:r>
              <w:rPr>
                <w:rFonts w:ascii="Arial" w:cs="Arial" w:eastAsia="Arial" w:hAnsi="Arial"/>
                <w:sz w:val="18"/>
                <w:szCs w:val="18"/>
                <w:color w:val="auto"/>
              </w:rPr>
              <w:t>2,305</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2,206</w:t>
            </w:r>
          </w:p>
        </w:tc>
        <w:tc>
          <w:tcPr>
            <w:tcW w:w="22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520" w:type="dxa"/>
            <w:vAlign w:val="bottom"/>
            <w:shd w:val="clear" w:color="auto" w:fill="CFF0FC"/>
          </w:tcPr>
          <w:p>
            <w:pPr>
              <w:spacing w:after="0"/>
              <w:rPr>
                <w:sz w:val="18"/>
                <w:szCs w:val="18"/>
                <w:color w:val="auto"/>
              </w:rPr>
            </w:pPr>
          </w:p>
        </w:tc>
        <w:tc>
          <w:tcPr>
            <w:tcW w:w="2260" w:type="dxa"/>
            <w:vAlign w:val="bottom"/>
            <w:shd w:val="clear" w:color="auto" w:fill="CFF0FC"/>
          </w:tcPr>
          <w:p>
            <w:pPr>
              <w:ind w:left="60"/>
              <w:spacing w:after="0"/>
              <w:rPr>
                <w:sz w:val="20"/>
                <w:szCs w:val="20"/>
                <w:color w:val="auto"/>
              </w:rPr>
            </w:pPr>
            <w:r>
              <w:rPr>
                <w:rFonts w:ascii="Arial" w:cs="Arial" w:eastAsia="Arial" w:hAnsi="Arial"/>
                <w:sz w:val="18"/>
                <w:szCs w:val="18"/>
                <w:color w:val="auto"/>
                <w:w w:val="93"/>
              </w:rPr>
              <w:t>Convertible note ($2,500 par,</w:t>
            </w:r>
          </w:p>
        </w:tc>
        <w:tc>
          <w:tcPr>
            <w:tcW w:w="10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20" w:type="dxa"/>
            <w:vAlign w:val="bottom"/>
            <w:shd w:val="clear" w:color="auto" w:fill="CFF0FC"/>
          </w:tcPr>
          <w:p>
            <w:pPr>
              <w:spacing w:after="0"/>
              <w:rPr>
                <w:sz w:val="20"/>
                <w:szCs w:val="20"/>
                <w:color w:val="auto"/>
              </w:rPr>
            </w:pPr>
          </w:p>
        </w:tc>
        <w:tc>
          <w:tcPr>
            <w:tcW w:w="2260" w:type="dxa"/>
            <w:vAlign w:val="bottom"/>
            <w:shd w:val="clear" w:color="auto" w:fill="CFF0FC"/>
          </w:tcPr>
          <w:p>
            <w:pPr>
              <w:ind w:left="60"/>
              <w:spacing w:after="0"/>
              <w:rPr>
                <w:sz w:val="20"/>
                <w:szCs w:val="20"/>
                <w:color w:val="auto"/>
              </w:rPr>
            </w:pPr>
            <w:r>
              <w:rPr>
                <w:rFonts w:ascii="Arial" w:cs="Arial" w:eastAsia="Arial" w:hAnsi="Arial"/>
                <w:sz w:val="18"/>
                <w:szCs w:val="18"/>
                <w:color w:val="auto"/>
              </w:rPr>
              <w:t>due 9/2023)</w:t>
            </w:r>
          </w:p>
        </w:tc>
        <w:tc>
          <w:tcPr>
            <w:tcW w:w="10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9/21/2018</w:t>
            </w:r>
          </w:p>
        </w:tc>
        <w:tc>
          <w:tcPr>
            <w:tcW w:w="102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8.00%</w:t>
            </w:r>
          </w:p>
        </w:tc>
        <w:tc>
          <w:tcPr>
            <w:tcW w:w="14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8.00%</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w:t>
            </w:r>
          </w:p>
        </w:tc>
        <w:tc>
          <w:tcPr>
            <w:tcW w:w="20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2,481</w:t>
            </w:r>
          </w:p>
        </w:tc>
        <w:tc>
          <w:tcPr>
            <w:tcW w:w="22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520" w:type="dxa"/>
            <w:vAlign w:val="bottom"/>
          </w:tcPr>
          <w:p>
            <w:pPr>
              <w:spacing w:after="0"/>
              <w:rPr>
                <w:sz w:val="20"/>
                <w:szCs w:val="20"/>
                <w:color w:val="auto"/>
              </w:rPr>
            </w:pPr>
            <w:r>
              <w:rPr>
                <w:rFonts w:ascii="Arial" w:cs="Arial" w:eastAsia="Arial" w:hAnsi="Arial"/>
                <w:sz w:val="18"/>
                <w:szCs w:val="18"/>
                <w:color w:val="auto"/>
                <w:w w:val="92"/>
              </w:rPr>
              <w:t>Integrated Practice Solutions, Inc.</w:t>
            </w:r>
          </w:p>
        </w:tc>
        <w:tc>
          <w:tcPr>
            <w:tcW w:w="2260" w:type="dxa"/>
            <w:vAlign w:val="bottom"/>
          </w:tcPr>
          <w:p>
            <w:pPr>
              <w:ind w:left="60"/>
              <w:spacing w:after="0"/>
              <w:rPr>
                <w:sz w:val="20"/>
                <w:szCs w:val="20"/>
                <w:color w:val="auto"/>
              </w:rPr>
            </w:pPr>
            <w:r>
              <w:rPr>
                <w:rFonts w:ascii="Arial" w:cs="Arial" w:eastAsia="Arial" w:hAnsi="Arial"/>
                <w:sz w:val="18"/>
                <w:szCs w:val="18"/>
                <w:color w:val="auto"/>
                <w:w w:val="99"/>
              </w:rPr>
              <w:t>First-lien loan ($36,501 par,</w:t>
            </w:r>
          </w:p>
        </w:tc>
        <w:tc>
          <w:tcPr>
            <w:tcW w:w="10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20" w:type="dxa"/>
            <w:vAlign w:val="bottom"/>
          </w:tcPr>
          <w:p>
            <w:pPr>
              <w:spacing w:after="0"/>
              <w:rPr>
                <w:sz w:val="20"/>
                <w:szCs w:val="20"/>
                <w:color w:val="auto"/>
              </w:rPr>
            </w:pPr>
            <w:r>
              <w:rPr>
                <w:rFonts w:ascii="Arial" w:cs="Arial" w:eastAsia="Arial" w:hAnsi="Arial"/>
                <w:sz w:val="15"/>
                <w:szCs w:val="15"/>
                <w:color w:val="auto"/>
              </w:rPr>
              <w:t>(3)(5)</w:t>
            </w:r>
          </w:p>
        </w:tc>
        <w:tc>
          <w:tcPr>
            <w:tcW w:w="2260" w:type="dxa"/>
            <w:vAlign w:val="bottom"/>
          </w:tcPr>
          <w:p>
            <w:pPr>
              <w:ind w:left="60"/>
              <w:spacing w:after="0"/>
              <w:rPr>
                <w:sz w:val="20"/>
                <w:szCs w:val="20"/>
                <w:color w:val="auto"/>
              </w:rPr>
            </w:pPr>
            <w:r>
              <w:rPr>
                <w:rFonts w:ascii="Arial" w:cs="Arial" w:eastAsia="Arial" w:hAnsi="Arial"/>
                <w:sz w:val="18"/>
                <w:szCs w:val="18"/>
                <w:color w:val="auto"/>
              </w:rPr>
              <w:t>due 6/2022)</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6/30/2017</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L + 8.00%</w:t>
            </w: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10.52%</w:t>
            </w:r>
          </w:p>
        </w:tc>
        <w:tc>
          <w:tcPr>
            <w:tcW w:w="760" w:type="dxa"/>
            <w:vAlign w:val="bottom"/>
          </w:tcPr>
          <w:p>
            <w:pPr>
              <w:jc w:val="right"/>
              <w:spacing w:after="0"/>
              <w:rPr>
                <w:sz w:val="20"/>
                <w:szCs w:val="20"/>
                <w:color w:val="auto"/>
              </w:rPr>
            </w:pPr>
            <w:r>
              <w:rPr>
                <w:rFonts w:ascii="Arial" w:cs="Arial" w:eastAsia="Arial" w:hAnsi="Arial"/>
                <w:sz w:val="18"/>
                <w:szCs w:val="18"/>
                <w:color w:val="auto"/>
              </w:rPr>
              <w:t>35,696</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36,136</w:t>
            </w:r>
          </w:p>
        </w:tc>
        <w:tc>
          <w:tcPr>
            <w:tcW w:w="22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MedeAnalytics, Inc. </w:t>
            </w:r>
            <w:r>
              <w:rPr>
                <w:rFonts w:ascii="Arial" w:cs="Arial" w:eastAsia="Arial" w:hAnsi="Arial"/>
                <w:sz w:val="15"/>
                <w:szCs w:val="15"/>
                <w:color w:val="auto"/>
              </w:rPr>
              <w:t>(3)(5)</w:t>
            </w:r>
          </w:p>
        </w:tc>
        <w:tc>
          <w:tcPr>
            <w:tcW w:w="2260" w:type="dxa"/>
            <w:vAlign w:val="bottom"/>
            <w:shd w:val="clear" w:color="auto" w:fill="CFF0FC"/>
          </w:tcPr>
          <w:p>
            <w:pPr>
              <w:ind w:left="60"/>
              <w:spacing w:after="0"/>
              <w:rPr>
                <w:sz w:val="20"/>
                <w:szCs w:val="20"/>
                <w:color w:val="auto"/>
              </w:rPr>
            </w:pPr>
            <w:r>
              <w:rPr>
                <w:rFonts w:ascii="Arial" w:cs="Arial" w:eastAsia="Arial" w:hAnsi="Arial"/>
                <w:sz w:val="18"/>
                <w:szCs w:val="18"/>
                <w:color w:val="auto"/>
                <w:w w:val="99"/>
              </w:rPr>
              <w:t>First-lien loan ($41,884 par,</w:t>
            </w:r>
          </w:p>
        </w:tc>
        <w:tc>
          <w:tcPr>
            <w:tcW w:w="10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20" w:type="dxa"/>
            <w:vAlign w:val="bottom"/>
            <w:shd w:val="clear" w:color="auto" w:fill="CFF0FC"/>
          </w:tcPr>
          <w:p>
            <w:pPr>
              <w:spacing w:after="0"/>
              <w:rPr>
                <w:sz w:val="20"/>
                <w:szCs w:val="20"/>
                <w:color w:val="auto"/>
              </w:rPr>
            </w:pPr>
          </w:p>
        </w:tc>
        <w:tc>
          <w:tcPr>
            <w:tcW w:w="2260" w:type="dxa"/>
            <w:vAlign w:val="bottom"/>
            <w:shd w:val="clear" w:color="auto" w:fill="CFF0FC"/>
          </w:tcPr>
          <w:p>
            <w:pPr>
              <w:ind w:left="60"/>
              <w:spacing w:after="0"/>
              <w:rPr>
                <w:sz w:val="20"/>
                <w:szCs w:val="20"/>
                <w:color w:val="auto"/>
              </w:rPr>
            </w:pPr>
            <w:r>
              <w:rPr>
                <w:rFonts w:ascii="Arial" w:cs="Arial" w:eastAsia="Arial" w:hAnsi="Arial"/>
                <w:sz w:val="18"/>
                <w:szCs w:val="18"/>
                <w:color w:val="auto"/>
              </w:rPr>
              <w:t>due 9/2020)</w:t>
            </w:r>
          </w:p>
        </w:tc>
        <w:tc>
          <w:tcPr>
            <w:tcW w:w="10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9/30/2015</w:t>
            </w:r>
          </w:p>
        </w:tc>
        <w:tc>
          <w:tcPr>
            <w:tcW w:w="102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L + 7.50%</w:t>
            </w:r>
          </w:p>
        </w:tc>
        <w:tc>
          <w:tcPr>
            <w:tcW w:w="14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10.02%</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41,384</w:t>
            </w:r>
          </w:p>
        </w:tc>
        <w:tc>
          <w:tcPr>
            <w:tcW w:w="20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41,884</w:t>
            </w:r>
          </w:p>
        </w:tc>
        <w:tc>
          <w:tcPr>
            <w:tcW w:w="22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520" w:type="dxa"/>
            <w:vAlign w:val="bottom"/>
          </w:tcPr>
          <w:p>
            <w:pPr>
              <w:spacing w:after="0"/>
              <w:rPr>
                <w:sz w:val="20"/>
                <w:szCs w:val="20"/>
                <w:color w:val="auto"/>
              </w:rPr>
            </w:pPr>
            <w:r>
              <w:rPr>
                <w:rFonts w:ascii="Arial" w:cs="Arial" w:eastAsia="Arial" w:hAnsi="Arial"/>
                <w:sz w:val="18"/>
                <w:szCs w:val="18"/>
                <w:color w:val="auto"/>
                <w:w w:val="98"/>
              </w:rPr>
              <w:t xml:space="preserve">InterOperability Bidco, Inc. </w:t>
            </w:r>
            <w:r>
              <w:rPr>
                <w:rFonts w:ascii="Arial" w:cs="Arial" w:eastAsia="Arial" w:hAnsi="Arial"/>
                <w:sz w:val="15"/>
                <w:szCs w:val="15"/>
                <w:color w:val="auto"/>
                <w:w w:val="98"/>
              </w:rPr>
              <w:t>(3)(5)</w:t>
            </w:r>
          </w:p>
        </w:tc>
        <w:tc>
          <w:tcPr>
            <w:tcW w:w="2260" w:type="dxa"/>
            <w:vAlign w:val="bottom"/>
          </w:tcPr>
          <w:p>
            <w:pPr>
              <w:ind w:left="60"/>
              <w:spacing w:after="0"/>
              <w:rPr>
                <w:sz w:val="20"/>
                <w:szCs w:val="20"/>
                <w:color w:val="auto"/>
              </w:rPr>
            </w:pPr>
            <w:r>
              <w:rPr>
                <w:rFonts w:ascii="Arial" w:cs="Arial" w:eastAsia="Arial" w:hAnsi="Arial"/>
                <w:sz w:val="18"/>
                <w:szCs w:val="18"/>
                <w:color w:val="auto"/>
                <w:w w:val="99"/>
              </w:rPr>
              <w:t>First-lien loan ($29,925 par,</w:t>
            </w:r>
          </w:p>
        </w:tc>
        <w:tc>
          <w:tcPr>
            <w:tcW w:w="10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20" w:type="dxa"/>
            <w:vAlign w:val="bottom"/>
          </w:tcPr>
          <w:p>
            <w:pPr>
              <w:spacing w:after="0"/>
              <w:rPr>
                <w:sz w:val="20"/>
                <w:szCs w:val="20"/>
                <w:color w:val="auto"/>
              </w:rPr>
            </w:pPr>
          </w:p>
        </w:tc>
        <w:tc>
          <w:tcPr>
            <w:tcW w:w="2260" w:type="dxa"/>
            <w:vAlign w:val="bottom"/>
          </w:tcPr>
          <w:p>
            <w:pPr>
              <w:ind w:left="60"/>
              <w:spacing w:after="0"/>
              <w:rPr>
                <w:sz w:val="20"/>
                <w:szCs w:val="20"/>
                <w:color w:val="auto"/>
              </w:rPr>
            </w:pPr>
            <w:r>
              <w:rPr>
                <w:rFonts w:ascii="Arial" w:cs="Arial" w:eastAsia="Arial" w:hAnsi="Arial"/>
                <w:sz w:val="18"/>
                <w:szCs w:val="18"/>
                <w:color w:val="auto"/>
              </w:rPr>
              <w:t>due 10/2023)</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w w:val="99"/>
              </w:rPr>
              <w:t>10/30/2018</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L + 7.00%</w:t>
            </w: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9.52%</w:t>
            </w:r>
          </w:p>
        </w:tc>
        <w:tc>
          <w:tcPr>
            <w:tcW w:w="760" w:type="dxa"/>
            <w:vAlign w:val="bottom"/>
          </w:tcPr>
          <w:p>
            <w:pPr>
              <w:jc w:val="right"/>
              <w:spacing w:after="0"/>
              <w:rPr>
                <w:sz w:val="20"/>
                <w:szCs w:val="20"/>
                <w:color w:val="auto"/>
              </w:rPr>
            </w:pPr>
            <w:r>
              <w:rPr>
                <w:rFonts w:ascii="Arial" w:cs="Arial" w:eastAsia="Arial" w:hAnsi="Arial"/>
                <w:sz w:val="18"/>
                <w:szCs w:val="18"/>
                <w:color w:val="auto"/>
              </w:rPr>
              <w:t>28,729</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28,578</w:t>
            </w:r>
          </w:p>
        </w:tc>
        <w:tc>
          <w:tcPr>
            <w:tcW w:w="22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Quantros, Inc. </w:t>
            </w:r>
            <w:r>
              <w:rPr>
                <w:rFonts w:ascii="Arial" w:cs="Arial" w:eastAsia="Arial" w:hAnsi="Arial"/>
                <w:sz w:val="15"/>
                <w:szCs w:val="15"/>
                <w:color w:val="auto"/>
              </w:rPr>
              <w:t>(3)(5)</w:t>
            </w:r>
          </w:p>
        </w:tc>
        <w:tc>
          <w:tcPr>
            <w:tcW w:w="2260" w:type="dxa"/>
            <w:vAlign w:val="bottom"/>
            <w:shd w:val="clear" w:color="auto" w:fill="CFF0FC"/>
          </w:tcPr>
          <w:p>
            <w:pPr>
              <w:ind w:left="60"/>
              <w:spacing w:after="0"/>
              <w:rPr>
                <w:sz w:val="20"/>
                <w:szCs w:val="20"/>
                <w:color w:val="auto"/>
              </w:rPr>
            </w:pPr>
            <w:r>
              <w:rPr>
                <w:rFonts w:ascii="Arial" w:cs="Arial" w:eastAsia="Arial" w:hAnsi="Arial"/>
                <w:sz w:val="18"/>
                <w:szCs w:val="18"/>
                <w:color w:val="auto"/>
                <w:w w:val="99"/>
              </w:rPr>
              <w:t>First-lien loan ($27,965 par,</w:t>
            </w:r>
          </w:p>
        </w:tc>
        <w:tc>
          <w:tcPr>
            <w:tcW w:w="10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20" w:type="dxa"/>
            <w:vAlign w:val="bottom"/>
            <w:shd w:val="clear" w:color="auto" w:fill="CFF0FC"/>
          </w:tcPr>
          <w:p>
            <w:pPr>
              <w:spacing w:after="0"/>
              <w:rPr>
                <w:sz w:val="20"/>
                <w:szCs w:val="20"/>
                <w:color w:val="auto"/>
              </w:rPr>
            </w:pPr>
          </w:p>
        </w:tc>
        <w:tc>
          <w:tcPr>
            <w:tcW w:w="2260" w:type="dxa"/>
            <w:vAlign w:val="bottom"/>
            <w:shd w:val="clear" w:color="auto" w:fill="CFF0FC"/>
          </w:tcPr>
          <w:p>
            <w:pPr>
              <w:ind w:left="60"/>
              <w:spacing w:after="0"/>
              <w:rPr>
                <w:sz w:val="20"/>
                <w:szCs w:val="20"/>
                <w:color w:val="auto"/>
              </w:rPr>
            </w:pPr>
            <w:r>
              <w:rPr>
                <w:rFonts w:ascii="Arial" w:cs="Arial" w:eastAsia="Arial" w:hAnsi="Arial"/>
                <w:sz w:val="18"/>
                <w:szCs w:val="18"/>
                <w:color w:val="auto"/>
              </w:rPr>
              <w:t>due 9/2019)</w:t>
            </w:r>
          </w:p>
        </w:tc>
        <w:tc>
          <w:tcPr>
            <w:tcW w:w="10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2/29/2016</w:t>
            </w:r>
          </w:p>
        </w:tc>
        <w:tc>
          <w:tcPr>
            <w:tcW w:w="102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L + 7.75%</w:t>
            </w:r>
          </w:p>
        </w:tc>
        <w:tc>
          <w:tcPr>
            <w:tcW w:w="14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10.55%</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26,650</w:t>
            </w:r>
          </w:p>
        </w:tc>
        <w:tc>
          <w:tcPr>
            <w:tcW w:w="20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27,475</w:t>
            </w:r>
          </w:p>
        </w:tc>
        <w:tc>
          <w:tcPr>
            <w:tcW w:w="22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520" w:type="dxa"/>
            <w:vAlign w:val="bottom"/>
            <w:tcBorders>
              <w:bottom w:val="single" w:sz="8" w:color="CFF0FC"/>
            </w:tcBorders>
          </w:tcPr>
          <w:p>
            <w:pPr>
              <w:spacing w:after="0"/>
              <w:rPr>
                <w:sz w:val="19"/>
                <w:szCs w:val="19"/>
                <w:color w:val="auto"/>
              </w:rPr>
            </w:pPr>
          </w:p>
        </w:tc>
        <w:tc>
          <w:tcPr>
            <w:tcW w:w="2260" w:type="dxa"/>
            <w:vAlign w:val="bottom"/>
            <w:tcBorders>
              <w:bottom w:val="single" w:sz="8" w:color="CFF0FC"/>
            </w:tcBorders>
          </w:tcPr>
          <w:p>
            <w:pPr>
              <w:spacing w:after="0"/>
              <w:rPr>
                <w:sz w:val="19"/>
                <w:szCs w:val="19"/>
                <w:color w:val="auto"/>
              </w:rPr>
            </w:pPr>
          </w:p>
        </w:tc>
        <w:tc>
          <w:tcPr>
            <w:tcW w:w="1080" w:type="dxa"/>
            <w:vAlign w:val="bottom"/>
            <w:tcBorders>
              <w:bottom w:val="single" w:sz="8" w:color="CFF0FC"/>
            </w:tcBorders>
          </w:tcPr>
          <w:p>
            <w:pPr>
              <w:spacing w:after="0"/>
              <w:rPr>
                <w:sz w:val="19"/>
                <w:szCs w:val="19"/>
                <w:color w:val="auto"/>
              </w:rPr>
            </w:pPr>
          </w:p>
        </w:tc>
        <w:tc>
          <w:tcPr>
            <w:tcW w:w="1020" w:type="dxa"/>
            <w:vAlign w:val="bottom"/>
            <w:tcBorders>
              <w:bottom w:val="single" w:sz="8" w:color="CFF0FC"/>
            </w:tcBorders>
          </w:tcPr>
          <w:p>
            <w:pPr>
              <w:spacing w:after="0"/>
              <w:rPr>
                <w:sz w:val="19"/>
                <w:szCs w:val="19"/>
                <w:color w:val="auto"/>
              </w:rPr>
            </w:pPr>
          </w:p>
        </w:tc>
        <w:tc>
          <w:tcPr>
            <w:tcW w:w="1440" w:type="dxa"/>
            <w:vAlign w:val="bottom"/>
            <w:tcBorders>
              <w:bottom w:val="single" w:sz="8" w:color="CFF0FC"/>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137,264</w:t>
            </w:r>
          </w:p>
        </w:tc>
        <w:tc>
          <w:tcPr>
            <w:tcW w:w="200" w:type="dxa"/>
            <w:vAlign w:val="bottom"/>
            <w:tcBorders>
              <w:bottom w:val="single" w:sz="8" w:color="CFF0FC"/>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138,760</w:t>
            </w:r>
          </w:p>
        </w:tc>
        <w:tc>
          <w:tcPr>
            <w:tcW w:w="220" w:type="dxa"/>
            <w:vAlign w:val="bottom"/>
            <w:tcBorders>
              <w:bottom w:val="single" w:sz="8" w:color="CFF0FC"/>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1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w w:val="87"/>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5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Hotel, gaming, and leisure</w:t>
            </w:r>
          </w:p>
        </w:tc>
        <w:tc>
          <w:tcPr>
            <w:tcW w:w="2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520" w:type="dxa"/>
            <w:vAlign w:val="bottom"/>
          </w:tcPr>
          <w:p>
            <w:pPr>
              <w:spacing w:after="0"/>
              <w:rPr>
                <w:sz w:val="20"/>
                <w:szCs w:val="20"/>
                <w:color w:val="auto"/>
              </w:rPr>
            </w:pPr>
            <w:r>
              <w:rPr>
                <w:rFonts w:ascii="Arial" w:cs="Arial" w:eastAsia="Arial" w:hAnsi="Arial"/>
                <w:sz w:val="18"/>
                <w:szCs w:val="18"/>
                <w:color w:val="auto"/>
              </w:rPr>
              <w:t xml:space="preserve">IRGSE Holding Corp. </w:t>
            </w:r>
            <w:r>
              <w:rPr>
                <w:rFonts w:ascii="Arial" w:cs="Arial" w:eastAsia="Arial" w:hAnsi="Arial"/>
                <w:sz w:val="15"/>
                <w:szCs w:val="15"/>
                <w:color w:val="auto"/>
              </w:rPr>
              <w:t>(3)(7)</w:t>
            </w:r>
          </w:p>
        </w:tc>
        <w:tc>
          <w:tcPr>
            <w:tcW w:w="2260" w:type="dxa"/>
            <w:vAlign w:val="bottom"/>
          </w:tcPr>
          <w:p>
            <w:pPr>
              <w:ind w:left="60"/>
              <w:spacing w:after="0"/>
              <w:rPr>
                <w:sz w:val="20"/>
                <w:szCs w:val="20"/>
                <w:color w:val="auto"/>
              </w:rPr>
            </w:pPr>
            <w:r>
              <w:rPr>
                <w:rFonts w:ascii="Arial" w:cs="Arial" w:eastAsia="Arial" w:hAnsi="Arial"/>
                <w:sz w:val="18"/>
                <w:szCs w:val="18"/>
                <w:color w:val="auto"/>
                <w:w w:val="99"/>
              </w:rPr>
              <w:t>First-lien loan ($30,042 par,</w:t>
            </w:r>
          </w:p>
        </w:tc>
        <w:tc>
          <w:tcPr>
            <w:tcW w:w="10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40" w:type="dxa"/>
            <w:vAlign w:val="bottom"/>
          </w:tcPr>
          <w:p>
            <w:pPr>
              <w:jc w:val="right"/>
              <w:ind w:right="210"/>
              <w:spacing w:after="0"/>
              <w:rPr>
                <w:sz w:val="20"/>
                <w:szCs w:val="20"/>
                <w:color w:val="auto"/>
              </w:rPr>
            </w:pPr>
            <w:r>
              <w:rPr>
                <w:rFonts w:ascii="Arial" w:cs="Arial" w:eastAsia="Arial" w:hAnsi="Arial"/>
                <w:sz w:val="18"/>
                <w:szCs w:val="18"/>
                <w:color w:val="auto"/>
              </w:rPr>
              <w:t>12.30% (incl.</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20" w:type="dxa"/>
            <w:vAlign w:val="bottom"/>
          </w:tcPr>
          <w:p>
            <w:pPr>
              <w:spacing w:after="0"/>
              <w:rPr>
                <w:sz w:val="20"/>
                <w:szCs w:val="20"/>
                <w:color w:val="auto"/>
              </w:rPr>
            </w:pPr>
          </w:p>
        </w:tc>
        <w:tc>
          <w:tcPr>
            <w:tcW w:w="2260" w:type="dxa"/>
            <w:vAlign w:val="bottom"/>
          </w:tcPr>
          <w:p>
            <w:pPr>
              <w:ind w:left="60"/>
              <w:spacing w:after="0"/>
              <w:rPr>
                <w:sz w:val="20"/>
                <w:szCs w:val="20"/>
                <w:color w:val="auto"/>
              </w:rPr>
            </w:pPr>
            <w:r>
              <w:rPr>
                <w:rFonts w:ascii="Arial" w:cs="Arial" w:eastAsia="Arial" w:hAnsi="Arial"/>
                <w:sz w:val="18"/>
                <w:szCs w:val="18"/>
                <w:color w:val="auto"/>
              </w:rPr>
              <w:t>due 9/2019)</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9/29/2015</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L + 9.50%</w:t>
            </w:r>
          </w:p>
        </w:tc>
        <w:tc>
          <w:tcPr>
            <w:tcW w:w="1440" w:type="dxa"/>
            <w:vAlign w:val="bottom"/>
          </w:tcPr>
          <w:p>
            <w:pPr>
              <w:jc w:val="right"/>
              <w:ind w:right="210"/>
              <w:spacing w:after="0"/>
              <w:rPr>
                <w:sz w:val="20"/>
                <w:szCs w:val="20"/>
                <w:color w:val="auto"/>
              </w:rPr>
            </w:pPr>
            <w:r>
              <w:rPr>
                <w:rFonts w:ascii="Arial" w:cs="Arial" w:eastAsia="Arial" w:hAnsi="Arial"/>
                <w:sz w:val="18"/>
                <w:szCs w:val="18"/>
                <w:color w:val="auto"/>
              </w:rPr>
              <w:t>5.00% PIK)</w:t>
            </w:r>
          </w:p>
        </w:tc>
        <w:tc>
          <w:tcPr>
            <w:tcW w:w="760" w:type="dxa"/>
            <w:vAlign w:val="bottom"/>
          </w:tcPr>
          <w:p>
            <w:pPr>
              <w:jc w:val="right"/>
              <w:spacing w:after="0"/>
              <w:rPr>
                <w:sz w:val="20"/>
                <w:szCs w:val="20"/>
                <w:color w:val="auto"/>
              </w:rPr>
            </w:pPr>
            <w:r>
              <w:rPr>
                <w:rFonts w:ascii="Arial" w:cs="Arial" w:eastAsia="Arial" w:hAnsi="Arial"/>
                <w:sz w:val="18"/>
                <w:szCs w:val="18"/>
                <w:color w:val="auto"/>
              </w:rPr>
              <w:t>28,187</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29,959</w:t>
            </w:r>
          </w:p>
        </w:tc>
        <w:tc>
          <w:tcPr>
            <w:tcW w:w="22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5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Human resource support</w:t>
            </w:r>
          </w:p>
        </w:tc>
        <w:tc>
          <w:tcPr>
            <w:tcW w:w="2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5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services</w:t>
            </w:r>
          </w:p>
        </w:tc>
        <w:tc>
          <w:tcPr>
            <w:tcW w:w="226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44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520" w:type="dxa"/>
            <w:vAlign w:val="bottom"/>
          </w:tcPr>
          <w:p>
            <w:pPr>
              <w:spacing w:after="0"/>
              <w:rPr>
                <w:sz w:val="20"/>
                <w:szCs w:val="20"/>
                <w:color w:val="auto"/>
              </w:rPr>
            </w:pPr>
            <w:r>
              <w:rPr>
                <w:rFonts w:ascii="Arial" w:cs="Arial" w:eastAsia="Arial" w:hAnsi="Arial"/>
                <w:sz w:val="18"/>
                <w:szCs w:val="18"/>
                <w:color w:val="auto"/>
              </w:rPr>
              <w:t xml:space="preserve">ClearCompany, LLC </w:t>
            </w:r>
            <w:r>
              <w:rPr>
                <w:rFonts w:ascii="Arial" w:cs="Arial" w:eastAsia="Arial" w:hAnsi="Arial"/>
                <w:sz w:val="15"/>
                <w:szCs w:val="15"/>
                <w:color w:val="auto"/>
              </w:rPr>
              <w:t>(3)</w:t>
            </w:r>
          </w:p>
        </w:tc>
        <w:tc>
          <w:tcPr>
            <w:tcW w:w="2260" w:type="dxa"/>
            <w:vAlign w:val="bottom"/>
          </w:tcPr>
          <w:p>
            <w:pPr>
              <w:ind w:left="60"/>
              <w:spacing w:after="0"/>
              <w:rPr>
                <w:sz w:val="20"/>
                <w:szCs w:val="20"/>
                <w:color w:val="auto"/>
              </w:rPr>
            </w:pPr>
            <w:r>
              <w:rPr>
                <w:rFonts w:ascii="Arial" w:cs="Arial" w:eastAsia="Arial" w:hAnsi="Arial"/>
                <w:sz w:val="18"/>
                <w:szCs w:val="18"/>
                <w:color w:val="auto"/>
                <w:w w:val="99"/>
              </w:rPr>
              <w:t>First-lien loan ($17,154 par,</w:t>
            </w:r>
          </w:p>
        </w:tc>
        <w:tc>
          <w:tcPr>
            <w:tcW w:w="10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40" w:type="dxa"/>
            <w:vAlign w:val="bottom"/>
          </w:tcPr>
          <w:p>
            <w:pPr>
              <w:jc w:val="right"/>
              <w:ind w:right="210"/>
              <w:spacing w:after="0"/>
              <w:rPr>
                <w:sz w:val="20"/>
                <w:szCs w:val="20"/>
                <w:color w:val="auto"/>
              </w:rPr>
            </w:pPr>
            <w:r>
              <w:rPr>
                <w:rFonts w:ascii="Arial" w:cs="Arial" w:eastAsia="Arial" w:hAnsi="Arial"/>
                <w:sz w:val="18"/>
                <w:szCs w:val="18"/>
                <w:color w:val="auto"/>
              </w:rPr>
              <w:t>11.21% (incl.</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20" w:type="dxa"/>
            <w:vAlign w:val="bottom"/>
          </w:tcPr>
          <w:p>
            <w:pPr>
              <w:spacing w:after="0"/>
              <w:rPr>
                <w:sz w:val="20"/>
                <w:szCs w:val="20"/>
                <w:color w:val="auto"/>
              </w:rPr>
            </w:pPr>
          </w:p>
        </w:tc>
        <w:tc>
          <w:tcPr>
            <w:tcW w:w="2260" w:type="dxa"/>
            <w:vAlign w:val="bottom"/>
          </w:tcPr>
          <w:p>
            <w:pPr>
              <w:ind w:left="60"/>
              <w:spacing w:after="0"/>
              <w:rPr>
                <w:sz w:val="20"/>
                <w:szCs w:val="20"/>
                <w:color w:val="auto"/>
              </w:rPr>
            </w:pPr>
            <w:r>
              <w:rPr>
                <w:rFonts w:ascii="Arial" w:cs="Arial" w:eastAsia="Arial" w:hAnsi="Arial"/>
                <w:sz w:val="18"/>
                <w:szCs w:val="18"/>
                <w:color w:val="auto"/>
              </w:rPr>
              <w:t>due 7/2023)</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7/23/2018</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L + 8.50%</w:t>
            </w:r>
          </w:p>
        </w:tc>
        <w:tc>
          <w:tcPr>
            <w:tcW w:w="1440" w:type="dxa"/>
            <w:vAlign w:val="bottom"/>
          </w:tcPr>
          <w:p>
            <w:pPr>
              <w:jc w:val="right"/>
              <w:ind w:right="210"/>
              <w:spacing w:after="0"/>
              <w:rPr>
                <w:sz w:val="20"/>
                <w:szCs w:val="20"/>
                <w:color w:val="auto"/>
              </w:rPr>
            </w:pPr>
            <w:r>
              <w:rPr>
                <w:rFonts w:ascii="Arial" w:cs="Arial" w:eastAsia="Arial" w:hAnsi="Arial"/>
                <w:sz w:val="18"/>
                <w:szCs w:val="18"/>
                <w:color w:val="auto"/>
              </w:rPr>
              <w:t>2.50% PIK)</w:t>
            </w:r>
          </w:p>
        </w:tc>
        <w:tc>
          <w:tcPr>
            <w:tcW w:w="760" w:type="dxa"/>
            <w:vAlign w:val="bottom"/>
          </w:tcPr>
          <w:p>
            <w:pPr>
              <w:jc w:val="right"/>
              <w:spacing w:after="0"/>
              <w:rPr>
                <w:sz w:val="20"/>
                <w:szCs w:val="20"/>
                <w:color w:val="auto"/>
              </w:rPr>
            </w:pPr>
            <w:r>
              <w:rPr>
                <w:rFonts w:ascii="Arial" w:cs="Arial" w:eastAsia="Arial" w:hAnsi="Arial"/>
                <w:sz w:val="18"/>
                <w:szCs w:val="18"/>
                <w:color w:val="auto"/>
              </w:rPr>
              <w:t>16,885</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16,751</w:t>
            </w:r>
          </w:p>
        </w:tc>
        <w:tc>
          <w:tcPr>
            <w:tcW w:w="22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PageUp People Limited </w:t>
            </w:r>
            <w:r>
              <w:rPr>
                <w:rFonts w:ascii="Arial" w:cs="Arial" w:eastAsia="Arial" w:hAnsi="Arial"/>
                <w:sz w:val="15"/>
                <w:szCs w:val="15"/>
                <w:color w:val="auto"/>
              </w:rPr>
              <w:t>(3)(4)</w:t>
            </w:r>
          </w:p>
        </w:tc>
        <w:tc>
          <w:tcPr>
            <w:tcW w:w="2260" w:type="dxa"/>
            <w:vAlign w:val="bottom"/>
            <w:shd w:val="clear" w:color="auto" w:fill="CFF0FC"/>
          </w:tcPr>
          <w:p>
            <w:pPr>
              <w:ind w:left="60"/>
              <w:spacing w:after="0"/>
              <w:rPr>
                <w:sz w:val="20"/>
                <w:szCs w:val="20"/>
                <w:color w:val="auto"/>
              </w:rPr>
            </w:pPr>
            <w:r>
              <w:rPr>
                <w:rFonts w:ascii="Arial" w:cs="Arial" w:eastAsia="Arial" w:hAnsi="Arial"/>
                <w:sz w:val="18"/>
                <w:szCs w:val="18"/>
                <w:color w:val="auto"/>
              </w:rPr>
              <w:t>First-lien loan (AUD 46,848</w:t>
            </w:r>
          </w:p>
        </w:tc>
        <w:tc>
          <w:tcPr>
            <w:tcW w:w="10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rPr>
              <w:t>9.17% (incl.</w:t>
            </w: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32,486</w:t>
            </w: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20" w:type="dxa"/>
            <w:vAlign w:val="bottom"/>
            <w:shd w:val="clear" w:color="auto" w:fill="CFF0FC"/>
          </w:tcPr>
          <w:p>
            <w:pPr>
              <w:spacing w:after="0"/>
              <w:rPr>
                <w:sz w:val="20"/>
                <w:szCs w:val="20"/>
                <w:color w:val="auto"/>
              </w:rPr>
            </w:pPr>
          </w:p>
        </w:tc>
        <w:tc>
          <w:tcPr>
            <w:tcW w:w="2260" w:type="dxa"/>
            <w:vAlign w:val="bottom"/>
            <w:shd w:val="clear" w:color="auto" w:fill="CFF0FC"/>
          </w:tcPr>
          <w:p>
            <w:pPr>
              <w:ind w:left="60"/>
              <w:spacing w:after="0"/>
              <w:rPr>
                <w:sz w:val="20"/>
                <w:szCs w:val="20"/>
                <w:color w:val="auto"/>
              </w:rPr>
            </w:pPr>
            <w:r>
              <w:rPr>
                <w:rFonts w:ascii="Arial" w:cs="Arial" w:eastAsia="Arial" w:hAnsi="Arial"/>
                <w:sz w:val="18"/>
                <w:szCs w:val="18"/>
                <w:color w:val="auto"/>
              </w:rPr>
              <w:t>par, due 12/2022)</w:t>
            </w:r>
          </w:p>
        </w:tc>
        <w:tc>
          <w:tcPr>
            <w:tcW w:w="10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1/11/2018</w:t>
            </w:r>
          </w:p>
        </w:tc>
        <w:tc>
          <w:tcPr>
            <w:tcW w:w="102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B + 7.25%</w:t>
            </w:r>
          </w:p>
        </w:tc>
        <w:tc>
          <w:tcPr>
            <w:tcW w:w="144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rPr>
              <w:t>2.25% PIK)</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36,234</w:t>
            </w:r>
          </w:p>
        </w:tc>
        <w:tc>
          <w:tcPr>
            <w:tcW w:w="20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(AUD 46,145)</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520" w:type="dxa"/>
            <w:vAlign w:val="bottom"/>
          </w:tcPr>
          <w:p>
            <w:pPr>
              <w:spacing w:after="0"/>
              <w:rPr>
                <w:sz w:val="18"/>
                <w:szCs w:val="18"/>
                <w:color w:val="auto"/>
              </w:rPr>
            </w:pPr>
          </w:p>
        </w:tc>
        <w:tc>
          <w:tcPr>
            <w:tcW w:w="2260" w:type="dxa"/>
            <w:vAlign w:val="bottom"/>
          </w:tcPr>
          <w:p>
            <w:pPr>
              <w:ind w:left="60"/>
              <w:spacing w:after="0"/>
              <w:rPr>
                <w:sz w:val="20"/>
                <w:szCs w:val="20"/>
                <w:color w:val="auto"/>
              </w:rPr>
            </w:pPr>
            <w:r>
              <w:rPr>
                <w:rFonts w:ascii="Arial" w:cs="Arial" w:eastAsia="Arial" w:hAnsi="Arial"/>
                <w:sz w:val="18"/>
                <w:szCs w:val="18"/>
                <w:color w:val="auto"/>
              </w:rPr>
              <w:t>First-lien revolving loan</w:t>
            </w:r>
          </w:p>
        </w:tc>
        <w:tc>
          <w:tcPr>
            <w:tcW w:w="10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20" w:type="dxa"/>
            <w:vAlign w:val="bottom"/>
          </w:tcPr>
          <w:p>
            <w:pPr>
              <w:spacing w:after="0"/>
              <w:rPr>
                <w:sz w:val="18"/>
                <w:szCs w:val="18"/>
                <w:color w:val="auto"/>
              </w:rPr>
            </w:pPr>
          </w:p>
        </w:tc>
        <w:tc>
          <w:tcPr>
            <w:tcW w:w="2260" w:type="dxa"/>
            <w:vAlign w:val="bottom"/>
          </w:tcPr>
          <w:p>
            <w:pPr>
              <w:ind w:left="60"/>
              <w:spacing w:after="0"/>
              <w:rPr>
                <w:sz w:val="20"/>
                <w:szCs w:val="20"/>
                <w:color w:val="auto"/>
              </w:rPr>
            </w:pPr>
            <w:r>
              <w:rPr>
                <w:rFonts w:ascii="Arial" w:cs="Arial" w:eastAsia="Arial" w:hAnsi="Arial"/>
                <w:sz w:val="18"/>
                <w:szCs w:val="18"/>
                <w:color w:val="auto"/>
              </w:rPr>
              <w:t>(AUD 2,000 par, due</w:t>
            </w:r>
          </w:p>
        </w:tc>
        <w:tc>
          <w:tcPr>
            <w:tcW w:w="10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1,355</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20" w:type="dxa"/>
            <w:vAlign w:val="bottom"/>
          </w:tcPr>
          <w:p>
            <w:pPr>
              <w:spacing w:after="0"/>
              <w:rPr>
                <w:sz w:val="20"/>
                <w:szCs w:val="20"/>
                <w:color w:val="auto"/>
              </w:rPr>
            </w:pPr>
          </w:p>
        </w:tc>
        <w:tc>
          <w:tcPr>
            <w:tcW w:w="2260" w:type="dxa"/>
            <w:vAlign w:val="bottom"/>
          </w:tcPr>
          <w:p>
            <w:pPr>
              <w:ind w:left="60"/>
              <w:spacing w:after="0"/>
              <w:rPr>
                <w:sz w:val="20"/>
                <w:szCs w:val="20"/>
                <w:color w:val="auto"/>
              </w:rPr>
            </w:pPr>
            <w:r>
              <w:rPr>
                <w:rFonts w:ascii="Arial" w:cs="Arial" w:eastAsia="Arial" w:hAnsi="Arial"/>
                <w:sz w:val="18"/>
                <w:szCs w:val="18"/>
                <w:color w:val="auto"/>
              </w:rPr>
              <w:t>12/2022)</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1/11/2018</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B + 7.25%</w:t>
            </w: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9.23%</w:t>
            </w:r>
          </w:p>
        </w:tc>
        <w:tc>
          <w:tcPr>
            <w:tcW w:w="760" w:type="dxa"/>
            <w:vAlign w:val="bottom"/>
          </w:tcPr>
          <w:p>
            <w:pPr>
              <w:jc w:val="right"/>
              <w:spacing w:after="0"/>
              <w:rPr>
                <w:sz w:val="20"/>
                <w:szCs w:val="20"/>
                <w:color w:val="auto"/>
              </w:rPr>
            </w:pPr>
            <w:r>
              <w:rPr>
                <w:rFonts w:ascii="Arial" w:cs="Arial" w:eastAsia="Arial" w:hAnsi="Arial"/>
                <w:sz w:val="18"/>
                <w:szCs w:val="18"/>
                <w:color w:val="auto"/>
              </w:rPr>
              <w:t>1,429</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(AUD 1,925)</w:t>
            </w:r>
          </w:p>
        </w:tc>
        <w:tc>
          <w:tcPr>
            <w:tcW w:w="22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520" w:type="dxa"/>
            <w:vAlign w:val="bottom"/>
            <w:shd w:val="clear" w:color="auto" w:fill="CFF0FC"/>
          </w:tcPr>
          <w:p>
            <w:pPr>
              <w:spacing w:after="0" w:line="20" w:lineRule="exact"/>
              <w:rPr>
                <w:sz w:val="1"/>
                <w:szCs w:val="1"/>
                <w:color w:val="auto"/>
              </w:rPr>
            </w:pPr>
          </w:p>
        </w:tc>
        <w:tc>
          <w:tcPr>
            <w:tcW w:w="2260" w:type="dxa"/>
            <w:vAlign w:val="bottom"/>
            <w:shd w:val="clear" w:color="auto" w:fill="CFF0FC"/>
          </w:tcPr>
          <w:p>
            <w:pPr>
              <w:spacing w:after="0" w:line="20" w:lineRule="exact"/>
              <w:rPr>
                <w:sz w:val="1"/>
                <w:szCs w:val="1"/>
                <w:color w:val="auto"/>
              </w:rPr>
            </w:pPr>
          </w:p>
        </w:tc>
        <w:tc>
          <w:tcPr>
            <w:tcW w:w="1080" w:type="dxa"/>
            <w:vAlign w:val="bottom"/>
            <w:shd w:val="clear" w:color="auto" w:fill="CFF0FC"/>
          </w:tcPr>
          <w:p>
            <w:pPr>
              <w:spacing w:after="0" w:line="20" w:lineRule="exact"/>
              <w:rPr>
                <w:sz w:val="1"/>
                <w:szCs w:val="1"/>
                <w:color w:val="auto"/>
              </w:rPr>
            </w:pPr>
          </w:p>
        </w:tc>
        <w:tc>
          <w:tcPr>
            <w:tcW w:w="1020" w:type="dxa"/>
            <w:vAlign w:val="bottom"/>
            <w:shd w:val="clear" w:color="auto" w:fill="CFF0FC"/>
          </w:tcPr>
          <w:p>
            <w:pPr>
              <w:spacing w:after="0" w:line="20" w:lineRule="exact"/>
              <w:rPr>
                <w:sz w:val="1"/>
                <w:szCs w:val="1"/>
                <w:color w:val="auto"/>
              </w:rPr>
            </w:pPr>
          </w:p>
        </w:tc>
        <w:tc>
          <w:tcPr>
            <w:tcW w:w="144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520" w:type="dxa"/>
            <w:vAlign w:val="bottom"/>
            <w:shd w:val="clear" w:color="auto" w:fill="CFF0FC"/>
          </w:tcPr>
          <w:p>
            <w:pPr>
              <w:spacing w:after="0"/>
              <w:rPr>
                <w:sz w:val="19"/>
                <w:szCs w:val="19"/>
                <w:color w:val="auto"/>
              </w:rPr>
            </w:pPr>
          </w:p>
        </w:tc>
        <w:tc>
          <w:tcPr>
            <w:tcW w:w="2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54,548</w:t>
            </w: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50,592</w:t>
            </w:r>
          </w:p>
        </w:tc>
        <w:tc>
          <w:tcPr>
            <w:tcW w:w="2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520" w:type="dxa"/>
            <w:vAlign w:val="bottom"/>
          </w:tcPr>
          <w:p>
            <w:pPr>
              <w:spacing w:after="0"/>
              <w:rPr>
                <w:sz w:val="20"/>
                <w:szCs w:val="20"/>
                <w:color w:val="auto"/>
              </w:rPr>
            </w:pPr>
            <w:r>
              <w:rPr>
                <w:rFonts w:ascii="Arial" w:cs="Arial" w:eastAsia="Arial" w:hAnsi="Arial"/>
                <w:sz w:val="18"/>
                <w:szCs w:val="18"/>
                <w:b w:val="1"/>
                <w:bCs w:val="1"/>
                <w:color w:val="auto"/>
              </w:rPr>
              <w:t>Insurance</w:t>
            </w:r>
          </w:p>
        </w:tc>
        <w:tc>
          <w:tcPr>
            <w:tcW w:w="2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Insurity, Inc. </w:t>
            </w:r>
            <w:r>
              <w:rPr>
                <w:rFonts w:ascii="Arial" w:cs="Arial" w:eastAsia="Arial" w:hAnsi="Arial"/>
                <w:sz w:val="15"/>
                <w:szCs w:val="15"/>
                <w:color w:val="auto"/>
              </w:rPr>
              <w:t>(3)(5)</w:t>
            </w:r>
          </w:p>
        </w:tc>
        <w:tc>
          <w:tcPr>
            <w:tcW w:w="2260" w:type="dxa"/>
            <w:vAlign w:val="bottom"/>
            <w:shd w:val="clear" w:color="auto" w:fill="CFF0FC"/>
          </w:tcPr>
          <w:p>
            <w:pPr>
              <w:ind w:left="60"/>
              <w:spacing w:after="0"/>
              <w:rPr>
                <w:sz w:val="20"/>
                <w:szCs w:val="20"/>
                <w:color w:val="auto"/>
              </w:rPr>
            </w:pPr>
            <w:r>
              <w:rPr>
                <w:rFonts w:ascii="Arial" w:cs="Arial" w:eastAsia="Arial" w:hAnsi="Arial"/>
                <w:sz w:val="18"/>
                <w:szCs w:val="18"/>
                <w:color w:val="auto"/>
                <w:w w:val="99"/>
              </w:rPr>
              <w:t>First-lien loan ($61,665 par,</w:t>
            </w:r>
          </w:p>
        </w:tc>
        <w:tc>
          <w:tcPr>
            <w:tcW w:w="10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20" w:type="dxa"/>
            <w:vAlign w:val="bottom"/>
            <w:shd w:val="clear" w:color="auto" w:fill="CFF0FC"/>
          </w:tcPr>
          <w:p>
            <w:pPr>
              <w:spacing w:after="0"/>
              <w:rPr>
                <w:sz w:val="20"/>
                <w:szCs w:val="20"/>
                <w:color w:val="auto"/>
              </w:rPr>
            </w:pPr>
          </w:p>
        </w:tc>
        <w:tc>
          <w:tcPr>
            <w:tcW w:w="2260" w:type="dxa"/>
            <w:vAlign w:val="bottom"/>
            <w:shd w:val="clear" w:color="auto" w:fill="CFF0FC"/>
          </w:tcPr>
          <w:p>
            <w:pPr>
              <w:ind w:left="60"/>
              <w:spacing w:after="0"/>
              <w:rPr>
                <w:sz w:val="20"/>
                <w:szCs w:val="20"/>
                <w:color w:val="auto"/>
              </w:rPr>
            </w:pPr>
            <w:r>
              <w:rPr>
                <w:rFonts w:ascii="Arial" w:cs="Arial" w:eastAsia="Arial" w:hAnsi="Arial"/>
                <w:sz w:val="18"/>
                <w:szCs w:val="18"/>
                <w:color w:val="auto"/>
              </w:rPr>
              <w:t>due 10/2020)</w:t>
            </w:r>
          </w:p>
        </w:tc>
        <w:tc>
          <w:tcPr>
            <w:tcW w:w="10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10/31/2014</w:t>
            </w:r>
          </w:p>
        </w:tc>
        <w:tc>
          <w:tcPr>
            <w:tcW w:w="102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L + 6.75%</w:t>
            </w:r>
          </w:p>
        </w:tc>
        <w:tc>
          <w:tcPr>
            <w:tcW w:w="14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9.47%</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61,384</w:t>
            </w:r>
          </w:p>
        </w:tc>
        <w:tc>
          <w:tcPr>
            <w:tcW w:w="20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62,127</w:t>
            </w:r>
          </w:p>
        </w:tc>
        <w:tc>
          <w:tcPr>
            <w:tcW w:w="22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520" w:type="dxa"/>
            <w:vAlign w:val="bottom"/>
          </w:tcPr>
          <w:p>
            <w:pPr>
              <w:spacing w:after="0"/>
              <w:rPr>
                <w:sz w:val="20"/>
                <w:szCs w:val="20"/>
                <w:color w:val="auto"/>
              </w:rPr>
            </w:pPr>
            <w:r>
              <w:rPr>
                <w:rFonts w:ascii="Arial" w:cs="Arial" w:eastAsia="Arial" w:hAnsi="Arial"/>
                <w:sz w:val="18"/>
                <w:szCs w:val="18"/>
                <w:color w:val="auto"/>
              </w:rPr>
              <w:t xml:space="preserve">Riskonnect, Inc. </w:t>
            </w:r>
            <w:r>
              <w:rPr>
                <w:rFonts w:ascii="Arial" w:cs="Arial" w:eastAsia="Arial" w:hAnsi="Arial"/>
                <w:sz w:val="15"/>
                <w:szCs w:val="15"/>
                <w:color w:val="auto"/>
              </w:rPr>
              <w:t>(3)(5)</w:t>
            </w:r>
          </w:p>
        </w:tc>
        <w:tc>
          <w:tcPr>
            <w:tcW w:w="2260" w:type="dxa"/>
            <w:vAlign w:val="bottom"/>
          </w:tcPr>
          <w:p>
            <w:pPr>
              <w:ind w:left="60"/>
              <w:spacing w:after="0"/>
              <w:rPr>
                <w:sz w:val="20"/>
                <w:szCs w:val="20"/>
                <w:color w:val="auto"/>
              </w:rPr>
            </w:pPr>
            <w:r>
              <w:rPr>
                <w:rFonts w:ascii="Arial" w:cs="Arial" w:eastAsia="Arial" w:hAnsi="Arial"/>
                <w:sz w:val="18"/>
                <w:szCs w:val="18"/>
                <w:color w:val="auto"/>
                <w:w w:val="99"/>
              </w:rPr>
              <w:t>First-lien loan ($50,000 par,</w:t>
            </w:r>
          </w:p>
        </w:tc>
        <w:tc>
          <w:tcPr>
            <w:tcW w:w="10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20" w:type="dxa"/>
            <w:vAlign w:val="bottom"/>
          </w:tcPr>
          <w:p>
            <w:pPr>
              <w:spacing w:after="0"/>
              <w:rPr>
                <w:sz w:val="20"/>
                <w:szCs w:val="20"/>
                <w:color w:val="auto"/>
              </w:rPr>
            </w:pPr>
          </w:p>
        </w:tc>
        <w:tc>
          <w:tcPr>
            <w:tcW w:w="2260" w:type="dxa"/>
            <w:vAlign w:val="bottom"/>
          </w:tcPr>
          <w:p>
            <w:pPr>
              <w:ind w:left="60"/>
              <w:spacing w:after="0"/>
              <w:rPr>
                <w:sz w:val="20"/>
                <w:szCs w:val="20"/>
                <w:color w:val="auto"/>
              </w:rPr>
            </w:pPr>
            <w:r>
              <w:rPr>
                <w:rFonts w:ascii="Arial" w:cs="Arial" w:eastAsia="Arial" w:hAnsi="Arial"/>
                <w:sz w:val="18"/>
                <w:szCs w:val="18"/>
                <w:color w:val="auto"/>
              </w:rPr>
              <w:t>due 10/2023)</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6/30/2017</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L + 7.75%</w:t>
            </w: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10.56%</w:t>
            </w:r>
          </w:p>
        </w:tc>
        <w:tc>
          <w:tcPr>
            <w:tcW w:w="760" w:type="dxa"/>
            <w:vAlign w:val="bottom"/>
          </w:tcPr>
          <w:p>
            <w:pPr>
              <w:jc w:val="right"/>
              <w:spacing w:after="0"/>
              <w:rPr>
                <w:sz w:val="20"/>
                <w:szCs w:val="20"/>
                <w:color w:val="auto"/>
              </w:rPr>
            </w:pPr>
            <w:r>
              <w:rPr>
                <w:rFonts w:ascii="Arial" w:cs="Arial" w:eastAsia="Arial" w:hAnsi="Arial"/>
                <w:sz w:val="18"/>
                <w:szCs w:val="18"/>
                <w:color w:val="auto"/>
              </w:rPr>
              <w:t>49,432</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49,000</w:t>
            </w:r>
          </w:p>
        </w:tc>
        <w:tc>
          <w:tcPr>
            <w:tcW w:w="22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520" w:type="dxa"/>
            <w:vAlign w:val="bottom"/>
            <w:tcBorders>
              <w:top w:val="single" w:sz="8" w:color="CFF0FC"/>
            </w:tcBorders>
            <w:shd w:val="clear" w:color="auto" w:fill="CFF0FC"/>
          </w:tcPr>
          <w:p>
            <w:pPr>
              <w:spacing w:after="0"/>
              <w:rPr>
                <w:sz w:val="19"/>
                <w:szCs w:val="19"/>
                <w:color w:val="auto"/>
              </w:rPr>
            </w:pPr>
          </w:p>
        </w:tc>
        <w:tc>
          <w:tcPr>
            <w:tcW w:w="226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CFF0FC"/>
            </w:tcBorders>
            <w:shd w:val="clear" w:color="auto" w:fill="CFF0FC"/>
          </w:tcPr>
          <w:p>
            <w:pPr>
              <w:spacing w:after="0"/>
              <w:rPr>
                <w:sz w:val="19"/>
                <w:szCs w:val="19"/>
                <w:color w:val="auto"/>
              </w:rPr>
            </w:pPr>
          </w:p>
        </w:tc>
        <w:tc>
          <w:tcPr>
            <w:tcW w:w="144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110,816</w:t>
            </w:r>
          </w:p>
        </w:tc>
        <w:tc>
          <w:tcPr>
            <w:tcW w:w="20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111,127</w:t>
            </w:r>
          </w:p>
        </w:tc>
        <w:tc>
          <w:tcPr>
            <w:tcW w:w="22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w:t>
            </w:r>
          </w:p>
        </w:tc>
        <w:tc>
          <w:tcPr>
            <w:tcW w:w="1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87"/>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520" w:type="dxa"/>
            <w:vAlign w:val="bottom"/>
          </w:tcPr>
          <w:p>
            <w:pPr>
              <w:spacing w:after="0"/>
              <w:rPr>
                <w:sz w:val="20"/>
                <w:szCs w:val="20"/>
                <w:color w:val="auto"/>
              </w:rPr>
            </w:pPr>
            <w:r>
              <w:rPr>
                <w:rFonts w:ascii="Arial" w:cs="Arial" w:eastAsia="Arial" w:hAnsi="Arial"/>
                <w:sz w:val="18"/>
                <w:szCs w:val="18"/>
                <w:b w:val="1"/>
                <w:bCs w:val="1"/>
                <w:color w:val="auto"/>
              </w:rPr>
              <w:t>Internet services</w:t>
            </w:r>
          </w:p>
        </w:tc>
        <w:tc>
          <w:tcPr>
            <w:tcW w:w="2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Higher Logic, LLC </w:t>
            </w:r>
            <w:r>
              <w:rPr>
                <w:rFonts w:ascii="Arial" w:cs="Arial" w:eastAsia="Arial" w:hAnsi="Arial"/>
                <w:sz w:val="15"/>
                <w:szCs w:val="15"/>
                <w:color w:val="auto"/>
              </w:rPr>
              <w:t>(3)(5)</w:t>
            </w:r>
          </w:p>
        </w:tc>
        <w:tc>
          <w:tcPr>
            <w:tcW w:w="2260" w:type="dxa"/>
            <w:vAlign w:val="bottom"/>
            <w:shd w:val="clear" w:color="auto" w:fill="CFF0FC"/>
          </w:tcPr>
          <w:p>
            <w:pPr>
              <w:ind w:left="60"/>
              <w:spacing w:after="0"/>
              <w:rPr>
                <w:sz w:val="20"/>
                <w:szCs w:val="20"/>
                <w:color w:val="auto"/>
              </w:rPr>
            </w:pPr>
            <w:r>
              <w:rPr>
                <w:rFonts w:ascii="Arial" w:cs="Arial" w:eastAsia="Arial" w:hAnsi="Arial"/>
                <w:sz w:val="18"/>
                <w:szCs w:val="18"/>
                <w:color w:val="auto"/>
                <w:w w:val="99"/>
              </w:rPr>
              <w:t>First-lien loan ($37,810 par,</w:t>
            </w:r>
          </w:p>
        </w:tc>
        <w:tc>
          <w:tcPr>
            <w:tcW w:w="10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20" w:type="dxa"/>
            <w:vAlign w:val="bottom"/>
            <w:shd w:val="clear" w:color="auto" w:fill="CFF0FC"/>
          </w:tcPr>
          <w:p>
            <w:pPr>
              <w:spacing w:after="0"/>
              <w:rPr>
                <w:sz w:val="20"/>
                <w:szCs w:val="20"/>
                <w:color w:val="auto"/>
              </w:rPr>
            </w:pPr>
          </w:p>
        </w:tc>
        <w:tc>
          <w:tcPr>
            <w:tcW w:w="2260" w:type="dxa"/>
            <w:vAlign w:val="bottom"/>
            <w:shd w:val="clear" w:color="auto" w:fill="CFF0FC"/>
          </w:tcPr>
          <w:p>
            <w:pPr>
              <w:ind w:left="60"/>
              <w:spacing w:after="0"/>
              <w:rPr>
                <w:sz w:val="20"/>
                <w:szCs w:val="20"/>
                <w:color w:val="auto"/>
              </w:rPr>
            </w:pPr>
            <w:r>
              <w:rPr>
                <w:rFonts w:ascii="Arial" w:cs="Arial" w:eastAsia="Arial" w:hAnsi="Arial"/>
                <w:sz w:val="18"/>
                <w:szCs w:val="18"/>
                <w:color w:val="auto"/>
              </w:rPr>
              <w:t>due 1/2022)</w:t>
            </w:r>
          </w:p>
        </w:tc>
        <w:tc>
          <w:tcPr>
            <w:tcW w:w="10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6/18/2018</w:t>
            </w:r>
          </w:p>
        </w:tc>
        <w:tc>
          <w:tcPr>
            <w:tcW w:w="102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L + 6.00%</w:t>
            </w:r>
          </w:p>
        </w:tc>
        <w:tc>
          <w:tcPr>
            <w:tcW w:w="14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8.81%</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37,236</w:t>
            </w:r>
          </w:p>
        </w:tc>
        <w:tc>
          <w:tcPr>
            <w:tcW w:w="20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36,959</w:t>
            </w:r>
          </w:p>
        </w:tc>
        <w:tc>
          <w:tcPr>
            <w:tcW w:w="22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520" w:type="dxa"/>
            <w:vAlign w:val="bottom"/>
          </w:tcPr>
          <w:p>
            <w:pPr>
              <w:spacing w:after="0"/>
              <w:rPr>
                <w:sz w:val="20"/>
                <w:szCs w:val="20"/>
                <w:color w:val="auto"/>
              </w:rPr>
            </w:pPr>
            <w:r>
              <w:rPr>
                <w:rFonts w:ascii="Arial" w:cs="Arial" w:eastAsia="Arial" w:hAnsi="Arial"/>
                <w:sz w:val="18"/>
                <w:szCs w:val="18"/>
                <w:color w:val="auto"/>
              </w:rPr>
              <w:t xml:space="preserve">Lithium Technologies, LLC </w:t>
            </w:r>
            <w:r>
              <w:rPr>
                <w:rFonts w:ascii="Arial" w:cs="Arial" w:eastAsia="Arial" w:hAnsi="Arial"/>
                <w:sz w:val="15"/>
                <w:szCs w:val="15"/>
                <w:color w:val="auto"/>
              </w:rPr>
              <w:t>(3)</w:t>
            </w:r>
          </w:p>
        </w:tc>
        <w:tc>
          <w:tcPr>
            <w:tcW w:w="2260" w:type="dxa"/>
            <w:vAlign w:val="bottom"/>
          </w:tcPr>
          <w:p>
            <w:pPr>
              <w:ind w:left="60"/>
              <w:spacing w:after="0"/>
              <w:rPr>
                <w:sz w:val="20"/>
                <w:szCs w:val="20"/>
                <w:color w:val="auto"/>
              </w:rPr>
            </w:pPr>
            <w:r>
              <w:rPr>
                <w:rFonts w:ascii="Arial" w:cs="Arial" w:eastAsia="Arial" w:hAnsi="Arial"/>
                <w:sz w:val="18"/>
                <w:szCs w:val="18"/>
                <w:color w:val="auto"/>
                <w:w w:val="99"/>
              </w:rPr>
              <w:t>First-lien loan ($54,700 par,</w:t>
            </w:r>
          </w:p>
        </w:tc>
        <w:tc>
          <w:tcPr>
            <w:tcW w:w="10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20" w:type="dxa"/>
            <w:vAlign w:val="bottom"/>
          </w:tcPr>
          <w:p>
            <w:pPr>
              <w:spacing w:after="0"/>
              <w:rPr>
                <w:sz w:val="20"/>
                <w:szCs w:val="20"/>
                <w:color w:val="auto"/>
              </w:rPr>
            </w:pPr>
          </w:p>
        </w:tc>
        <w:tc>
          <w:tcPr>
            <w:tcW w:w="2260" w:type="dxa"/>
            <w:vAlign w:val="bottom"/>
          </w:tcPr>
          <w:p>
            <w:pPr>
              <w:ind w:left="60"/>
              <w:spacing w:after="0"/>
              <w:rPr>
                <w:sz w:val="20"/>
                <w:szCs w:val="20"/>
                <w:color w:val="auto"/>
              </w:rPr>
            </w:pPr>
            <w:r>
              <w:rPr>
                <w:rFonts w:ascii="Arial" w:cs="Arial" w:eastAsia="Arial" w:hAnsi="Arial"/>
                <w:sz w:val="18"/>
                <w:szCs w:val="18"/>
                <w:color w:val="auto"/>
              </w:rPr>
              <w:t>due 10/2022)</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10/3/2017</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L + 8.00%</w:t>
            </w: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10.39%</w:t>
            </w:r>
          </w:p>
        </w:tc>
        <w:tc>
          <w:tcPr>
            <w:tcW w:w="760" w:type="dxa"/>
            <w:vAlign w:val="bottom"/>
          </w:tcPr>
          <w:p>
            <w:pPr>
              <w:jc w:val="right"/>
              <w:spacing w:after="0"/>
              <w:rPr>
                <w:sz w:val="20"/>
                <w:szCs w:val="20"/>
                <w:color w:val="auto"/>
              </w:rPr>
            </w:pPr>
            <w:r>
              <w:rPr>
                <w:rFonts w:ascii="Arial" w:cs="Arial" w:eastAsia="Arial" w:hAnsi="Arial"/>
                <w:sz w:val="18"/>
                <w:szCs w:val="18"/>
                <w:color w:val="auto"/>
              </w:rPr>
              <w:t>53,639</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53,967</w:t>
            </w:r>
          </w:p>
        </w:tc>
        <w:tc>
          <w:tcPr>
            <w:tcW w:w="22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520" w:type="dxa"/>
            <w:vAlign w:val="bottom"/>
            <w:shd w:val="clear" w:color="auto" w:fill="CFF0FC"/>
          </w:tcPr>
          <w:p>
            <w:pPr>
              <w:spacing w:after="0" w:line="20" w:lineRule="exact"/>
              <w:rPr>
                <w:sz w:val="1"/>
                <w:szCs w:val="1"/>
                <w:color w:val="auto"/>
              </w:rPr>
            </w:pPr>
          </w:p>
        </w:tc>
        <w:tc>
          <w:tcPr>
            <w:tcW w:w="2260" w:type="dxa"/>
            <w:vAlign w:val="bottom"/>
            <w:shd w:val="clear" w:color="auto" w:fill="CFF0FC"/>
          </w:tcPr>
          <w:p>
            <w:pPr>
              <w:spacing w:after="0" w:line="20" w:lineRule="exact"/>
              <w:rPr>
                <w:sz w:val="1"/>
                <w:szCs w:val="1"/>
                <w:color w:val="auto"/>
              </w:rPr>
            </w:pPr>
          </w:p>
        </w:tc>
        <w:tc>
          <w:tcPr>
            <w:tcW w:w="1080" w:type="dxa"/>
            <w:vAlign w:val="bottom"/>
            <w:shd w:val="clear" w:color="auto" w:fill="CFF0FC"/>
          </w:tcPr>
          <w:p>
            <w:pPr>
              <w:spacing w:after="0" w:line="20" w:lineRule="exact"/>
              <w:rPr>
                <w:sz w:val="1"/>
                <w:szCs w:val="1"/>
                <w:color w:val="auto"/>
              </w:rPr>
            </w:pPr>
          </w:p>
        </w:tc>
        <w:tc>
          <w:tcPr>
            <w:tcW w:w="1020" w:type="dxa"/>
            <w:vAlign w:val="bottom"/>
            <w:shd w:val="clear" w:color="auto" w:fill="CFF0FC"/>
          </w:tcPr>
          <w:p>
            <w:pPr>
              <w:spacing w:after="0" w:line="20" w:lineRule="exact"/>
              <w:rPr>
                <w:sz w:val="1"/>
                <w:szCs w:val="1"/>
                <w:color w:val="auto"/>
              </w:rPr>
            </w:pPr>
          </w:p>
        </w:tc>
        <w:tc>
          <w:tcPr>
            <w:tcW w:w="144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520" w:type="dxa"/>
            <w:vAlign w:val="bottom"/>
            <w:shd w:val="clear" w:color="auto" w:fill="CFF0FC"/>
          </w:tcPr>
          <w:p>
            <w:pPr>
              <w:spacing w:after="0"/>
              <w:rPr>
                <w:sz w:val="19"/>
                <w:szCs w:val="19"/>
                <w:color w:val="auto"/>
              </w:rPr>
            </w:pPr>
          </w:p>
        </w:tc>
        <w:tc>
          <w:tcPr>
            <w:tcW w:w="2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90,875</w:t>
            </w: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90,926</w:t>
            </w:r>
          </w:p>
        </w:tc>
        <w:tc>
          <w:tcPr>
            <w:tcW w:w="2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520" w:type="dxa"/>
            <w:vAlign w:val="bottom"/>
          </w:tcPr>
          <w:p>
            <w:pPr>
              <w:spacing w:after="0"/>
              <w:rPr>
                <w:sz w:val="20"/>
                <w:szCs w:val="20"/>
                <w:color w:val="auto"/>
              </w:rPr>
            </w:pPr>
            <w:r>
              <w:rPr>
                <w:rFonts w:ascii="Arial" w:cs="Arial" w:eastAsia="Arial" w:hAnsi="Arial"/>
                <w:sz w:val="18"/>
                <w:szCs w:val="18"/>
                <w:b w:val="1"/>
                <w:bCs w:val="1"/>
                <w:color w:val="auto"/>
              </w:rPr>
              <w:t>Manufacturing</w:t>
            </w:r>
          </w:p>
        </w:tc>
        <w:tc>
          <w:tcPr>
            <w:tcW w:w="2260" w:type="dxa"/>
            <w:vAlign w:val="bottom"/>
          </w:tcPr>
          <w:p>
            <w:pPr>
              <w:spacing w:after="0"/>
              <w:rPr>
                <w:sz w:val="19"/>
                <w:szCs w:val="19"/>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13</w:t>
            </w:r>
          </w:p>
        </w:tc>
        <w:tc>
          <w:tcPr>
            <w:tcW w:w="10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5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08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520" w:type="dxa"/>
            <w:vAlign w:val="bottom"/>
            <w:tcBorders>
              <w:bottom w:val="single" w:sz="8" w:color="9A9A9A"/>
            </w:tcBorders>
          </w:tcPr>
          <w:p>
            <w:pPr>
              <w:spacing w:after="0"/>
              <w:rPr>
                <w:sz w:val="10"/>
                <w:szCs w:val="10"/>
                <w:color w:val="auto"/>
              </w:rPr>
            </w:pPr>
          </w:p>
        </w:tc>
        <w:tc>
          <w:tcPr>
            <w:tcW w:w="22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56" w:right="21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15"/>
        </w:trPr>
        <w:tc>
          <w:tcPr>
            <w:tcW w:w="25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ScentAir Technologies, Inc. </w:t>
            </w:r>
            <w:r>
              <w:rPr>
                <w:rFonts w:ascii="Arial" w:cs="Arial" w:eastAsia="Arial" w:hAnsi="Arial"/>
                <w:sz w:val="15"/>
                <w:szCs w:val="15"/>
                <w:color w:val="auto"/>
              </w:rPr>
              <w:t>(3)</w:t>
            </w:r>
          </w:p>
        </w:tc>
        <w:tc>
          <w:tcPr>
            <w:tcW w:w="2340" w:type="dxa"/>
            <w:vAlign w:val="bottom"/>
            <w:shd w:val="clear" w:color="auto" w:fill="CFF0FC"/>
          </w:tcPr>
          <w:p>
            <w:pPr>
              <w:ind w:left="80"/>
              <w:spacing w:after="0"/>
              <w:rPr>
                <w:sz w:val="20"/>
                <w:szCs w:val="20"/>
                <w:color w:val="auto"/>
              </w:rPr>
            </w:pPr>
            <w:r>
              <w:rPr>
                <w:rFonts w:ascii="Arial" w:cs="Arial" w:eastAsia="Arial" w:hAnsi="Arial"/>
                <w:sz w:val="18"/>
                <w:szCs w:val="18"/>
                <w:color w:val="auto"/>
              </w:rPr>
              <w:t>First-lien loan ($19,986 par,</w:t>
            </w:r>
          </w:p>
        </w:tc>
        <w:tc>
          <w:tcPr>
            <w:tcW w:w="10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540" w:type="dxa"/>
            <w:vAlign w:val="bottom"/>
            <w:shd w:val="clear" w:color="auto" w:fill="CFF0FC"/>
          </w:tcPr>
          <w:p>
            <w:pPr>
              <w:spacing w:after="0"/>
              <w:rPr>
                <w:sz w:val="20"/>
                <w:szCs w:val="20"/>
                <w:color w:val="auto"/>
              </w:rPr>
            </w:pPr>
          </w:p>
        </w:tc>
        <w:tc>
          <w:tcPr>
            <w:tcW w:w="2340" w:type="dxa"/>
            <w:vAlign w:val="bottom"/>
            <w:shd w:val="clear" w:color="auto" w:fill="CFF0FC"/>
          </w:tcPr>
          <w:p>
            <w:pPr>
              <w:ind w:left="80"/>
              <w:spacing w:after="0"/>
              <w:rPr>
                <w:sz w:val="20"/>
                <w:szCs w:val="20"/>
                <w:color w:val="auto"/>
              </w:rPr>
            </w:pPr>
            <w:r>
              <w:rPr>
                <w:rFonts w:ascii="Arial" w:cs="Arial" w:eastAsia="Arial" w:hAnsi="Arial"/>
                <w:sz w:val="18"/>
                <w:szCs w:val="18"/>
                <w:color w:val="auto"/>
              </w:rPr>
              <w:t>due 12/2019)</w:t>
            </w:r>
          </w:p>
        </w:tc>
        <w:tc>
          <w:tcPr>
            <w:tcW w:w="10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5"/>
              </w:rPr>
              <w:t>12/30/2014</w:t>
            </w:r>
          </w:p>
        </w:tc>
        <w:tc>
          <w:tcPr>
            <w:tcW w:w="132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rPr>
              <w:t>L + 7.25%</w:t>
            </w: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9.77%</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19,897</w:t>
            </w:r>
          </w:p>
        </w:tc>
        <w:tc>
          <w:tcPr>
            <w:tcW w:w="22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19,886</w:t>
            </w:r>
          </w:p>
        </w:tc>
        <w:tc>
          <w:tcPr>
            <w:tcW w:w="22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20"/>
                <w:szCs w:val="20"/>
                <w:color w:val="auto"/>
              </w:rPr>
            </w:pPr>
          </w:p>
        </w:tc>
      </w:tr>
      <w:tr>
        <w:trPr>
          <w:trHeight w:val="215"/>
        </w:trPr>
        <w:tc>
          <w:tcPr>
            <w:tcW w:w="2540" w:type="dxa"/>
            <w:vAlign w:val="bottom"/>
          </w:tcPr>
          <w:p>
            <w:pPr>
              <w:spacing w:after="0"/>
              <w:rPr>
                <w:sz w:val="18"/>
                <w:szCs w:val="18"/>
                <w:color w:val="auto"/>
              </w:rPr>
            </w:pPr>
          </w:p>
        </w:tc>
        <w:tc>
          <w:tcPr>
            <w:tcW w:w="2340" w:type="dxa"/>
            <w:vAlign w:val="bottom"/>
          </w:tcPr>
          <w:p>
            <w:pPr>
              <w:ind w:left="80"/>
              <w:spacing w:after="0"/>
              <w:rPr>
                <w:sz w:val="20"/>
                <w:szCs w:val="20"/>
                <w:color w:val="auto"/>
              </w:rPr>
            </w:pPr>
            <w:r>
              <w:rPr>
                <w:rFonts w:ascii="Arial" w:cs="Arial" w:eastAsia="Arial" w:hAnsi="Arial"/>
                <w:sz w:val="18"/>
                <w:szCs w:val="18"/>
                <w:color w:val="auto"/>
              </w:rPr>
              <w:t>First-lien revolving loan</w:t>
            </w:r>
          </w:p>
        </w:tc>
        <w:tc>
          <w:tcPr>
            <w:tcW w:w="10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540" w:type="dxa"/>
            <w:vAlign w:val="bottom"/>
          </w:tcPr>
          <w:p>
            <w:pPr>
              <w:spacing w:after="0"/>
              <w:rPr>
                <w:sz w:val="20"/>
                <w:szCs w:val="20"/>
                <w:color w:val="auto"/>
              </w:rPr>
            </w:pPr>
          </w:p>
        </w:tc>
        <w:tc>
          <w:tcPr>
            <w:tcW w:w="2340" w:type="dxa"/>
            <w:vAlign w:val="bottom"/>
          </w:tcPr>
          <w:p>
            <w:pPr>
              <w:ind w:left="80"/>
              <w:spacing w:after="0"/>
              <w:rPr>
                <w:sz w:val="20"/>
                <w:szCs w:val="20"/>
                <w:color w:val="auto"/>
              </w:rPr>
            </w:pPr>
            <w:r>
              <w:rPr>
                <w:rFonts w:ascii="Arial" w:cs="Arial" w:eastAsia="Arial" w:hAnsi="Arial"/>
                <w:sz w:val="18"/>
                <w:szCs w:val="18"/>
                <w:color w:val="auto"/>
              </w:rPr>
              <w:t>($1,393 par, due 12/2019)</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w w:val="95"/>
              </w:rPr>
              <w:t>12/30/2014</w:t>
            </w:r>
          </w:p>
        </w:tc>
        <w:tc>
          <w:tcPr>
            <w:tcW w:w="1320" w:type="dxa"/>
            <w:vAlign w:val="bottom"/>
          </w:tcPr>
          <w:p>
            <w:pPr>
              <w:jc w:val="right"/>
              <w:ind w:right="350"/>
              <w:spacing w:after="0"/>
              <w:rPr>
                <w:sz w:val="20"/>
                <w:szCs w:val="20"/>
                <w:color w:val="auto"/>
              </w:rPr>
            </w:pPr>
            <w:r>
              <w:rPr>
                <w:rFonts w:ascii="Arial" w:cs="Arial" w:eastAsia="Arial" w:hAnsi="Arial"/>
                <w:sz w:val="18"/>
                <w:szCs w:val="18"/>
                <w:color w:val="auto"/>
              </w:rPr>
              <w:t>L + 7.25%</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9.77%</w:t>
            </w:r>
          </w:p>
        </w:tc>
        <w:tc>
          <w:tcPr>
            <w:tcW w:w="860" w:type="dxa"/>
            <w:vAlign w:val="bottom"/>
          </w:tcPr>
          <w:p>
            <w:pPr>
              <w:jc w:val="right"/>
              <w:spacing w:after="0"/>
              <w:rPr>
                <w:sz w:val="20"/>
                <w:szCs w:val="20"/>
                <w:color w:val="auto"/>
              </w:rPr>
            </w:pPr>
            <w:r>
              <w:rPr>
                <w:rFonts w:ascii="Arial" w:cs="Arial" w:eastAsia="Arial" w:hAnsi="Arial"/>
                <w:sz w:val="18"/>
                <w:szCs w:val="18"/>
                <w:color w:val="auto"/>
              </w:rPr>
              <w:t>1,385</w:t>
            </w: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1,382</w:t>
            </w:r>
          </w:p>
        </w:tc>
        <w:tc>
          <w:tcPr>
            <w:tcW w:w="22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20"/>
                <w:szCs w:val="20"/>
                <w:color w:val="auto"/>
              </w:rPr>
            </w:pPr>
          </w:p>
        </w:tc>
      </w:tr>
      <w:tr>
        <w:trPr>
          <w:trHeight w:val="20"/>
        </w:trPr>
        <w:tc>
          <w:tcPr>
            <w:tcW w:w="2540" w:type="dxa"/>
            <w:vAlign w:val="bottom"/>
            <w:shd w:val="clear" w:color="auto" w:fill="CFF0FC"/>
          </w:tcPr>
          <w:p>
            <w:pPr>
              <w:spacing w:after="0" w:line="20" w:lineRule="exact"/>
              <w:rPr>
                <w:sz w:val="1"/>
                <w:szCs w:val="1"/>
                <w:color w:val="auto"/>
              </w:rPr>
            </w:pPr>
          </w:p>
        </w:tc>
        <w:tc>
          <w:tcPr>
            <w:tcW w:w="2340" w:type="dxa"/>
            <w:vAlign w:val="bottom"/>
            <w:shd w:val="clear" w:color="auto" w:fill="CFF0FC"/>
          </w:tcPr>
          <w:p>
            <w:pPr>
              <w:spacing w:after="0" w:line="20" w:lineRule="exact"/>
              <w:rPr>
                <w:sz w:val="1"/>
                <w:szCs w:val="1"/>
                <w:color w:val="auto"/>
              </w:rPr>
            </w:pPr>
          </w:p>
        </w:tc>
        <w:tc>
          <w:tcPr>
            <w:tcW w:w="1020" w:type="dxa"/>
            <w:vAlign w:val="bottom"/>
            <w:shd w:val="clear" w:color="auto" w:fill="CFF0FC"/>
          </w:tcPr>
          <w:p>
            <w:pPr>
              <w:spacing w:after="0" w:line="20" w:lineRule="exact"/>
              <w:rPr>
                <w:sz w:val="1"/>
                <w:szCs w:val="1"/>
                <w:color w:val="auto"/>
              </w:rPr>
            </w:pPr>
          </w:p>
        </w:tc>
        <w:tc>
          <w:tcPr>
            <w:tcW w:w="1320" w:type="dxa"/>
            <w:vAlign w:val="bottom"/>
            <w:shd w:val="clear" w:color="auto" w:fill="CFF0FC"/>
          </w:tcPr>
          <w:p>
            <w:pPr>
              <w:spacing w:after="0" w:line="20" w:lineRule="exact"/>
              <w:rPr>
                <w:sz w:val="1"/>
                <w:szCs w:val="1"/>
                <w:color w:val="auto"/>
              </w:rPr>
            </w:pPr>
          </w:p>
        </w:tc>
        <w:tc>
          <w:tcPr>
            <w:tcW w:w="114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540" w:type="dxa"/>
            <w:vAlign w:val="bottom"/>
            <w:shd w:val="clear" w:color="auto" w:fill="CFF0FC"/>
          </w:tcPr>
          <w:p>
            <w:pPr>
              <w:spacing w:after="0"/>
              <w:rPr>
                <w:sz w:val="19"/>
                <w:szCs w:val="19"/>
                <w:color w:val="auto"/>
              </w:rPr>
            </w:pPr>
          </w:p>
        </w:tc>
        <w:tc>
          <w:tcPr>
            <w:tcW w:w="23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21,282</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21,268</w:t>
            </w:r>
          </w:p>
        </w:tc>
        <w:tc>
          <w:tcPr>
            <w:tcW w:w="2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9"/>
                <w:szCs w:val="19"/>
                <w:color w:val="auto"/>
              </w:rPr>
            </w:pPr>
          </w:p>
        </w:tc>
      </w:tr>
      <w:tr>
        <w:trPr>
          <w:trHeight w:val="223"/>
        </w:trPr>
        <w:tc>
          <w:tcPr>
            <w:tcW w:w="2540" w:type="dxa"/>
            <w:vAlign w:val="bottom"/>
          </w:tcPr>
          <w:p>
            <w:pPr>
              <w:spacing w:after="0"/>
              <w:rPr>
                <w:sz w:val="20"/>
                <w:szCs w:val="20"/>
                <w:color w:val="auto"/>
              </w:rPr>
            </w:pPr>
            <w:r>
              <w:rPr>
                <w:rFonts w:ascii="Arial" w:cs="Arial" w:eastAsia="Arial" w:hAnsi="Arial"/>
                <w:sz w:val="18"/>
                <w:szCs w:val="18"/>
                <w:b w:val="1"/>
                <w:bCs w:val="1"/>
                <w:color w:val="auto"/>
              </w:rPr>
              <w:t>Marketing services</w:t>
            </w:r>
          </w:p>
        </w:tc>
        <w:tc>
          <w:tcPr>
            <w:tcW w:w="2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5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Validity, Inc. </w:t>
            </w:r>
            <w:r>
              <w:rPr>
                <w:rFonts w:ascii="Arial" w:cs="Arial" w:eastAsia="Arial" w:hAnsi="Arial"/>
                <w:sz w:val="15"/>
                <w:szCs w:val="15"/>
                <w:color w:val="auto"/>
              </w:rPr>
              <w:t>(3)(5)(6)</w:t>
            </w:r>
          </w:p>
        </w:tc>
        <w:tc>
          <w:tcPr>
            <w:tcW w:w="2340" w:type="dxa"/>
            <w:vAlign w:val="bottom"/>
            <w:shd w:val="clear" w:color="auto" w:fill="CFF0FC"/>
          </w:tcPr>
          <w:p>
            <w:pPr>
              <w:ind w:left="80"/>
              <w:spacing w:after="0"/>
              <w:rPr>
                <w:sz w:val="20"/>
                <w:szCs w:val="20"/>
                <w:color w:val="auto"/>
              </w:rPr>
            </w:pPr>
            <w:r>
              <w:rPr>
                <w:rFonts w:ascii="Arial" w:cs="Arial" w:eastAsia="Arial" w:hAnsi="Arial"/>
                <w:sz w:val="18"/>
                <w:szCs w:val="18"/>
                <w:color w:val="auto"/>
              </w:rPr>
              <w:t>First-lien loan ($35,550 par,</w:t>
            </w:r>
          </w:p>
        </w:tc>
        <w:tc>
          <w:tcPr>
            <w:tcW w:w="10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540" w:type="dxa"/>
            <w:vAlign w:val="bottom"/>
            <w:shd w:val="clear" w:color="auto" w:fill="CFF0FC"/>
          </w:tcPr>
          <w:p>
            <w:pPr>
              <w:spacing w:after="0"/>
              <w:rPr>
                <w:sz w:val="20"/>
                <w:szCs w:val="20"/>
                <w:color w:val="auto"/>
              </w:rPr>
            </w:pPr>
          </w:p>
        </w:tc>
        <w:tc>
          <w:tcPr>
            <w:tcW w:w="2340" w:type="dxa"/>
            <w:vAlign w:val="bottom"/>
            <w:shd w:val="clear" w:color="auto" w:fill="CFF0FC"/>
          </w:tcPr>
          <w:p>
            <w:pPr>
              <w:ind w:left="80"/>
              <w:spacing w:after="0"/>
              <w:rPr>
                <w:sz w:val="20"/>
                <w:szCs w:val="20"/>
                <w:color w:val="auto"/>
              </w:rPr>
            </w:pPr>
            <w:r>
              <w:rPr>
                <w:rFonts w:ascii="Arial" w:cs="Arial" w:eastAsia="Arial" w:hAnsi="Arial"/>
                <w:sz w:val="18"/>
                <w:szCs w:val="18"/>
                <w:color w:val="auto"/>
              </w:rPr>
              <w:t>due 5/2023)</w:t>
            </w:r>
          </w:p>
        </w:tc>
        <w:tc>
          <w:tcPr>
            <w:tcW w:w="10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5/31/2018</w:t>
            </w:r>
          </w:p>
        </w:tc>
        <w:tc>
          <w:tcPr>
            <w:tcW w:w="132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rPr>
              <w:t>L + 6.50%</w:t>
            </w: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9.25%</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34,988</w:t>
            </w:r>
          </w:p>
        </w:tc>
        <w:tc>
          <w:tcPr>
            <w:tcW w:w="22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34,750</w:t>
            </w:r>
          </w:p>
        </w:tc>
        <w:tc>
          <w:tcPr>
            <w:tcW w:w="22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20"/>
                <w:szCs w:val="20"/>
                <w:color w:val="auto"/>
              </w:rPr>
            </w:pPr>
          </w:p>
        </w:tc>
      </w:tr>
      <w:tr>
        <w:trPr>
          <w:trHeight w:val="230"/>
        </w:trPr>
        <w:tc>
          <w:tcPr>
            <w:tcW w:w="2540" w:type="dxa"/>
            <w:vAlign w:val="bottom"/>
          </w:tcPr>
          <w:p>
            <w:pPr>
              <w:spacing w:after="0"/>
              <w:rPr>
                <w:sz w:val="20"/>
                <w:szCs w:val="20"/>
                <w:color w:val="auto"/>
              </w:rPr>
            </w:pPr>
            <w:r>
              <w:rPr>
                <w:rFonts w:ascii="Arial" w:cs="Arial" w:eastAsia="Arial" w:hAnsi="Arial"/>
                <w:sz w:val="18"/>
                <w:szCs w:val="18"/>
                <w:b w:val="1"/>
                <w:bCs w:val="1"/>
                <w:color w:val="auto"/>
              </w:rPr>
              <w:t>Office products</w:t>
            </w:r>
          </w:p>
        </w:tc>
        <w:tc>
          <w:tcPr>
            <w:tcW w:w="2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5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USR Parent Inc. </w:t>
            </w:r>
            <w:r>
              <w:rPr>
                <w:rFonts w:ascii="Arial" w:cs="Arial" w:eastAsia="Arial" w:hAnsi="Arial"/>
                <w:sz w:val="15"/>
                <w:szCs w:val="15"/>
                <w:color w:val="auto"/>
              </w:rPr>
              <w:t>(3)(5)</w:t>
            </w:r>
          </w:p>
        </w:tc>
        <w:tc>
          <w:tcPr>
            <w:tcW w:w="2340" w:type="dxa"/>
            <w:vAlign w:val="bottom"/>
            <w:shd w:val="clear" w:color="auto" w:fill="CFF0FC"/>
          </w:tcPr>
          <w:p>
            <w:pPr>
              <w:ind w:left="80"/>
              <w:spacing w:after="0"/>
              <w:rPr>
                <w:sz w:val="20"/>
                <w:szCs w:val="20"/>
                <w:color w:val="auto"/>
              </w:rPr>
            </w:pPr>
            <w:r>
              <w:rPr>
                <w:rFonts w:ascii="Arial" w:cs="Arial" w:eastAsia="Arial" w:hAnsi="Arial"/>
                <w:sz w:val="18"/>
                <w:szCs w:val="18"/>
                <w:color w:val="auto"/>
              </w:rPr>
              <w:t>ABL FILO term</w:t>
            </w:r>
          </w:p>
        </w:tc>
        <w:tc>
          <w:tcPr>
            <w:tcW w:w="10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540" w:type="dxa"/>
            <w:vAlign w:val="bottom"/>
            <w:shd w:val="clear" w:color="auto" w:fill="CFF0FC"/>
          </w:tcPr>
          <w:p>
            <w:pPr>
              <w:spacing w:after="0"/>
              <w:rPr>
                <w:sz w:val="18"/>
                <w:szCs w:val="18"/>
                <w:color w:val="auto"/>
              </w:rPr>
            </w:pPr>
          </w:p>
        </w:tc>
        <w:tc>
          <w:tcPr>
            <w:tcW w:w="2340" w:type="dxa"/>
            <w:vAlign w:val="bottom"/>
            <w:shd w:val="clear" w:color="auto" w:fill="CFF0FC"/>
          </w:tcPr>
          <w:p>
            <w:pPr>
              <w:ind w:left="80"/>
              <w:spacing w:after="0"/>
              <w:rPr>
                <w:sz w:val="20"/>
                <w:szCs w:val="20"/>
                <w:color w:val="auto"/>
              </w:rPr>
            </w:pPr>
            <w:r>
              <w:rPr>
                <w:rFonts w:ascii="Arial" w:cs="Arial" w:eastAsia="Arial" w:hAnsi="Arial"/>
                <w:sz w:val="18"/>
                <w:szCs w:val="18"/>
                <w:color w:val="auto"/>
              </w:rPr>
              <w:t>loan ($13,500 par, due</w:t>
            </w:r>
          </w:p>
        </w:tc>
        <w:tc>
          <w:tcPr>
            <w:tcW w:w="10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540" w:type="dxa"/>
            <w:vAlign w:val="bottom"/>
            <w:shd w:val="clear" w:color="auto" w:fill="CFF0FC"/>
          </w:tcPr>
          <w:p>
            <w:pPr>
              <w:spacing w:after="0"/>
              <w:rPr>
                <w:sz w:val="20"/>
                <w:szCs w:val="20"/>
                <w:color w:val="auto"/>
              </w:rPr>
            </w:pPr>
          </w:p>
        </w:tc>
        <w:tc>
          <w:tcPr>
            <w:tcW w:w="2340" w:type="dxa"/>
            <w:vAlign w:val="bottom"/>
            <w:shd w:val="clear" w:color="auto" w:fill="CFF0FC"/>
          </w:tcPr>
          <w:p>
            <w:pPr>
              <w:ind w:left="80"/>
              <w:spacing w:after="0"/>
              <w:rPr>
                <w:sz w:val="20"/>
                <w:szCs w:val="20"/>
                <w:color w:val="auto"/>
              </w:rPr>
            </w:pPr>
            <w:r>
              <w:rPr>
                <w:rFonts w:ascii="Arial" w:cs="Arial" w:eastAsia="Arial" w:hAnsi="Arial"/>
                <w:sz w:val="18"/>
                <w:szCs w:val="18"/>
                <w:color w:val="auto"/>
              </w:rPr>
              <w:t>9/2022)</w:t>
            </w:r>
          </w:p>
        </w:tc>
        <w:tc>
          <w:tcPr>
            <w:tcW w:w="10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9/12/2017</w:t>
            </w:r>
          </w:p>
        </w:tc>
        <w:tc>
          <w:tcPr>
            <w:tcW w:w="132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rPr>
              <w:t>L + 7.75%</w:t>
            </w: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10.09%</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13,251</w:t>
            </w:r>
          </w:p>
        </w:tc>
        <w:tc>
          <w:tcPr>
            <w:tcW w:w="22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13,331</w:t>
            </w:r>
          </w:p>
        </w:tc>
        <w:tc>
          <w:tcPr>
            <w:tcW w:w="22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20"/>
                <w:szCs w:val="20"/>
                <w:color w:val="auto"/>
              </w:rPr>
            </w:pPr>
          </w:p>
        </w:tc>
      </w:tr>
      <w:tr>
        <w:trPr>
          <w:trHeight w:val="211"/>
        </w:trPr>
        <w:tc>
          <w:tcPr>
            <w:tcW w:w="2540" w:type="dxa"/>
            <w:vAlign w:val="bottom"/>
          </w:tcPr>
          <w:p>
            <w:pPr>
              <w:spacing w:after="0"/>
              <w:rPr>
                <w:sz w:val="20"/>
                <w:szCs w:val="20"/>
                <w:color w:val="auto"/>
              </w:rPr>
            </w:pPr>
            <w:r>
              <w:rPr>
                <w:rFonts w:ascii="Arial" w:cs="Arial" w:eastAsia="Arial" w:hAnsi="Arial"/>
                <w:sz w:val="18"/>
                <w:szCs w:val="18"/>
                <w:b w:val="1"/>
                <w:bCs w:val="1"/>
                <w:color w:val="auto"/>
              </w:rPr>
              <w:t>Oil, gas and consumable</w:t>
            </w:r>
          </w:p>
        </w:tc>
        <w:tc>
          <w:tcPr>
            <w:tcW w:w="2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540" w:type="dxa"/>
            <w:vAlign w:val="bottom"/>
          </w:tcPr>
          <w:p>
            <w:pPr>
              <w:ind w:left="140"/>
              <w:spacing w:after="0"/>
              <w:rPr>
                <w:sz w:val="20"/>
                <w:szCs w:val="20"/>
                <w:color w:val="auto"/>
              </w:rPr>
            </w:pPr>
            <w:r>
              <w:rPr>
                <w:rFonts w:ascii="Arial" w:cs="Arial" w:eastAsia="Arial" w:hAnsi="Arial"/>
                <w:sz w:val="18"/>
                <w:szCs w:val="18"/>
                <w:b w:val="1"/>
                <w:bCs w:val="1"/>
                <w:color w:val="auto"/>
              </w:rPr>
              <w:t>fuels</w:t>
            </w:r>
          </w:p>
        </w:tc>
        <w:tc>
          <w:tcPr>
            <w:tcW w:w="2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5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MD America Energy, LLC </w:t>
            </w:r>
            <w:r>
              <w:rPr>
                <w:rFonts w:ascii="Arial" w:cs="Arial" w:eastAsia="Arial" w:hAnsi="Arial"/>
                <w:sz w:val="15"/>
                <w:szCs w:val="15"/>
                <w:color w:val="auto"/>
              </w:rPr>
              <w:t>(3)</w:t>
            </w:r>
          </w:p>
        </w:tc>
        <w:tc>
          <w:tcPr>
            <w:tcW w:w="2340" w:type="dxa"/>
            <w:vAlign w:val="bottom"/>
            <w:shd w:val="clear" w:color="auto" w:fill="CFF0FC"/>
          </w:tcPr>
          <w:p>
            <w:pPr>
              <w:ind w:left="80"/>
              <w:spacing w:after="0"/>
              <w:rPr>
                <w:sz w:val="20"/>
                <w:szCs w:val="20"/>
                <w:color w:val="auto"/>
              </w:rPr>
            </w:pPr>
            <w:r>
              <w:rPr>
                <w:rFonts w:ascii="Arial" w:cs="Arial" w:eastAsia="Arial" w:hAnsi="Arial"/>
                <w:sz w:val="18"/>
                <w:szCs w:val="18"/>
                <w:color w:val="auto"/>
              </w:rPr>
              <w:t>First-lien loan ($15,000 par,</w:t>
            </w:r>
          </w:p>
        </w:tc>
        <w:tc>
          <w:tcPr>
            <w:tcW w:w="10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540" w:type="dxa"/>
            <w:vAlign w:val="bottom"/>
            <w:shd w:val="clear" w:color="auto" w:fill="CFF0FC"/>
          </w:tcPr>
          <w:p>
            <w:pPr>
              <w:spacing w:after="0"/>
              <w:rPr>
                <w:sz w:val="20"/>
                <w:szCs w:val="20"/>
                <w:color w:val="auto"/>
              </w:rPr>
            </w:pPr>
          </w:p>
        </w:tc>
        <w:tc>
          <w:tcPr>
            <w:tcW w:w="2340" w:type="dxa"/>
            <w:vAlign w:val="bottom"/>
            <w:shd w:val="clear" w:color="auto" w:fill="CFF0FC"/>
          </w:tcPr>
          <w:p>
            <w:pPr>
              <w:ind w:left="80"/>
              <w:spacing w:after="0"/>
              <w:rPr>
                <w:sz w:val="20"/>
                <w:szCs w:val="20"/>
                <w:color w:val="auto"/>
              </w:rPr>
            </w:pPr>
            <w:r>
              <w:rPr>
                <w:rFonts w:ascii="Arial" w:cs="Arial" w:eastAsia="Arial" w:hAnsi="Arial"/>
                <w:sz w:val="18"/>
                <w:szCs w:val="18"/>
                <w:color w:val="auto"/>
              </w:rPr>
              <w:t>due 11/2023)</w:t>
            </w:r>
          </w:p>
        </w:tc>
        <w:tc>
          <w:tcPr>
            <w:tcW w:w="10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5"/>
              </w:rPr>
              <w:t>11/14/2018</w:t>
            </w:r>
          </w:p>
        </w:tc>
        <w:tc>
          <w:tcPr>
            <w:tcW w:w="132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rPr>
              <w:t>L + 7.75%</w:t>
            </w: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10.37%</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14,530</w:t>
            </w:r>
          </w:p>
        </w:tc>
        <w:tc>
          <w:tcPr>
            <w:tcW w:w="22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14,325</w:t>
            </w:r>
          </w:p>
        </w:tc>
        <w:tc>
          <w:tcPr>
            <w:tcW w:w="22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20"/>
                <w:szCs w:val="20"/>
                <w:color w:val="auto"/>
              </w:rPr>
            </w:pPr>
          </w:p>
        </w:tc>
      </w:tr>
      <w:tr>
        <w:trPr>
          <w:trHeight w:val="215"/>
        </w:trPr>
        <w:tc>
          <w:tcPr>
            <w:tcW w:w="2540" w:type="dxa"/>
            <w:vAlign w:val="bottom"/>
          </w:tcPr>
          <w:p>
            <w:pPr>
              <w:spacing w:after="0"/>
              <w:rPr>
                <w:sz w:val="20"/>
                <w:szCs w:val="20"/>
                <w:color w:val="auto"/>
              </w:rPr>
            </w:pPr>
            <w:r>
              <w:rPr>
                <w:rFonts w:ascii="Arial" w:cs="Arial" w:eastAsia="Arial" w:hAnsi="Arial"/>
                <w:sz w:val="18"/>
                <w:szCs w:val="18"/>
                <w:color w:val="auto"/>
                <w:w w:val="95"/>
              </w:rPr>
              <w:t xml:space="preserve">Mississippi Resources, LLC </w:t>
            </w:r>
            <w:r>
              <w:rPr>
                <w:rFonts w:ascii="Arial" w:cs="Arial" w:eastAsia="Arial" w:hAnsi="Arial"/>
                <w:sz w:val="15"/>
                <w:szCs w:val="15"/>
                <w:color w:val="auto"/>
                <w:w w:val="95"/>
              </w:rPr>
              <w:t>(3)(7)</w:t>
            </w:r>
          </w:p>
        </w:tc>
        <w:tc>
          <w:tcPr>
            <w:tcW w:w="2340" w:type="dxa"/>
            <w:vAlign w:val="bottom"/>
          </w:tcPr>
          <w:p>
            <w:pPr>
              <w:ind w:left="80"/>
              <w:spacing w:after="0"/>
              <w:rPr>
                <w:sz w:val="20"/>
                <w:szCs w:val="20"/>
                <w:color w:val="auto"/>
              </w:rPr>
            </w:pPr>
            <w:r>
              <w:rPr>
                <w:rFonts w:ascii="Arial" w:cs="Arial" w:eastAsia="Arial" w:hAnsi="Arial"/>
                <w:sz w:val="18"/>
                <w:szCs w:val="18"/>
                <w:color w:val="auto"/>
              </w:rPr>
              <w:t>First-lien loan ($17,429 par,</w:t>
            </w:r>
          </w:p>
        </w:tc>
        <w:tc>
          <w:tcPr>
            <w:tcW w:w="10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540" w:type="dxa"/>
            <w:vAlign w:val="bottom"/>
          </w:tcPr>
          <w:p>
            <w:pPr>
              <w:spacing w:after="0"/>
              <w:rPr>
                <w:sz w:val="20"/>
                <w:szCs w:val="20"/>
                <w:color w:val="auto"/>
              </w:rPr>
            </w:pPr>
          </w:p>
        </w:tc>
        <w:tc>
          <w:tcPr>
            <w:tcW w:w="2340" w:type="dxa"/>
            <w:vAlign w:val="bottom"/>
          </w:tcPr>
          <w:p>
            <w:pPr>
              <w:ind w:left="80"/>
              <w:spacing w:after="0"/>
              <w:rPr>
                <w:sz w:val="20"/>
                <w:szCs w:val="20"/>
                <w:color w:val="auto"/>
              </w:rPr>
            </w:pPr>
            <w:r>
              <w:rPr>
                <w:rFonts w:ascii="Arial" w:cs="Arial" w:eastAsia="Arial" w:hAnsi="Arial"/>
                <w:sz w:val="18"/>
                <w:szCs w:val="18"/>
                <w:color w:val="auto"/>
              </w:rPr>
              <w:t>due 6/2020)</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6/29/2018</w:t>
            </w:r>
          </w:p>
        </w:tc>
        <w:tc>
          <w:tcPr>
            <w:tcW w:w="1320" w:type="dxa"/>
            <w:vAlign w:val="bottom"/>
          </w:tcPr>
          <w:p>
            <w:pPr>
              <w:jc w:val="right"/>
              <w:ind w:right="350"/>
              <w:spacing w:after="0"/>
              <w:rPr>
                <w:sz w:val="20"/>
                <w:szCs w:val="20"/>
                <w:color w:val="auto"/>
              </w:rPr>
            </w:pPr>
            <w:r>
              <w:rPr>
                <w:rFonts w:ascii="Arial" w:cs="Arial" w:eastAsia="Arial" w:hAnsi="Arial"/>
                <w:sz w:val="18"/>
                <w:szCs w:val="18"/>
                <w:color w:val="auto"/>
              </w:rPr>
              <w:t>L + 9.00%</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11.52%</w:t>
            </w:r>
          </w:p>
        </w:tc>
        <w:tc>
          <w:tcPr>
            <w:tcW w:w="860" w:type="dxa"/>
            <w:vAlign w:val="bottom"/>
          </w:tcPr>
          <w:p>
            <w:pPr>
              <w:jc w:val="right"/>
              <w:spacing w:after="0"/>
              <w:rPr>
                <w:sz w:val="20"/>
                <w:szCs w:val="20"/>
                <w:color w:val="auto"/>
              </w:rPr>
            </w:pPr>
            <w:r>
              <w:rPr>
                <w:rFonts w:ascii="Arial" w:cs="Arial" w:eastAsia="Arial" w:hAnsi="Arial"/>
                <w:sz w:val="18"/>
                <w:szCs w:val="18"/>
                <w:color w:val="auto"/>
              </w:rPr>
              <w:t>17,429</w:t>
            </w: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17,080</w:t>
            </w:r>
          </w:p>
        </w:tc>
        <w:tc>
          <w:tcPr>
            <w:tcW w:w="22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20"/>
                <w:szCs w:val="20"/>
                <w:color w:val="auto"/>
              </w:rPr>
            </w:pPr>
          </w:p>
        </w:tc>
      </w:tr>
      <w:tr>
        <w:trPr>
          <w:trHeight w:val="20"/>
        </w:trPr>
        <w:tc>
          <w:tcPr>
            <w:tcW w:w="2540" w:type="dxa"/>
            <w:vAlign w:val="bottom"/>
            <w:shd w:val="clear" w:color="auto" w:fill="CFF0FC"/>
          </w:tcPr>
          <w:p>
            <w:pPr>
              <w:spacing w:after="0" w:line="20" w:lineRule="exact"/>
              <w:rPr>
                <w:sz w:val="1"/>
                <w:szCs w:val="1"/>
                <w:color w:val="auto"/>
              </w:rPr>
            </w:pPr>
          </w:p>
        </w:tc>
        <w:tc>
          <w:tcPr>
            <w:tcW w:w="2340" w:type="dxa"/>
            <w:vAlign w:val="bottom"/>
            <w:shd w:val="clear" w:color="auto" w:fill="CFF0FC"/>
          </w:tcPr>
          <w:p>
            <w:pPr>
              <w:spacing w:after="0" w:line="20" w:lineRule="exact"/>
              <w:rPr>
                <w:sz w:val="1"/>
                <w:szCs w:val="1"/>
                <w:color w:val="auto"/>
              </w:rPr>
            </w:pPr>
          </w:p>
        </w:tc>
        <w:tc>
          <w:tcPr>
            <w:tcW w:w="1020" w:type="dxa"/>
            <w:vAlign w:val="bottom"/>
            <w:shd w:val="clear" w:color="auto" w:fill="CFF0FC"/>
          </w:tcPr>
          <w:p>
            <w:pPr>
              <w:spacing w:after="0" w:line="20" w:lineRule="exact"/>
              <w:rPr>
                <w:sz w:val="1"/>
                <w:szCs w:val="1"/>
                <w:color w:val="auto"/>
              </w:rPr>
            </w:pPr>
          </w:p>
        </w:tc>
        <w:tc>
          <w:tcPr>
            <w:tcW w:w="1320" w:type="dxa"/>
            <w:vAlign w:val="bottom"/>
            <w:shd w:val="clear" w:color="auto" w:fill="CFF0FC"/>
          </w:tcPr>
          <w:p>
            <w:pPr>
              <w:spacing w:after="0" w:line="20" w:lineRule="exact"/>
              <w:rPr>
                <w:sz w:val="1"/>
                <w:szCs w:val="1"/>
                <w:color w:val="auto"/>
              </w:rPr>
            </w:pPr>
          </w:p>
        </w:tc>
        <w:tc>
          <w:tcPr>
            <w:tcW w:w="114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540" w:type="dxa"/>
            <w:vAlign w:val="bottom"/>
            <w:shd w:val="clear" w:color="auto" w:fill="CFF0FC"/>
          </w:tcPr>
          <w:p>
            <w:pPr>
              <w:spacing w:after="0"/>
              <w:rPr>
                <w:sz w:val="19"/>
                <w:szCs w:val="19"/>
                <w:color w:val="auto"/>
              </w:rPr>
            </w:pPr>
          </w:p>
        </w:tc>
        <w:tc>
          <w:tcPr>
            <w:tcW w:w="23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31,959</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31,405</w:t>
            </w:r>
          </w:p>
        </w:tc>
        <w:tc>
          <w:tcPr>
            <w:tcW w:w="2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9"/>
                <w:szCs w:val="19"/>
                <w:color w:val="auto"/>
              </w:rPr>
            </w:pPr>
          </w:p>
        </w:tc>
      </w:tr>
      <w:tr>
        <w:trPr>
          <w:trHeight w:val="223"/>
        </w:trPr>
        <w:tc>
          <w:tcPr>
            <w:tcW w:w="2540" w:type="dxa"/>
            <w:vAlign w:val="bottom"/>
          </w:tcPr>
          <w:p>
            <w:pPr>
              <w:spacing w:after="0"/>
              <w:rPr>
                <w:sz w:val="20"/>
                <w:szCs w:val="20"/>
                <w:color w:val="auto"/>
              </w:rPr>
            </w:pPr>
            <w:r>
              <w:rPr>
                <w:rFonts w:ascii="Arial" w:cs="Arial" w:eastAsia="Arial" w:hAnsi="Arial"/>
                <w:sz w:val="18"/>
                <w:szCs w:val="18"/>
                <w:b w:val="1"/>
                <w:bCs w:val="1"/>
                <w:color w:val="auto"/>
              </w:rPr>
              <w:t>Pharmaceuticals</w:t>
            </w:r>
          </w:p>
        </w:tc>
        <w:tc>
          <w:tcPr>
            <w:tcW w:w="2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540" w:type="dxa"/>
            <w:vAlign w:val="bottom"/>
            <w:shd w:val="clear" w:color="auto" w:fill="CFF0FC"/>
          </w:tcPr>
          <w:p>
            <w:pPr>
              <w:spacing w:after="0"/>
              <w:rPr>
                <w:sz w:val="20"/>
                <w:szCs w:val="20"/>
                <w:color w:val="auto"/>
              </w:rPr>
            </w:pPr>
            <w:r>
              <w:rPr>
                <w:rFonts w:ascii="Arial" w:cs="Arial" w:eastAsia="Arial" w:hAnsi="Arial"/>
                <w:sz w:val="18"/>
                <w:szCs w:val="18"/>
                <w:color w:val="auto"/>
              </w:rPr>
              <w:t>Ironwood Pharmaceuticals, Inc.</w:t>
            </w:r>
          </w:p>
        </w:tc>
        <w:tc>
          <w:tcPr>
            <w:tcW w:w="2340" w:type="dxa"/>
            <w:vAlign w:val="bottom"/>
            <w:shd w:val="clear" w:color="auto" w:fill="CFF0FC"/>
          </w:tcPr>
          <w:p>
            <w:pPr>
              <w:ind w:left="80"/>
              <w:spacing w:after="0"/>
              <w:rPr>
                <w:sz w:val="20"/>
                <w:szCs w:val="20"/>
                <w:color w:val="auto"/>
              </w:rPr>
            </w:pPr>
            <w:r>
              <w:rPr>
                <w:rFonts w:ascii="Arial" w:cs="Arial" w:eastAsia="Arial" w:hAnsi="Arial"/>
                <w:sz w:val="18"/>
                <w:szCs w:val="18"/>
                <w:color w:val="auto"/>
              </w:rPr>
              <w:t>Secured note ($33,333 par,</w:t>
            </w:r>
          </w:p>
        </w:tc>
        <w:tc>
          <w:tcPr>
            <w:tcW w:w="10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540" w:type="dxa"/>
            <w:vAlign w:val="bottom"/>
            <w:shd w:val="clear" w:color="auto" w:fill="CFF0FC"/>
          </w:tcPr>
          <w:p>
            <w:pPr>
              <w:spacing w:after="0"/>
              <w:rPr>
                <w:sz w:val="20"/>
                <w:szCs w:val="20"/>
                <w:color w:val="auto"/>
              </w:rPr>
            </w:pPr>
            <w:r>
              <w:rPr>
                <w:rFonts w:ascii="Arial" w:cs="Arial" w:eastAsia="Arial" w:hAnsi="Arial"/>
                <w:sz w:val="15"/>
                <w:szCs w:val="15"/>
                <w:color w:val="auto"/>
              </w:rPr>
              <w:t>(4)(5)(9)</w:t>
            </w:r>
          </w:p>
        </w:tc>
        <w:tc>
          <w:tcPr>
            <w:tcW w:w="2340" w:type="dxa"/>
            <w:vAlign w:val="bottom"/>
            <w:shd w:val="clear" w:color="auto" w:fill="CFF0FC"/>
          </w:tcPr>
          <w:p>
            <w:pPr>
              <w:ind w:left="80"/>
              <w:spacing w:after="0"/>
              <w:rPr>
                <w:sz w:val="20"/>
                <w:szCs w:val="20"/>
                <w:color w:val="auto"/>
              </w:rPr>
            </w:pPr>
            <w:r>
              <w:rPr>
                <w:rFonts w:ascii="Arial" w:cs="Arial" w:eastAsia="Arial" w:hAnsi="Arial"/>
                <w:sz w:val="18"/>
                <w:szCs w:val="18"/>
                <w:color w:val="auto"/>
              </w:rPr>
              <w:t>due 9/2026)</w:t>
            </w:r>
          </w:p>
        </w:tc>
        <w:tc>
          <w:tcPr>
            <w:tcW w:w="10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1/5/2017</w:t>
            </w:r>
          </w:p>
        </w:tc>
        <w:tc>
          <w:tcPr>
            <w:tcW w:w="132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rPr>
              <w:t>8.38%</w:t>
            </w: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8.38%</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33,202</w:t>
            </w:r>
          </w:p>
        </w:tc>
        <w:tc>
          <w:tcPr>
            <w:tcW w:w="22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33,833</w:t>
            </w:r>
          </w:p>
        </w:tc>
        <w:tc>
          <w:tcPr>
            <w:tcW w:w="22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20"/>
                <w:szCs w:val="20"/>
                <w:color w:val="auto"/>
              </w:rPr>
            </w:pPr>
          </w:p>
        </w:tc>
      </w:tr>
      <w:tr>
        <w:trPr>
          <w:trHeight w:val="215"/>
        </w:trPr>
        <w:tc>
          <w:tcPr>
            <w:tcW w:w="2540" w:type="dxa"/>
            <w:vAlign w:val="bottom"/>
          </w:tcPr>
          <w:p>
            <w:pPr>
              <w:spacing w:after="0"/>
              <w:rPr>
                <w:sz w:val="20"/>
                <w:szCs w:val="20"/>
                <w:color w:val="auto"/>
              </w:rPr>
            </w:pPr>
            <w:r>
              <w:rPr>
                <w:rFonts w:ascii="Arial" w:cs="Arial" w:eastAsia="Arial" w:hAnsi="Arial"/>
                <w:sz w:val="18"/>
                <w:szCs w:val="18"/>
                <w:color w:val="auto"/>
              </w:rPr>
              <w:t xml:space="preserve">Nektar Therapeutics </w:t>
            </w:r>
            <w:r>
              <w:rPr>
                <w:rFonts w:ascii="Arial" w:cs="Arial" w:eastAsia="Arial" w:hAnsi="Arial"/>
                <w:sz w:val="15"/>
                <w:szCs w:val="15"/>
                <w:color w:val="auto"/>
              </w:rPr>
              <w:t>(4)(5)(9)</w:t>
            </w:r>
          </w:p>
        </w:tc>
        <w:tc>
          <w:tcPr>
            <w:tcW w:w="2340" w:type="dxa"/>
            <w:vAlign w:val="bottom"/>
          </w:tcPr>
          <w:p>
            <w:pPr>
              <w:ind w:left="80"/>
              <w:spacing w:after="0"/>
              <w:rPr>
                <w:sz w:val="20"/>
                <w:szCs w:val="20"/>
                <w:color w:val="auto"/>
              </w:rPr>
            </w:pPr>
            <w:r>
              <w:rPr>
                <w:rFonts w:ascii="Arial" w:cs="Arial" w:eastAsia="Arial" w:hAnsi="Arial"/>
                <w:sz w:val="18"/>
                <w:szCs w:val="18"/>
                <w:color w:val="auto"/>
              </w:rPr>
              <w:t>Secured note ($74,950 par,</w:t>
            </w:r>
          </w:p>
        </w:tc>
        <w:tc>
          <w:tcPr>
            <w:tcW w:w="10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540" w:type="dxa"/>
            <w:vAlign w:val="bottom"/>
          </w:tcPr>
          <w:p>
            <w:pPr>
              <w:spacing w:after="0"/>
              <w:rPr>
                <w:sz w:val="20"/>
                <w:szCs w:val="20"/>
                <w:color w:val="auto"/>
              </w:rPr>
            </w:pPr>
          </w:p>
        </w:tc>
        <w:tc>
          <w:tcPr>
            <w:tcW w:w="2340" w:type="dxa"/>
            <w:vAlign w:val="bottom"/>
          </w:tcPr>
          <w:p>
            <w:pPr>
              <w:ind w:left="80"/>
              <w:spacing w:after="0"/>
              <w:rPr>
                <w:sz w:val="20"/>
                <w:szCs w:val="20"/>
                <w:color w:val="auto"/>
              </w:rPr>
            </w:pPr>
            <w:r>
              <w:rPr>
                <w:rFonts w:ascii="Arial" w:cs="Arial" w:eastAsia="Arial" w:hAnsi="Arial"/>
                <w:sz w:val="18"/>
                <w:szCs w:val="18"/>
                <w:color w:val="auto"/>
              </w:rPr>
              <w:t>due 10/2020)</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10/5/2015</w:t>
            </w:r>
          </w:p>
        </w:tc>
        <w:tc>
          <w:tcPr>
            <w:tcW w:w="1320" w:type="dxa"/>
            <w:vAlign w:val="bottom"/>
          </w:tcPr>
          <w:p>
            <w:pPr>
              <w:jc w:val="right"/>
              <w:ind w:right="350"/>
              <w:spacing w:after="0"/>
              <w:rPr>
                <w:sz w:val="20"/>
                <w:szCs w:val="20"/>
                <w:color w:val="auto"/>
              </w:rPr>
            </w:pPr>
            <w:r>
              <w:rPr>
                <w:rFonts w:ascii="Arial" w:cs="Arial" w:eastAsia="Arial" w:hAnsi="Arial"/>
                <w:sz w:val="18"/>
                <w:szCs w:val="18"/>
                <w:color w:val="auto"/>
              </w:rPr>
              <w:t>7.75%</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7.75%</w:t>
            </w:r>
          </w:p>
        </w:tc>
        <w:tc>
          <w:tcPr>
            <w:tcW w:w="860" w:type="dxa"/>
            <w:vAlign w:val="bottom"/>
          </w:tcPr>
          <w:p>
            <w:pPr>
              <w:jc w:val="right"/>
              <w:spacing w:after="0"/>
              <w:rPr>
                <w:sz w:val="20"/>
                <w:szCs w:val="20"/>
                <w:color w:val="auto"/>
              </w:rPr>
            </w:pPr>
            <w:r>
              <w:rPr>
                <w:rFonts w:ascii="Arial" w:cs="Arial" w:eastAsia="Arial" w:hAnsi="Arial"/>
                <w:sz w:val="18"/>
                <w:szCs w:val="18"/>
                <w:color w:val="auto"/>
              </w:rPr>
              <w:t>74,559</w:t>
            </w: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76,074</w:t>
            </w:r>
          </w:p>
        </w:tc>
        <w:tc>
          <w:tcPr>
            <w:tcW w:w="22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20" w:type="dxa"/>
            <w:vAlign w:val="bottom"/>
          </w:tcPr>
          <w:p>
            <w:pPr>
              <w:spacing w:after="0"/>
              <w:rPr>
                <w:sz w:val="20"/>
                <w:szCs w:val="20"/>
                <w:color w:val="auto"/>
              </w:rPr>
            </w:pPr>
          </w:p>
        </w:tc>
      </w:tr>
      <w:tr>
        <w:trPr>
          <w:trHeight w:val="20"/>
        </w:trPr>
        <w:tc>
          <w:tcPr>
            <w:tcW w:w="2540" w:type="dxa"/>
            <w:vAlign w:val="bottom"/>
            <w:shd w:val="clear" w:color="auto" w:fill="CFF0FC"/>
          </w:tcPr>
          <w:p>
            <w:pPr>
              <w:spacing w:after="0" w:line="20" w:lineRule="exact"/>
              <w:rPr>
                <w:sz w:val="1"/>
                <w:szCs w:val="1"/>
                <w:color w:val="auto"/>
              </w:rPr>
            </w:pPr>
          </w:p>
        </w:tc>
        <w:tc>
          <w:tcPr>
            <w:tcW w:w="2340" w:type="dxa"/>
            <w:vAlign w:val="bottom"/>
            <w:shd w:val="clear" w:color="auto" w:fill="CFF0FC"/>
          </w:tcPr>
          <w:p>
            <w:pPr>
              <w:spacing w:after="0" w:line="20" w:lineRule="exact"/>
              <w:rPr>
                <w:sz w:val="1"/>
                <w:szCs w:val="1"/>
                <w:color w:val="auto"/>
              </w:rPr>
            </w:pPr>
          </w:p>
        </w:tc>
        <w:tc>
          <w:tcPr>
            <w:tcW w:w="1020" w:type="dxa"/>
            <w:vAlign w:val="bottom"/>
            <w:shd w:val="clear" w:color="auto" w:fill="CFF0FC"/>
          </w:tcPr>
          <w:p>
            <w:pPr>
              <w:spacing w:after="0" w:line="20" w:lineRule="exact"/>
              <w:rPr>
                <w:sz w:val="1"/>
                <w:szCs w:val="1"/>
                <w:color w:val="auto"/>
              </w:rPr>
            </w:pPr>
          </w:p>
        </w:tc>
        <w:tc>
          <w:tcPr>
            <w:tcW w:w="1320" w:type="dxa"/>
            <w:vAlign w:val="bottom"/>
            <w:shd w:val="clear" w:color="auto" w:fill="CFF0FC"/>
          </w:tcPr>
          <w:p>
            <w:pPr>
              <w:spacing w:after="0" w:line="20" w:lineRule="exact"/>
              <w:rPr>
                <w:sz w:val="1"/>
                <w:szCs w:val="1"/>
                <w:color w:val="auto"/>
              </w:rPr>
            </w:pPr>
          </w:p>
        </w:tc>
        <w:tc>
          <w:tcPr>
            <w:tcW w:w="114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540" w:type="dxa"/>
            <w:vAlign w:val="bottom"/>
            <w:shd w:val="clear" w:color="auto" w:fill="CFF0FC"/>
          </w:tcPr>
          <w:p>
            <w:pPr>
              <w:spacing w:after="0"/>
              <w:rPr>
                <w:sz w:val="19"/>
                <w:szCs w:val="19"/>
                <w:color w:val="auto"/>
              </w:rPr>
            </w:pPr>
          </w:p>
        </w:tc>
        <w:tc>
          <w:tcPr>
            <w:tcW w:w="23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107,761</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109,907</w:t>
            </w:r>
          </w:p>
        </w:tc>
        <w:tc>
          <w:tcPr>
            <w:tcW w:w="2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10.4%</w:t>
            </w:r>
          </w:p>
        </w:tc>
        <w:tc>
          <w:tcPr>
            <w:tcW w:w="20" w:type="dxa"/>
            <w:vAlign w:val="bottom"/>
          </w:tcPr>
          <w:p>
            <w:pPr>
              <w:spacing w:after="0"/>
              <w:rPr>
                <w:sz w:val="19"/>
                <w:szCs w:val="19"/>
                <w:color w:val="auto"/>
              </w:rPr>
            </w:pPr>
          </w:p>
        </w:tc>
      </w:tr>
      <w:tr>
        <w:trPr>
          <w:trHeight w:val="205"/>
        </w:trPr>
        <w:tc>
          <w:tcPr>
            <w:tcW w:w="2540" w:type="dxa"/>
            <w:vAlign w:val="bottom"/>
          </w:tcPr>
          <w:p>
            <w:pPr>
              <w:spacing w:after="0" w:line="205" w:lineRule="exact"/>
              <w:rPr>
                <w:sz w:val="20"/>
                <w:szCs w:val="20"/>
                <w:color w:val="auto"/>
              </w:rPr>
            </w:pPr>
            <w:r>
              <w:rPr>
                <w:rFonts w:ascii="Arial" w:cs="Arial" w:eastAsia="Arial" w:hAnsi="Arial"/>
                <w:sz w:val="18"/>
                <w:szCs w:val="18"/>
                <w:b w:val="1"/>
                <w:bCs w:val="1"/>
                <w:color w:val="auto"/>
              </w:rPr>
              <w:t>Retail and consumer</w:t>
            </w:r>
          </w:p>
        </w:tc>
        <w:tc>
          <w:tcPr>
            <w:tcW w:w="2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4"/>
        </w:trPr>
        <w:tc>
          <w:tcPr>
            <w:tcW w:w="2540" w:type="dxa"/>
            <w:vAlign w:val="bottom"/>
          </w:tcPr>
          <w:p>
            <w:pPr>
              <w:ind w:left="140"/>
              <w:spacing w:after="0"/>
              <w:rPr>
                <w:sz w:val="20"/>
                <w:szCs w:val="20"/>
                <w:color w:val="auto"/>
              </w:rPr>
            </w:pPr>
            <w:r>
              <w:rPr>
                <w:rFonts w:ascii="Arial" w:cs="Arial" w:eastAsia="Arial" w:hAnsi="Arial"/>
                <w:sz w:val="18"/>
                <w:szCs w:val="18"/>
                <w:b w:val="1"/>
                <w:bCs w:val="1"/>
                <w:color w:val="auto"/>
              </w:rPr>
              <w:t>products</w:t>
            </w:r>
          </w:p>
        </w:tc>
        <w:tc>
          <w:tcPr>
            <w:tcW w:w="2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5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99 Cents Only Stores LLC </w:t>
            </w:r>
            <w:r>
              <w:rPr>
                <w:rFonts w:ascii="Arial" w:cs="Arial" w:eastAsia="Arial" w:hAnsi="Arial"/>
                <w:sz w:val="15"/>
                <w:szCs w:val="15"/>
                <w:color w:val="auto"/>
              </w:rPr>
              <w:t>(3)</w:t>
            </w:r>
          </w:p>
        </w:tc>
        <w:tc>
          <w:tcPr>
            <w:tcW w:w="2340" w:type="dxa"/>
            <w:vAlign w:val="bottom"/>
            <w:shd w:val="clear" w:color="auto" w:fill="CFF0FC"/>
          </w:tcPr>
          <w:p>
            <w:pPr>
              <w:ind w:left="80"/>
              <w:spacing w:after="0"/>
              <w:rPr>
                <w:sz w:val="20"/>
                <w:szCs w:val="20"/>
                <w:color w:val="auto"/>
              </w:rPr>
            </w:pPr>
            <w:r>
              <w:rPr>
                <w:rFonts w:ascii="Arial" w:cs="Arial" w:eastAsia="Arial" w:hAnsi="Arial"/>
                <w:sz w:val="18"/>
                <w:szCs w:val="18"/>
                <w:color w:val="auto"/>
              </w:rPr>
              <w:t>ABL FILO term loan</w:t>
            </w:r>
          </w:p>
        </w:tc>
        <w:tc>
          <w:tcPr>
            <w:tcW w:w="10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540" w:type="dxa"/>
            <w:vAlign w:val="bottom"/>
            <w:shd w:val="clear" w:color="auto" w:fill="CFF0FC"/>
          </w:tcPr>
          <w:p>
            <w:pPr>
              <w:spacing w:after="0"/>
              <w:rPr>
                <w:sz w:val="20"/>
                <w:szCs w:val="20"/>
                <w:color w:val="auto"/>
              </w:rPr>
            </w:pPr>
          </w:p>
        </w:tc>
        <w:tc>
          <w:tcPr>
            <w:tcW w:w="2340" w:type="dxa"/>
            <w:vAlign w:val="bottom"/>
            <w:shd w:val="clear" w:color="auto" w:fill="CFF0FC"/>
          </w:tcPr>
          <w:p>
            <w:pPr>
              <w:ind w:left="80"/>
              <w:spacing w:after="0"/>
              <w:rPr>
                <w:sz w:val="20"/>
                <w:szCs w:val="20"/>
                <w:color w:val="auto"/>
              </w:rPr>
            </w:pPr>
            <w:r>
              <w:rPr>
                <w:rFonts w:ascii="Arial" w:cs="Arial" w:eastAsia="Arial" w:hAnsi="Arial"/>
                <w:sz w:val="18"/>
                <w:szCs w:val="18"/>
                <w:color w:val="auto"/>
              </w:rPr>
              <w:t>($32,500 par, due 4/2021)</w:t>
            </w:r>
          </w:p>
        </w:tc>
        <w:tc>
          <w:tcPr>
            <w:tcW w:w="10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9/6/2017</w:t>
            </w:r>
          </w:p>
        </w:tc>
        <w:tc>
          <w:tcPr>
            <w:tcW w:w="132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rPr>
              <w:t>L + 7.75%</w:t>
            </w: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10.49%</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32,164</w:t>
            </w:r>
          </w:p>
        </w:tc>
        <w:tc>
          <w:tcPr>
            <w:tcW w:w="22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32,338</w:t>
            </w:r>
          </w:p>
        </w:tc>
        <w:tc>
          <w:tcPr>
            <w:tcW w:w="22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20"/>
                <w:szCs w:val="20"/>
                <w:color w:val="auto"/>
              </w:rPr>
            </w:pPr>
          </w:p>
        </w:tc>
      </w:tr>
      <w:tr>
        <w:trPr>
          <w:trHeight w:val="215"/>
        </w:trPr>
        <w:tc>
          <w:tcPr>
            <w:tcW w:w="2540" w:type="dxa"/>
            <w:vAlign w:val="bottom"/>
          </w:tcPr>
          <w:p>
            <w:pPr>
              <w:spacing w:after="0"/>
              <w:rPr>
                <w:sz w:val="20"/>
                <w:szCs w:val="20"/>
                <w:color w:val="auto"/>
              </w:rPr>
            </w:pPr>
            <w:r>
              <w:rPr>
                <w:rFonts w:ascii="Arial" w:cs="Arial" w:eastAsia="Arial" w:hAnsi="Arial"/>
                <w:sz w:val="18"/>
                <w:szCs w:val="18"/>
                <w:color w:val="auto"/>
              </w:rPr>
              <w:t>American Achievement</w:t>
            </w:r>
          </w:p>
        </w:tc>
        <w:tc>
          <w:tcPr>
            <w:tcW w:w="2340" w:type="dxa"/>
            <w:vAlign w:val="bottom"/>
          </w:tcPr>
          <w:p>
            <w:pPr>
              <w:ind w:left="80"/>
              <w:spacing w:after="0"/>
              <w:rPr>
                <w:sz w:val="20"/>
                <w:szCs w:val="20"/>
                <w:color w:val="auto"/>
              </w:rPr>
            </w:pPr>
            <w:r>
              <w:rPr>
                <w:rFonts w:ascii="Arial" w:cs="Arial" w:eastAsia="Arial" w:hAnsi="Arial"/>
                <w:sz w:val="18"/>
                <w:szCs w:val="18"/>
                <w:color w:val="auto"/>
              </w:rPr>
              <w:t>First-lien loan ($22,403 par,</w:t>
            </w:r>
          </w:p>
        </w:tc>
        <w:tc>
          <w:tcPr>
            <w:tcW w:w="10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540" w:type="dxa"/>
            <w:vAlign w:val="bottom"/>
          </w:tcPr>
          <w:p>
            <w:pPr>
              <w:spacing w:after="0"/>
              <w:rPr>
                <w:sz w:val="20"/>
                <w:szCs w:val="20"/>
                <w:color w:val="auto"/>
              </w:rPr>
            </w:pPr>
            <w:r>
              <w:rPr>
                <w:rFonts w:ascii="Arial" w:cs="Arial" w:eastAsia="Arial" w:hAnsi="Arial"/>
                <w:sz w:val="18"/>
                <w:szCs w:val="18"/>
                <w:color w:val="auto"/>
              </w:rPr>
              <w:t xml:space="preserve">Corporation </w:t>
            </w:r>
            <w:r>
              <w:rPr>
                <w:rFonts w:ascii="Arial" w:cs="Arial" w:eastAsia="Arial" w:hAnsi="Arial"/>
                <w:sz w:val="15"/>
                <w:szCs w:val="15"/>
                <w:color w:val="auto"/>
              </w:rPr>
              <w:t>(3)</w:t>
            </w:r>
          </w:p>
        </w:tc>
        <w:tc>
          <w:tcPr>
            <w:tcW w:w="2340" w:type="dxa"/>
            <w:vAlign w:val="bottom"/>
          </w:tcPr>
          <w:p>
            <w:pPr>
              <w:ind w:left="80"/>
              <w:spacing w:after="0"/>
              <w:rPr>
                <w:sz w:val="20"/>
                <w:szCs w:val="20"/>
                <w:color w:val="auto"/>
              </w:rPr>
            </w:pPr>
            <w:r>
              <w:rPr>
                <w:rFonts w:ascii="Arial" w:cs="Arial" w:eastAsia="Arial" w:hAnsi="Arial"/>
                <w:sz w:val="18"/>
                <w:szCs w:val="18"/>
                <w:color w:val="auto"/>
              </w:rPr>
              <w:t>due 9/2020)</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9/30/2015</w:t>
            </w:r>
          </w:p>
        </w:tc>
        <w:tc>
          <w:tcPr>
            <w:tcW w:w="1320" w:type="dxa"/>
            <w:vAlign w:val="bottom"/>
          </w:tcPr>
          <w:p>
            <w:pPr>
              <w:jc w:val="right"/>
              <w:ind w:right="350"/>
              <w:spacing w:after="0"/>
              <w:rPr>
                <w:sz w:val="20"/>
                <w:szCs w:val="20"/>
                <w:color w:val="auto"/>
              </w:rPr>
            </w:pPr>
            <w:r>
              <w:rPr>
                <w:rFonts w:ascii="Arial" w:cs="Arial" w:eastAsia="Arial" w:hAnsi="Arial"/>
                <w:sz w:val="18"/>
                <w:szCs w:val="18"/>
                <w:color w:val="auto"/>
              </w:rPr>
              <w:t>L + 8.25%</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10.60%</w:t>
            </w:r>
          </w:p>
        </w:tc>
        <w:tc>
          <w:tcPr>
            <w:tcW w:w="860" w:type="dxa"/>
            <w:vAlign w:val="bottom"/>
          </w:tcPr>
          <w:p>
            <w:pPr>
              <w:jc w:val="right"/>
              <w:spacing w:after="0"/>
              <w:rPr>
                <w:sz w:val="20"/>
                <w:szCs w:val="20"/>
                <w:color w:val="auto"/>
              </w:rPr>
            </w:pPr>
            <w:r>
              <w:rPr>
                <w:rFonts w:ascii="Arial" w:cs="Arial" w:eastAsia="Arial" w:hAnsi="Arial"/>
                <w:sz w:val="18"/>
                <w:szCs w:val="18"/>
                <w:color w:val="auto"/>
              </w:rPr>
              <w:t>22,277</w:t>
            </w: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22,179</w:t>
            </w:r>
          </w:p>
        </w:tc>
        <w:tc>
          <w:tcPr>
            <w:tcW w:w="22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20"/>
                <w:szCs w:val="20"/>
                <w:color w:val="auto"/>
              </w:rPr>
            </w:pPr>
          </w:p>
        </w:tc>
      </w:tr>
      <w:tr>
        <w:trPr>
          <w:trHeight w:val="215"/>
        </w:trPr>
        <w:tc>
          <w:tcPr>
            <w:tcW w:w="2540" w:type="dxa"/>
            <w:vAlign w:val="bottom"/>
            <w:shd w:val="clear" w:color="auto" w:fill="CFF0FC"/>
          </w:tcPr>
          <w:p>
            <w:pPr>
              <w:spacing w:after="0"/>
              <w:rPr>
                <w:sz w:val="18"/>
                <w:szCs w:val="18"/>
                <w:color w:val="auto"/>
              </w:rPr>
            </w:pPr>
          </w:p>
        </w:tc>
        <w:tc>
          <w:tcPr>
            <w:tcW w:w="2340" w:type="dxa"/>
            <w:vAlign w:val="bottom"/>
            <w:shd w:val="clear" w:color="auto" w:fill="CFF0FC"/>
          </w:tcPr>
          <w:p>
            <w:pPr>
              <w:ind w:left="80"/>
              <w:spacing w:after="0"/>
              <w:rPr>
                <w:sz w:val="20"/>
                <w:szCs w:val="20"/>
                <w:color w:val="auto"/>
              </w:rPr>
            </w:pPr>
            <w:r>
              <w:rPr>
                <w:rFonts w:ascii="Arial" w:cs="Arial" w:eastAsia="Arial" w:hAnsi="Arial"/>
                <w:sz w:val="18"/>
                <w:szCs w:val="18"/>
                <w:color w:val="auto"/>
              </w:rPr>
              <w:t>Secured Promissory Note</w:t>
            </w:r>
          </w:p>
        </w:tc>
        <w:tc>
          <w:tcPr>
            <w:tcW w:w="10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540" w:type="dxa"/>
            <w:vAlign w:val="bottom"/>
            <w:shd w:val="clear" w:color="auto" w:fill="CFF0FC"/>
          </w:tcPr>
          <w:p>
            <w:pPr>
              <w:spacing w:after="0"/>
              <w:rPr>
                <w:sz w:val="20"/>
                <w:szCs w:val="20"/>
                <w:color w:val="auto"/>
              </w:rPr>
            </w:pPr>
          </w:p>
        </w:tc>
        <w:tc>
          <w:tcPr>
            <w:tcW w:w="2340" w:type="dxa"/>
            <w:vAlign w:val="bottom"/>
            <w:shd w:val="clear" w:color="auto" w:fill="CFF0FC"/>
          </w:tcPr>
          <w:p>
            <w:pPr>
              <w:ind w:left="80"/>
              <w:spacing w:after="0"/>
              <w:rPr>
                <w:sz w:val="20"/>
                <w:szCs w:val="20"/>
                <w:color w:val="auto"/>
              </w:rPr>
            </w:pPr>
            <w:r>
              <w:rPr>
                <w:rFonts w:ascii="Arial" w:cs="Arial" w:eastAsia="Arial" w:hAnsi="Arial"/>
                <w:sz w:val="18"/>
                <w:szCs w:val="18"/>
                <w:color w:val="auto"/>
              </w:rPr>
              <w:t>($795 par, due 12/2020)</w:t>
            </w:r>
          </w:p>
        </w:tc>
        <w:tc>
          <w:tcPr>
            <w:tcW w:w="10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5"/>
              </w:rPr>
              <w:t>12/19/2018</w:t>
            </w:r>
          </w:p>
        </w:tc>
        <w:tc>
          <w:tcPr>
            <w:tcW w:w="132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rPr>
              <w:t>L + 8.25%</w:t>
            </w: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10.64%</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787</w:t>
            </w:r>
          </w:p>
        </w:tc>
        <w:tc>
          <w:tcPr>
            <w:tcW w:w="22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787</w:t>
            </w:r>
          </w:p>
        </w:tc>
        <w:tc>
          <w:tcPr>
            <w:tcW w:w="22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20"/>
                <w:szCs w:val="20"/>
                <w:color w:val="auto"/>
              </w:rPr>
            </w:pPr>
          </w:p>
        </w:tc>
      </w:tr>
      <w:tr>
        <w:trPr>
          <w:trHeight w:val="215"/>
        </w:trPr>
        <w:tc>
          <w:tcPr>
            <w:tcW w:w="2540" w:type="dxa"/>
            <w:vAlign w:val="bottom"/>
          </w:tcPr>
          <w:p>
            <w:pPr>
              <w:spacing w:after="0"/>
              <w:rPr>
                <w:sz w:val="20"/>
                <w:szCs w:val="20"/>
                <w:color w:val="auto"/>
              </w:rPr>
            </w:pPr>
            <w:r>
              <w:rPr>
                <w:rFonts w:ascii="Arial" w:cs="Arial" w:eastAsia="Arial" w:hAnsi="Arial"/>
                <w:sz w:val="18"/>
                <w:szCs w:val="18"/>
                <w:color w:val="auto"/>
              </w:rPr>
              <w:t xml:space="preserve">PayLess Inc. </w:t>
            </w:r>
            <w:r>
              <w:rPr>
                <w:rFonts w:ascii="Arial" w:cs="Arial" w:eastAsia="Arial" w:hAnsi="Arial"/>
                <w:sz w:val="15"/>
                <w:szCs w:val="15"/>
                <w:color w:val="auto"/>
              </w:rPr>
              <w:t>(3)(5)</w:t>
            </w:r>
          </w:p>
        </w:tc>
        <w:tc>
          <w:tcPr>
            <w:tcW w:w="2340" w:type="dxa"/>
            <w:vAlign w:val="bottom"/>
          </w:tcPr>
          <w:p>
            <w:pPr>
              <w:ind w:left="80"/>
              <w:spacing w:after="0"/>
              <w:rPr>
                <w:sz w:val="20"/>
                <w:szCs w:val="20"/>
                <w:color w:val="auto"/>
              </w:rPr>
            </w:pPr>
            <w:r>
              <w:rPr>
                <w:rFonts w:ascii="Arial" w:cs="Arial" w:eastAsia="Arial" w:hAnsi="Arial"/>
                <w:sz w:val="18"/>
                <w:szCs w:val="18"/>
                <w:color w:val="auto"/>
              </w:rPr>
              <w:t>ABL FILO term</w:t>
            </w:r>
          </w:p>
        </w:tc>
        <w:tc>
          <w:tcPr>
            <w:tcW w:w="10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540" w:type="dxa"/>
            <w:vAlign w:val="bottom"/>
          </w:tcPr>
          <w:p>
            <w:pPr>
              <w:spacing w:after="0"/>
              <w:rPr>
                <w:sz w:val="18"/>
                <w:szCs w:val="18"/>
                <w:color w:val="auto"/>
              </w:rPr>
            </w:pPr>
          </w:p>
        </w:tc>
        <w:tc>
          <w:tcPr>
            <w:tcW w:w="2340" w:type="dxa"/>
            <w:vAlign w:val="bottom"/>
          </w:tcPr>
          <w:p>
            <w:pPr>
              <w:ind w:left="80"/>
              <w:spacing w:after="0"/>
              <w:rPr>
                <w:sz w:val="20"/>
                <w:szCs w:val="20"/>
                <w:color w:val="auto"/>
              </w:rPr>
            </w:pPr>
            <w:r>
              <w:rPr>
                <w:rFonts w:ascii="Arial" w:cs="Arial" w:eastAsia="Arial" w:hAnsi="Arial"/>
                <w:sz w:val="18"/>
                <w:szCs w:val="18"/>
                <w:color w:val="auto"/>
              </w:rPr>
              <w:t>loan ($14,063 par, due</w:t>
            </w:r>
          </w:p>
        </w:tc>
        <w:tc>
          <w:tcPr>
            <w:tcW w:w="10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540" w:type="dxa"/>
            <w:vAlign w:val="bottom"/>
          </w:tcPr>
          <w:p>
            <w:pPr>
              <w:spacing w:after="0"/>
              <w:rPr>
                <w:sz w:val="20"/>
                <w:szCs w:val="20"/>
                <w:color w:val="auto"/>
              </w:rPr>
            </w:pPr>
          </w:p>
        </w:tc>
        <w:tc>
          <w:tcPr>
            <w:tcW w:w="2340" w:type="dxa"/>
            <w:vAlign w:val="bottom"/>
          </w:tcPr>
          <w:p>
            <w:pPr>
              <w:ind w:left="80"/>
              <w:spacing w:after="0"/>
              <w:rPr>
                <w:sz w:val="20"/>
                <w:szCs w:val="20"/>
                <w:color w:val="auto"/>
              </w:rPr>
            </w:pPr>
            <w:r>
              <w:rPr>
                <w:rFonts w:ascii="Arial" w:cs="Arial" w:eastAsia="Arial" w:hAnsi="Arial"/>
                <w:sz w:val="18"/>
                <w:szCs w:val="18"/>
                <w:color w:val="auto"/>
              </w:rPr>
              <w:t>8/2022)</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3/1/2018</w:t>
            </w:r>
          </w:p>
        </w:tc>
        <w:tc>
          <w:tcPr>
            <w:tcW w:w="1320" w:type="dxa"/>
            <w:vAlign w:val="bottom"/>
          </w:tcPr>
          <w:p>
            <w:pPr>
              <w:jc w:val="right"/>
              <w:ind w:right="350"/>
              <w:spacing w:after="0"/>
              <w:rPr>
                <w:sz w:val="20"/>
                <w:szCs w:val="20"/>
                <w:color w:val="auto"/>
              </w:rPr>
            </w:pPr>
            <w:r>
              <w:rPr>
                <w:rFonts w:ascii="Arial" w:cs="Arial" w:eastAsia="Arial" w:hAnsi="Arial"/>
                <w:sz w:val="18"/>
                <w:szCs w:val="18"/>
                <w:color w:val="auto"/>
              </w:rPr>
              <w:t>L + 8.00%</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10.38%</w:t>
            </w:r>
          </w:p>
        </w:tc>
        <w:tc>
          <w:tcPr>
            <w:tcW w:w="860" w:type="dxa"/>
            <w:vAlign w:val="bottom"/>
          </w:tcPr>
          <w:p>
            <w:pPr>
              <w:jc w:val="right"/>
              <w:spacing w:after="0"/>
              <w:rPr>
                <w:sz w:val="20"/>
                <w:szCs w:val="20"/>
                <w:color w:val="auto"/>
              </w:rPr>
            </w:pPr>
            <w:r>
              <w:rPr>
                <w:rFonts w:ascii="Arial" w:cs="Arial" w:eastAsia="Arial" w:hAnsi="Arial"/>
                <w:sz w:val="18"/>
                <w:szCs w:val="18"/>
                <w:color w:val="auto"/>
              </w:rPr>
              <w:t>13,806</w:t>
            </w: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13,957</w:t>
            </w:r>
          </w:p>
        </w:tc>
        <w:tc>
          <w:tcPr>
            <w:tcW w:w="22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20"/>
                <w:szCs w:val="20"/>
                <w:color w:val="auto"/>
              </w:rPr>
            </w:pPr>
          </w:p>
        </w:tc>
      </w:tr>
      <w:tr>
        <w:trPr>
          <w:trHeight w:val="215"/>
        </w:trPr>
        <w:tc>
          <w:tcPr>
            <w:tcW w:w="25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Sears </w:t>
            </w:r>
            <w:r>
              <w:rPr>
                <w:rFonts w:ascii="Arial" w:cs="Arial" w:eastAsia="Arial" w:hAnsi="Arial"/>
                <w:sz w:val="15"/>
                <w:szCs w:val="15"/>
                <w:color w:val="auto"/>
              </w:rPr>
              <w:t>(3)(4)(11)</w:t>
            </w:r>
          </w:p>
        </w:tc>
        <w:tc>
          <w:tcPr>
            <w:tcW w:w="2340" w:type="dxa"/>
            <w:vAlign w:val="bottom"/>
            <w:shd w:val="clear" w:color="auto" w:fill="CFF0FC"/>
          </w:tcPr>
          <w:p>
            <w:pPr>
              <w:ind w:left="80"/>
              <w:spacing w:after="0"/>
              <w:rPr>
                <w:sz w:val="20"/>
                <w:szCs w:val="20"/>
                <w:color w:val="auto"/>
              </w:rPr>
            </w:pPr>
            <w:r>
              <w:rPr>
                <w:rFonts w:ascii="Arial" w:cs="Arial" w:eastAsia="Arial" w:hAnsi="Arial"/>
                <w:sz w:val="18"/>
                <w:szCs w:val="18"/>
                <w:color w:val="auto"/>
              </w:rPr>
              <w:t>First-lien ABL DIP loan</w:t>
            </w:r>
          </w:p>
        </w:tc>
        <w:tc>
          <w:tcPr>
            <w:tcW w:w="10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540" w:type="dxa"/>
            <w:vAlign w:val="bottom"/>
            <w:shd w:val="clear" w:color="auto" w:fill="CFF0FC"/>
          </w:tcPr>
          <w:p>
            <w:pPr>
              <w:spacing w:after="0"/>
              <w:rPr>
                <w:sz w:val="20"/>
                <w:szCs w:val="20"/>
                <w:color w:val="auto"/>
              </w:rPr>
            </w:pPr>
          </w:p>
        </w:tc>
        <w:tc>
          <w:tcPr>
            <w:tcW w:w="2340" w:type="dxa"/>
            <w:vAlign w:val="bottom"/>
            <w:shd w:val="clear" w:color="auto" w:fill="CFF0FC"/>
          </w:tcPr>
          <w:p>
            <w:pPr>
              <w:ind w:left="80"/>
              <w:spacing w:after="0"/>
              <w:rPr>
                <w:sz w:val="20"/>
                <w:szCs w:val="20"/>
                <w:color w:val="auto"/>
              </w:rPr>
            </w:pPr>
            <w:r>
              <w:rPr>
                <w:rFonts w:ascii="Arial" w:cs="Arial" w:eastAsia="Arial" w:hAnsi="Arial"/>
                <w:sz w:val="18"/>
                <w:szCs w:val="18"/>
                <w:color w:val="auto"/>
              </w:rPr>
              <w:t>($25,394 par, due 10/2019)</w:t>
            </w:r>
          </w:p>
        </w:tc>
        <w:tc>
          <w:tcPr>
            <w:tcW w:w="10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3/18/2016</w:t>
            </w:r>
          </w:p>
        </w:tc>
        <w:tc>
          <w:tcPr>
            <w:tcW w:w="132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rPr>
              <w:t>L + 8.00%</w:t>
            </w: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10.42%</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25,176</w:t>
            </w:r>
          </w:p>
        </w:tc>
        <w:tc>
          <w:tcPr>
            <w:tcW w:w="22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25,870</w:t>
            </w:r>
          </w:p>
        </w:tc>
        <w:tc>
          <w:tcPr>
            <w:tcW w:w="22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20"/>
                <w:szCs w:val="20"/>
                <w:color w:val="auto"/>
              </w:rPr>
            </w:pPr>
          </w:p>
        </w:tc>
      </w:tr>
      <w:tr>
        <w:trPr>
          <w:trHeight w:val="20"/>
        </w:trPr>
        <w:tc>
          <w:tcPr>
            <w:tcW w:w="25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54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94,210</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95,131</w:t>
            </w:r>
          </w:p>
        </w:tc>
        <w:tc>
          <w:tcPr>
            <w:tcW w:w="22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8.9%</w:t>
            </w:r>
          </w:p>
        </w:tc>
        <w:tc>
          <w:tcPr>
            <w:tcW w:w="20" w:type="dxa"/>
            <w:vAlign w:val="bottom"/>
          </w:tcPr>
          <w:p>
            <w:pPr>
              <w:spacing w:after="0"/>
              <w:rPr>
                <w:sz w:val="19"/>
                <w:szCs w:val="19"/>
                <w:color w:val="auto"/>
              </w:rPr>
            </w:pPr>
          </w:p>
        </w:tc>
      </w:tr>
      <w:tr>
        <w:trPr>
          <w:trHeight w:val="223"/>
        </w:trPr>
        <w:tc>
          <w:tcPr>
            <w:tcW w:w="2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Transportation</w:t>
            </w:r>
          </w:p>
        </w:tc>
        <w:tc>
          <w:tcPr>
            <w:tcW w:w="234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CFF0FC"/>
            </w:tcBorders>
            <w:shd w:val="clear" w:color="auto" w:fill="CFF0FC"/>
          </w:tcPr>
          <w:p>
            <w:pPr>
              <w:spacing w:after="0"/>
              <w:rPr>
                <w:sz w:val="19"/>
                <w:szCs w:val="19"/>
                <w:color w:val="auto"/>
              </w:rPr>
            </w:pPr>
          </w:p>
        </w:tc>
        <w:tc>
          <w:tcPr>
            <w:tcW w:w="132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540" w:type="dxa"/>
            <w:vAlign w:val="bottom"/>
          </w:tcPr>
          <w:p>
            <w:pPr>
              <w:spacing w:after="0"/>
              <w:rPr>
                <w:sz w:val="20"/>
                <w:szCs w:val="20"/>
                <w:color w:val="auto"/>
              </w:rPr>
            </w:pPr>
            <w:r>
              <w:rPr>
                <w:rFonts w:ascii="Arial" w:cs="Arial" w:eastAsia="Arial" w:hAnsi="Arial"/>
                <w:sz w:val="18"/>
                <w:szCs w:val="18"/>
                <w:color w:val="auto"/>
              </w:rPr>
              <w:t xml:space="preserve">Ferrellgas, L.P. </w:t>
            </w:r>
            <w:r>
              <w:rPr>
                <w:rFonts w:ascii="Arial" w:cs="Arial" w:eastAsia="Arial" w:hAnsi="Arial"/>
                <w:sz w:val="15"/>
                <w:szCs w:val="15"/>
                <w:color w:val="auto"/>
              </w:rPr>
              <w:t>(3)(4)(5)</w:t>
            </w:r>
          </w:p>
        </w:tc>
        <w:tc>
          <w:tcPr>
            <w:tcW w:w="2340" w:type="dxa"/>
            <w:vAlign w:val="bottom"/>
          </w:tcPr>
          <w:p>
            <w:pPr>
              <w:ind w:left="80"/>
              <w:spacing w:after="0"/>
              <w:rPr>
                <w:sz w:val="20"/>
                <w:szCs w:val="20"/>
                <w:color w:val="auto"/>
              </w:rPr>
            </w:pPr>
            <w:r>
              <w:rPr>
                <w:rFonts w:ascii="Arial" w:cs="Arial" w:eastAsia="Arial" w:hAnsi="Arial"/>
                <w:sz w:val="18"/>
                <w:szCs w:val="18"/>
                <w:color w:val="auto"/>
              </w:rPr>
              <w:t>First-lien loan ($82,500 par,</w:t>
            </w:r>
          </w:p>
        </w:tc>
        <w:tc>
          <w:tcPr>
            <w:tcW w:w="10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540" w:type="dxa"/>
            <w:vAlign w:val="bottom"/>
          </w:tcPr>
          <w:p>
            <w:pPr>
              <w:spacing w:after="0"/>
              <w:rPr>
                <w:sz w:val="20"/>
                <w:szCs w:val="20"/>
                <w:color w:val="auto"/>
              </w:rPr>
            </w:pPr>
          </w:p>
        </w:tc>
        <w:tc>
          <w:tcPr>
            <w:tcW w:w="2340" w:type="dxa"/>
            <w:vAlign w:val="bottom"/>
          </w:tcPr>
          <w:p>
            <w:pPr>
              <w:ind w:left="80"/>
              <w:spacing w:after="0"/>
              <w:rPr>
                <w:sz w:val="20"/>
                <w:szCs w:val="20"/>
                <w:color w:val="auto"/>
              </w:rPr>
            </w:pPr>
            <w:r>
              <w:rPr>
                <w:rFonts w:ascii="Arial" w:cs="Arial" w:eastAsia="Arial" w:hAnsi="Arial"/>
                <w:sz w:val="18"/>
                <w:szCs w:val="18"/>
                <w:color w:val="auto"/>
              </w:rPr>
              <w:t>due 5/2023)</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5/4/2018</w:t>
            </w:r>
          </w:p>
        </w:tc>
        <w:tc>
          <w:tcPr>
            <w:tcW w:w="1320" w:type="dxa"/>
            <w:vAlign w:val="bottom"/>
          </w:tcPr>
          <w:p>
            <w:pPr>
              <w:jc w:val="right"/>
              <w:ind w:right="350"/>
              <w:spacing w:after="0"/>
              <w:rPr>
                <w:sz w:val="20"/>
                <w:szCs w:val="20"/>
                <w:color w:val="auto"/>
              </w:rPr>
            </w:pPr>
            <w:r>
              <w:rPr>
                <w:rFonts w:ascii="Arial" w:cs="Arial" w:eastAsia="Arial" w:hAnsi="Arial"/>
                <w:sz w:val="18"/>
                <w:szCs w:val="18"/>
                <w:color w:val="auto"/>
              </w:rPr>
              <w:t>L + 5.75%</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8.10%</w:t>
            </w:r>
          </w:p>
        </w:tc>
        <w:tc>
          <w:tcPr>
            <w:tcW w:w="860" w:type="dxa"/>
            <w:vAlign w:val="bottom"/>
          </w:tcPr>
          <w:p>
            <w:pPr>
              <w:jc w:val="right"/>
              <w:spacing w:after="0"/>
              <w:rPr>
                <w:sz w:val="20"/>
                <w:szCs w:val="20"/>
                <w:color w:val="auto"/>
              </w:rPr>
            </w:pPr>
            <w:r>
              <w:rPr>
                <w:rFonts w:ascii="Arial" w:cs="Arial" w:eastAsia="Arial" w:hAnsi="Arial"/>
                <w:sz w:val="18"/>
                <w:szCs w:val="18"/>
                <w:color w:val="auto"/>
              </w:rPr>
              <w:t>81,026</w:t>
            </w: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83,062</w:t>
            </w:r>
          </w:p>
        </w:tc>
        <w:tc>
          <w:tcPr>
            <w:tcW w:w="22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7.8%</w:t>
            </w:r>
          </w:p>
        </w:tc>
        <w:tc>
          <w:tcPr>
            <w:tcW w:w="20" w:type="dxa"/>
            <w:vAlign w:val="bottom"/>
          </w:tcPr>
          <w:p>
            <w:pPr>
              <w:spacing w:after="0"/>
              <w:rPr>
                <w:sz w:val="20"/>
                <w:szCs w:val="20"/>
                <w:color w:val="auto"/>
              </w:rPr>
            </w:pPr>
          </w:p>
        </w:tc>
      </w:tr>
      <w:tr>
        <w:trPr>
          <w:trHeight w:val="230"/>
        </w:trPr>
        <w:tc>
          <w:tcPr>
            <w:tcW w:w="2540" w:type="dxa"/>
            <w:vAlign w:val="bottom"/>
            <w:shd w:val="clear" w:color="auto" w:fill="CFF0FC"/>
          </w:tcPr>
          <w:p>
            <w:pPr>
              <w:spacing w:after="0"/>
              <w:rPr>
                <w:sz w:val="19"/>
                <w:szCs w:val="19"/>
                <w:color w:val="auto"/>
              </w:rPr>
            </w:pPr>
          </w:p>
        </w:tc>
        <w:tc>
          <w:tcPr>
            <w:tcW w:w="23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254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Total Debt Investments</w:t>
            </w:r>
          </w:p>
        </w:tc>
        <w:tc>
          <w:tcPr>
            <w:tcW w:w="2340" w:type="dxa"/>
            <w:vAlign w:val="bottom"/>
            <w:tcBorders>
              <w:bottom w:val="single" w:sz="8" w:color="CFF0FC"/>
            </w:tcBorders>
          </w:tcPr>
          <w:p>
            <w:pPr>
              <w:spacing w:after="0"/>
              <w:rPr>
                <w:sz w:val="19"/>
                <w:szCs w:val="19"/>
                <w:color w:val="auto"/>
              </w:rPr>
            </w:pPr>
          </w:p>
        </w:tc>
        <w:tc>
          <w:tcPr>
            <w:tcW w:w="1020" w:type="dxa"/>
            <w:vAlign w:val="bottom"/>
            <w:tcBorders>
              <w:bottom w:val="single" w:sz="8" w:color="CFF0FC"/>
            </w:tcBorders>
          </w:tcPr>
          <w:p>
            <w:pPr>
              <w:spacing w:after="0"/>
              <w:rPr>
                <w:sz w:val="19"/>
                <w:szCs w:val="19"/>
                <w:color w:val="auto"/>
              </w:rPr>
            </w:pPr>
          </w:p>
        </w:tc>
        <w:tc>
          <w:tcPr>
            <w:tcW w:w="1320" w:type="dxa"/>
            <w:vAlign w:val="bottom"/>
            <w:tcBorders>
              <w:bottom w:val="single" w:sz="8" w:color="CFF0FC"/>
            </w:tcBorders>
          </w:tcPr>
          <w:p>
            <w:pPr>
              <w:spacing w:after="0"/>
              <w:rPr>
                <w:sz w:val="19"/>
                <w:szCs w:val="19"/>
                <w:color w:val="auto"/>
              </w:rPr>
            </w:pPr>
          </w:p>
        </w:tc>
        <w:tc>
          <w:tcPr>
            <w:tcW w:w="114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1,648,643</w:t>
            </w:r>
          </w:p>
        </w:tc>
        <w:tc>
          <w:tcPr>
            <w:tcW w:w="22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1,660,525</w:t>
            </w:r>
          </w:p>
        </w:tc>
        <w:tc>
          <w:tcPr>
            <w:tcW w:w="22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156.1</w:t>
            </w:r>
          </w:p>
        </w:tc>
        <w:tc>
          <w:tcPr>
            <w:tcW w:w="1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w w:val="87"/>
              </w:rPr>
              <w:t>%</w:t>
            </w:r>
          </w:p>
        </w:tc>
        <w:tc>
          <w:tcPr>
            <w:tcW w:w="20" w:type="dxa"/>
            <w:vAlign w:val="bottom"/>
          </w:tcPr>
          <w:p>
            <w:pPr>
              <w:spacing w:after="0"/>
              <w:rPr>
                <w:sz w:val="19"/>
                <w:szCs w:val="19"/>
                <w:color w:val="auto"/>
              </w:rPr>
            </w:pPr>
          </w:p>
        </w:tc>
      </w:tr>
      <w:tr>
        <w:trPr>
          <w:trHeight w:val="223"/>
        </w:trPr>
        <w:tc>
          <w:tcPr>
            <w:tcW w:w="25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w w:val="98"/>
              </w:rPr>
              <w:t>Equity and Other Investments</w:t>
            </w:r>
          </w:p>
        </w:tc>
        <w:tc>
          <w:tcPr>
            <w:tcW w:w="23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540" w:type="dxa"/>
            <w:vAlign w:val="bottom"/>
          </w:tcPr>
          <w:p>
            <w:pPr>
              <w:spacing w:after="0"/>
              <w:rPr>
                <w:sz w:val="20"/>
                <w:szCs w:val="20"/>
                <w:color w:val="auto"/>
              </w:rPr>
            </w:pPr>
            <w:r>
              <w:rPr>
                <w:rFonts w:ascii="Arial" w:cs="Arial" w:eastAsia="Arial" w:hAnsi="Arial"/>
                <w:sz w:val="18"/>
                <w:szCs w:val="18"/>
                <w:b w:val="1"/>
                <w:bCs w:val="1"/>
                <w:color w:val="auto"/>
              </w:rPr>
              <w:t>Beverage, food and tobacco</w:t>
            </w:r>
          </w:p>
        </w:tc>
        <w:tc>
          <w:tcPr>
            <w:tcW w:w="2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540" w:type="dxa"/>
            <w:vAlign w:val="bottom"/>
            <w:shd w:val="clear" w:color="auto" w:fill="CFF0FC"/>
          </w:tcPr>
          <w:p>
            <w:pPr>
              <w:spacing w:after="0"/>
              <w:rPr>
                <w:sz w:val="20"/>
                <w:szCs w:val="20"/>
                <w:color w:val="auto"/>
              </w:rPr>
            </w:pPr>
            <w:r>
              <w:rPr>
                <w:rFonts w:ascii="Arial" w:cs="Arial" w:eastAsia="Arial" w:hAnsi="Arial"/>
                <w:sz w:val="18"/>
                <w:szCs w:val="18"/>
                <w:color w:val="auto"/>
                <w:w w:val="95"/>
              </w:rPr>
              <w:t xml:space="preserve">AFS Technologies, Inc. </w:t>
            </w:r>
            <w:r>
              <w:rPr>
                <w:rFonts w:ascii="Arial" w:cs="Arial" w:eastAsia="Arial" w:hAnsi="Arial"/>
                <w:sz w:val="15"/>
                <w:szCs w:val="15"/>
                <w:color w:val="auto"/>
                <w:w w:val="95"/>
              </w:rPr>
              <w:t>(6)(13)(14)</w:t>
            </w:r>
          </w:p>
        </w:tc>
        <w:tc>
          <w:tcPr>
            <w:tcW w:w="2340" w:type="dxa"/>
            <w:vAlign w:val="bottom"/>
            <w:shd w:val="clear" w:color="auto" w:fill="CFF0FC"/>
          </w:tcPr>
          <w:p>
            <w:pPr>
              <w:ind w:left="80"/>
              <w:spacing w:after="0"/>
              <w:rPr>
                <w:sz w:val="20"/>
                <w:szCs w:val="20"/>
                <w:color w:val="auto"/>
              </w:rPr>
            </w:pPr>
            <w:r>
              <w:rPr>
                <w:rFonts w:ascii="Arial" w:cs="Arial" w:eastAsia="Arial" w:hAnsi="Arial"/>
                <w:sz w:val="18"/>
                <w:szCs w:val="18"/>
                <w:color w:val="auto"/>
              </w:rPr>
              <w:t>Preferred Units (4,163,090</w:t>
            </w:r>
          </w:p>
        </w:tc>
        <w:tc>
          <w:tcPr>
            <w:tcW w:w="10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540" w:type="dxa"/>
            <w:vAlign w:val="bottom"/>
            <w:shd w:val="clear" w:color="auto" w:fill="CFF0FC"/>
          </w:tcPr>
          <w:p>
            <w:pPr>
              <w:spacing w:after="0"/>
              <w:rPr>
                <w:sz w:val="20"/>
                <w:szCs w:val="20"/>
                <w:color w:val="auto"/>
              </w:rPr>
            </w:pPr>
          </w:p>
        </w:tc>
        <w:tc>
          <w:tcPr>
            <w:tcW w:w="2340" w:type="dxa"/>
            <w:vAlign w:val="bottom"/>
            <w:shd w:val="clear" w:color="auto" w:fill="CFF0FC"/>
          </w:tcPr>
          <w:p>
            <w:pPr>
              <w:ind w:left="80"/>
              <w:spacing w:after="0"/>
              <w:rPr>
                <w:sz w:val="20"/>
                <w:szCs w:val="20"/>
                <w:color w:val="auto"/>
              </w:rPr>
            </w:pPr>
            <w:r>
              <w:rPr>
                <w:rFonts w:ascii="Arial" w:cs="Arial" w:eastAsia="Arial" w:hAnsi="Arial"/>
                <w:sz w:val="18"/>
                <w:szCs w:val="18"/>
                <w:color w:val="auto"/>
              </w:rPr>
              <w:t>Units)</w:t>
            </w:r>
          </w:p>
        </w:tc>
        <w:tc>
          <w:tcPr>
            <w:tcW w:w="10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5"/>
              </w:rPr>
              <w:t>10/16/2018</w:t>
            </w:r>
          </w:p>
        </w:tc>
        <w:tc>
          <w:tcPr>
            <w:tcW w:w="132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4,163</w:t>
            </w:r>
          </w:p>
        </w:tc>
        <w:tc>
          <w:tcPr>
            <w:tcW w:w="22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4,163</w:t>
            </w:r>
          </w:p>
        </w:tc>
        <w:tc>
          <w:tcPr>
            <w:tcW w:w="22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20"/>
                <w:szCs w:val="20"/>
                <w:color w:val="auto"/>
              </w:rPr>
            </w:pPr>
          </w:p>
        </w:tc>
      </w:tr>
      <w:tr>
        <w:trPr>
          <w:trHeight w:val="230"/>
        </w:trPr>
        <w:tc>
          <w:tcPr>
            <w:tcW w:w="2540" w:type="dxa"/>
            <w:vAlign w:val="bottom"/>
          </w:tcPr>
          <w:p>
            <w:pPr>
              <w:spacing w:after="0"/>
              <w:rPr>
                <w:sz w:val="20"/>
                <w:szCs w:val="20"/>
                <w:color w:val="auto"/>
              </w:rPr>
            </w:pPr>
            <w:r>
              <w:rPr>
                <w:rFonts w:ascii="Arial" w:cs="Arial" w:eastAsia="Arial" w:hAnsi="Arial"/>
                <w:sz w:val="18"/>
                <w:szCs w:val="18"/>
                <w:b w:val="1"/>
                <w:bCs w:val="1"/>
                <w:color w:val="auto"/>
              </w:rPr>
              <w:t>Business Services</w:t>
            </w:r>
          </w:p>
        </w:tc>
        <w:tc>
          <w:tcPr>
            <w:tcW w:w="2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5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Motus, LLC </w:t>
            </w:r>
            <w:r>
              <w:rPr>
                <w:rFonts w:ascii="Arial" w:cs="Arial" w:eastAsia="Arial" w:hAnsi="Arial"/>
                <w:sz w:val="15"/>
                <w:szCs w:val="15"/>
                <w:color w:val="auto"/>
              </w:rPr>
              <w:t>(13)(14)</w:t>
            </w:r>
          </w:p>
        </w:tc>
        <w:tc>
          <w:tcPr>
            <w:tcW w:w="2340" w:type="dxa"/>
            <w:vAlign w:val="bottom"/>
            <w:shd w:val="clear" w:color="auto" w:fill="CFF0FC"/>
          </w:tcPr>
          <w:p>
            <w:pPr>
              <w:ind w:left="80"/>
              <w:spacing w:after="0"/>
              <w:rPr>
                <w:sz w:val="20"/>
                <w:szCs w:val="20"/>
                <w:color w:val="auto"/>
              </w:rPr>
            </w:pPr>
            <w:r>
              <w:rPr>
                <w:rFonts w:ascii="Arial" w:cs="Arial" w:eastAsia="Arial" w:hAnsi="Arial"/>
                <w:sz w:val="18"/>
                <w:szCs w:val="18"/>
                <w:color w:val="auto"/>
              </w:rPr>
              <w:t>Class A Units (1,262 Units)</w:t>
            </w:r>
          </w:p>
        </w:tc>
        <w:tc>
          <w:tcPr>
            <w:tcW w:w="10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1/17/2018</w:t>
            </w:r>
          </w:p>
        </w:tc>
        <w:tc>
          <w:tcPr>
            <w:tcW w:w="13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1,262</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1,262</w:t>
            </w:r>
          </w:p>
        </w:tc>
        <w:tc>
          <w:tcPr>
            <w:tcW w:w="2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9"/>
                <w:szCs w:val="19"/>
                <w:color w:val="auto"/>
              </w:rPr>
            </w:pPr>
          </w:p>
        </w:tc>
      </w:tr>
      <w:tr>
        <w:trPr>
          <w:trHeight w:val="230"/>
        </w:trPr>
        <w:tc>
          <w:tcPr>
            <w:tcW w:w="2540" w:type="dxa"/>
            <w:vAlign w:val="bottom"/>
          </w:tcPr>
          <w:p>
            <w:pPr>
              <w:spacing w:after="0"/>
              <w:rPr>
                <w:sz w:val="20"/>
                <w:szCs w:val="20"/>
                <w:color w:val="auto"/>
              </w:rPr>
            </w:pPr>
          </w:p>
        </w:tc>
        <w:tc>
          <w:tcPr>
            <w:tcW w:w="2340" w:type="dxa"/>
            <w:vAlign w:val="bottom"/>
          </w:tcPr>
          <w:p>
            <w:pPr>
              <w:ind w:left="80"/>
              <w:spacing w:after="0"/>
              <w:rPr>
                <w:sz w:val="20"/>
                <w:szCs w:val="20"/>
                <w:color w:val="auto"/>
              </w:rPr>
            </w:pPr>
            <w:r>
              <w:rPr>
                <w:rFonts w:ascii="Arial" w:cs="Arial" w:eastAsia="Arial" w:hAnsi="Arial"/>
                <w:sz w:val="18"/>
                <w:szCs w:val="18"/>
                <w:color w:val="auto"/>
                <w:w w:val="94"/>
              </w:rPr>
              <w:t>Class B Units (517,020 Units)</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1/17/2018</w:t>
            </w:r>
          </w:p>
        </w:tc>
        <w:tc>
          <w:tcPr>
            <w:tcW w:w="1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20"/>
                <w:szCs w:val="20"/>
                <w:color w:val="auto"/>
              </w:rPr>
            </w:pPr>
          </w:p>
        </w:tc>
      </w:tr>
      <w:tr>
        <w:trPr>
          <w:trHeight w:val="431"/>
        </w:trPr>
        <w:tc>
          <w:tcPr>
            <w:tcW w:w="25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1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540" w:type="dxa"/>
            <w:vAlign w:val="bottom"/>
            <w:tcBorders>
              <w:bottom w:val="single" w:sz="8" w:color="9A9A9A"/>
            </w:tcBorders>
          </w:tcPr>
          <w:p>
            <w:pPr>
              <w:spacing w:after="0"/>
              <w:rPr>
                <w:sz w:val="10"/>
                <w:szCs w:val="10"/>
                <w:color w:val="auto"/>
              </w:rPr>
            </w:pPr>
          </w:p>
        </w:tc>
        <w:tc>
          <w:tcPr>
            <w:tcW w:w="23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56" w:right="21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0"/>
        </w:trPr>
        <w:tc>
          <w:tcPr>
            <w:tcW w:w="26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Nintex Global Limited </w:t>
            </w:r>
            <w:r>
              <w:rPr>
                <w:rFonts w:ascii="Arial" w:cs="Arial" w:eastAsia="Arial" w:hAnsi="Arial"/>
                <w:sz w:val="15"/>
                <w:szCs w:val="15"/>
                <w:color w:val="auto"/>
              </w:rPr>
              <w:t>(13)(14)</w:t>
            </w:r>
          </w:p>
        </w:tc>
        <w:tc>
          <w:tcPr>
            <w:tcW w:w="2360" w:type="dxa"/>
            <w:vAlign w:val="bottom"/>
            <w:shd w:val="clear" w:color="auto" w:fill="CFF0FC"/>
          </w:tcPr>
          <w:p>
            <w:pPr>
              <w:ind w:left="80"/>
              <w:spacing w:after="0"/>
              <w:rPr>
                <w:sz w:val="20"/>
                <w:szCs w:val="20"/>
                <w:color w:val="auto"/>
              </w:rPr>
            </w:pPr>
            <w:r>
              <w:rPr>
                <w:rFonts w:ascii="Arial" w:cs="Arial" w:eastAsia="Arial" w:hAnsi="Arial"/>
                <w:sz w:val="18"/>
                <w:szCs w:val="18"/>
                <w:color w:val="auto"/>
                <w:w w:val="91"/>
              </w:rPr>
              <w:t>Class A Shares (1,197 Shares)</w:t>
            </w:r>
          </w:p>
        </w:tc>
        <w:tc>
          <w:tcPr>
            <w:tcW w:w="3380" w:type="dxa"/>
            <w:vAlign w:val="bottom"/>
            <w:shd w:val="clear" w:color="auto" w:fill="CFF0FC"/>
          </w:tcPr>
          <w:p>
            <w:pPr>
              <w:jc w:val="right"/>
              <w:ind w:right="2390"/>
              <w:spacing w:after="0"/>
              <w:rPr>
                <w:sz w:val="20"/>
                <w:szCs w:val="20"/>
                <w:color w:val="auto"/>
              </w:rPr>
            </w:pPr>
            <w:r>
              <w:rPr>
                <w:rFonts w:ascii="Arial" w:cs="Arial" w:eastAsia="Arial" w:hAnsi="Arial"/>
                <w:sz w:val="18"/>
                <w:szCs w:val="18"/>
                <w:color w:val="auto"/>
              </w:rPr>
              <w:t>3/30/2018</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1,197</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1,197</w:t>
            </w:r>
          </w:p>
        </w:tc>
        <w:tc>
          <w:tcPr>
            <w:tcW w:w="2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600" w:type="dxa"/>
            <w:vAlign w:val="bottom"/>
          </w:tcPr>
          <w:p>
            <w:pPr>
              <w:spacing w:after="0"/>
              <w:rPr>
                <w:sz w:val="18"/>
                <w:szCs w:val="18"/>
                <w:color w:val="auto"/>
              </w:rPr>
            </w:pPr>
          </w:p>
        </w:tc>
        <w:tc>
          <w:tcPr>
            <w:tcW w:w="2360" w:type="dxa"/>
            <w:vAlign w:val="bottom"/>
          </w:tcPr>
          <w:p>
            <w:pPr>
              <w:ind w:left="80"/>
              <w:spacing w:after="0"/>
              <w:rPr>
                <w:sz w:val="20"/>
                <w:szCs w:val="20"/>
                <w:color w:val="auto"/>
              </w:rPr>
            </w:pPr>
            <w:r>
              <w:rPr>
                <w:rFonts w:ascii="Arial" w:cs="Arial" w:eastAsia="Arial" w:hAnsi="Arial"/>
                <w:sz w:val="18"/>
                <w:szCs w:val="18"/>
                <w:color w:val="auto"/>
              </w:rPr>
              <w:t>Class B Shares (398,557</w:t>
            </w:r>
          </w:p>
        </w:tc>
        <w:tc>
          <w:tcPr>
            <w:tcW w:w="3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00" w:type="dxa"/>
            <w:vAlign w:val="bottom"/>
          </w:tcPr>
          <w:p>
            <w:pPr>
              <w:spacing w:after="0"/>
              <w:rPr>
                <w:sz w:val="20"/>
                <w:szCs w:val="20"/>
                <w:color w:val="auto"/>
              </w:rPr>
            </w:pPr>
          </w:p>
        </w:tc>
        <w:tc>
          <w:tcPr>
            <w:tcW w:w="2360" w:type="dxa"/>
            <w:vAlign w:val="bottom"/>
          </w:tcPr>
          <w:p>
            <w:pPr>
              <w:ind w:left="80"/>
              <w:spacing w:after="0"/>
              <w:rPr>
                <w:sz w:val="20"/>
                <w:szCs w:val="20"/>
                <w:color w:val="auto"/>
              </w:rPr>
            </w:pPr>
            <w:r>
              <w:rPr>
                <w:rFonts w:ascii="Arial" w:cs="Arial" w:eastAsia="Arial" w:hAnsi="Arial"/>
                <w:sz w:val="18"/>
                <w:szCs w:val="18"/>
                <w:color w:val="auto"/>
              </w:rPr>
              <w:t>Shares)</w:t>
            </w:r>
          </w:p>
        </w:tc>
        <w:tc>
          <w:tcPr>
            <w:tcW w:w="3380" w:type="dxa"/>
            <w:vAlign w:val="bottom"/>
          </w:tcPr>
          <w:p>
            <w:pPr>
              <w:jc w:val="right"/>
              <w:ind w:right="2390"/>
              <w:spacing w:after="0"/>
              <w:rPr>
                <w:sz w:val="20"/>
                <w:szCs w:val="20"/>
                <w:color w:val="auto"/>
              </w:rPr>
            </w:pPr>
            <w:r>
              <w:rPr>
                <w:rFonts w:ascii="Arial" w:cs="Arial" w:eastAsia="Arial" w:hAnsi="Arial"/>
                <w:sz w:val="18"/>
                <w:szCs w:val="18"/>
                <w:color w:val="auto"/>
              </w:rPr>
              <w:t>3/30/2018</w:t>
            </w:r>
          </w:p>
        </w:tc>
        <w:tc>
          <w:tcPr>
            <w:tcW w:w="860" w:type="dxa"/>
            <w:vAlign w:val="bottom"/>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600" w:type="dxa"/>
            <w:vAlign w:val="bottom"/>
            <w:shd w:val="clear" w:color="auto" w:fill="CFF0FC"/>
          </w:tcPr>
          <w:p>
            <w:pPr>
              <w:spacing w:after="0" w:line="20" w:lineRule="exact"/>
              <w:rPr>
                <w:sz w:val="1"/>
                <w:szCs w:val="1"/>
                <w:color w:val="auto"/>
              </w:rPr>
            </w:pPr>
          </w:p>
        </w:tc>
        <w:tc>
          <w:tcPr>
            <w:tcW w:w="2360" w:type="dxa"/>
            <w:vAlign w:val="bottom"/>
            <w:shd w:val="clear" w:color="auto" w:fill="CFF0FC"/>
          </w:tcPr>
          <w:p>
            <w:pPr>
              <w:spacing w:after="0" w:line="20" w:lineRule="exact"/>
              <w:rPr>
                <w:sz w:val="1"/>
                <w:szCs w:val="1"/>
                <w:color w:val="auto"/>
              </w:rPr>
            </w:pPr>
          </w:p>
        </w:tc>
        <w:tc>
          <w:tcPr>
            <w:tcW w:w="338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600" w:type="dxa"/>
            <w:vAlign w:val="bottom"/>
            <w:shd w:val="clear" w:color="auto" w:fill="CFF0FC"/>
          </w:tcPr>
          <w:p>
            <w:pPr>
              <w:spacing w:after="0"/>
              <w:rPr>
                <w:sz w:val="19"/>
                <w:szCs w:val="19"/>
                <w:color w:val="auto"/>
              </w:rPr>
            </w:pPr>
          </w:p>
        </w:tc>
        <w:tc>
          <w:tcPr>
            <w:tcW w:w="2360" w:type="dxa"/>
            <w:vAlign w:val="bottom"/>
            <w:shd w:val="clear" w:color="auto" w:fill="CFF0FC"/>
          </w:tcPr>
          <w:p>
            <w:pPr>
              <w:spacing w:after="0"/>
              <w:rPr>
                <w:sz w:val="19"/>
                <w:szCs w:val="19"/>
                <w:color w:val="auto"/>
              </w:rPr>
            </w:pPr>
          </w:p>
        </w:tc>
        <w:tc>
          <w:tcPr>
            <w:tcW w:w="33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2,471</w:t>
            </w:r>
          </w:p>
        </w:tc>
        <w:tc>
          <w:tcPr>
            <w:tcW w:w="200" w:type="dxa"/>
            <w:vAlign w:val="bottom"/>
            <w:vMerge w:val="continue"/>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2,471</w:t>
            </w:r>
          </w:p>
        </w:tc>
        <w:tc>
          <w:tcPr>
            <w:tcW w:w="2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00" w:type="dxa"/>
            <w:vAlign w:val="bottom"/>
          </w:tcPr>
          <w:p>
            <w:pPr>
              <w:spacing w:after="0"/>
              <w:rPr>
                <w:sz w:val="20"/>
                <w:szCs w:val="20"/>
                <w:color w:val="auto"/>
              </w:rPr>
            </w:pPr>
            <w:r>
              <w:rPr>
                <w:rFonts w:ascii="Arial" w:cs="Arial" w:eastAsia="Arial" w:hAnsi="Arial"/>
                <w:sz w:val="18"/>
                <w:szCs w:val="18"/>
                <w:b w:val="1"/>
                <w:bCs w:val="1"/>
                <w:color w:val="auto"/>
              </w:rPr>
              <w:t>Chemicals</w:t>
            </w:r>
          </w:p>
        </w:tc>
        <w:tc>
          <w:tcPr>
            <w:tcW w:w="236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6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Vertellus Specialties, Inc. </w:t>
            </w:r>
            <w:r>
              <w:rPr>
                <w:rFonts w:ascii="Arial" w:cs="Arial" w:eastAsia="Arial" w:hAnsi="Arial"/>
                <w:sz w:val="15"/>
                <w:szCs w:val="15"/>
                <w:color w:val="auto"/>
              </w:rPr>
              <w:t>(13)</w:t>
            </w:r>
          </w:p>
        </w:tc>
        <w:tc>
          <w:tcPr>
            <w:tcW w:w="2360" w:type="dxa"/>
            <w:vAlign w:val="bottom"/>
            <w:shd w:val="clear" w:color="auto" w:fill="CFF0FC"/>
          </w:tcPr>
          <w:p>
            <w:pPr>
              <w:ind w:left="80"/>
              <w:spacing w:after="0"/>
              <w:rPr>
                <w:sz w:val="20"/>
                <w:szCs w:val="20"/>
                <w:color w:val="auto"/>
              </w:rPr>
            </w:pPr>
            <w:r>
              <w:rPr>
                <w:rFonts w:ascii="Arial" w:cs="Arial" w:eastAsia="Arial" w:hAnsi="Arial"/>
                <w:sz w:val="18"/>
                <w:szCs w:val="18"/>
                <w:color w:val="auto"/>
              </w:rPr>
              <w:t>Common Units (2,672,990</w:t>
            </w:r>
          </w:p>
        </w:tc>
        <w:tc>
          <w:tcPr>
            <w:tcW w:w="33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00" w:type="dxa"/>
            <w:vAlign w:val="bottom"/>
            <w:shd w:val="clear" w:color="auto" w:fill="CFF0FC"/>
          </w:tcPr>
          <w:p>
            <w:pPr>
              <w:spacing w:after="0"/>
              <w:rPr>
                <w:sz w:val="20"/>
                <w:szCs w:val="20"/>
                <w:color w:val="auto"/>
              </w:rPr>
            </w:pPr>
          </w:p>
        </w:tc>
        <w:tc>
          <w:tcPr>
            <w:tcW w:w="2360" w:type="dxa"/>
            <w:vAlign w:val="bottom"/>
            <w:shd w:val="clear" w:color="auto" w:fill="CFF0FC"/>
          </w:tcPr>
          <w:p>
            <w:pPr>
              <w:ind w:left="80"/>
              <w:spacing w:after="0"/>
              <w:rPr>
                <w:sz w:val="20"/>
                <w:szCs w:val="20"/>
                <w:color w:val="auto"/>
              </w:rPr>
            </w:pPr>
            <w:r>
              <w:rPr>
                <w:rFonts w:ascii="Arial" w:cs="Arial" w:eastAsia="Arial" w:hAnsi="Arial"/>
                <w:sz w:val="18"/>
                <w:szCs w:val="18"/>
                <w:color w:val="auto"/>
              </w:rPr>
              <w:t>units)</w:t>
            </w:r>
          </w:p>
        </w:tc>
        <w:tc>
          <w:tcPr>
            <w:tcW w:w="3380" w:type="dxa"/>
            <w:vAlign w:val="bottom"/>
            <w:shd w:val="clear" w:color="auto" w:fill="CFF0FC"/>
          </w:tcPr>
          <w:p>
            <w:pPr>
              <w:jc w:val="right"/>
              <w:ind w:right="2390"/>
              <w:spacing w:after="0"/>
              <w:rPr>
                <w:sz w:val="20"/>
                <w:szCs w:val="20"/>
                <w:color w:val="auto"/>
              </w:rPr>
            </w:pPr>
            <w:r>
              <w:rPr>
                <w:rFonts w:ascii="Arial" w:cs="Arial" w:eastAsia="Arial" w:hAnsi="Arial"/>
                <w:sz w:val="18"/>
                <w:szCs w:val="18"/>
                <w:color w:val="auto"/>
                <w:w w:val="97"/>
              </w:rPr>
              <w:t>10/31/2016</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3,828</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3,503</w:t>
            </w:r>
          </w:p>
        </w:tc>
        <w:tc>
          <w:tcPr>
            <w:tcW w:w="22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600" w:type="dxa"/>
            <w:vAlign w:val="bottom"/>
          </w:tcPr>
          <w:p>
            <w:pPr>
              <w:spacing w:after="0"/>
              <w:rPr>
                <w:sz w:val="20"/>
                <w:szCs w:val="20"/>
                <w:color w:val="auto"/>
              </w:rPr>
            </w:pPr>
            <w:r>
              <w:rPr>
                <w:rFonts w:ascii="Arial" w:cs="Arial" w:eastAsia="Arial" w:hAnsi="Arial"/>
                <w:sz w:val="18"/>
                <w:szCs w:val="18"/>
                <w:b w:val="1"/>
                <w:bCs w:val="1"/>
                <w:color w:val="auto"/>
              </w:rPr>
              <w:t>Financial services</w:t>
            </w:r>
          </w:p>
        </w:tc>
        <w:tc>
          <w:tcPr>
            <w:tcW w:w="236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6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AvidXchange, Inc. </w:t>
            </w:r>
            <w:r>
              <w:rPr>
                <w:rFonts w:ascii="Arial" w:cs="Arial" w:eastAsia="Arial" w:hAnsi="Arial"/>
                <w:sz w:val="15"/>
                <w:szCs w:val="15"/>
                <w:color w:val="auto"/>
              </w:rPr>
              <w:t>(13)</w:t>
            </w:r>
          </w:p>
        </w:tc>
        <w:tc>
          <w:tcPr>
            <w:tcW w:w="2360" w:type="dxa"/>
            <w:vAlign w:val="bottom"/>
            <w:shd w:val="clear" w:color="auto" w:fill="CFF0FC"/>
          </w:tcPr>
          <w:p>
            <w:pPr>
              <w:ind w:left="80"/>
              <w:spacing w:after="0"/>
              <w:rPr>
                <w:sz w:val="20"/>
                <w:szCs w:val="20"/>
                <w:color w:val="auto"/>
              </w:rPr>
            </w:pPr>
            <w:r>
              <w:rPr>
                <w:rFonts w:ascii="Arial" w:cs="Arial" w:eastAsia="Arial" w:hAnsi="Arial"/>
                <w:sz w:val="18"/>
                <w:szCs w:val="18"/>
                <w:color w:val="auto"/>
              </w:rPr>
              <w:t>Series E Preferred Equity</w:t>
            </w:r>
          </w:p>
        </w:tc>
        <w:tc>
          <w:tcPr>
            <w:tcW w:w="33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00" w:type="dxa"/>
            <w:vAlign w:val="bottom"/>
            <w:shd w:val="clear" w:color="auto" w:fill="CFF0FC"/>
          </w:tcPr>
          <w:p>
            <w:pPr>
              <w:spacing w:after="0"/>
              <w:rPr>
                <w:sz w:val="20"/>
                <w:szCs w:val="20"/>
                <w:color w:val="auto"/>
              </w:rPr>
            </w:pPr>
          </w:p>
        </w:tc>
        <w:tc>
          <w:tcPr>
            <w:tcW w:w="2360" w:type="dxa"/>
            <w:vAlign w:val="bottom"/>
            <w:shd w:val="clear" w:color="auto" w:fill="CFF0FC"/>
          </w:tcPr>
          <w:p>
            <w:pPr>
              <w:ind w:left="80"/>
              <w:spacing w:after="0"/>
              <w:rPr>
                <w:sz w:val="20"/>
                <w:szCs w:val="20"/>
                <w:color w:val="auto"/>
              </w:rPr>
            </w:pPr>
            <w:r>
              <w:rPr>
                <w:rFonts w:ascii="Arial" w:cs="Arial" w:eastAsia="Arial" w:hAnsi="Arial"/>
                <w:sz w:val="18"/>
                <w:szCs w:val="18"/>
                <w:color w:val="auto"/>
              </w:rPr>
              <w:t>(214,132 shares)</w:t>
            </w:r>
          </w:p>
        </w:tc>
        <w:tc>
          <w:tcPr>
            <w:tcW w:w="3380" w:type="dxa"/>
            <w:vAlign w:val="bottom"/>
            <w:shd w:val="clear" w:color="auto" w:fill="CFF0FC"/>
          </w:tcPr>
          <w:p>
            <w:pPr>
              <w:jc w:val="right"/>
              <w:ind w:right="2390"/>
              <w:spacing w:after="0"/>
              <w:rPr>
                <w:sz w:val="20"/>
                <w:szCs w:val="20"/>
                <w:color w:val="auto"/>
              </w:rPr>
            </w:pPr>
            <w:r>
              <w:rPr>
                <w:rFonts w:ascii="Arial" w:cs="Arial" w:eastAsia="Arial" w:hAnsi="Arial"/>
                <w:sz w:val="18"/>
                <w:szCs w:val="18"/>
                <w:color w:val="auto"/>
              </w:rPr>
              <w:t>8/7/2015</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3,846</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7,481</w:t>
            </w:r>
          </w:p>
        </w:tc>
        <w:tc>
          <w:tcPr>
            <w:tcW w:w="22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600" w:type="dxa"/>
            <w:vAlign w:val="bottom"/>
          </w:tcPr>
          <w:p>
            <w:pPr>
              <w:spacing w:after="0"/>
              <w:rPr>
                <w:sz w:val="20"/>
                <w:szCs w:val="20"/>
                <w:color w:val="auto"/>
              </w:rPr>
            </w:pPr>
            <w:r>
              <w:rPr>
                <w:rFonts w:ascii="Arial" w:cs="Arial" w:eastAsia="Arial" w:hAnsi="Arial"/>
                <w:sz w:val="18"/>
                <w:szCs w:val="18"/>
                <w:color w:val="auto"/>
              </w:rPr>
              <w:t xml:space="preserve">Oxford Square Capital Corp. </w:t>
            </w:r>
            <w:r>
              <w:rPr>
                <w:rFonts w:ascii="Arial" w:cs="Arial" w:eastAsia="Arial" w:hAnsi="Arial"/>
                <w:sz w:val="15"/>
                <w:szCs w:val="15"/>
                <w:color w:val="auto"/>
              </w:rPr>
              <w:t>(4)</w:t>
            </w:r>
          </w:p>
        </w:tc>
        <w:tc>
          <w:tcPr>
            <w:tcW w:w="2360" w:type="dxa"/>
            <w:vAlign w:val="bottom"/>
          </w:tcPr>
          <w:p>
            <w:pPr>
              <w:ind w:left="80"/>
              <w:spacing w:after="0"/>
              <w:rPr>
                <w:sz w:val="20"/>
                <w:szCs w:val="20"/>
                <w:color w:val="auto"/>
              </w:rPr>
            </w:pPr>
            <w:r>
              <w:rPr>
                <w:rFonts w:ascii="Arial" w:cs="Arial" w:eastAsia="Arial" w:hAnsi="Arial"/>
                <w:sz w:val="18"/>
                <w:szCs w:val="18"/>
                <w:color w:val="auto"/>
              </w:rPr>
              <w:t>Common Shares (1,059</w:t>
            </w:r>
          </w:p>
        </w:tc>
        <w:tc>
          <w:tcPr>
            <w:tcW w:w="3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00" w:type="dxa"/>
            <w:vAlign w:val="bottom"/>
          </w:tcPr>
          <w:p>
            <w:pPr>
              <w:spacing w:after="0"/>
              <w:rPr>
                <w:sz w:val="20"/>
                <w:szCs w:val="20"/>
                <w:color w:val="auto"/>
              </w:rPr>
            </w:pPr>
            <w:r>
              <w:rPr>
                <w:rFonts w:ascii="Arial" w:cs="Arial" w:eastAsia="Arial" w:hAnsi="Arial"/>
                <w:sz w:val="15"/>
                <w:szCs w:val="15"/>
                <w:color w:val="auto"/>
              </w:rPr>
              <w:t>(12)</w:t>
            </w:r>
          </w:p>
        </w:tc>
        <w:tc>
          <w:tcPr>
            <w:tcW w:w="2360" w:type="dxa"/>
            <w:vAlign w:val="bottom"/>
          </w:tcPr>
          <w:p>
            <w:pPr>
              <w:ind w:left="80"/>
              <w:spacing w:after="0"/>
              <w:rPr>
                <w:sz w:val="20"/>
                <w:szCs w:val="20"/>
                <w:color w:val="auto"/>
              </w:rPr>
            </w:pPr>
            <w:r>
              <w:rPr>
                <w:rFonts w:ascii="Arial" w:cs="Arial" w:eastAsia="Arial" w:hAnsi="Arial"/>
                <w:sz w:val="18"/>
                <w:szCs w:val="18"/>
                <w:color w:val="auto"/>
              </w:rPr>
              <w:t>shares)</w:t>
            </w:r>
          </w:p>
        </w:tc>
        <w:tc>
          <w:tcPr>
            <w:tcW w:w="3380" w:type="dxa"/>
            <w:vAlign w:val="bottom"/>
          </w:tcPr>
          <w:p>
            <w:pPr>
              <w:jc w:val="right"/>
              <w:ind w:right="2390"/>
              <w:spacing w:after="0"/>
              <w:rPr>
                <w:sz w:val="20"/>
                <w:szCs w:val="20"/>
                <w:color w:val="auto"/>
              </w:rPr>
            </w:pPr>
            <w:r>
              <w:rPr>
                <w:rFonts w:ascii="Arial" w:cs="Arial" w:eastAsia="Arial" w:hAnsi="Arial"/>
                <w:sz w:val="18"/>
                <w:szCs w:val="18"/>
                <w:color w:val="auto"/>
              </w:rPr>
              <w:t>8/5/2015</w:t>
            </w:r>
          </w:p>
        </w:tc>
        <w:tc>
          <w:tcPr>
            <w:tcW w:w="860" w:type="dxa"/>
            <w:vAlign w:val="bottom"/>
          </w:tcPr>
          <w:p>
            <w:pPr>
              <w:jc w:val="right"/>
              <w:spacing w:after="0"/>
              <w:rPr>
                <w:sz w:val="20"/>
                <w:szCs w:val="20"/>
                <w:color w:val="auto"/>
              </w:rPr>
            </w:pPr>
            <w:r>
              <w:rPr>
                <w:rFonts w:ascii="Arial" w:cs="Arial" w:eastAsia="Arial" w:hAnsi="Arial"/>
                <w:sz w:val="18"/>
                <w:szCs w:val="18"/>
                <w:color w:val="auto"/>
              </w:rPr>
              <w:t>7</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6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Swift Gift Limited </w:t>
            </w:r>
            <w:r>
              <w:rPr>
                <w:rFonts w:ascii="Arial" w:cs="Arial" w:eastAsia="Arial" w:hAnsi="Arial"/>
                <w:sz w:val="15"/>
                <w:szCs w:val="15"/>
                <w:color w:val="auto"/>
              </w:rPr>
              <w:t>(13)</w:t>
            </w:r>
          </w:p>
        </w:tc>
        <w:tc>
          <w:tcPr>
            <w:tcW w:w="2360" w:type="dxa"/>
            <w:vAlign w:val="bottom"/>
            <w:shd w:val="clear" w:color="auto" w:fill="CFF0FC"/>
          </w:tcPr>
          <w:p>
            <w:pPr>
              <w:ind w:left="80"/>
              <w:spacing w:after="0"/>
              <w:rPr>
                <w:sz w:val="20"/>
                <w:szCs w:val="20"/>
                <w:color w:val="auto"/>
              </w:rPr>
            </w:pPr>
            <w:r>
              <w:rPr>
                <w:rFonts w:ascii="Arial" w:cs="Arial" w:eastAsia="Arial" w:hAnsi="Arial"/>
                <w:sz w:val="18"/>
                <w:szCs w:val="18"/>
                <w:color w:val="auto"/>
              </w:rPr>
              <w:t>Common Shares (35,000</w:t>
            </w:r>
          </w:p>
        </w:tc>
        <w:tc>
          <w:tcPr>
            <w:tcW w:w="33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00" w:type="dxa"/>
            <w:vAlign w:val="bottom"/>
            <w:shd w:val="clear" w:color="auto" w:fill="CFF0FC"/>
          </w:tcPr>
          <w:p>
            <w:pPr>
              <w:spacing w:after="0"/>
              <w:rPr>
                <w:sz w:val="20"/>
                <w:szCs w:val="20"/>
                <w:color w:val="auto"/>
              </w:rPr>
            </w:pPr>
          </w:p>
        </w:tc>
        <w:tc>
          <w:tcPr>
            <w:tcW w:w="2360" w:type="dxa"/>
            <w:vAlign w:val="bottom"/>
            <w:shd w:val="clear" w:color="auto" w:fill="CFF0FC"/>
          </w:tcPr>
          <w:p>
            <w:pPr>
              <w:ind w:left="80"/>
              <w:spacing w:after="0"/>
              <w:rPr>
                <w:sz w:val="20"/>
                <w:szCs w:val="20"/>
                <w:color w:val="auto"/>
              </w:rPr>
            </w:pPr>
            <w:r>
              <w:rPr>
                <w:rFonts w:ascii="Arial" w:cs="Arial" w:eastAsia="Arial" w:hAnsi="Arial"/>
                <w:sz w:val="18"/>
                <w:szCs w:val="18"/>
                <w:color w:val="auto"/>
              </w:rPr>
              <w:t>shares)</w:t>
            </w:r>
          </w:p>
        </w:tc>
        <w:tc>
          <w:tcPr>
            <w:tcW w:w="3380" w:type="dxa"/>
            <w:vAlign w:val="bottom"/>
            <w:shd w:val="clear" w:color="auto" w:fill="CFF0FC"/>
          </w:tcPr>
          <w:p>
            <w:pPr>
              <w:jc w:val="right"/>
              <w:ind w:right="2390"/>
              <w:spacing w:after="0"/>
              <w:rPr>
                <w:sz w:val="20"/>
                <w:szCs w:val="20"/>
                <w:color w:val="auto"/>
              </w:rPr>
            </w:pPr>
            <w:r>
              <w:rPr>
                <w:rFonts w:ascii="Arial" w:cs="Arial" w:eastAsia="Arial" w:hAnsi="Arial"/>
                <w:sz w:val="18"/>
                <w:szCs w:val="18"/>
                <w:color w:val="auto"/>
              </w:rPr>
              <w:t>7/31/2017</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3,500</w:t>
            </w:r>
          </w:p>
        </w:tc>
        <w:tc>
          <w:tcPr>
            <w:tcW w:w="20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7,998</w:t>
            </w:r>
          </w:p>
        </w:tc>
        <w:tc>
          <w:tcPr>
            <w:tcW w:w="22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60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7,353</w:t>
            </w:r>
          </w:p>
        </w:tc>
        <w:tc>
          <w:tcPr>
            <w:tcW w:w="200" w:type="dxa"/>
            <w:vAlign w:val="bottom"/>
            <w:vMerge w:val="continue"/>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15,486</w:t>
            </w:r>
          </w:p>
        </w:tc>
        <w:tc>
          <w:tcPr>
            <w:tcW w:w="22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Healthcare</w:t>
            </w:r>
          </w:p>
        </w:tc>
        <w:tc>
          <w:tcPr>
            <w:tcW w:w="2360" w:type="dxa"/>
            <w:vAlign w:val="bottom"/>
            <w:tcBorders>
              <w:top w:val="single" w:sz="8" w:color="CFF0FC"/>
            </w:tcBorders>
            <w:shd w:val="clear" w:color="auto" w:fill="CFF0FC"/>
          </w:tcPr>
          <w:p>
            <w:pPr>
              <w:spacing w:after="0"/>
              <w:rPr>
                <w:sz w:val="19"/>
                <w:szCs w:val="19"/>
                <w:color w:val="auto"/>
              </w:rPr>
            </w:pPr>
          </w:p>
        </w:tc>
        <w:tc>
          <w:tcPr>
            <w:tcW w:w="338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00" w:type="dxa"/>
            <w:vAlign w:val="bottom"/>
          </w:tcPr>
          <w:p>
            <w:pPr>
              <w:spacing w:after="0"/>
              <w:rPr>
                <w:sz w:val="20"/>
                <w:szCs w:val="20"/>
                <w:color w:val="auto"/>
              </w:rPr>
            </w:pPr>
            <w:r>
              <w:rPr>
                <w:rFonts w:ascii="Arial" w:cs="Arial" w:eastAsia="Arial" w:hAnsi="Arial"/>
                <w:sz w:val="18"/>
                <w:szCs w:val="18"/>
                <w:color w:val="auto"/>
              </w:rPr>
              <w:t xml:space="preserve">Caris Life Sciences, Ltd. </w:t>
            </w:r>
            <w:r>
              <w:rPr>
                <w:rFonts w:ascii="Arial" w:cs="Arial" w:eastAsia="Arial" w:hAnsi="Arial"/>
                <w:sz w:val="15"/>
                <w:szCs w:val="15"/>
                <w:color w:val="auto"/>
              </w:rPr>
              <w:t>(13)(14)</w:t>
            </w:r>
          </w:p>
        </w:tc>
        <w:tc>
          <w:tcPr>
            <w:tcW w:w="2360" w:type="dxa"/>
            <w:vAlign w:val="bottom"/>
          </w:tcPr>
          <w:p>
            <w:pPr>
              <w:ind w:left="80"/>
              <w:spacing w:after="0"/>
              <w:rPr>
                <w:sz w:val="20"/>
                <w:szCs w:val="20"/>
                <w:color w:val="auto"/>
              </w:rPr>
            </w:pPr>
            <w:r>
              <w:rPr>
                <w:rFonts w:ascii="Arial" w:cs="Arial" w:eastAsia="Arial" w:hAnsi="Arial"/>
                <w:sz w:val="18"/>
                <w:szCs w:val="18"/>
                <w:color w:val="auto"/>
              </w:rPr>
              <w:t>Warrants</w:t>
            </w:r>
          </w:p>
        </w:tc>
        <w:tc>
          <w:tcPr>
            <w:tcW w:w="3380" w:type="dxa"/>
            <w:vAlign w:val="bottom"/>
          </w:tcPr>
          <w:p>
            <w:pPr>
              <w:jc w:val="right"/>
              <w:ind w:right="2390"/>
              <w:spacing w:after="0"/>
              <w:rPr>
                <w:sz w:val="20"/>
                <w:szCs w:val="20"/>
                <w:color w:val="auto"/>
              </w:rPr>
            </w:pPr>
            <w:r>
              <w:rPr>
                <w:rFonts w:ascii="Arial" w:cs="Arial" w:eastAsia="Arial" w:hAnsi="Arial"/>
                <w:sz w:val="18"/>
                <w:szCs w:val="18"/>
                <w:color w:val="auto"/>
              </w:rPr>
              <w:t>9/21/2018</w:t>
            </w:r>
          </w:p>
        </w:tc>
        <w:tc>
          <w:tcPr>
            <w:tcW w:w="860" w:type="dxa"/>
            <w:vAlign w:val="bottom"/>
          </w:tcPr>
          <w:p>
            <w:pPr>
              <w:jc w:val="right"/>
              <w:spacing w:after="0"/>
              <w:rPr>
                <w:sz w:val="20"/>
                <w:szCs w:val="20"/>
                <w:color w:val="auto"/>
              </w:rPr>
            </w:pPr>
            <w:r>
              <w:rPr>
                <w:rFonts w:ascii="Arial" w:cs="Arial" w:eastAsia="Arial" w:hAnsi="Arial"/>
                <w:sz w:val="18"/>
                <w:szCs w:val="18"/>
                <w:color w:val="auto"/>
              </w:rPr>
              <w:t>192</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192</w:t>
            </w:r>
          </w:p>
        </w:tc>
        <w:tc>
          <w:tcPr>
            <w:tcW w:w="22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6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SRS Parent Corp. </w:t>
            </w:r>
            <w:r>
              <w:rPr>
                <w:rFonts w:ascii="Arial" w:cs="Arial" w:eastAsia="Arial" w:hAnsi="Arial"/>
                <w:sz w:val="15"/>
                <w:szCs w:val="15"/>
                <w:color w:val="auto"/>
              </w:rPr>
              <w:t>(13)</w:t>
            </w:r>
          </w:p>
        </w:tc>
        <w:tc>
          <w:tcPr>
            <w:tcW w:w="2360" w:type="dxa"/>
            <w:vAlign w:val="bottom"/>
            <w:shd w:val="clear" w:color="auto" w:fill="CFF0FC"/>
          </w:tcPr>
          <w:p>
            <w:pPr>
              <w:ind w:left="80"/>
              <w:spacing w:after="0"/>
              <w:rPr>
                <w:sz w:val="20"/>
                <w:szCs w:val="20"/>
                <w:color w:val="auto"/>
              </w:rPr>
            </w:pPr>
            <w:r>
              <w:rPr>
                <w:rFonts w:ascii="Arial" w:cs="Arial" w:eastAsia="Arial" w:hAnsi="Arial"/>
                <w:sz w:val="18"/>
                <w:szCs w:val="18"/>
                <w:color w:val="auto"/>
              </w:rPr>
              <w:t>Common Shares Class A</w:t>
            </w:r>
          </w:p>
        </w:tc>
        <w:tc>
          <w:tcPr>
            <w:tcW w:w="33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00" w:type="dxa"/>
            <w:vAlign w:val="bottom"/>
            <w:shd w:val="clear" w:color="auto" w:fill="CFF0FC"/>
          </w:tcPr>
          <w:p>
            <w:pPr>
              <w:spacing w:after="0"/>
              <w:rPr>
                <w:sz w:val="20"/>
                <w:szCs w:val="20"/>
                <w:color w:val="auto"/>
              </w:rPr>
            </w:pPr>
          </w:p>
        </w:tc>
        <w:tc>
          <w:tcPr>
            <w:tcW w:w="2360" w:type="dxa"/>
            <w:vAlign w:val="bottom"/>
            <w:shd w:val="clear" w:color="auto" w:fill="CFF0FC"/>
          </w:tcPr>
          <w:p>
            <w:pPr>
              <w:ind w:left="80"/>
              <w:spacing w:after="0"/>
              <w:rPr>
                <w:sz w:val="20"/>
                <w:szCs w:val="20"/>
                <w:color w:val="auto"/>
              </w:rPr>
            </w:pPr>
            <w:r>
              <w:rPr>
                <w:rFonts w:ascii="Arial" w:cs="Arial" w:eastAsia="Arial" w:hAnsi="Arial"/>
                <w:sz w:val="18"/>
                <w:szCs w:val="18"/>
                <w:color w:val="auto"/>
              </w:rPr>
              <w:t>(1,980 shares)</w:t>
            </w:r>
          </w:p>
        </w:tc>
        <w:tc>
          <w:tcPr>
            <w:tcW w:w="3380" w:type="dxa"/>
            <w:vAlign w:val="bottom"/>
            <w:shd w:val="clear" w:color="auto" w:fill="CFF0FC"/>
          </w:tcPr>
          <w:p>
            <w:pPr>
              <w:jc w:val="right"/>
              <w:ind w:right="2390"/>
              <w:spacing w:after="0"/>
              <w:rPr>
                <w:sz w:val="20"/>
                <w:szCs w:val="20"/>
                <w:color w:val="auto"/>
              </w:rPr>
            </w:pPr>
            <w:r>
              <w:rPr>
                <w:rFonts w:ascii="Arial" w:cs="Arial" w:eastAsia="Arial" w:hAnsi="Arial"/>
                <w:sz w:val="18"/>
                <w:szCs w:val="18"/>
                <w:color w:val="auto"/>
                <w:w w:val="97"/>
              </w:rPr>
              <w:t>12/28/2012</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1,980</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1,064</w:t>
            </w:r>
          </w:p>
        </w:tc>
        <w:tc>
          <w:tcPr>
            <w:tcW w:w="22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600" w:type="dxa"/>
            <w:vAlign w:val="bottom"/>
          </w:tcPr>
          <w:p>
            <w:pPr>
              <w:spacing w:after="0"/>
              <w:rPr>
                <w:sz w:val="18"/>
                <w:szCs w:val="18"/>
                <w:color w:val="auto"/>
              </w:rPr>
            </w:pPr>
          </w:p>
        </w:tc>
        <w:tc>
          <w:tcPr>
            <w:tcW w:w="2360" w:type="dxa"/>
            <w:vAlign w:val="bottom"/>
          </w:tcPr>
          <w:p>
            <w:pPr>
              <w:ind w:left="80"/>
              <w:spacing w:after="0"/>
              <w:rPr>
                <w:sz w:val="20"/>
                <w:szCs w:val="20"/>
                <w:color w:val="auto"/>
              </w:rPr>
            </w:pPr>
            <w:r>
              <w:rPr>
                <w:rFonts w:ascii="Arial" w:cs="Arial" w:eastAsia="Arial" w:hAnsi="Arial"/>
                <w:sz w:val="18"/>
                <w:szCs w:val="18"/>
                <w:color w:val="auto"/>
              </w:rPr>
              <w:t>Common Shares Class B</w:t>
            </w:r>
          </w:p>
        </w:tc>
        <w:tc>
          <w:tcPr>
            <w:tcW w:w="3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00" w:type="dxa"/>
            <w:vAlign w:val="bottom"/>
          </w:tcPr>
          <w:p>
            <w:pPr>
              <w:spacing w:after="0"/>
              <w:rPr>
                <w:sz w:val="20"/>
                <w:szCs w:val="20"/>
                <w:color w:val="auto"/>
              </w:rPr>
            </w:pPr>
          </w:p>
        </w:tc>
        <w:tc>
          <w:tcPr>
            <w:tcW w:w="2360" w:type="dxa"/>
            <w:vAlign w:val="bottom"/>
          </w:tcPr>
          <w:p>
            <w:pPr>
              <w:ind w:left="80"/>
              <w:spacing w:after="0"/>
              <w:rPr>
                <w:sz w:val="20"/>
                <w:szCs w:val="20"/>
                <w:color w:val="auto"/>
              </w:rPr>
            </w:pPr>
            <w:r>
              <w:rPr>
                <w:rFonts w:ascii="Arial" w:cs="Arial" w:eastAsia="Arial" w:hAnsi="Arial"/>
                <w:sz w:val="18"/>
                <w:szCs w:val="18"/>
                <w:color w:val="auto"/>
              </w:rPr>
              <w:t>(2,953,020 shares)</w:t>
            </w:r>
          </w:p>
        </w:tc>
        <w:tc>
          <w:tcPr>
            <w:tcW w:w="3380" w:type="dxa"/>
            <w:vAlign w:val="bottom"/>
          </w:tcPr>
          <w:p>
            <w:pPr>
              <w:jc w:val="right"/>
              <w:ind w:right="2390"/>
              <w:spacing w:after="0"/>
              <w:rPr>
                <w:sz w:val="20"/>
                <w:szCs w:val="20"/>
                <w:color w:val="auto"/>
              </w:rPr>
            </w:pPr>
            <w:r>
              <w:rPr>
                <w:rFonts w:ascii="Arial" w:cs="Arial" w:eastAsia="Arial" w:hAnsi="Arial"/>
                <w:sz w:val="18"/>
                <w:szCs w:val="18"/>
                <w:color w:val="auto"/>
                <w:w w:val="97"/>
              </w:rPr>
              <w:t>12/28/2012</w:t>
            </w:r>
          </w:p>
        </w:tc>
        <w:tc>
          <w:tcPr>
            <w:tcW w:w="860" w:type="dxa"/>
            <w:vAlign w:val="bottom"/>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600" w:type="dxa"/>
            <w:vAlign w:val="bottom"/>
            <w:shd w:val="clear" w:color="auto" w:fill="CFF0FC"/>
          </w:tcPr>
          <w:p>
            <w:pPr>
              <w:spacing w:after="0" w:line="20" w:lineRule="exact"/>
              <w:rPr>
                <w:sz w:val="1"/>
                <w:szCs w:val="1"/>
                <w:color w:val="auto"/>
              </w:rPr>
            </w:pPr>
          </w:p>
        </w:tc>
        <w:tc>
          <w:tcPr>
            <w:tcW w:w="2360" w:type="dxa"/>
            <w:vAlign w:val="bottom"/>
            <w:shd w:val="clear" w:color="auto" w:fill="CFF0FC"/>
          </w:tcPr>
          <w:p>
            <w:pPr>
              <w:spacing w:after="0" w:line="20" w:lineRule="exact"/>
              <w:rPr>
                <w:sz w:val="1"/>
                <w:szCs w:val="1"/>
                <w:color w:val="auto"/>
              </w:rPr>
            </w:pPr>
          </w:p>
        </w:tc>
        <w:tc>
          <w:tcPr>
            <w:tcW w:w="338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600" w:type="dxa"/>
            <w:vAlign w:val="bottom"/>
            <w:shd w:val="clear" w:color="auto" w:fill="CFF0FC"/>
          </w:tcPr>
          <w:p>
            <w:pPr>
              <w:spacing w:after="0"/>
              <w:rPr>
                <w:sz w:val="19"/>
                <w:szCs w:val="19"/>
                <w:color w:val="auto"/>
              </w:rPr>
            </w:pPr>
          </w:p>
        </w:tc>
        <w:tc>
          <w:tcPr>
            <w:tcW w:w="2360" w:type="dxa"/>
            <w:vAlign w:val="bottom"/>
            <w:shd w:val="clear" w:color="auto" w:fill="CFF0FC"/>
          </w:tcPr>
          <w:p>
            <w:pPr>
              <w:spacing w:after="0"/>
              <w:rPr>
                <w:sz w:val="19"/>
                <w:szCs w:val="19"/>
                <w:color w:val="auto"/>
              </w:rPr>
            </w:pPr>
          </w:p>
        </w:tc>
        <w:tc>
          <w:tcPr>
            <w:tcW w:w="33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2,192</w:t>
            </w:r>
          </w:p>
        </w:tc>
        <w:tc>
          <w:tcPr>
            <w:tcW w:w="200" w:type="dxa"/>
            <w:vAlign w:val="bottom"/>
            <w:vMerge w:val="continue"/>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1,267</w:t>
            </w:r>
          </w:p>
        </w:tc>
        <w:tc>
          <w:tcPr>
            <w:tcW w:w="2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00" w:type="dxa"/>
            <w:vAlign w:val="bottom"/>
          </w:tcPr>
          <w:p>
            <w:pPr>
              <w:spacing w:after="0"/>
              <w:rPr>
                <w:sz w:val="20"/>
                <w:szCs w:val="20"/>
                <w:color w:val="auto"/>
              </w:rPr>
            </w:pPr>
            <w:r>
              <w:rPr>
                <w:rFonts w:ascii="Arial" w:cs="Arial" w:eastAsia="Arial" w:hAnsi="Arial"/>
                <w:sz w:val="18"/>
                <w:szCs w:val="18"/>
                <w:b w:val="1"/>
                <w:bCs w:val="1"/>
                <w:color w:val="auto"/>
              </w:rPr>
              <w:t>Hotel, gaming, and leisure</w:t>
            </w:r>
          </w:p>
        </w:tc>
        <w:tc>
          <w:tcPr>
            <w:tcW w:w="236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6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IRGSE Holding Corp. </w:t>
            </w:r>
            <w:r>
              <w:rPr>
                <w:rFonts w:ascii="Arial" w:cs="Arial" w:eastAsia="Arial" w:hAnsi="Arial"/>
                <w:sz w:val="15"/>
                <w:szCs w:val="15"/>
                <w:color w:val="auto"/>
              </w:rPr>
              <w:t>(7)(13)</w:t>
            </w:r>
          </w:p>
        </w:tc>
        <w:tc>
          <w:tcPr>
            <w:tcW w:w="2360" w:type="dxa"/>
            <w:vAlign w:val="bottom"/>
            <w:shd w:val="clear" w:color="auto" w:fill="CFF0FC"/>
          </w:tcPr>
          <w:p>
            <w:pPr>
              <w:ind w:left="80"/>
              <w:spacing w:after="0"/>
              <w:rPr>
                <w:sz w:val="20"/>
                <w:szCs w:val="20"/>
                <w:color w:val="auto"/>
              </w:rPr>
            </w:pPr>
            <w:r>
              <w:rPr>
                <w:rFonts w:ascii="Arial" w:cs="Arial" w:eastAsia="Arial" w:hAnsi="Arial"/>
                <w:sz w:val="18"/>
                <w:szCs w:val="18"/>
                <w:color w:val="auto"/>
              </w:rPr>
              <w:t>Class A Units (27,690,171</w:t>
            </w:r>
          </w:p>
        </w:tc>
        <w:tc>
          <w:tcPr>
            <w:tcW w:w="33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00" w:type="dxa"/>
            <w:vAlign w:val="bottom"/>
            <w:shd w:val="clear" w:color="auto" w:fill="CFF0FC"/>
          </w:tcPr>
          <w:p>
            <w:pPr>
              <w:spacing w:after="0"/>
              <w:rPr>
                <w:sz w:val="20"/>
                <w:szCs w:val="20"/>
                <w:color w:val="auto"/>
              </w:rPr>
            </w:pPr>
          </w:p>
        </w:tc>
        <w:tc>
          <w:tcPr>
            <w:tcW w:w="2360" w:type="dxa"/>
            <w:vAlign w:val="bottom"/>
            <w:shd w:val="clear" w:color="auto" w:fill="CFF0FC"/>
          </w:tcPr>
          <w:p>
            <w:pPr>
              <w:ind w:left="80"/>
              <w:spacing w:after="0"/>
              <w:rPr>
                <w:sz w:val="20"/>
                <w:szCs w:val="20"/>
                <w:color w:val="auto"/>
              </w:rPr>
            </w:pPr>
            <w:r>
              <w:rPr>
                <w:rFonts w:ascii="Arial" w:cs="Arial" w:eastAsia="Arial" w:hAnsi="Arial"/>
                <w:sz w:val="18"/>
                <w:szCs w:val="18"/>
                <w:color w:val="auto"/>
              </w:rPr>
              <w:t xml:space="preserve">units) </w:t>
            </w:r>
            <w:r>
              <w:rPr>
                <w:rFonts w:ascii="Arial" w:cs="Arial" w:eastAsia="Arial" w:hAnsi="Arial"/>
                <w:sz w:val="15"/>
                <w:szCs w:val="15"/>
                <w:color w:val="auto"/>
              </w:rPr>
              <w:t>(14)</w:t>
            </w:r>
          </w:p>
        </w:tc>
        <w:tc>
          <w:tcPr>
            <w:tcW w:w="3380" w:type="dxa"/>
            <w:vAlign w:val="bottom"/>
            <w:shd w:val="clear" w:color="auto" w:fill="CFF0FC"/>
          </w:tcPr>
          <w:p>
            <w:pPr>
              <w:jc w:val="right"/>
              <w:ind w:right="2390"/>
              <w:spacing w:after="0"/>
              <w:rPr>
                <w:sz w:val="20"/>
                <w:szCs w:val="20"/>
                <w:color w:val="auto"/>
              </w:rPr>
            </w:pPr>
            <w:r>
              <w:rPr>
                <w:rFonts w:ascii="Arial" w:cs="Arial" w:eastAsia="Arial" w:hAnsi="Arial"/>
                <w:sz w:val="18"/>
                <w:szCs w:val="18"/>
                <w:color w:val="auto"/>
                <w:w w:val="97"/>
              </w:rPr>
              <w:t>12/21/2018</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20,063</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4,520</w:t>
            </w:r>
          </w:p>
        </w:tc>
        <w:tc>
          <w:tcPr>
            <w:tcW w:w="22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600" w:type="dxa"/>
            <w:vAlign w:val="bottom"/>
          </w:tcPr>
          <w:p>
            <w:pPr>
              <w:spacing w:after="0"/>
              <w:rPr>
                <w:sz w:val="18"/>
                <w:szCs w:val="18"/>
                <w:color w:val="auto"/>
              </w:rPr>
            </w:pPr>
          </w:p>
        </w:tc>
        <w:tc>
          <w:tcPr>
            <w:tcW w:w="2360" w:type="dxa"/>
            <w:vAlign w:val="bottom"/>
          </w:tcPr>
          <w:p>
            <w:pPr>
              <w:ind w:left="80"/>
              <w:spacing w:after="0"/>
              <w:rPr>
                <w:sz w:val="20"/>
                <w:szCs w:val="20"/>
                <w:color w:val="auto"/>
              </w:rPr>
            </w:pPr>
            <w:r>
              <w:rPr>
                <w:rFonts w:ascii="Arial" w:cs="Arial" w:eastAsia="Arial" w:hAnsi="Arial"/>
                <w:sz w:val="18"/>
                <w:szCs w:val="18"/>
                <w:color w:val="auto"/>
                <w:w w:val="99"/>
              </w:rPr>
              <w:t>Common Shares (8,800,000</w:t>
            </w:r>
          </w:p>
        </w:tc>
        <w:tc>
          <w:tcPr>
            <w:tcW w:w="3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00" w:type="dxa"/>
            <w:vAlign w:val="bottom"/>
          </w:tcPr>
          <w:p>
            <w:pPr>
              <w:spacing w:after="0"/>
              <w:rPr>
                <w:sz w:val="20"/>
                <w:szCs w:val="20"/>
                <w:color w:val="auto"/>
              </w:rPr>
            </w:pPr>
          </w:p>
        </w:tc>
        <w:tc>
          <w:tcPr>
            <w:tcW w:w="2360" w:type="dxa"/>
            <w:vAlign w:val="bottom"/>
          </w:tcPr>
          <w:p>
            <w:pPr>
              <w:ind w:left="80"/>
              <w:spacing w:after="0"/>
              <w:rPr>
                <w:sz w:val="20"/>
                <w:szCs w:val="20"/>
                <w:color w:val="auto"/>
              </w:rPr>
            </w:pPr>
            <w:r>
              <w:rPr>
                <w:rFonts w:ascii="Arial" w:cs="Arial" w:eastAsia="Arial" w:hAnsi="Arial"/>
                <w:sz w:val="18"/>
                <w:szCs w:val="18"/>
                <w:color w:val="auto"/>
              </w:rPr>
              <w:t>shares)</w:t>
            </w:r>
          </w:p>
        </w:tc>
        <w:tc>
          <w:tcPr>
            <w:tcW w:w="3380" w:type="dxa"/>
            <w:vAlign w:val="bottom"/>
          </w:tcPr>
          <w:p>
            <w:pPr>
              <w:jc w:val="right"/>
              <w:ind w:right="2390"/>
              <w:spacing w:after="0"/>
              <w:rPr>
                <w:sz w:val="20"/>
                <w:szCs w:val="20"/>
                <w:color w:val="auto"/>
              </w:rPr>
            </w:pPr>
            <w:r>
              <w:rPr>
                <w:rFonts w:ascii="Arial" w:cs="Arial" w:eastAsia="Arial" w:hAnsi="Arial"/>
                <w:sz w:val="18"/>
                <w:szCs w:val="18"/>
                <w:color w:val="auto"/>
                <w:w w:val="97"/>
              </w:rPr>
              <w:t>12/21/2018</w:t>
            </w:r>
          </w:p>
        </w:tc>
        <w:tc>
          <w:tcPr>
            <w:tcW w:w="860" w:type="dxa"/>
            <w:vAlign w:val="bottom"/>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w:t>
            </w:r>
          </w:p>
        </w:tc>
        <w:tc>
          <w:tcPr>
            <w:tcW w:w="22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600" w:type="dxa"/>
            <w:vAlign w:val="bottom"/>
            <w:shd w:val="clear" w:color="auto" w:fill="CFF0FC"/>
          </w:tcPr>
          <w:p>
            <w:pPr>
              <w:spacing w:after="0" w:line="20" w:lineRule="exact"/>
              <w:rPr>
                <w:sz w:val="1"/>
                <w:szCs w:val="1"/>
                <w:color w:val="auto"/>
              </w:rPr>
            </w:pPr>
          </w:p>
        </w:tc>
        <w:tc>
          <w:tcPr>
            <w:tcW w:w="2360" w:type="dxa"/>
            <w:vAlign w:val="bottom"/>
            <w:shd w:val="clear" w:color="auto" w:fill="CFF0FC"/>
          </w:tcPr>
          <w:p>
            <w:pPr>
              <w:spacing w:after="0" w:line="20" w:lineRule="exact"/>
              <w:rPr>
                <w:sz w:val="1"/>
                <w:szCs w:val="1"/>
                <w:color w:val="auto"/>
              </w:rPr>
            </w:pPr>
          </w:p>
        </w:tc>
        <w:tc>
          <w:tcPr>
            <w:tcW w:w="338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600" w:type="dxa"/>
            <w:vAlign w:val="bottom"/>
            <w:shd w:val="clear" w:color="auto" w:fill="CFF0FC"/>
          </w:tcPr>
          <w:p>
            <w:pPr>
              <w:spacing w:after="0"/>
              <w:rPr>
                <w:sz w:val="19"/>
                <w:szCs w:val="19"/>
                <w:color w:val="auto"/>
              </w:rPr>
            </w:pPr>
          </w:p>
        </w:tc>
        <w:tc>
          <w:tcPr>
            <w:tcW w:w="2360" w:type="dxa"/>
            <w:vAlign w:val="bottom"/>
            <w:shd w:val="clear" w:color="auto" w:fill="CFF0FC"/>
          </w:tcPr>
          <w:p>
            <w:pPr>
              <w:spacing w:after="0"/>
              <w:rPr>
                <w:sz w:val="19"/>
                <w:szCs w:val="19"/>
                <w:color w:val="auto"/>
              </w:rPr>
            </w:pPr>
          </w:p>
        </w:tc>
        <w:tc>
          <w:tcPr>
            <w:tcW w:w="33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20,163</w:t>
            </w:r>
          </w:p>
        </w:tc>
        <w:tc>
          <w:tcPr>
            <w:tcW w:w="200" w:type="dxa"/>
            <w:vAlign w:val="bottom"/>
            <w:vMerge w:val="continue"/>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4,568</w:t>
            </w:r>
          </w:p>
        </w:tc>
        <w:tc>
          <w:tcPr>
            <w:tcW w:w="2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600" w:type="dxa"/>
            <w:vAlign w:val="bottom"/>
          </w:tcPr>
          <w:p>
            <w:pPr>
              <w:spacing w:after="0" w:line="205" w:lineRule="exact"/>
              <w:rPr>
                <w:sz w:val="20"/>
                <w:szCs w:val="20"/>
                <w:color w:val="auto"/>
              </w:rPr>
            </w:pPr>
            <w:r>
              <w:rPr>
                <w:rFonts w:ascii="Arial" w:cs="Arial" w:eastAsia="Arial" w:hAnsi="Arial"/>
                <w:sz w:val="18"/>
                <w:szCs w:val="18"/>
                <w:b w:val="1"/>
                <w:bCs w:val="1"/>
                <w:color w:val="auto"/>
              </w:rPr>
              <w:t>Human resource support</w:t>
            </w:r>
          </w:p>
        </w:tc>
        <w:tc>
          <w:tcPr>
            <w:tcW w:w="236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00" w:type="dxa"/>
            <w:vAlign w:val="bottom"/>
          </w:tcPr>
          <w:p>
            <w:pPr>
              <w:spacing w:after="0"/>
              <w:rPr>
                <w:sz w:val="20"/>
                <w:szCs w:val="20"/>
                <w:color w:val="auto"/>
              </w:rPr>
            </w:pPr>
            <w:r>
              <w:rPr>
                <w:rFonts w:ascii="Arial" w:cs="Arial" w:eastAsia="Arial" w:hAnsi="Arial"/>
                <w:sz w:val="18"/>
                <w:szCs w:val="18"/>
                <w:b w:val="1"/>
                <w:bCs w:val="1"/>
                <w:color w:val="auto"/>
              </w:rPr>
              <w:t>services</w:t>
            </w:r>
          </w:p>
        </w:tc>
        <w:tc>
          <w:tcPr>
            <w:tcW w:w="236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6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ClearCompany, LLC </w:t>
            </w:r>
            <w:r>
              <w:rPr>
                <w:rFonts w:ascii="Arial" w:cs="Arial" w:eastAsia="Arial" w:hAnsi="Arial"/>
                <w:sz w:val="15"/>
                <w:szCs w:val="15"/>
                <w:color w:val="auto"/>
              </w:rPr>
              <w:t>(13)(14)(15)</w:t>
            </w:r>
          </w:p>
        </w:tc>
        <w:tc>
          <w:tcPr>
            <w:tcW w:w="2360" w:type="dxa"/>
            <w:vAlign w:val="bottom"/>
            <w:shd w:val="clear" w:color="auto" w:fill="CFF0FC"/>
          </w:tcPr>
          <w:p>
            <w:pPr>
              <w:ind w:left="80"/>
              <w:spacing w:after="0"/>
              <w:rPr>
                <w:sz w:val="20"/>
                <w:szCs w:val="20"/>
                <w:color w:val="auto"/>
              </w:rPr>
            </w:pPr>
            <w:r>
              <w:rPr>
                <w:rFonts w:ascii="Arial" w:cs="Arial" w:eastAsia="Arial" w:hAnsi="Arial"/>
                <w:sz w:val="18"/>
                <w:szCs w:val="18"/>
                <w:color w:val="auto"/>
              </w:rPr>
              <w:t>Class A Units (44,944 units)</w:t>
            </w:r>
          </w:p>
        </w:tc>
        <w:tc>
          <w:tcPr>
            <w:tcW w:w="3380" w:type="dxa"/>
            <w:vAlign w:val="bottom"/>
            <w:shd w:val="clear" w:color="auto" w:fill="CFF0FC"/>
          </w:tcPr>
          <w:p>
            <w:pPr>
              <w:jc w:val="right"/>
              <w:ind w:right="2390"/>
              <w:spacing w:after="0"/>
              <w:rPr>
                <w:sz w:val="20"/>
                <w:szCs w:val="20"/>
                <w:color w:val="auto"/>
              </w:rPr>
            </w:pPr>
            <w:r>
              <w:rPr>
                <w:rFonts w:ascii="Arial" w:cs="Arial" w:eastAsia="Arial" w:hAnsi="Arial"/>
                <w:sz w:val="18"/>
                <w:szCs w:val="18"/>
                <w:color w:val="auto"/>
              </w:rPr>
              <w:t>8/24/2018</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2,014</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2,014</w:t>
            </w:r>
          </w:p>
        </w:tc>
        <w:tc>
          <w:tcPr>
            <w:tcW w:w="2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00" w:type="dxa"/>
            <w:vAlign w:val="bottom"/>
          </w:tcPr>
          <w:p>
            <w:pPr>
              <w:spacing w:after="0"/>
              <w:rPr>
                <w:sz w:val="20"/>
                <w:szCs w:val="20"/>
                <w:color w:val="auto"/>
              </w:rPr>
            </w:pPr>
            <w:r>
              <w:rPr>
                <w:rFonts w:ascii="Arial" w:cs="Arial" w:eastAsia="Arial" w:hAnsi="Arial"/>
                <w:sz w:val="18"/>
                <w:szCs w:val="18"/>
                <w:b w:val="1"/>
                <w:bCs w:val="1"/>
                <w:color w:val="auto"/>
              </w:rPr>
              <w:t>Insurance</w:t>
            </w:r>
          </w:p>
        </w:tc>
        <w:tc>
          <w:tcPr>
            <w:tcW w:w="236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6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Riskonnect, Inc. </w:t>
            </w:r>
            <w:r>
              <w:rPr>
                <w:rFonts w:ascii="Arial" w:cs="Arial" w:eastAsia="Arial" w:hAnsi="Arial"/>
                <w:sz w:val="15"/>
                <w:szCs w:val="15"/>
                <w:color w:val="auto"/>
              </w:rPr>
              <w:t>(13)(14)</w:t>
            </w:r>
          </w:p>
        </w:tc>
        <w:tc>
          <w:tcPr>
            <w:tcW w:w="2360" w:type="dxa"/>
            <w:vAlign w:val="bottom"/>
            <w:shd w:val="clear" w:color="auto" w:fill="CFF0FC"/>
          </w:tcPr>
          <w:p>
            <w:pPr>
              <w:ind w:left="80"/>
              <w:spacing w:after="0"/>
              <w:rPr>
                <w:sz w:val="20"/>
                <w:szCs w:val="20"/>
                <w:color w:val="auto"/>
              </w:rPr>
            </w:pPr>
            <w:r>
              <w:rPr>
                <w:rFonts w:ascii="Arial" w:cs="Arial" w:eastAsia="Arial" w:hAnsi="Arial"/>
                <w:sz w:val="18"/>
                <w:szCs w:val="18"/>
                <w:color w:val="auto"/>
              </w:rPr>
              <w:t>Common Shares Class A</w:t>
            </w:r>
          </w:p>
        </w:tc>
        <w:tc>
          <w:tcPr>
            <w:tcW w:w="33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00" w:type="dxa"/>
            <w:vAlign w:val="bottom"/>
            <w:shd w:val="clear" w:color="auto" w:fill="CFF0FC"/>
          </w:tcPr>
          <w:p>
            <w:pPr>
              <w:spacing w:after="0"/>
              <w:rPr>
                <w:sz w:val="20"/>
                <w:szCs w:val="20"/>
                <w:color w:val="auto"/>
              </w:rPr>
            </w:pPr>
          </w:p>
        </w:tc>
        <w:tc>
          <w:tcPr>
            <w:tcW w:w="2360" w:type="dxa"/>
            <w:vAlign w:val="bottom"/>
            <w:shd w:val="clear" w:color="auto" w:fill="CFF0FC"/>
          </w:tcPr>
          <w:p>
            <w:pPr>
              <w:ind w:left="80"/>
              <w:spacing w:after="0"/>
              <w:rPr>
                <w:sz w:val="20"/>
                <w:szCs w:val="20"/>
                <w:color w:val="auto"/>
              </w:rPr>
            </w:pPr>
            <w:r>
              <w:rPr>
                <w:rFonts w:ascii="Arial" w:cs="Arial" w:eastAsia="Arial" w:hAnsi="Arial"/>
                <w:sz w:val="18"/>
                <w:szCs w:val="18"/>
                <w:color w:val="auto"/>
              </w:rPr>
              <w:t>(1,020 units)</w:t>
            </w:r>
          </w:p>
        </w:tc>
        <w:tc>
          <w:tcPr>
            <w:tcW w:w="3380" w:type="dxa"/>
            <w:vAlign w:val="bottom"/>
            <w:shd w:val="clear" w:color="auto" w:fill="CFF0FC"/>
          </w:tcPr>
          <w:p>
            <w:pPr>
              <w:jc w:val="right"/>
              <w:ind w:right="2390"/>
              <w:spacing w:after="0"/>
              <w:rPr>
                <w:sz w:val="20"/>
                <w:szCs w:val="20"/>
                <w:color w:val="auto"/>
              </w:rPr>
            </w:pPr>
            <w:r>
              <w:rPr>
                <w:rFonts w:ascii="Arial" w:cs="Arial" w:eastAsia="Arial" w:hAnsi="Arial"/>
                <w:sz w:val="18"/>
                <w:szCs w:val="18"/>
                <w:color w:val="auto"/>
              </w:rPr>
              <w:t>10/1/2018</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1,020</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1,020</w:t>
            </w:r>
          </w:p>
        </w:tc>
        <w:tc>
          <w:tcPr>
            <w:tcW w:w="22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600" w:type="dxa"/>
            <w:vAlign w:val="bottom"/>
          </w:tcPr>
          <w:p>
            <w:pPr>
              <w:spacing w:after="0"/>
              <w:rPr>
                <w:sz w:val="18"/>
                <w:szCs w:val="18"/>
                <w:color w:val="auto"/>
              </w:rPr>
            </w:pPr>
          </w:p>
        </w:tc>
        <w:tc>
          <w:tcPr>
            <w:tcW w:w="2360" w:type="dxa"/>
            <w:vAlign w:val="bottom"/>
          </w:tcPr>
          <w:p>
            <w:pPr>
              <w:ind w:left="80"/>
              <w:spacing w:after="0"/>
              <w:rPr>
                <w:sz w:val="20"/>
                <w:szCs w:val="20"/>
                <w:color w:val="auto"/>
              </w:rPr>
            </w:pPr>
            <w:r>
              <w:rPr>
                <w:rFonts w:ascii="Arial" w:cs="Arial" w:eastAsia="Arial" w:hAnsi="Arial"/>
                <w:sz w:val="18"/>
                <w:szCs w:val="18"/>
                <w:color w:val="auto"/>
              </w:rPr>
              <w:t>Common Shares Class B</w:t>
            </w:r>
          </w:p>
        </w:tc>
        <w:tc>
          <w:tcPr>
            <w:tcW w:w="3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00" w:type="dxa"/>
            <w:vAlign w:val="bottom"/>
          </w:tcPr>
          <w:p>
            <w:pPr>
              <w:spacing w:after="0"/>
              <w:rPr>
                <w:sz w:val="20"/>
                <w:szCs w:val="20"/>
                <w:color w:val="auto"/>
              </w:rPr>
            </w:pPr>
          </w:p>
        </w:tc>
        <w:tc>
          <w:tcPr>
            <w:tcW w:w="2360" w:type="dxa"/>
            <w:vAlign w:val="bottom"/>
          </w:tcPr>
          <w:p>
            <w:pPr>
              <w:ind w:left="80"/>
              <w:spacing w:after="0"/>
              <w:rPr>
                <w:sz w:val="20"/>
                <w:szCs w:val="20"/>
                <w:color w:val="auto"/>
              </w:rPr>
            </w:pPr>
            <w:r>
              <w:rPr>
                <w:rFonts w:ascii="Arial" w:cs="Arial" w:eastAsia="Arial" w:hAnsi="Arial"/>
                <w:sz w:val="18"/>
                <w:szCs w:val="18"/>
                <w:color w:val="auto"/>
              </w:rPr>
              <w:t>(987,929 units)</w:t>
            </w:r>
          </w:p>
        </w:tc>
        <w:tc>
          <w:tcPr>
            <w:tcW w:w="3380" w:type="dxa"/>
            <w:vAlign w:val="bottom"/>
          </w:tcPr>
          <w:p>
            <w:pPr>
              <w:jc w:val="right"/>
              <w:ind w:right="2390"/>
              <w:spacing w:after="0"/>
              <w:rPr>
                <w:sz w:val="20"/>
                <w:szCs w:val="20"/>
                <w:color w:val="auto"/>
              </w:rPr>
            </w:pPr>
            <w:r>
              <w:rPr>
                <w:rFonts w:ascii="Arial" w:cs="Arial" w:eastAsia="Arial" w:hAnsi="Arial"/>
                <w:sz w:val="18"/>
                <w:szCs w:val="18"/>
                <w:color w:val="auto"/>
              </w:rPr>
              <w:t>10/1/2018</w:t>
            </w:r>
          </w:p>
        </w:tc>
        <w:tc>
          <w:tcPr>
            <w:tcW w:w="86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600" w:type="dxa"/>
            <w:vAlign w:val="bottom"/>
            <w:shd w:val="clear" w:color="auto" w:fill="CFF0FC"/>
          </w:tcPr>
          <w:p>
            <w:pPr>
              <w:spacing w:after="0" w:line="20" w:lineRule="exact"/>
              <w:rPr>
                <w:sz w:val="1"/>
                <w:szCs w:val="1"/>
                <w:color w:val="auto"/>
              </w:rPr>
            </w:pPr>
          </w:p>
        </w:tc>
        <w:tc>
          <w:tcPr>
            <w:tcW w:w="2360" w:type="dxa"/>
            <w:vAlign w:val="bottom"/>
            <w:shd w:val="clear" w:color="auto" w:fill="CFF0FC"/>
          </w:tcPr>
          <w:p>
            <w:pPr>
              <w:spacing w:after="0" w:line="20" w:lineRule="exact"/>
              <w:rPr>
                <w:sz w:val="1"/>
                <w:szCs w:val="1"/>
                <w:color w:val="auto"/>
              </w:rPr>
            </w:pPr>
          </w:p>
        </w:tc>
        <w:tc>
          <w:tcPr>
            <w:tcW w:w="338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600" w:type="dxa"/>
            <w:vAlign w:val="bottom"/>
            <w:shd w:val="clear" w:color="auto" w:fill="CFF0FC"/>
          </w:tcPr>
          <w:p>
            <w:pPr>
              <w:spacing w:after="0"/>
              <w:rPr>
                <w:sz w:val="19"/>
                <w:szCs w:val="19"/>
                <w:color w:val="auto"/>
              </w:rPr>
            </w:pPr>
          </w:p>
        </w:tc>
        <w:tc>
          <w:tcPr>
            <w:tcW w:w="2360" w:type="dxa"/>
            <w:vAlign w:val="bottom"/>
            <w:shd w:val="clear" w:color="auto" w:fill="CFF0FC"/>
          </w:tcPr>
          <w:p>
            <w:pPr>
              <w:spacing w:after="0"/>
              <w:rPr>
                <w:sz w:val="19"/>
                <w:szCs w:val="19"/>
                <w:color w:val="auto"/>
              </w:rPr>
            </w:pPr>
          </w:p>
        </w:tc>
        <w:tc>
          <w:tcPr>
            <w:tcW w:w="33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1,030</w:t>
            </w:r>
          </w:p>
        </w:tc>
        <w:tc>
          <w:tcPr>
            <w:tcW w:w="200" w:type="dxa"/>
            <w:vAlign w:val="bottom"/>
            <w:vMerge w:val="continue"/>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1,030</w:t>
            </w:r>
          </w:p>
        </w:tc>
        <w:tc>
          <w:tcPr>
            <w:tcW w:w="2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00" w:type="dxa"/>
            <w:vAlign w:val="bottom"/>
          </w:tcPr>
          <w:p>
            <w:pPr>
              <w:spacing w:after="0"/>
              <w:rPr>
                <w:sz w:val="20"/>
                <w:szCs w:val="20"/>
                <w:color w:val="auto"/>
              </w:rPr>
            </w:pPr>
            <w:r>
              <w:rPr>
                <w:rFonts w:ascii="Arial" w:cs="Arial" w:eastAsia="Arial" w:hAnsi="Arial"/>
                <w:sz w:val="18"/>
                <w:szCs w:val="18"/>
                <w:b w:val="1"/>
                <w:bCs w:val="1"/>
                <w:color w:val="auto"/>
              </w:rPr>
              <w:t>Marketing services</w:t>
            </w:r>
          </w:p>
        </w:tc>
        <w:tc>
          <w:tcPr>
            <w:tcW w:w="236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6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Validity, Inc. </w:t>
            </w:r>
            <w:r>
              <w:rPr>
                <w:rFonts w:ascii="Arial" w:cs="Arial" w:eastAsia="Arial" w:hAnsi="Arial"/>
                <w:sz w:val="15"/>
                <w:szCs w:val="15"/>
                <w:color w:val="auto"/>
              </w:rPr>
              <w:t>(6)(13)(14)</w:t>
            </w:r>
          </w:p>
        </w:tc>
        <w:tc>
          <w:tcPr>
            <w:tcW w:w="2360" w:type="dxa"/>
            <w:vAlign w:val="bottom"/>
            <w:shd w:val="clear" w:color="auto" w:fill="CFF0FC"/>
          </w:tcPr>
          <w:p>
            <w:pPr>
              <w:ind w:left="80"/>
              <w:spacing w:after="0"/>
              <w:rPr>
                <w:sz w:val="20"/>
                <w:szCs w:val="20"/>
                <w:color w:val="auto"/>
              </w:rPr>
            </w:pPr>
            <w:r>
              <w:rPr>
                <w:rFonts w:ascii="Arial" w:cs="Arial" w:eastAsia="Arial" w:hAnsi="Arial"/>
                <w:sz w:val="18"/>
                <w:szCs w:val="18"/>
                <w:color w:val="auto"/>
              </w:rPr>
              <w:t>Series A Preferred Shares</w:t>
            </w:r>
          </w:p>
        </w:tc>
        <w:tc>
          <w:tcPr>
            <w:tcW w:w="33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00" w:type="dxa"/>
            <w:vAlign w:val="bottom"/>
            <w:shd w:val="clear" w:color="auto" w:fill="CFF0FC"/>
          </w:tcPr>
          <w:p>
            <w:pPr>
              <w:spacing w:after="0"/>
              <w:rPr>
                <w:sz w:val="20"/>
                <w:szCs w:val="20"/>
                <w:color w:val="auto"/>
              </w:rPr>
            </w:pPr>
          </w:p>
        </w:tc>
        <w:tc>
          <w:tcPr>
            <w:tcW w:w="2360" w:type="dxa"/>
            <w:vAlign w:val="bottom"/>
            <w:shd w:val="clear" w:color="auto" w:fill="CFF0FC"/>
          </w:tcPr>
          <w:p>
            <w:pPr>
              <w:ind w:left="80"/>
              <w:spacing w:after="0"/>
              <w:rPr>
                <w:sz w:val="20"/>
                <w:szCs w:val="20"/>
                <w:color w:val="auto"/>
              </w:rPr>
            </w:pPr>
            <w:r>
              <w:rPr>
                <w:rFonts w:ascii="Arial" w:cs="Arial" w:eastAsia="Arial" w:hAnsi="Arial"/>
                <w:sz w:val="18"/>
                <w:szCs w:val="18"/>
                <w:color w:val="auto"/>
              </w:rPr>
              <w:t>(3,840,000 shares)</w:t>
            </w:r>
          </w:p>
        </w:tc>
        <w:tc>
          <w:tcPr>
            <w:tcW w:w="3380" w:type="dxa"/>
            <w:vAlign w:val="bottom"/>
            <w:shd w:val="clear" w:color="auto" w:fill="CFF0FC"/>
          </w:tcPr>
          <w:p>
            <w:pPr>
              <w:jc w:val="right"/>
              <w:ind w:right="2390"/>
              <w:spacing w:after="0"/>
              <w:rPr>
                <w:sz w:val="20"/>
                <w:szCs w:val="20"/>
                <w:color w:val="auto"/>
              </w:rPr>
            </w:pPr>
            <w:r>
              <w:rPr>
                <w:rFonts w:ascii="Arial" w:cs="Arial" w:eastAsia="Arial" w:hAnsi="Arial"/>
                <w:sz w:val="18"/>
                <w:szCs w:val="18"/>
                <w:color w:val="auto"/>
              </w:rPr>
              <w:t>5/31/2018</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3,840</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3,840</w:t>
            </w:r>
          </w:p>
        </w:tc>
        <w:tc>
          <w:tcPr>
            <w:tcW w:w="22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600" w:type="dxa"/>
            <w:vAlign w:val="bottom"/>
          </w:tcPr>
          <w:p>
            <w:pPr>
              <w:spacing w:after="0"/>
              <w:rPr>
                <w:sz w:val="20"/>
                <w:szCs w:val="20"/>
                <w:color w:val="auto"/>
              </w:rPr>
            </w:pPr>
            <w:r>
              <w:rPr>
                <w:rFonts w:ascii="Arial" w:cs="Arial" w:eastAsia="Arial" w:hAnsi="Arial"/>
                <w:sz w:val="18"/>
                <w:szCs w:val="18"/>
                <w:b w:val="1"/>
                <w:bCs w:val="1"/>
                <w:color w:val="auto"/>
              </w:rPr>
              <w:t>Oil, gas and consumable</w:t>
            </w:r>
          </w:p>
        </w:tc>
        <w:tc>
          <w:tcPr>
            <w:tcW w:w="236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00" w:type="dxa"/>
            <w:vAlign w:val="bottom"/>
          </w:tcPr>
          <w:p>
            <w:pPr>
              <w:ind w:left="140"/>
              <w:spacing w:after="0"/>
              <w:rPr>
                <w:sz w:val="20"/>
                <w:szCs w:val="20"/>
                <w:color w:val="auto"/>
              </w:rPr>
            </w:pPr>
            <w:r>
              <w:rPr>
                <w:rFonts w:ascii="Arial" w:cs="Arial" w:eastAsia="Arial" w:hAnsi="Arial"/>
                <w:sz w:val="18"/>
                <w:szCs w:val="18"/>
                <w:b w:val="1"/>
                <w:bCs w:val="1"/>
                <w:color w:val="auto"/>
              </w:rPr>
              <w:t>fuels</w:t>
            </w:r>
          </w:p>
        </w:tc>
        <w:tc>
          <w:tcPr>
            <w:tcW w:w="236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600" w:type="dxa"/>
            <w:vAlign w:val="bottom"/>
            <w:shd w:val="clear" w:color="auto" w:fill="CFF0FC"/>
          </w:tcPr>
          <w:p>
            <w:pPr>
              <w:spacing w:after="0"/>
              <w:rPr>
                <w:sz w:val="20"/>
                <w:szCs w:val="20"/>
                <w:color w:val="auto"/>
              </w:rPr>
            </w:pPr>
            <w:r>
              <w:rPr>
                <w:rFonts w:ascii="Arial" w:cs="Arial" w:eastAsia="Arial" w:hAnsi="Arial"/>
                <w:sz w:val="18"/>
                <w:szCs w:val="18"/>
                <w:color w:val="auto"/>
                <w:w w:val="95"/>
              </w:rPr>
              <w:t xml:space="preserve">Mississippi Resources, LLC </w:t>
            </w:r>
            <w:r>
              <w:rPr>
                <w:rFonts w:ascii="Arial" w:cs="Arial" w:eastAsia="Arial" w:hAnsi="Arial"/>
                <w:sz w:val="15"/>
                <w:szCs w:val="15"/>
                <w:color w:val="auto"/>
                <w:w w:val="95"/>
              </w:rPr>
              <w:t>(7)(13)</w:t>
            </w:r>
          </w:p>
        </w:tc>
        <w:tc>
          <w:tcPr>
            <w:tcW w:w="2360" w:type="dxa"/>
            <w:vAlign w:val="bottom"/>
            <w:shd w:val="clear" w:color="auto" w:fill="CFF0FC"/>
          </w:tcPr>
          <w:p>
            <w:pPr>
              <w:ind w:left="80"/>
              <w:spacing w:after="0"/>
              <w:rPr>
                <w:sz w:val="20"/>
                <w:szCs w:val="20"/>
                <w:color w:val="auto"/>
              </w:rPr>
            </w:pPr>
            <w:r>
              <w:rPr>
                <w:rFonts w:ascii="Arial" w:cs="Arial" w:eastAsia="Arial" w:hAnsi="Arial"/>
                <w:sz w:val="18"/>
                <w:szCs w:val="18"/>
                <w:color w:val="auto"/>
              </w:rPr>
              <w:t>Class A-1 Member Units</w:t>
            </w:r>
          </w:p>
        </w:tc>
        <w:tc>
          <w:tcPr>
            <w:tcW w:w="33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00" w:type="dxa"/>
            <w:vAlign w:val="bottom"/>
            <w:shd w:val="clear" w:color="auto" w:fill="CFF0FC"/>
          </w:tcPr>
          <w:p>
            <w:pPr>
              <w:spacing w:after="0"/>
              <w:rPr>
                <w:sz w:val="20"/>
                <w:szCs w:val="20"/>
                <w:color w:val="auto"/>
              </w:rPr>
            </w:pPr>
            <w:r>
              <w:rPr>
                <w:rFonts w:ascii="Arial" w:cs="Arial" w:eastAsia="Arial" w:hAnsi="Arial"/>
                <w:sz w:val="15"/>
                <w:szCs w:val="15"/>
                <w:color w:val="auto"/>
              </w:rPr>
              <w:t>(14)</w:t>
            </w:r>
          </w:p>
        </w:tc>
        <w:tc>
          <w:tcPr>
            <w:tcW w:w="2360" w:type="dxa"/>
            <w:vAlign w:val="bottom"/>
            <w:shd w:val="clear" w:color="auto" w:fill="CFF0FC"/>
          </w:tcPr>
          <w:p>
            <w:pPr>
              <w:ind w:left="80"/>
              <w:spacing w:after="0"/>
              <w:rPr>
                <w:sz w:val="20"/>
                <w:szCs w:val="20"/>
                <w:color w:val="auto"/>
              </w:rPr>
            </w:pPr>
            <w:r>
              <w:rPr>
                <w:rFonts w:ascii="Arial" w:cs="Arial" w:eastAsia="Arial" w:hAnsi="Arial"/>
                <w:sz w:val="18"/>
                <w:szCs w:val="18"/>
                <w:color w:val="auto"/>
              </w:rPr>
              <w:t>(1,360 units)</w:t>
            </w:r>
          </w:p>
        </w:tc>
        <w:tc>
          <w:tcPr>
            <w:tcW w:w="3380" w:type="dxa"/>
            <w:vAlign w:val="bottom"/>
            <w:shd w:val="clear" w:color="auto" w:fill="CFF0FC"/>
          </w:tcPr>
          <w:p>
            <w:pPr>
              <w:jc w:val="right"/>
              <w:ind w:right="2390"/>
              <w:spacing w:after="0"/>
              <w:rPr>
                <w:sz w:val="20"/>
                <w:szCs w:val="20"/>
                <w:color w:val="auto"/>
              </w:rPr>
            </w:pPr>
            <w:r>
              <w:rPr>
                <w:rFonts w:ascii="Arial" w:cs="Arial" w:eastAsia="Arial" w:hAnsi="Arial"/>
                <w:sz w:val="18"/>
                <w:szCs w:val="18"/>
                <w:color w:val="auto"/>
              </w:rPr>
              <w:t>5/3/2017</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10,366</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4,898</w:t>
            </w:r>
          </w:p>
        </w:tc>
        <w:tc>
          <w:tcPr>
            <w:tcW w:w="22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600" w:type="dxa"/>
            <w:vAlign w:val="bottom"/>
          </w:tcPr>
          <w:p>
            <w:pPr>
              <w:spacing w:after="0"/>
              <w:rPr>
                <w:sz w:val="18"/>
                <w:szCs w:val="18"/>
                <w:color w:val="auto"/>
              </w:rPr>
            </w:pPr>
          </w:p>
        </w:tc>
        <w:tc>
          <w:tcPr>
            <w:tcW w:w="2360" w:type="dxa"/>
            <w:vAlign w:val="bottom"/>
          </w:tcPr>
          <w:p>
            <w:pPr>
              <w:ind w:left="80"/>
              <w:spacing w:after="0"/>
              <w:rPr>
                <w:sz w:val="20"/>
                <w:szCs w:val="20"/>
                <w:color w:val="auto"/>
              </w:rPr>
            </w:pPr>
            <w:r>
              <w:rPr>
                <w:rFonts w:ascii="Arial" w:cs="Arial" w:eastAsia="Arial" w:hAnsi="Arial"/>
                <w:sz w:val="18"/>
                <w:szCs w:val="18"/>
                <w:color w:val="auto"/>
                <w:w w:val="95"/>
              </w:rPr>
              <w:t>Class A-2 Member Units (933</w:t>
            </w:r>
          </w:p>
        </w:tc>
        <w:tc>
          <w:tcPr>
            <w:tcW w:w="3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00" w:type="dxa"/>
            <w:vAlign w:val="bottom"/>
          </w:tcPr>
          <w:p>
            <w:pPr>
              <w:spacing w:after="0"/>
              <w:rPr>
                <w:sz w:val="20"/>
                <w:szCs w:val="20"/>
                <w:color w:val="auto"/>
              </w:rPr>
            </w:pPr>
          </w:p>
        </w:tc>
        <w:tc>
          <w:tcPr>
            <w:tcW w:w="2360" w:type="dxa"/>
            <w:vAlign w:val="bottom"/>
          </w:tcPr>
          <w:p>
            <w:pPr>
              <w:ind w:left="80"/>
              <w:spacing w:after="0"/>
              <w:rPr>
                <w:sz w:val="20"/>
                <w:szCs w:val="20"/>
                <w:color w:val="auto"/>
              </w:rPr>
            </w:pPr>
            <w:r>
              <w:rPr>
                <w:rFonts w:ascii="Arial" w:cs="Arial" w:eastAsia="Arial" w:hAnsi="Arial"/>
                <w:sz w:val="18"/>
                <w:szCs w:val="18"/>
                <w:color w:val="auto"/>
              </w:rPr>
              <w:t>units)</w:t>
            </w:r>
          </w:p>
        </w:tc>
        <w:tc>
          <w:tcPr>
            <w:tcW w:w="3380" w:type="dxa"/>
            <w:vAlign w:val="bottom"/>
          </w:tcPr>
          <w:p>
            <w:pPr>
              <w:jc w:val="right"/>
              <w:ind w:right="2390"/>
              <w:spacing w:after="0"/>
              <w:rPr>
                <w:sz w:val="20"/>
                <w:szCs w:val="20"/>
                <w:color w:val="auto"/>
              </w:rPr>
            </w:pPr>
            <w:r>
              <w:rPr>
                <w:rFonts w:ascii="Arial" w:cs="Arial" w:eastAsia="Arial" w:hAnsi="Arial"/>
                <w:sz w:val="18"/>
                <w:szCs w:val="18"/>
                <w:color w:val="auto"/>
              </w:rPr>
              <w:t>6/4/2014</w:t>
            </w:r>
          </w:p>
        </w:tc>
        <w:tc>
          <w:tcPr>
            <w:tcW w:w="860" w:type="dxa"/>
            <w:vAlign w:val="bottom"/>
          </w:tcPr>
          <w:p>
            <w:pPr>
              <w:jc w:val="right"/>
              <w:spacing w:after="0"/>
              <w:rPr>
                <w:sz w:val="20"/>
                <w:szCs w:val="20"/>
                <w:color w:val="auto"/>
              </w:rPr>
            </w:pPr>
            <w:r>
              <w:rPr>
                <w:rFonts w:ascii="Arial" w:cs="Arial" w:eastAsia="Arial" w:hAnsi="Arial"/>
                <w:sz w:val="18"/>
                <w:szCs w:val="18"/>
                <w:color w:val="auto"/>
              </w:rPr>
              <w:t>8,874</w:t>
            </w:r>
          </w:p>
        </w:tc>
        <w:tc>
          <w:tcPr>
            <w:tcW w:w="20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600" w:type="dxa"/>
            <w:vAlign w:val="bottom"/>
            <w:shd w:val="clear" w:color="auto" w:fill="CFF0FC"/>
          </w:tcPr>
          <w:p>
            <w:pPr>
              <w:spacing w:after="0"/>
              <w:rPr>
                <w:sz w:val="20"/>
                <w:szCs w:val="20"/>
                <w:color w:val="auto"/>
              </w:rPr>
            </w:pPr>
            <w:r>
              <w:rPr>
                <w:rFonts w:ascii="Arial" w:cs="Arial" w:eastAsia="Arial" w:hAnsi="Arial"/>
                <w:sz w:val="18"/>
                <w:szCs w:val="18"/>
                <w:color w:val="auto"/>
                <w:w w:val="96"/>
              </w:rPr>
              <w:t xml:space="preserve">Northern Oil and Gas, Inc. </w:t>
            </w:r>
            <w:r>
              <w:rPr>
                <w:rFonts w:ascii="Arial" w:cs="Arial" w:eastAsia="Arial" w:hAnsi="Arial"/>
                <w:sz w:val="15"/>
                <w:szCs w:val="15"/>
                <w:color w:val="auto"/>
                <w:w w:val="96"/>
              </w:rPr>
              <w:t>(12)(13)</w:t>
            </w:r>
          </w:p>
        </w:tc>
        <w:tc>
          <w:tcPr>
            <w:tcW w:w="2360" w:type="dxa"/>
            <w:vAlign w:val="bottom"/>
            <w:shd w:val="clear" w:color="auto" w:fill="CFF0FC"/>
          </w:tcPr>
          <w:p>
            <w:pPr>
              <w:ind w:left="80"/>
              <w:spacing w:after="0"/>
              <w:rPr>
                <w:sz w:val="20"/>
                <w:szCs w:val="20"/>
                <w:color w:val="auto"/>
              </w:rPr>
            </w:pPr>
            <w:r>
              <w:rPr>
                <w:rFonts w:ascii="Arial" w:cs="Arial" w:eastAsia="Arial" w:hAnsi="Arial"/>
                <w:sz w:val="18"/>
                <w:szCs w:val="18"/>
                <w:color w:val="auto"/>
              </w:rPr>
              <w:t>Common Shares (975,000</w:t>
            </w:r>
          </w:p>
        </w:tc>
        <w:tc>
          <w:tcPr>
            <w:tcW w:w="33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00" w:type="dxa"/>
            <w:vAlign w:val="bottom"/>
            <w:shd w:val="clear" w:color="auto" w:fill="CFF0FC"/>
          </w:tcPr>
          <w:p>
            <w:pPr>
              <w:spacing w:after="0"/>
              <w:rPr>
                <w:sz w:val="20"/>
                <w:szCs w:val="20"/>
                <w:color w:val="auto"/>
              </w:rPr>
            </w:pPr>
          </w:p>
        </w:tc>
        <w:tc>
          <w:tcPr>
            <w:tcW w:w="2360" w:type="dxa"/>
            <w:vAlign w:val="bottom"/>
            <w:shd w:val="clear" w:color="auto" w:fill="CFF0FC"/>
          </w:tcPr>
          <w:p>
            <w:pPr>
              <w:ind w:left="80"/>
              <w:spacing w:after="0"/>
              <w:rPr>
                <w:sz w:val="20"/>
                <w:szCs w:val="20"/>
                <w:color w:val="auto"/>
              </w:rPr>
            </w:pPr>
            <w:r>
              <w:rPr>
                <w:rFonts w:ascii="Arial" w:cs="Arial" w:eastAsia="Arial" w:hAnsi="Arial"/>
                <w:sz w:val="18"/>
                <w:szCs w:val="18"/>
                <w:color w:val="auto"/>
              </w:rPr>
              <w:t>shares)</w:t>
            </w:r>
          </w:p>
        </w:tc>
        <w:tc>
          <w:tcPr>
            <w:tcW w:w="3380" w:type="dxa"/>
            <w:vAlign w:val="bottom"/>
            <w:shd w:val="clear" w:color="auto" w:fill="CFF0FC"/>
          </w:tcPr>
          <w:p>
            <w:pPr>
              <w:jc w:val="right"/>
              <w:ind w:right="2390"/>
              <w:spacing w:after="0"/>
              <w:rPr>
                <w:sz w:val="20"/>
                <w:szCs w:val="20"/>
                <w:color w:val="auto"/>
              </w:rPr>
            </w:pPr>
            <w:r>
              <w:rPr>
                <w:rFonts w:ascii="Arial" w:cs="Arial" w:eastAsia="Arial" w:hAnsi="Arial"/>
                <w:sz w:val="18"/>
                <w:szCs w:val="18"/>
                <w:color w:val="auto"/>
              </w:rPr>
              <w:t>5/15/2018</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1,463</w:t>
            </w:r>
          </w:p>
        </w:tc>
        <w:tc>
          <w:tcPr>
            <w:tcW w:w="20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2,204</w:t>
            </w:r>
          </w:p>
        </w:tc>
        <w:tc>
          <w:tcPr>
            <w:tcW w:w="22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60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20,703</w:t>
            </w:r>
          </w:p>
        </w:tc>
        <w:tc>
          <w:tcPr>
            <w:tcW w:w="200" w:type="dxa"/>
            <w:vAlign w:val="bottom"/>
            <w:vMerge w:val="continue"/>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7,102</w:t>
            </w:r>
          </w:p>
        </w:tc>
        <w:tc>
          <w:tcPr>
            <w:tcW w:w="22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600" w:type="dxa"/>
            <w:vAlign w:val="bottom"/>
            <w:tcBorders>
              <w:top w:val="single" w:sz="8" w:color="CFF0FC"/>
            </w:tcBorders>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Total Equity and Other</w:t>
            </w:r>
          </w:p>
        </w:tc>
        <w:tc>
          <w:tcPr>
            <w:tcW w:w="2360" w:type="dxa"/>
            <w:vAlign w:val="bottom"/>
            <w:tcBorders>
              <w:top w:val="single" w:sz="8" w:color="CFF0FC"/>
            </w:tcBorders>
            <w:shd w:val="clear" w:color="auto" w:fill="CFF0FC"/>
          </w:tcPr>
          <w:p>
            <w:pPr>
              <w:spacing w:after="0"/>
              <w:rPr>
                <w:sz w:val="17"/>
                <w:szCs w:val="17"/>
                <w:color w:val="auto"/>
              </w:rPr>
            </w:pPr>
          </w:p>
        </w:tc>
        <w:tc>
          <w:tcPr>
            <w:tcW w:w="3380" w:type="dxa"/>
            <w:vAlign w:val="bottom"/>
            <w:tcBorders>
              <w:top w:val="single" w:sz="8" w:color="CFF0FC"/>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0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Investments</w:t>
            </w:r>
          </w:p>
        </w:tc>
        <w:tc>
          <w:tcPr>
            <w:tcW w:w="2360" w:type="dxa"/>
            <w:vAlign w:val="bottom"/>
            <w:shd w:val="clear" w:color="auto" w:fill="CFF0FC"/>
          </w:tcPr>
          <w:p>
            <w:pPr>
              <w:spacing w:after="0"/>
              <w:rPr>
                <w:sz w:val="20"/>
                <w:szCs w:val="20"/>
                <w:color w:val="auto"/>
              </w:rPr>
            </w:pPr>
          </w:p>
        </w:tc>
        <w:tc>
          <w:tcPr>
            <w:tcW w:w="338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67,757</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45,444</w:t>
            </w:r>
          </w:p>
        </w:tc>
        <w:tc>
          <w:tcPr>
            <w:tcW w:w="22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600" w:type="dxa"/>
            <w:vAlign w:val="bottom"/>
          </w:tcPr>
          <w:p>
            <w:pPr>
              <w:spacing w:after="0"/>
              <w:rPr>
                <w:sz w:val="20"/>
                <w:szCs w:val="20"/>
                <w:color w:val="auto"/>
              </w:rPr>
            </w:pPr>
            <w:r>
              <w:rPr>
                <w:rFonts w:ascii="Arial" w:cs="Arial" w:eastAsia="Arial" w:hAnsi="Arial"/>
                <w:sz w:val="18"/>
                <w:szCs w:val="18"/>
                <w:b w:val="1"/>
                <w:bCs w:val="1"/>
                <w:color w:val="auto"/>
              </w:rPr>
              <w:t>Total Investments</w:t>
            </w:r>
          </w:p>
        </w:tc>
        <w:tc>
          <w:tcPr>
            <w:tcW w:w="236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$ 1,716,400</w:t>
            </w:r>
          </w:p>
        </w:tc>
        <w:tc>
          <w:tcPr>
            <w:tcW w:w="20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$ 1,705,969</w:t>
            </w:r>
          </w:p>
        </w:tc>
        <w:tc>
          <w:tcPr>
            <w:tcW w:w="2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160.4</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380" w:type="dxa"/>
            <w:vAlign w:val="bottom"/>
            <w:vMerge w:val="restart"/>
          </w:tcPr>
          <w:p>
            <w:pPr>
              <w:jc w:val="right"/>
              <w:ind w:right="2450"/>
              <w:spacing w:after="0"/>
              <w:rPr>
                <w:sz w:val="20"/>
                <w:szCs w:val="20"/>
                <w:color w:val="auto"/>
              </w:rPr>
            </w:pPr>
            <w:r>
              <w:rPr>
                <w:rFonts w:ascii="Arial" w:cs="Arial" w:eastAsia="Arial" w:hAnsi="Arial"/>
                <w:sz w:val="18"/>
                <w:szCs w:val="18"/>
                <w:color w:val="auto"/>
              </w:rPr>
              <w:t>15</w:t>
            </w: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6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338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600" w:type="dxa"/>
            <w:vAlign w:val="bottom"/>
            <w:tcBorders>
              <w:bottom w:val="single" w:sz="8" w:color="9A9A9A"/>
            </w:tcBorders>
          </w:tcPr>
          <w:p>
            <w:pPr>
              <w:spacing w:after="0"/>
              <w:rPr>
                <w:sz w:val="10"/>
                <w:szCs w:val="10"/>
                <w:color w:val="auto"/>
              </w:rPr>
            </w:pPr>
          </w:p>
        </w:tc>
        <w:tc>
          <w:tcPr>
            <w:tcW w:w="2360" w:type="dxa"/>
            <w:vAlign w:val="bottom"/>
            <w:tcBorders>
              <w:bottom w:val="single" w:sz="8" w:color="9A9A9A"/>
            </w:tcBorders>
          </w:tcPr>
          <w:p>
            <w:pPr>
              <w:spacing w:after="0"/>
              <w:rPr>
                <w:sz w:val="10"/>
                <w:szCs w:val="10"/>
                <w:color w:val="auto"/>
              </w:rPr>
            </w:pPr>
          </w:p>
        </w:tc>
        <w:tc>
          <w:tcPr>
            <w:tcW w:w="33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56" w:right="21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86"/>
        </w:trPr>
        <w:tc>
          <w:tcPr>
            <w:tcW w:w="19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620" w:type="dxa"/>
            <w:vAlign w:val="bottom"/>
            <w:gridSpan w:val="9"/>
          </w:tcPr>
          <w:p>
            <w:pPr>
              <w:jc w:val="right"/>
              <w:ind w:right="640"/>
              <w:spacing w:after="0"/>
              <w:rPr>
                <w:sz w:val="20"/>
                <w:szCs w:val="20"/>
                <w:color w:val="auto"/>
              </w:rPr>
            </w:pPr>
            <w:r>
              <w:rPr>
                <w:rFonts w:ascii="Arial" w:cs="Arial" w:eastAsia="Arial" w:hAnsi="Arial"/>
                <w:sz w:val="14"/>
                <w:szCs w:val="14"/>
                <w:b w:val="1"/>
                <w:bCs w:val="1"/>
                <w:color w:val="auto"/>
                <w:w w:val="98"/>
              </w:rPr>
              <w:t>Interest Rate Swaps as of December 31, 2018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9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19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rPr>
              <w:t>Notional</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rPr>
              <w:t>Fair</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jc w:val="center"/>
              <w:ind w:right="34"/>
              <w:spacing w:after="0" w:line="133" w:lineRule="exact"/>
              <w:rPr>
                <w:sz w:val="20"/>
                <w:szCs w:val="20"/>
                <w:color w:val="auto"/>
              </w:rPr>
            </w:pPr>
            <w:r>
              <w:rPr>
                <w:rFonts w:ascii="Arial" w:cs="Arial" w:eastAsia="Arial" w:hAnsi="Arial"/>
                <w:sz w:val="14"/>
                <w:szCs w:val="14"/>
                <w:b w:val="1"/>
                <w:bCs w:val="1"/>
                <w:color w:val="auto"/>
                <w:w w:val="98"/>
              </w:rPr>
              <w:t>Upfront</w:t>
            </w:r>
          </w:p>
        </w:tc>
        <w:tc>
          <w:tcPr>
            <w:tcW w:w="240" w:type="dxa"/>
            <w:vAlign w:val="bottom"/>
          </w:tcPr>
          <w:p>
            <w:pPr>
              <w:spacing w:after="0"/>
              <w:rPr>
                <w:sz w:val="11"/>
                <w:szCs w:val="11"/>
                <w:color w:val="auto"/>
              </w:rPr>
            </w:pPr>
          </w:p>
        </w:tc>
        <w:tc>
          <w:tcPr>
            <w:tcW w:w="15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Change in Unrealized</w:t>
            </w:r>
          </w:p>
        </w:tc>
        <w:tc>
          <w:tcPr>
            <w:tcW w:w="0" w:type="dxa"/>
            <w:vAlign w:val="bottom"/>
          </w:tcPr>
          <w:p>
            <w:pPr>
              <w:spacing w:after="0"/>
              <w:rPr>
                <w:sz w:val="1"/>
                <w:szCs w:val="1"/>
                <w:color w:val="auto"/>
              </w:rPr>
            </w:pPr>
          </w:p>
        </w:tc>
      </w:tr>
      <w:tr>
        <w:trPr>
          <w:trHeight w:val="149"/>
        </w:trPr>
        <w:tc>
          <w:tcPr>
            <w:tcW w:w="1900" w:type="dxa"/>
            <w:vAlign w:val="bottom"/>
          </w:tcPr>
          <w:p>
            <w:pPr>
              <w:spacing w:after="0"/>
              <w:rPr>
                <w:sz w:val="12"/>
                <w:szCs w:val="12"/>
                <w:color w:val="auto"/>
              </w:rPr>
            </w:pPr>
          </w:p>
        </w:tc>
        <w:tc>
          <w:tcPr>
            <w:tcW w:w="17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0"/>
              </w:rPr>
              <w:t>Company Receives</w:t>
            </w:r>
          </w:p>
        </w:tc>
        <w:tc>
          <w:tcPr>
            <w:tcW w:w="14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Company Pays</w:t>
            </w:r>
          </w:p>
        </w:tc>
        <w:tc>
          <w:tcPr>
            <w:tcW w:w="240" w:type="dxa"/>
            <w:vAlign w:val="bottom"/>
          </w:tcPr>
          <w:p>
            <w:pPr>
              <w:spacing w:after="0"/>
              <w:rPr>
                <w:sz w:val="12"/>
                <w:szCs w:val="12"/>
                <w:color w:val="auto"/>
              </w:rPr>
            </w:pPr>
          </w:p>
        </w:tc>
        <w:tc>
          <w:tcPr>
            <w:tcW w:w="1400" w:type="dxa"/>
            <w:vAlign w:val="bottom"/>
            <w:gridSpan w:val="3"/>
            <w:vMerge w:val="restart"/>
          </w:tcPr>
          <w:p>
            <w:pPr>
              <w:jc w:val="right"/>
              <w:ind w:right="345"/>
              <w:spacing w:after="0"/>
              <w:rPr>
                <w:sz w:val="20"/>
                <w:szCs w:val="20"/>
                <w:color w:val="auto"/>
              </w:rPr>
            </w:pPr>
            <w:r>
              <w:rPr>
                <w:rFonts w:ascii="Arial" w:cs="Arial" w:eastAsia="Arial" w:hAnsi="Arial"/>
                <w:sz w:val="14"/>
                <w:szCs w:val="14"/>
                <w:b w:val="1"/>
                <w:bCs w:val="1"/>
                <w:color w:val="auto"/>
              </w:rPr>
              <w:t>Maturity Date</w:t>
            </w:r>
          </w:p>
        </w:tc>
        <w:tc>
          <w:tcPr>
            <w:tcW w:w="8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Market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54"/>
              <w:spacing w:after="0" w:line="149" w:lineRule="exact"/>
              <w:rPr>
                <w:sz w:val="20"/>
                <w:szCs w:val="20"/>
                <w:color w:val="auto"/>
              </w:rPr>
            </w:pPr>
            <w:r>
              <w:rPr>
                <w:rFonts w:ascii="Arial" w:cs="Arial" w:eastAsia="Arial" w:hAnsi="Arial"/>
                <w:sz w:val="14"/>
                <w:szCs w:val="14"/>
                <w:b w:val="1"/>
                <w:bCs w:val="1"/>
                <w:color w:val="auto"/>
                <w:w w:val="91"/>
              </w:rPr>
              <w:t>Payments /</w:t>
            </w:r>
          </w:p>
        </w:tc>
        <w:tc>
          <w:tcPr>
            <w:tcW w:w="240" w:type="dxa"/>
            <w:vAlign w:val="bottom"/>
          </w:tcPr>
          <w:p>
            <w:pPr>
              <w:spacing w:after="0"/>
              <w:rPr>
                <w:sz w:val="12"/>
                <w:szCs w:val="12"/>
                <w:color w:val="auto"/>
              </w:rPr>
            </w:pPr>
          </w:p>
        </w:tc>
        <w:tc>
          <w:tcPr>
            <w:tcW w:w="15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900" w:type="dxa"/>
            <w:vAlign w:val="bottom"/>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3"/>
            <w:vMerge w:val="continue"/>
          </w:tcPr>
          <w:p>
            <w:pPr>
              <w:spacing w:after="0"/>
              <w:rPr>
                <w:sz w:val="14"/>
                <w:szCs w:val="14"/>
                <w:color w:val="auto"/>
              </w:rPr>
            </w:pPr>
          </w:p>
        </w:tc>
        <w:tc>
          <w:tcPr>
            <w:tcW w:w="840" w:type="dxa"/>
            <w:vAlign w:val="bottom"/>
          </w:tcPr>
          <w:p>
            <w:pPr>
              <w:jc w:val="right"/>
              <w:ind w:right="173"/>
              <w:spacing w:after="0"/>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Value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center"/>
              <w:ind w:right="54"/>
              <w:spacing w:after="0"/>
              <w:rPr>
                <w:sz w:val="20"/>
                <w:szCs w:val="20"/>
                <w:color w:val="auto"/>
              </w:rPr>
            </w:pPr>
            <w:r>
              <w:rPr>
                <w:rFonts w:ascii="Arial" w:cs="Arial" w:eastAsia="Arial" w:hAnsi="Arial"/>
                <w:sz w:val="14"/>
                <w:szCs w:val="14"/>
                <w:b w:val="1"/>
                <w:bCs w:val="1"/>
                <w:color w:val="auto"/>
                <w:w w:val="89"/>
              </w:rPr>
              <w:t>Receipts</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4"/>
              </w:rPr>
              <w:t>Gains / (Losses)</w:t>
            </w:r>
          </w:p>
        </w:tc>
        <w:tc>
          <w:tcPr>
            <w:tcW w:w="0" w:type="dxa"/>
            <w:vAlign w:val="bottom"/>
          </w:tcPr>
          <w:p>
            <w:pPr>
              <w:spacing w:after="0"/>
              <w:rPr>
                <w:sz w:val="1"/>
                <w:szCs w:val="1"/>
                <w:color w:val="auto"/>
              </w:rPr>
            </w:pPr>
          </w:p>
        </w:tc>
      </w:tr>
      <w:tr>
        <w:trPr>
          <w:trHeight w:val="223"/>
        </w:trPr>
        <w:tc>
          <w:tcPr>
            <w:tcW w:w="1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(b)</w:t>
            </w:r>
          </w:p>
        </w:tc>
        <w:tc>
          <w:tcPr>
            <w:tcW w:w="14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rPr>
              <w:t>L</w:t>
            </w:r>
          </w:p>
        </w:tc>
        <w:tc>
          <w:tcPr>
            <w:tcW w:w="24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2.66%</w:t>
            </w:r>
          </w:p>
        </w:tc>
        <w:tc>
          <w:tcPr>
            <w:tcW w:w="24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6/27/2019</w:t>
            </w:r>
          </w:p>
        </w:tc>
        <w:tc>
          <w:tcPr>
            <w:tcW w:w="1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91,500</w:t>
            </w: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ind w:left="660"/>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00" w:type="dxa"/>
            <w:vAlign w:val="bottom"/>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(b)</w:t>
            </w:r>
          </w:p>
        </w:tc>
        <w:tc>
          <w:tcPr>
            <w:tcW w:w="1460" w:type="dxa"/>
            <w:vAlign w:val="bottom"/>
          </w:tcPr>
          <w:p>
            <w:pPr>
              <w:jc w:val="center"/>
              <w:spacing w:after="0"/>
              <w:rPr>
                <w:sz w:val="20"/>
                <w:szCs w:val="20"/>
                <w:color w:val="auto"/>
              </w:rPr>
            </w:pPr>
            <w:r>
              <w:rPr>
                <w:rFonts w:ascii="Arial" w:cs="Arial" w:eastAsia="Arial" w:hAnsi="Arial"/>
                <w:sz w:val="18"/>
                <w:szCs w:val="18"/>
                <w:color w:val="auto"/>
                <w:w w:val="93"/>
              </w:rPr>
              <w:t>4.50%</w:t>
            </w:r>
          </w:p>
        </w:tc>
        <w:tc>
          <w:tcPr>
            <w:tcW w:w="24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3"/>
              </w:rPr>
              <w:t>L + 2.86%</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12/15/2019</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115,000</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(1,285)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ind w:left="66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30"/>
        </w:trPr>
        <w:tc>
          <w:tcPr>
            <w:tcW w:w="19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(a)(b)</w:t>
            </w:r>
          </w:p>
        </w:tc>
        <w:tc>
          <w:tcPr>
            <w:tcW w:w="1700" w:type="dxa"/>
            <w:vAlign w:val="bottom"/>
            <w:gridSpan w:val="2"/>
            <w:shd w:val="clear" w:color="auto" w:fill="CFF0FC"/>
          </w:tcPr>
          <w:p>
            <w:pPr>
              <w:jc w:val="center"/>
              <w:ind w:right="260"/>
              <w:spacing w:after="0"/>
              <w:rPr>
                <w:sz w:val="20"/>
                <w:szCs w:val="20"/>
                <w:color w:val="auto"/>
              </w:rPr>
            </w:pPr>
            <w:r>
              <w:rPr>
                <w:rFonts w:ascii="Arial" w:cs="Arial" w:eastAsia="Arial" w:hAnsi="Arial"/>
                <w:sz w:val="18"/>
                <w:szCs w:val="18"/>
                <w:color w:val="auto"/>
              </w:rPr>
              <w:t>L</w:t>
            </w:r>
          </w:p>
        </w:tc>
        <w:tc>
          <w:tcPr>
            <w:tcW w:w="14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1.72%</w:t>
            </w: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1/10/2020</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33,333</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ind w:left="66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00" w:type="dxa"/>
            <w:vAlign w:val="bottom"/>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(b)</w:t>
            </w:r>
          </w:p>
        </w:tc>
        <w:tc>
          <w:tcPr>
            <w:tcW w:w="1460" w:type="dxa"/>
            <w:vAlign w:val="bottom"/>
          </w:tcPr>
          <w:p>
            <w:pPr>
              <w:jc w:val="center"/>
              <w:spacing w:after="0"/>
              <w:rPr>
                <w:sz w:val="20"/>
                <w:szCs w:val="20"/>
                <w:color w:val="auto"/>
              </w:rPr>
            </w:pPr>
            <w:r>
              <w:rPr>
                <w:rFonts w:ascii="Arial" w:cs="Arial" w:eastAsia="Arial" w:hAnsi="Arial"/>
                <w:sz w:val="18"/>
                <w:szCs w:val="18"/>
                <w:color w:val="auto"/>
                <w:w w:val="93"/>
              </w:rPr>
              <w:t>4.50%</w:t>
            </w:r>
          </w:p>
        </w:tc>
        <w:tc>
          <w:tcPr>
            <w:tcW w:w="24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3"/>
              </w:rPr>
              <w:t>L + 2.37%</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8/1/2022</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115,000</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(1,877)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ind w:left="66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(1,167)</w:t>
            </w:r>
          </w:p>
        </w:tc>
        <w:tc>
          <w:tcPr>
            <w:tcW w:w="0" w:type="dxa"/>
            <w:vAlign w:val="bottom"/>
          </w:tcPr>
          <w:p>
            <w:pPr>
              <w:spacing w:after="0"/>
              <w:rPr>
                <w:sz w:val="1"/>
                <w:szCs w:val="1"/>
                <w:color w:val="auto"/>
              </w:rPr>
            </w:pPr>
          </w:p>
        </w:tc>
      </w:tr>
      <w:tr>
        <w:trPr>
          <w:trHeight w:val="230"/>
        </w:trPr>
        <w:tc>
          <w:tcPr>
            <w:tcW w:w="19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(b)</w:t>
            </w:r>
          </w:p>
        </w:tc>
        <w:tc>
          <w:tcPr>
            <w:tcW w:w="14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4.50%</w:t>
            </w:r>
          </w:p>
        </w:tc>
        <w:tc>
          <w:tcPr>
            <w:tcW w:w="240" w:type="dxa"/>
            <w:vAlign w:val="bottom"/>
            <w:shd w:val="clear" w:color="auto" w:fill="CFF0FC"/>
          </w:tcPr>
          <w:p>
            <w:pPr>
              <w:spacing w:after="0"/>
              <w:rPr>
                <w:sz w:val="19"/>
                <w:szCs w:val="19"/>
                <w:color w:val="auto"/>
              </w:rPr>
            </w:pPr>
          </w:p>
        </w:tc>
        <w:tc>
          <w:tcPr>
            <w:tcW w:w="14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L + 1.59%</w:t>
            </w: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8/1/2022</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50,000</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ind w:left="66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00" w:type="dxa"/>
            <w:vAlign w:val="bottom"/>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(b)</w:t>
            </w:r>
          </w:p>
        </w:tc>
        <w:tc>
          <w:tcPr>
            <w:tcW w:w="1460" w:type="dxa"/>
            <w:vAlign w:val="bottom"/>
          </w:tcPr>
          <w:p>
            <w:pPr>
              <w:jc w:val="center"/>
              <w:spacing w:after="0"/>
              <w:rPr>
                <w:sz w:val="20"/>
                <w:szCs w:val="20"/>
                <w:color w:val="auto"/>
              </w:rPr>
            </w:pPr>
            <w:r>
              <w:rPr>
                <w:rFonts w:ascii="Arial" w:cs="Arial" w:eastAsia="Arial" w:hAnsi="Arial"/>
                <w:sz w:val="18"/>
                <w:szCs w:val="18"/>
                <w:color w:val="auto"/>
                <w:w w:val="93"/>
              </w:rPr>
              <w:t>4.50%</w:t>
            </w:r>
          </w:p>
        </w:tc>
        <w:tc>
          <w:tcPr>
            <w:tcW w:w="24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3"/>
              </w:rPr>
              <w:t>L + 1.60%</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8/1/2022</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7,500</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ind w:left="66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(b)</w:t>
            </w:r>
          </w:p>
        </w:tc>
        <w:tc>
          <w:tcPr>
            <w:tcW w:w="14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4.50%</w:t>
            </w:r>
          </w:p>
        </w:tc>
        <w:tc>
          <w:tcPr>
            <w:tcW w:w="240" w:type="dxa"/>
            <w:vAlign w:val="bottom"/>
            <w:shd w:val="clear" w:color="auto" w:fill="CFF0FC"/>
          </w:tcPr>
          <w:p>
            <w:pPr>
              <w:spacing w:after="0"/>
              <w:rPr>
                <w:sz w:val="19"/>
                <w:szCs w:val="19"/>
                <w:color w:val="auto"/>
              </w:rPr>
            </w:pPr>
          </w:p>
        </w:tc>
        <w:tc>
          <w:tcPr>
            <w:tcW w:w="14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L + 1.99%</w:t>
            </w: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1/22/2023</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150,000</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(538)</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ind w:left="66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30"/>
        </w:trPr>
        <w:tc>
          <w:tcPr>
            <w:tcW w:w="1900" w:type="dxa"/>
            <w:vAlign w:val="bottom"/>
          </w:tcPr>
          <w:p>
            <w:pPr>
              <w:spacing w:after="0"/>
              <w:rPr>
                <w:sz w:val="20"/>
                <w:szCs w:val="20"/>
                <w:color w:val="auto"/>
              </w:rPr>
            </w:pPr>
            <w:r>
              <w:rPr>
                <w:rFonts w:ascii="Arial" w:cs="Arial" w:eastAsia="Arial" w:hAnsi="Arial"/>
                <w:sz w:val="18"/>
                <w:szCs w:val="18"/>
                <w:color w:val="auto"/>
              </w:rPr>
              <w:t>Cash collateral</w:t>
            </w:r>
          </w:p>
        </w:tc>
        <w:tc>
          <w:tcPr>
            <w:tcW w:w="1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2,663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ind w:left="66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90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b w:val="1"/>
                <w:bCs w:val="1"/>
                <w:color w:val="auto"/>
              </w:rPr>
              <w:t>Total</w:t>
            </w:r>
          </w:p>
        </w:tc>
        <w:tc>
          <w:tcPr>
            <w:tcW w:w="14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4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1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562,333</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ind w:left="660"/>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1040" w:hanging="519"/>
        <w:spacing w:after="0"/>
        <w:tabs>
          <w:tab w:leader="none" w:pos="10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Contract terms are shown net of Company receiving 6.65% and paying 8.38%.</w:t>
      </w:r>
    </w:p>
    <w:p>
      <w:pPr>
        <w:spacing w:after="0" w:line="23" w:lineRule="exact"/>
        <w:rPr>
          <w:rFonts w:ascii="Arial" w:cs="Arial" w:eastAsia="Arial" w:hAnsi="Arial"/>
          <w:sz w:val="18"/>
          <w:szCs w:val="18"/>
          <w:color w:val="auto"/>
        </w:rPr>
      </w:pPr>
    </w:p>
    <w:p>
      <w:pPr>
        <w:ind w:left="1040" w:hanging="519"/>
        <w:spacing w:after="0"/>
        <w:tabs>
          <w:tab w:leader="none" w:pos="10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Contains a variable rate structure. Bears interest at a rate determined by three-month LIBOR.</w:t>
      </w:r>
    </w:p>
    <w:p>
      <w:pPr>
        <w:spacing w:after="0" w:line="116" w:lineRule="exact"/>
        <w:rPr>
          <w:rFonts w:ascii="Arial" w:cs="Arial" w:eastAsia="Arial" w:hAnsi="Arial"/>
          <w:sz w:val="18"/>
          <w:szCs w:val="18"/>
          <w:color w:val="auto"/>
        </w:rPr>
      </w:pPr>
    </w:p>
    <w:p>
      <w:pPr>
        <w:ind w:left="520" w:hanging="512"/>
        <w:spacing w:after="0"/>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Certain portfolio company investments are subject to contractual restrictions on sales.</w:t>
      </w:r>
    </w:p>
    <w:p>
      <w:pPr>
        <w:spacing w:after="0" w:line="23" w:lineRule="exact"/>
        <w:rPr>
          <w:rFonts w:ascii="Arial" w:cs="Arial" w:eastAsia="Arial" w:hAnsi="Arial"/>
          <w:sz w:val="18"/>
          <w:szCs w:val="18"/>
          <w:color w:val="auto"/>
        </w:rPr>
      </w:pPr>
    </w:p>
    <w:p>
      <w:pPr>
        <w:ind w:left="520" w:right="180" w:hanging="512"/>
        <w:spacing w:after="0" w:line="250" w:lineRule="auto"/>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amortized cost represents the original cost adjusted for the amortization of discounts and premiums, as applicable, on debt investments using the effective interest method.</w:t>
      </w:r>
    </w:p>
    <w:p>
      <w:pPr>
        <w:ind w:left="520" w:right="20" w:hanging="512"/>
        <w:spacing w:after="0" w:line="265" w:lineRule="auto"/>
        <w:tabs>
          <w:tab w:leader="none" w:pos="5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Investment contains a variable rate structure, subject to an interest rate floor. Variable rate investments bear interest at a rate that may be determined by reference to either London Interbank Offered Rate (“LIBOR” or “L”) (which can include one-, two-, three- or six-month LIBOR), Canadian Dollar Offered Rate (“CDOR” or “C”), Bank Bill Swap Bid Rate (“BBSY” or “B”) or an alternate base rate (which can include the Federal Funds Effective Rate or the Prime Rate or “P”), at the borrower’s option, which reset periodically based on the terms of the credit agreement. For investments with multiple interest rate contracts, the interest rate shown is the weighted average interest rate in effect at December 31, 2018.</w:t>
      </w:r>
    </w:p>
    <w:p>
      <w:pPr>
        <w:spacing w:after="0" w:line="1" w:lineRule="exact"/>
        <w:rPr>
          <w:rFonts w:ascii="Arial" w:cs="Arial" w:eastAsia="Arial" w:hAnsi="Arial"/>
          <w:sz w:val="17"/>
          <w:szCs w:val="17"/>
          <w:color w:val="auto"/>
        </w:rPr>
      </w:pPr>
    </w:p>
    <w:p>
      <w:pPr>
        <w:jc w:val="both"/>
        <w:ind w:left="520" w:right="40" w:hanging="512"/>
        <w:spacing w:after="0" w:line="265" w:lineRule="auto"/>
        <w:tabs>
          <w:tab w:leader="none" w:pos="5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This portfolio company is not a qualifying asset under Section 55(a) of the Investment Company Act of 1940, as amended (the “1940 Act”). Under the 1940 Act, the Company may not acquire any non-qualifying asset unless, at the time such acquisition is made, qualifying assets represent at least 70% of total assets. Non-qualifying assets represented 17.3% of total assets as of December 31, 2018.</w:t>
      </w:r>
    </w:p>
    <w:p>
      <w:pPr>
        <w:ind w:left="520" w:right="20" w:hanging="512"/>
        <w:spacing w:after="0" w:line="250" w:lineRule="auto"/>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addition to the interest earned based on the stated interest rate of this investment, which is the amount reflected in this schedule, the Company may be entitled to receive additional interest as a result of an arrangement with other members in the syndicate to the extent an investment has been allocated to “first out” and “last out” tranches, whereby the “first out” tranche will have priority as to the “last out” tranche with respect to payments of principal, interest and any amounts due thereunder and the Company hold the “last out” tranche.</w:t>
      </w:r>
    </w:p>
    <w:p>
      <w:pPr>
        <w:spacing w:after="0" w:line="1" w:lineRule="exact"/>
        <w:rPr>
          <w:rFonts w:ascii="Arial" w:cs="Arial" w:eastAsia="Arial" w:hAnsi="Arial"/>
          <w:sz w:val="18"/>
          <w:szCs w:val="18"/>
          <w:color w:val="auto"/>
        </w:rPr>
      </w:pPr>
    </w:p>
    <w:p>
      <w:pPr>
        <w:jc w:val="both"/>
        <w:ind w:left="520" w:right="20" w:hanging="512"/>
        <w:spacing w:after="0" w:line="255" w:lineRule="auto"/>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Under the 1940 Act, the Company is deemed to be an “Affiliated Person” of, as defined in the 1940 Act, this portfolio company, as the Company owns more than 5% of the portfolio company’s outstanding voting securities. Transactions during the year ended December 31, 2018 in which the issuer was an Affiliated Person of the portfolio company are as follows: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Non-controlled, Affiliated Investments during the year ended December 31, 2018</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center"/>
              <w:ind w:right="79"/>
              <w:spacing w:after="0"/>
              <w:rPr>
                <w:sz w:val="20"/>
                <w:szCs w:val="20"/>
                <w:color w:val="auto"/>
              </w:rPr>
            </w:pPr>
            <w:r>
              <w:rPr>
                <w:rFonts w:ascii="Arial" w:cs="Arial" w:eastAsia="Arial" w:hAnsi="Arial"/>
                <w:sz w:val="14"/>
                <w:szCs w:val="14"/>
                <w:b w:val="1"/>
                <w:bCs w:val="1"/>
                <w:color w:val="auto"/>
              </w:rPr>
              <w:t>Fair</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Net Change</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Fair Value at</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93"/>
              </w:rPr>
              <w:t>Value at</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rPr>
              <w:t>Gross</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Gross</w:t>
            </w:r>
          </w:p>
        </w:tc>
        <w:tc>
          <w:tcPr>
            <w:tcW w:w="8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Realized</w:t>
            </w:r>
          </w:p>
        </w:tc>
        <w:tc>
          <w:tcPr>
            <w:tcW w:w="20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2"/>
                <w:szCs w:val="12"/>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Interest</w:t>
            </w:r>
          </w:p>
        </w:tc>
        <w:tc>
          <w:tcPr>
            <w:tcW w:w="0" w:type="dxa"/>
            <w:vAlign w:val="bottom"/>
          </w:tcPr>
          <w:p>
            <w:pPr>
              <w:spacing w:after="0"/>
              <w:rPr>
                <w:sz w:val="1"/>
                <w:szCs w:val="1"/>
                <w:color w:val="auto"/>
              </w:rPr>
            </w:pPr>
          </w:p>
        </w:tc>
      </w:tr>
      <w:tr>
        <w:trPr>
          <w:trHeight w:val="149"/>
        </w:trPr>
        <w:tc>
          <w:tcPr>
            <w:tcW w:w="260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Company</w:t>
            </w:r>
          </w:p>
        </w:tc>
        <w:tc>
          <w:tcPr>
            <w:tcW w:w="14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In Unrealized</w:t>
            </w:r>
          </w:p>
        </w:tc>
        <w:tc>
          <w:tcPr>
            <w:tcW w:w="1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6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center"/>
              <w:ind w:right="79"/>
              <w:spacing w:after="0"/>
              <w:rPr>
                <w:sz w:val="20"/>
                <w:szCs w:val="20"/>
                <w:color w:val="auto"/>
              </w:rPr>
            </w:pPr>
            <w:r>
              <w:rPr>
                <w:rFonts w:ascii="Arial" w:cs="Arial" w:eastAsia="Arial" w:hAnsi="Arial"/>
                <w:sz w:val="14"/>
                <w:szCs w:val="14"/>
                <w:b w:val="1"/>
                <w:bCs w:val="1"/>
                <w:color w:val="auto"/>
                <w:w w:val="89"/>
              </w:rPr>
              <w:t>2017</w:t>
            </w:r>
          </w:p>
        </w:tc>
        <w:tc>
          <w:tcPr>
            <w:tcW w:w="24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Additions (a)</w:t>
            </w:r>
          </w:p>
        </w:tc>
        <w:tc>
          <w:tcPr>
            <w:tcW w:w="22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Reductions (b)</w:t>
            </w:r>
          </w:p>
        </w:tc>
        <w:tc>
          <w:tcPr>
            <w:tcW w:w="80" w:type="dxa"/>
            <w:vAlign w:val="bottom"/>
          </w:tcPr>
          <w:p>
            <w:pPr>
              <w:spacing w:after="0"/>
              <w:rPr>
                <w:sz w:val="14"/>
                <w:szCs w:val="14"/>
                <w:color w:val="auto"/>
              </w:rPr>
            </w:pPr>
          </w:p>
        </w:tc>
        <w:tc>
          <w:tcPr>
            <w:tcW w:w="1100" w:type="dxa"/>
            <w:vAlign w:val="bottom"/>
            <w:gridSpan w:val="3"/>
          </w:tcPr>
          <w:p>
            <w:pPr>
              <w:ind w:left="80"/>
              <w:spacing w:after="0"/>
              <w:rPr>
                <w:sz w:val="20"/>
                <w:szCs w:val="20"/>
                <w:color w:val="auto"/>
              </w:rPr>
            </w:pPr>
            <w:r>
              <w:rPr>
                <w:rFonts w:ascii="Arial" w:cs="Arial" w:eastAsia="Arial" w:hAnsi="Arial"/>
                <w:sz w:val="14"/>
                <w:szCs w:val="14"/>
                <w:b w:val="1"/>
                <w:bCs w:val="1"/>
                <w:color w:val="auto"/>
              </w:rPr>
              <w:t>Gain/(Loss)</w:t>
            </w: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w w:val="92"/>
              </w:rPr>
              <w:t>Gain/(Losses)</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ind w:right="214"/>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Income</w:t>
            </w:r>
          </w:p>
        </w:tc>
        <w:tc>
          <w:tcPr>
            <w:tcW w:w="1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223"/>
        </w:trPr>
        <w:tc>
          <w:tcPr>
            <w:tcW w:w="26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AFS Technologies, Inc.</w:t>
            </w:r>
          </w:p>
        </w:tc>
        <w:tc>
          <w:tcPr>
            <w:tcW w:w="1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ind w:left="560"/>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46,040</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FF0FC"/>
          </w:tcPr>
          <w:p>
            <w:pPr>
              <w:ind w:left="400"/>
              <w:spacing w:after="0"/>
              <w:rPr>
                <w:sz w:val="20"/>
                <w:szCs w:val="20"/>
                <w:color w:val="auto"/>
              </w:rPr>
            </w:pPr>
            <w:r>
              <w:rPr>
                <w:rFonts w:ascii="Arial" w:cs="Arial" w:eastAsia="Arial" w:hAnsi="Arial"/>
                <w:sz w:val="18"/>
                <w:szCs w:val="18"/>
                <w:color w:val="auto"/>
                <w:w w:val="76"/>
              </w:rPr>
              <w:t>(266)</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FF0FC"/>
          </w:tcPr>
          <w:p>
            <w:pPr>
              <w:ind w:left="220"/>
              <w:spacing w:after="0"/>
              <w:rPr>
                <w:sz w:val="20"/>
                <w:szCs w:val="20"/>
                <w:color w:val="auto"/>
              </w:rPr>
            </w:pPr>
            <w:r>
              <w:rPr>
                <w:rFonts w:ascii="Arial" w:cs="Arial" w:eastAsia="Arial" w:hAnsi="Arial"/>
                <w:sz w:val="18"/>
                <w:szCs w:val="18"/>
                <w:color w:val="auto"/>
                <w:w w:val="76"/>
              </w:rPr>
              <w:t>(432)</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FF0FC"/>
          </w:tcPr>
          <w:p>
            <w:pPr>
              <w:ind w:left="56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45,342</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1,032</w:t>
            </w: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00" w:type="dxa"/>
            <w:vAlign w:val="bottom"/>
          </w:tcPr>
          <w:p>
            <w:pPr>
              <w:spacing w:after="0"/>
              <w:rPr>
                <w:sz w:val="20"/>
                <w:szCs w:val="20"/>
                <w:color w:val="auto"/>
              </w:rPr>
            </w:pPr>
            <w:r>
              <w:rPr>
                <w:rFonts w:ascii="Arial" w:cs="Arial" w:eastAsia="Arial" w:hAnsi="Arial"/>
                <w:sz w:val="18"/>
                <w:szCs w:val="18"/>
                <w:color w:val="auto"/>
              </w:rPr>
              <w:t>Validity, Inc.</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ind w:left="56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39,278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ind w:left="400"/>
              <w:spacing w:after="0"/>
              <w:rPr>
                <w:sz w:val="20"/>
                <w:szCs w:val="20"/>
                <w:color w:val="auto"/>
              </w:rPr>
            </w:pPr>
            <w:r>
              <w:rPr>
                <w:rFonts w:ascii="Arial" w:cs="Arial" w:eastAsia="Arial" w:hAnsi="Arial"/>
                <w:sz w:val="18"/>
                <w:szCs w:val="18"/>
                <w:color w:val="auto"/>
              </w:rPr>
              <w:t>(450)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gridSpan w:val="2"/>
          </w:tcPr>
          <w:p>
            <w:pPr>
              <w:ind w:left="220"/>
              <w:spacing w:after="0"/>
              <w:rPr>
                <w:sz w:val="20"/>
                <w:szCs w:val="20"/>
                <w:color w:val="auto"/>
              </w:rPr>
            </w:pPr>
            <w:r>
              <w:rPr>
                <w:rFonts w:ascii="Arial" w:cs="Arial" w:eastAsia="Arial" w:hAnsi="Arial"/>
                <w:sz w:val="18"/>
                <w:szCs w:val="18"/>
                <w:color w:val="auto"/>
              </w:rPr>
              <w:t>(238)</w:t>
            </w:r>
          </w:p>
        </w:tc>
        <w:tc>
          <w:tcPr>
            <w:tcW w:w="120" w:type="dxa"/>
            <w:vAlign w:val="bottom"/>
          </w:tcPr>
          <w:p>
            <w:pPr>
              <w:spacing w:after="0"/>
              <w:rPr>
                <w:sz w:val="19"/>
                <w:szCs w:val="19"/>
                <w:color w:val="auto"/>
              </w:rPr>
            </w:pPr>
          </w:p>
        </w:tc>
        <w:tc>
          <w:tcPr>
            <w:tcW w:w="760" w:type="dxa"/>
            <w:vAlign w:val="bottom"/>
          </w:tcPr>
          <w:p>
            <w:pPr>
              <w:ind w:left="56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38,590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382</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bottom w:val="single" w:sz="8" w:color="auto"/>
            </w:tcBorders>
            <w:shd w:val="clear" w:color="auto" w:fill="CFF0FC"/>
          </w:tcPr>
          <w:p>
            <w:pPr>
              <w:ind w:left="560"/>
              <w:spacing w:after="0"/>
              <w:rPr>
                <w:sz w:val="20"/>
                <w:szCs w:val="20"/>
                <w:color w:val="auto"/>
              </w:rPr>
            </w:pPr>
            <w:r>
              <w:rPr>
                <w:rFonts w:ascii="Arial" w:cs="Arial" w:eastAsia="Arial" w:hAnsi="Arial"/>
                <w:sz w:val="18"/>
                <w:szCs w:val="18"/>
                <w:b w:val="1"/>
                <w:bCs w:val="1"/>
                <w:color w:val="auto"/>
                <w:w w:val="99"/>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85,318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tcBorders>
              <w:top w:val="single" w:sz="8" w:color="auto"/>
              <w:bottom w:val="single" w:sz="8" w:color="auto"/>
            </w:tcBorders>
            <w:shd w:val="clear" w:color="auto" w:fill="CFF0FC"/>
          </w:tcPr>
          <w:p>
            <w:pPr>
              <w:ind w:left="400"/>
              <w:spacing w:after="0"/>
              <w:rPr>
                <w:sz w:val="20"/>
                <w:szCs w:val="20"/>
                <w:color w:val="auto"/>
              </w:rPr>
            </w:pPr>
            <w:r>
              <w:rPr>
                <w:rFonts w:ascii="Arial" w:cs="Arial" w:eastAsia="Arial" w:hAnsi="Arial"/>
                <w:sz w:val="18"/>
                <w:szCs w:val="18"/>
                <w:b w:val="1"/>
                <w:bCs w:val="1"/>
                <w:color w:val="auto"/>
                <w:w w:val="76"/>
              </w:rPr>
              <w:t>(716)</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560" w:type="dxa"/>
            <w:vAlign w:val="bottom"/>
            <w:tcBorders>
              <w:top w:val="single" w:sz="8" w:color="auto"/>
              <w:bottom w:val="single" w:sz="8" w:color="auto"/>
            </w:tcBorders>
            <w:shd w:val="clear" w:color="auto" w:fill="CFF0FC"/>
          </w:tcPr>
          <w:p>
            <w:pPr>
              <w:ind w:left="220"/>
              <w:spacing w:after="0"/>
              <w:rPr>
                <w:sz w:val="20"/>
                <w:szCs w:val="20"/>
                <w:color w:val="auto"/>
              </w:rPr>
            </w:pPr>
            <w:r>
              <w:rPr>
                <w:rFonts w:ascii="Arial" w:cs="Arial" w:eastAsia="Arial" w:hAnsi="Arial"/>
                <w:sz w:val="18"/>
                <w:szCs w:val="18"/>
                <w:b w:val="1"/>
                <w:bCs w:val="1"/>
                <w:color w:val="auto"/>
                <w:w w:val="76"/>
              </w:rPr>
              <w:t>(670)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bottom w:val="single" w:sz="8" w:color="auto"/>
            </w:tcBorders>
            <w:shd w:val="clear" w:color="auto" w:fill="CFF0FC"/>
          </w:tcPr>
          <w:p>
            <w:pPr>
              <w:ind w:left="560"/>
              <w:spacing w:after="0"/>
              <w:rPr>
                <w:sz w:val="20"/>
                <w:szCs w:val="20"/>
                <w:color w:val="auto"/>
              </w:rPr>
            </w:pPr>
            <w:r>
              <w:rPr>
                <w:rFonts w:ascii="Arial" w:cs="Arial" w:eastAsia="Arial" w:hAnsi="Arial"/>
                <w:sz w:val="18"/>
                <w:szCs w:val="18"/>
                <w:b w:val="1"/>
                <w:bCs w:val="1"/>
                <w:color w:val="auto"/>
                <w:w w:val="99"/>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83,932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398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3,652</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1040" w:right="260" w:hanging="519"/>
        <w:spacing w:after="0" w:line="258"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Gross additions include increases in the cost basis of investments resulting from new investments, payment-in-kind interest or dividends, the amortization of any unearned income or discounts on debt investments, as applicable.</w:t>
      </w:r>
    </w:p>
    <w:p>
      <w:pPr>
        <w:spacing w:after="0" w:line="1" w:lineRule="exact"/>
        <w:rPr>
          <w:rFonts w:ascii="Arial" w:cs="Arial" w:eastAsia="Arial" w:hAnsi="Arial"/>
          <w:sz w:val="18"/>
          <w:szCs w:val="18"/>
          <w:color w:val="auto"/>
        </w:rPr>
      </w:pPr>
    </w:p>
    <w:p>
      <w:pPr>
        <w:ind w:left="1040" w:right="160" w:hanging="519"/>
        <w:spacing w:after="0" w:line="255"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Gross reductions include decreases in the cost basis of investments resulting from principal collections related to investment repayments or sales, and the amortization of any premiums on debt investments, as applicable. When an investment is placed on non-accrual status, any cash flows received by the Company are applied to the outstanding principal balance.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9" w:right="239" w:bottom="1440" w:gutter="0" w:footer="0" w:header="0"/>
        </w:sectPr>
      </w:pPr>
    </w:p>
    <w:bookmarkStart w:id="16" w:name="page17"/>
    <w:bookmarkEnd w:id="16"/>
    <w:p>
      <w:pPr>
        <w:ind w:left="520" w:right="60" w:hanging="512"/>
        <w:spacing w:after="0" w:line="279" w:lineRule="auto"/>
        <w:tabs>
          <w:tab w:leader="none" w:pos="5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Under the 1940 Act, the Company is deemed to be both an “Affiliated Person” of and “Control,” as such terms are defined in the 1940 Act, this portfolio company, as the Company owns more than 25% of the portfolio company’s outstanding voting securities or has the power to exercise control over management or policies of such portfolio company (including through a management agreement). Transactions during the year ended December 31, 2018 in which the issuer was an Affiliated Person of and was deemed to Control a portfolio company are as follows: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Controlled, Affiliated Investments during the year ended December 31, 2018</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Net Change</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6"/>
              </w:rPr>
              <w:t>Fair Value at</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Value at</w:t>
            </w:r>
          </w:p>
        </w:tc>
        <w:tc>
          <w:tcPr>
            <w:tcW w:w="180" w:type="dxa"/>
            <w:vAlign w:val="bottom"/>
          </w:tcPr>
          <w:p>
            <w:pPr>
              <w:spacing w:after="0"/>
              <w:rPr>
                <w:sz w:val="12"/>
                <w:szCs w:val="12"/>
                <w:color w:val="auto"/>
              </w:rPr>
            </w:pPr>
          </w:p>
        </w:tc>
        <w:tc>
          <w:tcPr>
            <w:tcW w:w="9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2"/>
                <w:szCs w:val="12"/>
                <w:color w:val="auto"/>
              </w:rPr>
            </w:pPr>
          </w:p>
        </w:tc>
        <w:tc>
          <w:tcPr>
            <w:tcW w:w="96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Gross</w:t>
            </w:r>
          </w:p>
        </w:tc>
        <w:tc>
          <w:tcPr>
            <w:tcW w:w="4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Realized</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2"/>
                <w:szCs w:val="12"/>
                <w:color w:val="auto"/>
              </w:rPr>
            </w:pPr>
          </w:p>
        </w:tc>
        <w:tc>
          <w:tcPr>
            <w:tcW w:w="8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Interest</w:t>
            </w:r>
          </w:p>
        </w:tc>
        <w:tc>
          <w:tcPr>
            <w:tcW w:w="0" w:type="dxa"/>
            <w:vAlign w:val="bottom"/>
          </w:tcPr>
          <w:p>
            <w:pPr>
              <w:spacing w:after="0"/>
              <w:rPr>
                <w:sz w:val="1"/>
                <w:szCs w:val="1"/>
                <w:color w:val="auto"/>
              </w:rPr>
            </w:pPr>
          </w:p>
        </w:tc>
      </w:tr>
      <w:tr>
        <w:trPr>
          <w:trHeight w:val="149"/>
        </w:trPr>
        <w:tc>
          <w:tcPr>
            <w:tcW w:w="258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Company</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December</w:t>
            </w: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In Unrealized</w:t>
            </w: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5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center"/>
              <w:ind w:right="39"/>
              <w:spacing w:after="0"/>
              <w:rPr>
                <w:sz w:val="20"/>
                <w:szCs w:val="20"/>
                <w:color w:val="auto"/>
              </w:rPr>
            </w:pPr>
            <w:r>
              <w:rPr>
                <w:rFonts w:ascii="Arial" w:cs="Arial" w:eastAsia="Arial" w:hAnsi="Arial"/>
                <w:sz w:val="14"/>
                <w:szCs w:val="14"/>
                <w:b w:val="1"/>
                <w:bCs w:val="1"/>
                <w:color w:val="auto"/>
                <w:w w:val="95"/>
              </w:rPr>
              <w:t>31, 2017</w:t>
            </w:r>
          </w:p>
        </w:tc>
        <w:tc>
          <w:tcPr>
            <w:tcW w:w="160" w:type="dxa"/>
            <w:vAlign w:val="bottom"/>
          </w:tcPr>
          <w:p>
            <w:pPr>
              <w:spacing w:after="0"/>
              <w:rPr>
                <w:sz w:val="14"/>
                <w:szCs w:val="14"/>
                <w:color w:val="auto"/>
              </w:rPr>
            </w:pPr>
          </w:p>
        </w:tc>
        <w:tc>
          <w:tcPr>
            <w:tcW w:w="11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3"/>
              </w:rPr>
              <w:t>Additions (a)</w:t>
            </w:r>
          </w:p>
        </w:tc>
        <w:tc>
          <w:tcPr>
            <w:tcW w:w="118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7"/>
              </w:rPr>
              <w:t>Reductions (b)</w:t>
            </w:r>
          </w:p>
        </w:tc>
        <w:tc>
          <w:tcPr>
            <w:tcW w:w="40" w:type="dxa"/>
            <w:vAlign w:val="bottom"/>
          </w:tcPr>
          <w:p>
            <w:pPr>
              <w:spacing w:after="0"/>
              <w:rPr>
                <w:sz w:val="14"/>
                <w:szCs w:val="14"/>
                <w:color w:val="auto"/>
              </w:rPr>
            </w:pPr>
          </w:p>
        </w:tc>
        <w:tc>
          <w:tcPr>
            <w:tcW w:w="1040" w:type="dxa"/>
            <w:vAlign w:val="bottom"/>
            <w:gridSpan w:val="3"/>
          </w:tcPr>
          <w:p>
            <w:pPr>
              <w:ind w:left="80"/>
              <w:spacing w:after="0"/>
              <w:rPr>
                <w:sz w:val="20"/>
                <w:szCs w:val="20"/>
                <w:color w:val="auto"/>
              </w:rPr>
            </w:pPr>
            <w:r>
              <w:rPr>
                <w:rFonts w:ascii="Arial" w:cs="Arial" w:eastAsia="Arial" w:hAnsi="Arial"/>
                <w:sz w:val="14"/>
                <w:szCs w:val="14"/>
                <w:b w:val="1"/>
                <w:bCs w:val="1"/>
                <w:color w:val="auto"/>
              </w:rPr>
              <w:t>Gain/(Loss)</w:t>
            </w:r>
          </w:p>
        </w:tc>
        <w:tc>
          <w:tcPr>
            <w:tcW w:w="112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7"/>
              </w:rPr>
              <w:t>Gain/(Losses)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center"/>
              <w:ind w:right="36"/>
              <w:spacing w:after="0"/>
              <w:rPr>
                <w:sz w:val="20"/>
                <w:szCs w:val="20"/>
                <w:color w:val="auto"/>
              </w:rPr>
            </w:pPr>
            <w:r>
              <w:rPr>
                <w:rFonts w:ascii="Arial" w:cs="Arial" w:eastAsia="Arial" w:hAnsi="Arial"/>
                <w:sz w:val="14"/>
                <w:szCs w:val="14"/>
                <w:b w:val="1"/>
                <w:bCs w:val="1"/>
                <w:color w:val="auto"/>
                <w:w w:val="89"/>
              </w:rPr>
              <w:t>2018</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Income</w:t>
            </w:r>
          </w:p>
        </w:tc>
        <w:tc>
          <w:tcPr>
            <w:tcW w:w="140" w:type="dxa"/>
            <w:vAlign w:val="bottom"/>
          </w:tcPr>
          <w:p>
            <w:pPr>
              <w:spacing w:after="0"/>
              <w:rPr>
                <w:sz w:val="14"/>
                <w:szCs w:val="14"/>
                <w:color w:val="auto"/>
              </w:rPr>
            </w:pPr>
          </w:p>
        </w:tc>
        <w:tc>
          <w:tcPr>
            <w:tcW w:w="800" w:type="dxa"/>
            <w:vAlign w:val="bottom"/>
            <w:gridSpan w:val="2"/>
          </w:tcPr>
          <w:p>
            <w:pPr>
              <w:ind w:left="60"/>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223"/>
        </w:trPr>
        <w:tc>
          <w:tcPr>
            <w:tcW w:w="25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AFS Technologies, Inc.</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75,780</w:t>
            </w:r>
          </w:p>
        </w:tc>
        <w:tc>
          <w:tcPr>
            <w:tcW w:w="1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6"/>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900</w:t>
            </w:r>
          </w:p>
        </w:tc>
        <w:tc>
          <w:tcPr>
            <w:tcW w:w="1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6"/>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(75,438)</w:t>
            </w:r>
          </w:p>
        </w:tc>
        <w:tc>
          <w:tcPr>
            <w:tcW w:w="12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(3,658)</w:t>
            </w:r>
          </w:p>
        </w:tc>
        <w:tc>
          <w:tcPr>
            <w:tcW w:w="1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2,416</w:t>
            </w:r>
          </w:p>
        </w:tc>
        <w:tc>
          <w:tcPr>
            <w:tcW w:w="12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5,334</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80" w:type="dxa"/>
            <w:vAlign w:val="bottom"/>
          </w:tcPr>
          <w:p>
            <w:pPr>
              <w:spacing w:after="0"/>
              <w:rPr>
                <w:sz w:val="20"/>
                <w:szCs w:val="20"/>
                <w:color w:val="auto"/>
              </w:rPr>
            </w:pPr>
            <w:r>
              <w:rPr>
                <w:rFonts w:ascii="Arial" w:cs="Arial" w:eastAsia="Arial" w:hAnsi="Arial"/>
                <w:sz w:val="18"/>
                <w:szCs w:val="18"/>
                <w:color w:val="auto"/>
              </w:rPr>
              <w:t>IRGSE Holding Corp.</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34,748</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8,653</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(496)</w:t>
            </w:r>
          </w:p>
        </w:tc>
        <w:tc>
          <w:tcPr>
            <w:tcW w:w="16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(8,378)</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34,527</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5,582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80" w:type="dxa"/>
            <w:vAlign w:val="bottom"/>
            <w:shd w:val="clear" w:color="auto" w:fill="CFF0FC"/>
          </w:tcPr>
          <w:p>
            <w:pPr>
              <w:spacing w:after="0"/>
              <w:rPr>
                <w:sz w:val="20"/>
                <w:szCs w:val="20"/>
                <w:color w:val="auto"/>
              </w:rPr>
            </w:pPr>
            <w:r>
              <w:rPr>
                <w:rFonts w:ascii="Arial" w:cs="Arial" w:eastAsia="Arial" w:hAnsi="Arial"/>
                <w:sz w:val="18"/>
                <w:szCs w:val="18"/>
                <w:color w:val="auto"/>
              </w:rPr>
              <w:t>Mississippi Resources, LLC</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25,392</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4,192</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(143)</w:t>
            </w: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2,126</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(9,589)</w:t>
            </w: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21,978</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5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135,920</w:t>
            </w:r>
          </w:p>
        </w:tc>
        <w:tc>
          <w:tcPr>
            <w:tcW w:w="1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13,745</w:t>
            </w:r>
          </w:p>
        </w:tc>
        <w:tc>
          <w:tcPr>
            <w:tcW w:w="1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(75,581)</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(2,028</w:t>
            </w:r>
          </w:p>
        </w:tc>
        <w:tc>
          <w:tcPr>
            <w:tcW w:w="160" w:type="dxa"/>
            <w:vAlign w:val="bottom"/>
          </w:tcPr>
          <w:p>
            <w:pPr>
              <w:jc w:val="right"/>
              <w:ind w:right="20"/>
              <w:spacing w:after="0"/>
              <w:rPr>
                <w:sz w:val="20"/>
                <w:szCs w:val="20"/>
                <w:color w:val="auto"/>
              </w:rPr>
            </w:pPr>
            <w:r>
              <w:rPr>
                <w:rFonts w:ascii="Arial" w:cs="Arial" w:eastAsia="Arial" w:hAnsi="Arial"/>
                <w:sz w:val="16"/>
                <w:szCs w:val="16"/>
                <w:b w:val="1"/>
                <w:bCs w:val="1"/>
                <w:color w:val="auto"/>
                <w:w w:val="74"/>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(15,551</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56,505</w:t>
            </w:r>
          </w:p>
        </w:tc>
        <w:tc>
          <w:tcPr>
            <w:tcW w:w="1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w:t>
            </w: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13,763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1040" w:right="260" w:hanging="519"/>
        <w:spacing w:after="0" w:line="258" w:lineRule="auto"/>
        <w:tabs>
          <w:tab w:leader="none" w:pos="10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Gross additions include increases in the cost basis of investments resulting from new investments, payment-in-kind interest or dividends, the amortization of any unearned income or discounts on debt investments, as applicable.</w:t>
      </w:r>
    </w:p>
    <w:p>
      <w:pPr>
        <w:spacing w:after="0" w:line="1" w:lineRule="exact"/>
        <w:rPr>
          <w:rFonts w:ascii="Arial" w:cs="Arial" w:eastAsia="Arial" w:hAnsi="Arial"/>
          <w:sz w:val="18"/>
          <w:szCs w:val="18"/>
          <w:color w:val="auto"/>
        </w:rPr>
      </w:pPr>
    </w:p>
    <w:p>
      <w:pPr>
        <w:ind w:left="1040" w:right="160" w:hanging="519"/>
        <w:spacing w:after="0" w:line="255" w:lineRule="auto"/>
        <w:tabs>
          <w:tab w:leader="none" w:pos="10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Gross reductions include decreases in the cost basis of investments resulting from principal collections related to investment repayments or sales, and the amortization of any premiums on debt investments, as applicable. When an investment is placed on non-accrual status, any cash flows received by the Company are applied to the outstanding principal balance.</w:t>
      </w:r>
    </w:p>
    <w:p>
      <w:pPr>
        <w:spacing w:after="0" w:line="95" w:lineRule="exact"/>
        <w:rPr>
          <w:rFonts w:ascii="Arial" w:cs="Arial" w:eastAsia="Arial" w:hAnsi="Arial"/>
          <w:sz w:val="18"/>
          <w:szCs w:val="18"/>
          <w:color w:val="auto"/>
        </w:rPr>
      </w:pPr>
    </w:p>
    <w:p>
      <w:pPr>
        <w:ind w:left="520" w:hanging="512"/>
        <w:spacing w:after="0"/>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 of December 31, 2018, the tax cost of the Company’s investments approximates the amortized cost.</w:t>
      </w:r>
    </w:p>
    <w:p>
      <w:pPr>
        <w:spacing w:after="0" w:line="23" w:lineRule="exact"/>
        <w:rPr>
          <w:rFonts w:ascii="Arial" w:cs="Arial" w:eastAsia="Arial" w:hAnsi="Arial"/>
          <w:sz w:val="18"/>
          <w:szCs w:val="18"/>
          <w:color w:val="auto"/>
        </w:rPr>
      </w:pPr>
    </w:p>
    <w:p>
      <w:pPr>
        <w:ind w:left="520" w:right="100" w:hanging="512"/>
        <w:spacing w:after="0" w:line="250" w:lineRule="auto"/>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These investments contain a fixed rate structure. The Company entered into an interest rate swap agreement to swap to a floating rate. Refer to Note 5 for further information related to the Company’s interest rate swaps on investments.</w:t>
      </w:r>
    </w:p>
    <w:p>
      <w:pPr>
        <w:ind w:left="520" w:right="140" w:hanging="512"/>
        <w:spacing w:after="0" w:line="250" w:lineRule="auto"/>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In accordance with Financial Accounting Standards Board Accounting Standards Codification 820, </w:t>
      </w:r>
      <w:r>
        <w:rPr>
          <w:rFonts w:ascii="Arial" w:cs="Arial" w:eastAsia="Arial" w:hAnsi="Arial"/>
          <w:sz w:val="18"/>
          <w:szCs w:val="18"/>
          <w:i w:val="1"/>
          <w:iCs w:val="1"/>
          <w:color w:val="auto"/>
        </w:rPr>
        <w:t>Fair Value Measurements</w:t>
      </w:r>
      <w:r>
        <w:rPr>
          <w:rFonts w:ascii="Arial" w:cs="Arial" w:eastAsia="Arial" w:hAnsi="Arial"/>
          <w:sz w:val="18"/>
          <w:szCs w:val="18"/>
          <w:color w:val="auto"/>
        </w:rPr>
        <w:t xml:space="preserve"> (“ASC 820”), unless otherwise indicated, the fair values of all investments were determined using significant unobservable inputs and are considered Level 3 investments. See Note 6 for further information related to investments at fair value.</w:t>
      </w:r>
    </w:p>
    <w:p>
      <w:pPr>
        <w:spacing w:after="0" w:line="1" w:lineRule="exact"/>
        <w:rPr>
          <w:rFonts w:ascii="Arial" w:cs="Arial" w:eastAsia="Arial" w:hAnsi="Arial"/>
          <w:sz w:val="18"/>
          <w:szCs w:val="18"/>
          <w:color w:val="auto"/>
        </w:rPr>
      </w:pPr>
    </w:p>
    <w:p>
      <w:pPr>
        <w:ind w:left="520" w:right="100" w:hanging="512"/>
        <w:spacing w:after="0" w:line="250" w:lineRule="auto"/>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This investment is valued using observable inputs and is considered a Level 2 investment. See Note 6 for further information related to investments at fair value.</w:t>
      </w:r>
    </w:p>
    <w:p>
      <w:pPr>
        <w:ind w:left="520" w:right="100" w:hanging="512"/>
        <w:spacing w:after="0" w:line="250" w:lineRule="auto"/>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This investment is valued using observable inputs and is considered a Level 1 investment. See Note 6 for further information related to investments at fair value.</w:t>
      </w:r>
    </w:p>
    <w:p>
      <w:pPr>
        <w:ind w:left="520" w:hanging="512"/>
        <w:spacing w:after="0"/>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This equity investment is non-income producing.</w:t>
      </w:r>
    </w:p>
    <w:p>
      <w:pPr>
        <w:spacing w:after="0" w:line="9" w:lineRule="exact"/>
        <w:rPr>
          <w:rFonts w:ascii="Arial" w:cs="Arial" w:eastAsia="Arial" w:hAnsi="Arial"/>
          <w:sz w:val="18"/>
          <w:szCs w:val="18"/>
          <w:color w:val="auto"/>
        </w:rPr>
      </w:pPr>
    </w:p>
    <w:p>
      <w:pPr>
        <w:ind w:left="520" w:right="160" w:hanging="512"/>
        <w:spacing w:after="0" w:line="281" w:lineRule="auto"/>
        <w:tabs>
          <w:tab w:leader="none" w:pos="5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Security acquired in transaction exempt from registration under the Securities Act of 1933, and may be deemed to be “restricted securities” under the Securities Act. As of December 31, 2018, the aggregate fair value of these securities is $23,128, or 2.2% of the Company’s net assets.</w:t>
      </w:r>
    </w:p>
    <w:p>
      <w:pPr>
        <w:spacing w:after="0" w:line="1" w:lineRule="exact"/>
        <w:rPr>
          <w:rFonts w:ascii="Arial" w:cs="Arial" w:eastAsia="Arial" w:hAnsi="Arial"/>
          <w:sz w:val="16"/>
          <w:szCs w:val="16"/>
          <w:color w:val="auto"/>
        </w:rPr>
      </w:pPr>
    </w:p>
    <w:p>
      <w:pPr>
        <w:ind w:left="520" w:hanging="512"/>
        <w:spacing w:after="0"/>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Ownership of equity investments may occur through a holding company or partnership.</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TPG Specialty Lending,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Net Assets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9"/>
              </w:rPr>
              <w:t>Three Months Ended</w:t>
            </w:r>
          </w:p>
        </w:tc>
        <w:tc>
          <w:tcPr>
            <w:tcW w:w="180" w:type="dxa"/>
            <w:vAlign w:val="bottom"/>
          </w:tcPr>
          <w:p>
            <w:pPr>
              <w:spacing w:after="0"/>
              <w:rPr>
                <w:sz w:val="14"/>
                <w:szCs w:val="14"/>
                <w:color w:val="auto"/>
              </w:rPr>
            </w:pPr>
          </w:p>
        </w:tc>
        <w:tc>
          <w:tcPr>
            <w:tcW w:w="18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9"/>
              </w:rPr>
              <w:t>Three Months Ended</w:t>
            </w:r>
          </w:p>
        </w:tc>
        <w:tc>
          <w:tcPr>
            <w:tcW w:w="0" w:type="dxa"/>
            <w:vAlign w:val="bottom"/>
          </w:tcPr>
          <w:p>
            <w:pPr>
              <w:spacing w:after="0"/>
              <w:rPr>
                <w:sz w:val="1"/>
                <w:szCs w:val="1"/>
                <w:color w:val="auto"/>
              </w:rPr>
            </w:pPr>
          </w:p>
        </w:tc>
      </w:tr>
      <w:tr>
        <w:trPr>
          <w:trHeight w:val="171"/>
        </w:trPr>
        <w:tc>
          <w:tcPr>
            <w:tcW w:w="6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March 31, 2019</w:t>
            </w:r>
          </w:p>
        </w:tc>
        <w:tc>
          <w:tcPr>
            <w:tcW w:w="180" w:type="dxa"/>
            <w:vAlign w:val="bottom"/>
          </w:tcPr>
          <w:p>
            <w:pPr>
              <w:spacing w:after="0"/>
              <w:rPr>
                <w:sz w:val="14"/>
                <w:szCs w:val="14"/>
                <w:color w:val="auto"/>
              </w:rPr>
            </w:pPr>
          </w:p>
        </w:tc>
        <w:tc>
          <w:tcPr>
            <w:tcW w:w="18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March 31, 2018</w:t>
            </w:r>
          </w:p>
        </w:tc>
        <w:tc>
          <w:tcPr>
            <w:tcW w:w="0" w:type="dxa"/>
            <w:vAlign w:val="bottom"/>
          </w:tcPr>
          <w:p>
            <w:pPr>
              <w:spacing w:after="0"/>
              <w:rPr>
                <w:sz w:val="1"/>
                <w:szCs w:val="1"/>
                <w:color w:val="auto"/>
              </w:rPr>
            </w:pPr>
          </w:p>
        </w:tc>
      </w:tr>
      <w:tr>
        <w:trPr>
          <w:trHeight w:val="223"/>
        </w:trPr>
        <w:tc>
          <w:tcPr>
            <w:tcW w:w="6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Increase in Net Assets Resulting from Operations</w:t>
            </w:r>
          </w:p>
        </w:tc>
        <w:tc>
          <w:tcPr>
            <w:tcW w:w="1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68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7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80" w:type="dxa"/>
            <w:vAlign w:val="bottom"/>
          </w:tcPr>
          <w:p>
            <w:pPr>
              <w:spacing w:after="0"/>
              <w:rPr>
                <w:sz w:val="20"/>
                <w:szCs w:val="20"/>
                <w:color w:val="auto"/>
              </w:rPr>
            </w:pPr>
            <w:r>
              <w:rPr>
                <w:rFonts w:ascii="Arial" w:cs="Arial" w:eastAsia="Arial" w:hAnsi="Arial"/>
                <w:sz w:val="18"/>
                <w:szCs w:val="18"/>
                <w:color w:val="auto"/>
              </w:rPr>
              <w:t>Net investment income</w:t>
            </w:r>
          </w:p>
        </w:tc>
        <w:tc>
          <w:tcPr>
            <w:tcW w:w="1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26,638</w:t>
            </w:r>
          </w:p>
        </w:tc>
        <w:tc>
          <w:tcPr>
            <w:tcW w:w="2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31,186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80" w:type="dxa"/>
            <w:vAlign w:val="bottom"/>
            <w:shd w:val="clear" w:color="auto" w:fill="CFF0FC"/>
          </w:tcPr>
          <w:p>
            <w:pPr>
              <w:spacing w:after="0"/>
              <w:rPr>
                <w:sz w:val="20"/>
                <w:szCs w:val="20"/>
                <w:color w:val="auto"/>
              </w:rPr>
            </w:pPr>
            <w:r>
              <w:rPr>
                <w:rFonts w:ascii="Arial" w:cs="Arial" w:eastAsia="Arial" w:hAnsi="Arial"/>
                <w:sz w:val="18"/>
                <w:szCs w:val="18"/>
                <w:color w:val="auto"/>
              </w:rPr>
              <w:t>Net change in unrealized gains (losses)</w:t>
            </w:r>
          </w:p>
        </w:tc>
        <w:tc>
          <w:tcPr>
            <w:tcW w:w="1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11,460</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30"/>
        </w:trPr>
        <w:tc>
          <w:tcPr>
            <w:tcW w:w="61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realized gains</w:t>
            </w:r>
          </w:p>
        </w:tc>
        <w:tc>
          <w:tcPr>
            <w:tcW w:w="11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w:t>
            </w: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80" w:type="dxa"/>
            <w:vAlign w:val="bottom"/>
            <w:shd w:val="clear" w:color="auto" w:fill="CFF0FC"/>
          </w:tcPr>
          <w:p>
            <w:pPr>
              <w:ind w:left="260"/>
              <w:spacing w:after="0"/>
              <w:rPr>
                <w:sz w:val="20"/>
                <w:szCs w:val="20"/>
                <w:color w:val="auto"/>
              </w:rPr>
            </w:pPr>
            <w:r>
              <w:rPr>
                <w:rFonts w:ascii="Arial" w:cs="Arial" w:eastAsia="Arial" w:hAnsi="Arial"/>
                <w:sz w:val="18"/>
                <w:szCs w:val="18"/>
                <w:b w:val="1"/>
                <w:bCs w:val="1"/>
                <w:color w:val="auto"/>
              </w:rPr>
              <w:t>Increase in Net Assets Resulting from Operations</w:t>
            </w:r>
          </w:p>
        </w:tc>
        <w:tc>
          <w:tcPr>
            <w:tcW w:w="11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38,745</w:t>
            </w:r>
          </w:p>
        </w:tc>
        <w:tc>
          <w:tcPr>
            <w:tcW w:w="2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33,836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6180" w:type="dxa"/>
            <w:vAlign w:val="bottom"/>
          </w:tcPr>
          <w:p>
            <w:pPr>
              <w:spacing w:after="0" w:line="205" w:lineRule="exact"/>
              <w:rPr>
                <w:sz w:val="20"/>
                <w:szCs w:val="20"/>
                <w:color w:val="auto"/>
              </w:rPr>
            </w:pPr>
            <w:r>
              <w:rPr>
                <w:rFonts w:ascii="Arial" w:cs="Arial" w:eastAsia="Arial" w:hAnsi="Arial"/>
                <w:sz w:val="18"/>
                <w:szCs w:val="18"/>
                <w:b w:val="1"/>
                <w:bCs w:val="1"/>
                <w:color w:val="auto"/>
              </w:rPr>
              <w:t>Increase (Decrease) in Net Assets Resulting from</w:t>
            </w: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180" w:type="dxa"/>
            <w:vAlign w:val="bottom"/>
          </w:tcPr>
          <w:p>
            <w:pPr>
              <w:ind w:left="140"/>
              <w:spacing w:after="0"/>
              <w:rPr>
                <w:sz w:val="20"/>
                <w:szCs w:val="20"/>
                <w:color w:val="auto"/>
              </w:rPr>
            </w:pPr>
            <w:r>
              <w:rPr>
                <w:rFonts w:ascii="Arial" w:cs="Arial" w:eastAsia="Arial" w:hAnsi="Arial"/>
                <w:sz w:val="18"/>
                <w:szCs w:val="18"/>
                <w:b w:val="1"/>
                <w:bCs w:val="1"/>
                <w:color w:val="auto"/>
              </w:rPr>
              <w:t>Capital Share Transactions</w:t>
            </w: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180" w:type="dxa"/>
            <w:vAlign w:val="bottom"/>
            <w:shd w:val="clear" w:color="auto" w:fill="CFF0FC"/>
          </w:tcPr>
          <w:p>
            <w:pPr>
              <w:spacing w:after="0"/>
              <w:rPr>
                <w:sz w:val="20"/>
                <w:szCs w:val="20"/>
                <w:color w:val="auto"/>
              </w:rPr>
            </w:pPr>
            <w:r>
              <w:rPr>
                <w:rFonts w:ascii="Arial" w:cs="Arial" w:eastAsia="Arial" w:hAnsi="Arial"/>
                <w:sz w:val="18"/>
                <w:szCs w:val="18"/>
                <w:color w:val="auto"/>
              </w:rPr>
              <w:t>Issuance of common shares, net of offering and underwriting costs</w:t>
            </w:r>
          </w:p>
        </w:tc>
        <w:tc>
          <w:tcPr>
            <w:tcW w:w="1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9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63,015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80" w:type="dxa"/>
            <w:vAlign w:val="bottom"/>
          </w:tcPr>
          <w:p>
            <w:pPr>
              <w:spacing w:after="0"/>
              <w:rPr>
                <w:sz w:val="20"/>
                <w:szCs w:val="20"/>
                <w:color w:val="auto"/>
              </w:rPr>
            </w:pPr>
            <w:r>
              <w:rPr>
                <w:rFonts w:ascii="Arial" w:cs="Arial" w:eastAsia="Arial" w:hAnsi="Arial"/>
                <w:sz w:val="18"/>
                <w:szCs w:val="18"/>
                <w:color w:val="auto"/>
              </w:rPr>
              <w:t>Reinvestment of dividends</w:t>
            </w: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5,586</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3,200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80" w:type="dxa"/>
            <w:vAlign w:val="bottom"/>
            <w:shd w:val="clear" w:color="auto" w:fill="CFF0FC"/>
          </w:tcPr>
          <w:p>
            <w:pPr>
              <w:spacing w:after="0"/>
              <w:rPr>
                <w:sz w:val="20"/>
                <w:szCs w:val="20"/>
                <w:color w:val="auto"/>
              </w:rPr>
            </w:pPr>
            <w:r>
              <w:rPr>
                <w:rFonts w:ascii="Arial" w:cs="Arial" w:eastAsia="Arial" w:hAnsi="Arial"/>
                <w:sz w:val="18"/>
                <w:szCs w:val="18"/>
                <w:color w:val="auto"/>
              </w:rPr>
              <w:t>Dividends declared from net investment income</w:t>
            </w:r>
          </w:p>
        </w:tc>
        <w:tc>
          <w:tcPr>
            <w:tcW w:w="1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9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(33,469)</w:t>
            </w:r>
          </w:p>
        </w:tc>
        <w:tc>
          <w:tcPr>
            <w:tcW w:w="180" w:type="dxa"/>
            <w:vAlign w:val="bottom"/>
            <w:shd w:val="clear" w:color="auto" w:fill="CFF0FC"/>
          </w:tcPr>
          <w:p>
            <w:pPr>
              <w:spacing w:after="0"/>
              <w:rPr>
                <w:sz w:val="19"/>
                <w:szCs w:val="19"/>
                <w:color w:val="auto"/>
              </w:rPr>
            </w:pPr>
          </w:p>
        </w:tc>
        <w:tc>
          <w:tcPr>
            <w:tcW w:w="18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(25,368)</w:t>
            </w:r>
          </w:p>
        </w:tc>
        <w:tc>
          <w:tcPr>
            <w:tcW w:w="0" w:type="dxa"/>
            <w:vAlign w:val="bottom"/>
          </w:tcPr>
          <w:p>
            <w:pPr>
              <w:spacing w:after="0"/>
              <w:rPr>
                <w:sz w:val="1"/>
                <w:szCs w:val="1"/>
                <w:color w:val="auto"/>
              </w:rPr>
            </w:pPr>
          </w:p>
        </w:tc>
      </w:tr>
      <w:tr>
        <w:trPr>
          <w:trHeight w:val="205"/>
        </w:trPr>
        <w:tc>
          <w:tcPr>
            <w:tcW w:w="6180" w:type="dxa"/>
            <w:vAlign w:val="bottom"/>
          </w:tcPr>
          <w:p>
            <w:pPr>
              <w:ind w:left="260"/>
              <w:spacing w:after="0" w:line="205" w:lineRule="exact"/>
              <w:rPr>
                <w:sz w:val="20"/>
                <w:szCs w:val="20"/>
                <w:color w:val="auto"/>
              </w:rPr>
            </w:pPr>
            <w:r>
              <w:rPr>
                <w:rFonts w:ascii="Arial" w:cs="Arial" w:eastAsia="Arial" w:hAnsi="Arial"/>
                <w:sz w:val="18"/>
                <w:szCs w:val="18"/>
                <w:b w:val="1"/>
                <w:bCs w:val="1"/>
                <w:color w:val="auto"/>
              </w:rPr>
              <w:t>Increase (Decrease) in Net Assets Resulting from Capital Share</w:t>
            </w:r>
          </w:p>
        </w:tc>
        <w:tc>
          <w:tcPr>
            <w:tcW w:w="1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180" w:type="dxa"/>
            <w:vAlign w:val="bottom"/>
          </w:tcPr>
          <w:p>
            <w:pPr>
              <w:ind w:left="380"/>
              <w:spacing w:after="0"/>
              <w:rPr>
                <w:sz w:val="20"/>
                <w:szCs w:val="20"/>
                <w:color w:val="auto"/>
              </w:rPr>
            </w:pPr>
            <w:r>
              <w:rPr>
                <w:rFonts w:ascii="Arial" w:cs="Arial" w:eastAsia="Arial" w:hAnsi="Arial"/>
                <w:sz w:val="18"/>
                <w:szCs w:val="18"/>
                <w:b w:val="1"/>
                <w:bCs w:val="1"/>
                <w:color w:val="auto"/>
              </w:rPr>
              <w:t>Transactions</w:t>
            </w: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60" w:type="dxa"/>
            <w:vAlign w:val="bottom"/>
            <w:gridSpan w:val="2"/>
          </w:tcPr>
          <w:p>
            <w:pPr>
              <w:jc w:val="right"/>
              <w:ind w:right="220"/>
              <w:spacing w:after="0"/>
              <w:rPr>
                <w:sz w:val="20"/>
                <w:szCs w:val="20"/>
                <w:color w:val="auto"/>
              </w:rPr>
            </w:pPr>
            <w:r>
              <w:rPr>
                <w:rFonts w:ascii="Arial" w:cs="Arial" w:eastAsia="Arial" w:hAnsi="Arial"/>
                <w:sz w:val="18"/>
                <w:szCs w:val="18"/>
                <w:color w:val="auto"/>
              </w:rPr>
              <w:t>(27,883)</w:t>
            </w:r>
          </w:p>
        </w:tc>
        <w:tc>
          <w:tcPr>
            <w:tcW w:w="18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40,847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18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b w:val="1"/>
                <w:bCs w:val="1"/>
                <w:color w:val="auto"/>
              </w:rPr>
              <w:t>Total Increase in Net Assets</w:t>
            </w:r>
          </w:p>
        </w:tc>
        <w:tc>
          <w:tcPr>
            <w:tcW w:w="1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10,862</w:t>
            </w:r>
          </w:p>
        </w:tc>
        <w:tc>
          <w:tcPr>
            <w:tcW w:w="2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74,683</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assets, beginning of period</w:t>
            </w:r>
          </w:p>
        </w:tc>
        <w:tc>
          <w:tcPr>
            <w:tcW w:w="11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1,063,202</w:t>
            </w: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969,284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b w:val="1"/>
                <w:bCs w:val="1"/>
                <w:color w:val="auto"/>
              </w:rPr>
              <w:t>Net Assets, End of Period</w:t>
            </w:r>
          </w:p>
        </w:tc>
        <w:tc>
          <w:tcPr>
            <w:tcW w:w="11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1,074,064</w:t>
            </w:r>
          </w:p>
        </w:tc>
        <w:tc>
          <w:tcPr>
            <w:tcW w:w="2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1,043,967</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spacing w:after="0"/>
              <w:rPr>
                <w:sz w:val="20"/>
                <w:szCs w:val="20"/>
                <w:color w:val="auto"/>
              </w:rPr>
            </w:pPr>
            <w:r>
              <w:rPr>
                <w:rFonts w:ascii="Arial" w:cs="Arial" w:eastAsia="Arial" w:hAnsi="Arial"/>
                <w:sz w:val="18"/>
                <w:szCs w:val="18"/>
                <w:b w:val="1"/>
                <w:bCs w:val="1"/>
                <w:color w:val="auto"/>
              </w:rPr>
              <w:t>Distributable Earnings</w:t>
            </w:r>
          </w:p>
        </w:tc>
        <w:tc>
          <w:tcPr>
            <w:tcW w:w="1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180" w:type="dxa"/>
            <w:vAlign w:val="bottom"/>
            <w:vMerge w:val="continue"/>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77,567</w:t>
            </w:r>
          </w:p>
        </w:tc>
        <w:tc>
          <w:tcPr>
            <w:tcW w:w="2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64,965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TPG Specialty Lending,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8"/>
              </w:rPr>
              <w:t>Three Months Ended</w:t>
            </w:r>
          </w:p>
        </w:tc>
        <w:tc>
          <w:tcPr>
            <w:tcW w:w="160" w:type="dxa"/>
            <w:vAlign w:val="bottom"/>
          </w:tcPr>
          <w:p>
            <w:pPr>
              <w:spacing w:after="0"/>
              <w:rPr>
                <w:sz w:val="14"/>
                <w:szCs w:val="14"/>
                <w:color w:val="auto"/>
              </w:rPr>
            </w:pPr>
          </w:p>
        </w:tc>
        <w:tc>
          <w:tcPr>
            <w:tcW w:w="17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8"/>
              </w:rPr>
              <w:t>Three Months Ended</w:t>
            </w:r>
          </w:p>
        </w:tc>
      </w:tr>
      <w:tr>
        <w:trPr>
          <w:trHeight w:val="171"/>
        </w:trPr>
        <w:tc>
          <w:tcPr>
            <w:tcW w:w="6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2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March 31, 2019</w:t>
            </w:r>
          </w:p>
        </w:tc>
        <w:tc>
          <w:tcPr>
            <w:tcW w:w="160" w:type="dxa"/>
            <w:vAlign w:val="bottom"/>
          </w:tcPr>
          <w:p>
            <w:pPr>
              <w:spacing w:after="0"/>
              <w:rPr>
                <w:sz w:val="14"/>
                <w:szCs w:val="14"/>
                <w:color w:val="auto"/>
              </w:rPr>
            </w:pPr>
          </w:p>
        </w:tc>
        <w:tc>
          <w:tcPr>
            <w:tcW w:w="17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March 31, 2018</w:t>
            </w:r>
          </w:p>
        </w:tc>
      </w:tr>
      <w:tr>
        <w:trPr>
          <w:trHeight w:val="223"/>
        </w:trPr>
        <w:tc>
          <w:tcPr>
            <w:tcW w:w="6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7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64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6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Increase in net assets resulting from operations</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38,745</w:t>
            </w:r>
          </w:p>
        </w:tc>
        <w:tc>
          <w:tcPr>
            <w:tcW w:w="280" w:type="dxa"/>
            <w:vAlign w:val="bottom"/>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33,836</w:t>
            </w:r>
          </w:p>
        </w:tc>
        <w:tc>
          <w:tcPr>
            <w:tcW w:w="100" w:type="dxa"/>
            <w:vAlign w:val="bottom"/>
          </w:tcPr>
          <w:p>
            <w:pPr>
              <w:spacing w:after="0"/>
              <w:rPr>
                <w:sz w:val="19"/>
                <w:szCs w:val="19"/>
                <w:color w:val="auto"/>
              </w:rPr>
            </w:pPr>
          </w:p>
        </w:tc>
      </w:tr>
      <w:tr>
        <w:trPr>
          <w:trHeight w:val="215"/>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increase in net assets resulting from operations</w:t>
            </w:r>
          </w:p>
        </w:tc>
        <w:tc>
          <w:tcPr>
            <w:tcW w:w="7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67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to net cash used in operating activities:</w:t>
            </w:r>
          </w:p>
        </w:tc>
        <w:tc>
          <w:tcPr>
            <w:tcW w:w="7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6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6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0"/>
        </w:trPr>
        <w:tc>
          <w:tcPr>
            <w:tcW w:w="6740" w:type="dxa"/>
            <w:vAlign w:val="bottom"/>
          </w:tcPr>
          <w:p>
            <w:pPr>
              <w:ind w:left="500"/>
              <w:spacing w:after="0"/>
              <w:rPr>
                <w:sz w:val="20"/>
                <w:szCs w:val="20"/>
                <w:color w:val="auto"/>
              </w:rPr>
            </w:pPr>
            <w:r>
              <w:rPr>
                <w:rFonts w:ascii="Arial" w:cs="Arial" w:eastAsia="Arial" w:hAnsi="Arial"/>
                <w:sz w:val="18"/>
                <w:szCs w:val="18"/>
                <w:color w:val="auto"/>
              </w:rPr>
              <w:t>Net change in unrealized gains on investments</w:t>
            </w: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20" w:type="dxa"/>
            <w:vAlign w:val="bottom"/>
            <w:gridSpan w:val="2"/>
          </w:tcPr>
          <w:p>
            <w:pPr>
              <w:jc w:val="right"/>
              <w:ind w:right="220"/>
              <w:spacing w:after="0"/>
              <w:rPr>
                <w:sz w:val="20"/>
                <w:szCs w:val="20"/>
                <w:color w:val="auto"/>
              </w:rPr>
            </w:pPr>
            <w:r>
              <w:rPr>
                <w:rFonts w:ascii="Arial" w:cs="Arial" w:eastAsia="Arial" w:hAnsi="Arial"/>
                <w:sz w:val="18"/>
                <w:szCs w:val="18"/>
                <w:color w:val="auto"/>
              </w:rPr>
              <w:t>(9,573)</w:t>
            </w:r>
          </w:p>
        </w:tc>
        <w:tc>
          <w:tcPr>
            <w:tcW w:w="160" w:type="dxa"/>
            <w:vAlign w:val="bottom"/>
          </w:tcPr>
          <w:p>
            <w:pPr>
              <w:spacing w:after="0"/>
              <w:rPr>
                <w:sz w:val="19"/>
                <w:szCs w:val="19"/>
                <w:color w:val="auto"/>
              </w:rPr>
            </w:pPr>
          </w:p>
        </w:tc>
        <w:tc>
          <w:tcPr>
            <w:tcW w:w="1740" w:type="dxa"/>
            <w:vAlign w:val="bottom"/>
            <w:gridSpan w:val="2"/>
          </w:tcPr>
          <w:p>
            <w:pPr>
              <w:jc w:val="right"/>
              <w:ind w:right="40"/>
              <w:spacing w:after="0"/>
              <w:rPr>
                <w:sz w:val="20"/>
                <w:szCs w:val="20"/>
                <w:color w:val="auto"/>
              </w:rPr>
            </w:pPr>
            <w:r>
              <w:rPr>
                <w:rFonts w:ascii="Arial" w:cs="Arial" w:eastAsia="Arial" w:hAnsi="Arial"/>
                <w:sz w:val="18"/>
                <w:szCs w:val="18"/>
                <w:color w:val="auto"/>
              </w:rPr>
              <w:t>(4,968)</w:t>
            </w:r>
          </w:p>
        </w:tc>
      </w:tr>
      <w:tr>
        <w:trPr>
          <w:trHeight w:val="230"/>
        </w:trPr>
        <w:tc>
          <w:tcPr>
            <w:tcW w:w="67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change in unrealized losses on foreign currency transactions</w:t>
            </w:r>
          </w:p>
        </w:tc>
        <w:tc>
          <w:tcPr>
            <w:tcW w:w="7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1,432</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981</w:t>
            </w:r>
          </w:p>
        </w:tc>
        <w:tc>
          <w:tcPr>
            <w:tcW w:w="100" w:type="dxa"/>
            <w:vAlign w:val="bottom"/>
            <w:shd w:val="clear" w:color="auto" w:fill="CFF0FC"/>
          </w:tcPr>
          <w:p>
            <w:pPr>
              <w:spacing w:after="0"/>
              <w:rPr>
                <w:sz w:val="19"/>
                <w:szCs w:val="19"/>
                <w:color w:val="auto"/>
              </w:rPr>
            </w:pPr>
          </w:p>
        </w:tc>
      </w:tr>
      <w:tr>
        <w:trPr>
          <w:trHeight w:val="230"/>
        </w:trPr>
        <w:tc>
          <w:tcPr>
            <w:tcW w:w="6740" w:type="dxa"/>
            <w:vAlign w:val="bottom"/>
          </w:tcPr>
          <w:p>
            <w:pPr>
              <w:ind w:left="500"/>
              <w:spacing w:after="0"/>
              <w:rPr>
                <w:sz w:val="20"/>
                <w:szCs w:val="20"/>
                <w:color w:val="auto"/>
              </w:rPr>
            </w:pPr>
            <w:r>
              <w:rPr>
                <w:rFonts w:ascii="Arial" w:cs="Arial" w:eastAsia="Arial" w:hAnsi="Arial"/>
                <w:sz w:val="18"/>
                <w:szCs w:val="18"/>
                <w:color w:val="auto"/>
              </w:rPr>
              <w:t>Net change in unrealized (gains) losses on interest rate swaps</w:t>
            </w: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20" w:type="dxa"/>
            <w:vAlign w:val="bottom"/>
            <w:gridSpan w:val="2"/>
          </w:tcPr>
          <w:p>
            <w:pPr>
              <w:jc w:val="right"/>
              <w:ind w:right="220"/>
              <w:spacing w:after="0"/>
              <w:rPr>
                <w:sz w:val="20"/>
                <w:szCs w:val="20"/>
                <w:color w:val="auto"/>
              </w:rPr>
            </w:pPr>
            <w:r>
              <w:rPr>
                <w:rFonts w:ascii="Arial" w:cs="Arial" w:eastAsia="Arial" w:hAnsi="Arial"/>
                <w:sz w:val="18"/>
                <w:szCs w:val="18"/>
                <w:color w:val="auto"/>
              </w:rPr>
              <w:t>(3,319)</w:t>
            </w: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4,194</w:t>
            </w:r>
          </w:p>
        </w:tc>
        <w:tc>
          <w:tcPr>
            <w:tcW w:w="100" w:type="dxa"/>
            <w:vAlign w:val="bottom"/>
          </w:tcPr>
          <w:p>
            <w:pPr>
              <w:spacing w:after="0"/>
              <w:rPr>
                <w:sz w:val="19"/>
                <w:szCs w:val="19"/>
                <w:color w:val="auto"/>
              </w:rPr>
            </w:pPr>
          </w:p>
        </w:tc>
      </w:tr>
      <w:tr>
        <w:trPr>
          <w:trHeight w:val="230"/>
        </w:trPr>
        <w:tc>
          <w:tcPr>
            <w:tcW w:w="67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realized gains on investments</w:t>
            </w:r>
          </w:p>
        </w:tc>
        <w:tc>
          <w:tcPr>
            <w:tcW w:w="7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9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(750)</w:t>
            </w:r>
          </w:p>
        </w:tc>
        <w:tc>
          <w:tcPr>
            <w:tcW w:w="16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(2,645)</w:t>
            </w:r>
          </w:p>
        </w:tc>
      </w:tr>
      <w:tr>
        <w:trPr>
          <w:trHeight w:val="230"/>
        </w:trPr>
        <w:tc>
          <w:tcPr>
            <w:tcW w:w="6740" w:type="dxa"/>
            <w:vAlign w:val="bottom"/>
          </w:tcPr>
          <w:p>
            <w:pPr>
              <w:ind w:left="500"/>
              <w:spacing w:after="0"/>
              <w:rPr>
                <w:sz w:val="20"/>
                <w:szCs w:val="20"/>
                <w:color w:val="auto"/>
              </w:rPr>
            </w:pPr>
            <w:r>
              <w:rPr>
                <w:rFonts w:ascii="Arial" w:cs="Arial" w:eastAsia="Arial" w:hAnsi="Arial"/>
                <w:sz w:val="18"/>
                <w:szCs w:val="18"/>
                <w:color w:val="auto"/>
              </w:rPr>
              <w:t>Net realized (gains) losses on foreign currency transactions</w:t>
            </w: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gridSpan w:val="2"/>
          </w:tcPr>
          <w:p>
            <w:pPr>
              <w:jc w:val="right"/>
              <w:ind w:right="40"/>
              <w:spacing w:after="0"/>
              <w:rPr>
                <w:sz w:val="20"/>
                <w:szCs w:val="20"/>
                <w:color w:val="auto"/>
              </w:rPr>
            </w:pPr>
            <w:r>
              <w:rPr>
                <w:rFonts w:ascii="Arial" w:cs="Arial" w:eastAsia="Arial" w:hAnsi="Arial"/>
                <w:sz w:val="18"/>
                <w:szCs w:val="18"/>
                <w:color w:val="auto"/>
              </w:rPr>
              <w:t>(71)</w:t>
            </w:r>
          </w:p>
        </w:tc>
      </w:tr>
      <w:tr>
        <w:trPr>
          <w:trHeight w:val="230"/>
        </w:trPr>
        <w:tc>
          <w:tcPr>
            <w:tcW w:w="67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amortization of discount on investments</w:t>
            </w:r>
          </w:p>
        </w:tc>
        <w:tc>
          <w:tcPr>
            <w:tcW w:w="7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9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(2,462)</w:t>
            </w:r>
          </w:p>
        </w:tc>
        <w:tc>
          <w:tcPr>
            <w:tcW w:w="16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(3,539)</w:t>
            </w:r>
          </w:p>
        </w:tc>
      </w:tr>
      <w:tr>
        <w:trPr>
          <w:trHeight w:val="230"/>
        </w:trPr>
        <w:tc>
          <w:tcPr>
            <w:tcW w:w="6740" w:type="dxa"/>
            <w:vAlign w:val="bottom"/>
          </w:tcPr>
          <w:p>
            <w:pPr>
              <w:ind w:left="500"/>
              <w:spacing w:after="0"/>
              <w:rPr>
                <w:sz w:val="20"/>
                <w:szCs w:val="20"/>
                <w:color w:val="auto"/>
              </w:rPr>
            </w:pPr>
            <w:r>
              <w:rPr>
                <w:rFonts w:ascii="Arial" w:cs="Arial" w:eastAsia="Arial" w:hAnsi="Arial"/>
                <w:sz w:val="18"/>
                <w:szCs w:val="18"/>
                <w:color w:val="auto"/>
              </w:rPr>
              <w:t>Amortization of deferred financing costs</w:t>
            </w: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1,085</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870</w:t>
            </w:r>
          </w:p>
        </w:tc>
        <w:tc>
          <w:tcPr>
            <w:tcW w:w="100" w:type="dxa"/>
            <w:vAlign w:val="bottom"/>
          </w:tcPr>
          <w:p>
            <w:pPr>
              <w:spacing w:after="0"/>
              <w:rPr>
                <w:sz w:val="19"/>
                <w:szCs w:val="19"/>
                <w:color w:val="auto"/>
              </w:rPr>
            </w:pPr>
          </w:p>
        </w:tc>
      </w:tr>
      <w:tr>
        <w:trPr>
          <w:trHeight w:val="230"/>
        </w:trPr>
        <w:tc>
          <w:tcPr>
            <w:tcW w:w="67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Amortization of discount on debt</w:t>
            </w:r>
          </w:p>
        </w:tc>
        <w:tc>
          <w:tcPr>
            <w:tcW w:w="7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w:t>
            </w:r>
          </w:p>
        </w:tc>
        <w:tc>
          <w:tcPr>
            <w:tcW w:w="100" w:type="dxa"/>
            <w:vAlign w:val="bottom"/>
            <w:shd w:val="clear" w:color="auto" w:fill="CFF0FC"/>
          </w:tcPr>
          <w:p>
            <w:pPr>
              <w:spacing w:after="0"/>
              <w:rPr>
                <w:sz w:val="19"/>
                <w:szCs w:val="19"/>
                <w:color w:val="auto"/>
              </w:rPr>
            </w:pPr>
          </w:p>
        </w:tc>
      </w:tr>
      <w:tr>
        <w:trPr>
          <w:trHeight w:val="230"/>
        </w:trPr>
        <w:tc>
          <w:tcPr>
            <w:tcW w:w="6740" w:type="dxa"/>
            <w:vAlign w:val="bottom"/>
          </w:tcPr>
          <w:p>
            <w:pPr>
              <w:ind w:left="500"/>
              <w:spacing w:after="0"/>
              <w:rPr>
                <w:sz w:val="20"/>
                <w:szCs w:val="20"/>
                <w:color w:val="auto"/>
              </w:rPr>
            </w:pPr>
            <w:r>
              <w:rPr>
                <w:rFonts w:ascii="Arial" w:cs="Arial" w:eastAsia="Arial" w:hAnsi="Arial"/>
                <w:sz w:val="18"/>
                <w:szCs w:val="18"/>
                <w:color w:val="auto"/>
              </w:rPr>
              <w:t>Purchases and originations of investments, net</w:t>
            </w: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20" w:type="dxa"/>
            <w:vAlign w:val="bottom"/>
            <w:gridSpan w:val="2"/>
          </w:tcPr>
          <w:p>
            <w:pPr>
              <w:jc w:val="right"/>
              <w:ind w:right="220"/>
              <w:spacing w:after="0"/>
              <w:rPr>
                <w:sz w:val="20"/>
                <w:szCs w:val="20"/>
                <w:color w:val="auto"/>
              </w:rPr>
            </w:pPr>
            <w:r>
              <w:rPr>
                <w:rFonts w:ascii="Arial" w:cs="Arial" w:eastAsia="Arial" w:hAnsi="Arial"/>
                <w:sz w:val="18"/>
                <w:szCs w:val="18"/>
                <w:color w:val="auto"/>
              </w:rPr>
              <w:t>(148,265)</w:t>
            </w:r>
          </w:p>
        </w:tc>
        <w:tc>
          <w:tcPr>
            <w:tcW w:w="160" w:type="dxa"/>
            <w:vAlign w:val="bottom"/>
          </w:tcPr>
          <w:p>
            <w:pPr>
              <w:spacing w:after="0"/>
              <w:rPr>
                <w:sz w:val="19"/>
                <w:szCs w:val="19"/>
                <w:color w:val="auto"/>
              </w:rPr>
            </w:pPr>
          </w:p>
        </w:tc>
        <w:tc>
          <w:tcPr>
            <w:tcW w:w="1740" w:type="dxa"/>
            <w:vAlign w:val="bottom"/>
            <w:gridSpan w:val="2"/>
          </w:tcPr>
          <w:p>
            <w:pPr>
              <w:jc w:val="right"/>
              <w:ind w:right="40"/>
              <w:spacing w:after="0"/>
              <w:rPr>
                <w:sz w:val="20"/>
                <w:szCs w:val="20"/>
                <w:color w:val="auto"/>
              </w:rPr>
            </w:pPr>
            <w:r>
              <w:rPr>
                <w:rFonts w:ascii="Arial" w:cs="Arial" w:eastAsia="Arial" w:hAnsi="Arial"/>
                <w:sz w:val="18"/>
                <w:szCs w:val="18"/>
                <w:color w:val="auto"/>
              </w:rPr>
              <w:t>(319,241)</w:t>
            </w:r>
          </w:p>
        </w:tc>
      </w:tr>
      <w:tr>
        <w:trPr>
          <w:trHeight w:val="230"/>
        </w:trPr>
        <w:tc>
          <w:tcPr>
            <w:tcW w:w="67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Proceeds from investments, net</w:t>
            </w:r>
          </w:p>
        </w:tc>
        <w:tc>
          <w:tcPr>
            <w:tcW w:w="7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3,472</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14,743</w:t>
            </w:r>
          </w:p>
        </w:tc>
        <w:tc>
          <w:tcPr>
            <w:tcW w:w="100" w:type="dxa"/>
            <w:vAlign w:val="bottom"/>
            <w:shd w:val="clear" w:color="auto" w:fill="CFF0FC"/>
          </w:tcPr>
          <w:p>
            <w:pPr>
              <w:spacing w:after="0"/>
              <w:rPr>
                <w:sz w:val="19"/>
                <w:szCs w:val="19"/>
                <w:color w:val="auto"/>
              </w:rPr>
            </w:pPr>
          </w:p>
        </w:tc>
      </w:tr>
      <w:tr>
        <w:trPr>
          <w:trHeight w:val="230"/>
        </w:trPr>
        <w:tc>
          <w:tcPr>
            <w:tcW w:w="6740" w:type="dxa"/>
            <w:vAlign w:val="bottom"/>
          </w:tcPr>
          <w:p>
            <w:pPr>
              <w:ind w:left="500"/>
              <w:spacing w:after="0"/>
              <w:rPr>
                <w:sz w:val="20"/>
                <w:szCs w:val="20"/>
                <w:color w:val="auto"/>
              </w:rPr>
            </w:pPr>
            <w:r>
              <w:rPr>
                <w:rFonts w:ascii="Arial" w:cs="Arial" w:eastAsia="Arial" w:hAnsi="Arial"/>
                <w:sz w:val="18"/>
                <w:szCs w:val="18"/>
                <w:color w:val="auto"/>
              </w:rPr>
              <w:t>Repayments on investments</w:t>
            </w: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40,418</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101,090</w:t>
            </w:r>
          </w:p>
        </w:tc>
        <w:tc>
          <w:tcPr>
            <w:tcW w:w="100" w:type="dxa"/>
            <w:vAlign w:val="bottom"/>
          </w:tcPr>
          <w:p>
            <w:pPr>
              <w:spacing w:after="0"/>
              <w:rPr>
                <w:sz w:val="19"/>
                <w:szCs w:val="19"/>
                <w:color w:val="auto"/>
              </w:rPr>
            </w:pPr>
          </w:p>
        </w:tc>
      </w:tr>
      <w:tr>
        <w:trPr>
          <w:trHeight w:val="230"/>
        </w:trPr>
        <w:tc>
          <w:tcPr>
            <w:tcW w:w="67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Paid-in-kind interest</w:t>
            </w:r>
          </w:p>
        </w:tc>
        <w:tc>
          <w:tcPr>
            <w:tcW w:w="7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9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(1,805)</w:t>
            </w:r>
          </w:p>
        </w:tc>
        <w:tc>
          <w:tcPr>
            <w:tcW w:w="16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(994)</w:t>
            </w:r>
          </w:p>
        </w:tc>
      </w:tr>
      <w:tr>
        <w:trPr>
          <w:trHeight w:val="230"/>
        </w:trPr>
        <w:tc>
          <w:tcPr>
            <w:tcW w:w="6740" w:type="dxa"/>
            <w:vAlign w:val="bottom"/>
          </w:tcPr>
          <w:p>
            <w:pPr>
              <w:ind w:left="260"/>
              <w:spacing w:after="0"/>
              <w:rPr>
                <w:sz w:val="20"/>
                <w:szCs w:val="20"/>
                <w:color w:val="auto"/>
              </w:rPr>
            </w:pPr>
            <w:r>
              <w:rPr>
                <w:rFonts w:ascii="Arial" w:cs="Arial" w:eastAsia="Arial" w:hAnsi="Arial"/>
                <w:sz w:val="18"/>
                <w:szCs w:val="18"/>
                <w:color w:val="auto"/>
              </w:rPr>
              <w:t>Changes in operating assets and liabilities:</w:t>
            </w: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7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Interest receivable</w:t>
            </w:r>
          </w:p>
        </w:tc>
        <w:tc>
          <w:tcPr>
            <w:tcW w:w="7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9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(804)</w:t>
            </w:r>
          </w:p>
        </w:tc>
        <w:tc>
          <w:tcPr>
            <w:tcW w:w="16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(1,670)</w:t>
            </w:r>
          </w:p>
        </w:tc>
      </w:tr>
      <w:tr>
        <w:trPr>
          <w:trHeight w:val="230"/>
        </w:trPr>
        <w:tc>
          <w:tcPr>
            <w:tcW w:w="6740" w:type="dxa"/>
            <w:vAlign w:val="bottom"/>
          </w:tcPr>
          <w:p>
            <w:pPr>
              <w:ind w:left="500"/>
              <w:spacing w:after="0"/>
              <w:rPr>
                <w:sz w:val="20"/>
                <w:szCs w:val="20"/>
                <w:color w:val="auto"/>
              </w:rPr>
            </w:pPr>
            <w:r>
              <w:rPr>
                <w:rFonts w:ascii="Arial" w:cs="Arial" w:eastAsia="Arial" w:hAnsi="Arial"/>
                <w:sz w:val="18"/>
                <w:szCs w:val="18"/>
                <w:color w:val="auto"/>
              </w:rPr>
              <w:t>Interest receivable paid-in-kind</w:t>
            </w: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32</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gridSpan w:val="2"/>
          </w:tcPr>
          <w:p>
            <w:pPr>
              <w:jc w:val="right"/>
              <w:ind w:right="40"/>
              <w:spacing w:after="0"/>
              <w:rPr>
                <w:sz w:val="20"/>
                <w:szCs w:val="20"/>
                <w:color w:val="auto"/>
              </w:rPr>
            </w:pPr>
            <w:r>
              <w:rPr>
                <w:rFonts w:ascii="Arial" w:cs="Arial" w:eastAsia="Arial" w:hAnsi="Arial"/>
                <w:sz w:val="18"/>
                <w:szCs w:val="18"/>
                <w:color w:val="auto"/>
              </w:rPr>
              <w:t>(109)</w:t>
            </w:r>
          </w:p>
        </w:tc>
      </w:tr>
      <w:tr>
        <w:trPr>
          <w:trHeight w:val="230"/>
        </w:trPr>
        <w:tc>
          <w:tcPr>
            <w:tcW w:w="67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Prepaid expenses and other assets</w:t>
            </w:r>
          </w:p>
        </w:tc>
        <w:tc>
          <w:tcPr>
            <w:tcW w:w="7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9,675</w:t>
            </w:r>
          </w:p>
        </w:tc>
        <w:tc>
          <w:tcPr>
            <w:tcW w:w="100" w:type="dxa"/>
            <w:vAlign w:val="bottom"/>
            <w:shd w:val="clear" w:color="auto" w:fill="CFF0FC"/>
          </w:tcPr>
          <w:p>
            <w:pPr>
              <w:spacing w:after="0"/>
              <w:rPr>
                <w:sz w:val="19"/>
                <w:szCs w:val="19"/>
                <w:color w:val="auto"/>
              </w:rPr>
            </w:pPr>
          </w:p>
        </w:tc>
      </w:tr>
      <w:tr>
        <w:trPr>
          <w:trHeight w:val="230"/>
        </w:trPr>
        <w:tc>
          <w:tcPr>
            <w:tcW w:w="6740" w:type="dxa"/>
            <w:vAlign w:val="bottom"/>
          </w:tcPr>
          <w:p>
            <w:pPr>
              <w:ind w:left="500"/>
              <w:spacing w:after="0"/>
              <w:rPr>
                <w:sz w:val="20"/>
                <w:szCs w:val="20"/>
                <w:color w:val="auto"/>
              </w:rPr>
            </w:pPr>
            <w:r>
              <w:rPr>
                <w:rFonts w:ascii="Arial" w:cs="Arial" w:eastAsia="Arial" w:hAnsi="Arial"/>
                <w:sz w:val="18"/>
                <w:szCs w:val="18"/>
                <w:color w:val="auto"/>
              </w:rPr>
              <w:t>Management fees payable to affiliate</w:t>
            </w: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20" w:type="dxa"/>
            <w:vAlign w:val="bottom"/>
            <w:gridSpan w:val="2"/>
          </w:tcPr>
          <w:p>
            <w:pPr>
              <w:jc w:val="right"/>
              <w:ind w:right="220"/>
              <w:spacing w:after="0"/>
              <w:rPr>
                <w:sz w:val="20"/>
                <w:szCs w:val="20"/>
                <w:color w:val="auto"/>
              </w:rPr>
            </w:pPr>
            <w:r>
              <w:rPr>
                <w:rFonts w:ascii="Arial" w:cs="Arial" w:eastAsia="Arial" w:hAnsi="Arial"/>
                <w:sz w:val="18"/>
                <w:szCs w:val="18"/>
                <w:color w:val="auto"/>
              </w:rPr>
              <w:t>(447)</w:t>
            </w: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412</w:t>
            </w:r>
          </w:p>
        </w:tc>
        <w:tc>
          <w:tcPr>
            <w:tcW w:w="100" w:type="dxa"/>
            <w:vAlign w:val="bottom"/>
          </w:tcPr>
          <w:p>
            <w:pPr>
              <w:spacing w:after="0"/>
              <w:rPr>
                <w:sz w:val="19"/>
                <w:szCs w:val="19"/>
                <w:color w:val="auto"/>
              </w:rPr>
            </w:pPr>
          </w:p>
        </w:tc>
      </w:tr>
      <w:tr>
        <w:trPr>
          <w:trHeight w:val="230"/>
        </w:trPr>
        <w:tc>
          <w:tcPr>
            <w:tcW w:w="67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Incentive fees payable to affiliate</w:t>
            </w:r>
          </w:p>
        </w:tc>
        <w:tc>
          <w:tcPr>
            <w:tcW w:w="7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9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(3,706)</w:t>
            </w:r>
          </w:p>
        </w:tc>
        <w:tc>
          <w:tcPr>
            <w:tcW w:w="16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946</w:t>
            </w:r>
          </w:p>
        </w:tc>
        <w:tc>
          <w:tcPr>
            <w:tcW w:w="100" w:type="dxa"/>
            <w:vAlign w:val="bottom"/>
            <w:shd w:val="clear" w:color="auto" w:fill="CFF0FC"/>
          </w:tcPr>
          <w:p>
            <w:pPr>
              <w:spacing w:after="0"/>
              <w:rPr>
                <w:sz w:val="19"/>
                <w:szCs w:val="19"/>
                <w:color w:val="auto"/>
              </w:rPr>
            </w:pPr>
          </w:p>
        </w:tc>
      </w:tr>
      <w:tr>
        <w:trPr>
          <w:trHeight w:val="230"/>
        </w:trPr>
        <w:tc>
          <w:tcPr>
            <w:tcW w:w="6740" w:type="dxa"/>
            <w:vAlign w:val="bottom"/>
          </w:tcPr>
          <w:p>
            <w:pPr>
              <w:ind w:left="500"/>
              <w:spacing w:after="0"/>
              <w:rPr>
                <w:sz w:val="20"/>
                <w:szCs w:val="20"/>
                <w:color w:val="auto"/>
              </w:rPr>
            </w:pPr>
            <w:r>
              <w:rPr>
                <w:rFonts w:ascii="Arial" w:cs="Arial" w:eastAsia="Arial" w:hAnsi="Arial"/>
                <w:sz w:val="18"/>
                <w:szCs w:val="18"/>
                <w:color w:val="auto"/>
              </w:rPr>
              <w:t>Payable to affiliate</w:t>
            </w: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805</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509</w:t>
            </w:r>
          </w:p>
        </w:tc>
        <w:tc>
          <w:tcPr>
            <w:tcW w:w="100" w:type="dxa"/>
            <w:vAlign w:val="bottom"/>
          </w:tcPr>
          <w:p>
            <w:pPr>
              <w:spacing w:after="0"/>
              <w:rPr>
                <w:sz w:val="19"/>
                <w:szCs w:val="19"/>
                <w:color w:val="auto"/>
              </w:rPr>
            </w:pPr>
          </w:p>
        </w:tc>
      </w:tr>
      <w:tr>
        <w:trPr>
          <w:trHeight w:val="230"/>
        </w:trPr>
        <w:tc>
          <w:tcPr>
            <w:tcW w:w="67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liabilities</w:t>
            </w:r>
          </w:p>
        </w:tc>
        <w:tc>
          <w:tcPr>
            <w:tcW w:w="7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9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(2,264)</w:t>
            </w:r>
          </w:p>
        </w:tc>
        <w:tc>
          <w:tcPr>
            <w:tcW w:w="16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(3,392)</w:t>
            </w:r>
          </w:p>
        </w:tc>
      </w:tr>
      <w:tr>
        <w:trPr>
          <w:trHeight w:val="223"/>
        </w:trPr>
        <w:tc>
          <w:tcPr>
            <w:tcW w:w="6740" w:type="dxa"/>
            <w:vAlign w:val="bottom"/>
            <w:tcBorders>
              <w:bottom w:val="single" w:sz="8" w:color="CFF0FC"/>
            </w:tcBorders>
          </w:tcPr>
          <w:p>
            <w:pPr>
              <w:ind w:left="500"/>
              <w:spacing w:after="0"/>
              <w:rPr>
                <w:sz w:val="20"/>
                <w:szCs w:val="20"/>
                <w:color w:val="auto"/>
              </w:rPr>
            </w:pPr>
            <w:r>
              <w:rPr>
                <w:rFonts w:ascii="Arial" w:cs="Arial" w:eastAsia="Arial" w:hAnsi="Arial"/>
                <w:sz w:val="18"/>
                <w:szCs w:val="18"/>
                <w:b w:val="1"/>
                <w:bCs w:val="1"/>
                <w:color w:val="auto"/>
              </w:rPr>
              <w:t>Net Cash Used in Operating Activities</w:t>
            </w:r>
          </w:p>
        </w:tc>
        <w:tc>
          <w:tcPr>
            <w:tcW w:w="70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(86,970)</w:t>
            </w:r>
          </w:p>
        </w:tc>
        <w:tc>
          <w:tcPr>
            <w:tcW w:w="28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(169,195)</w:t>
            </w:r>
          </w:p>
        </w:tc>
        <w:tc>
          <w:tcPr>
            <w:tcW w:w="100" w:type="dxa"/>
            <w:vAlign w:val="bottom"/>
            <w:tcBorders>
              <w:bottom w:val="single" w:sz="8" w:color="CFF0FC"/>
            </w:tcBorders>
          </w:tcPr>
          <w:p>
            <w:pPr>
              <w:spacing w:after="0"/>
              <w:rPr>
                <w:sz w:val="19"/>
                <w:szCs w:val="19"/>
                <w:color w:val="auto"/>
              </w:rPr>
            </w:pPr>
          </w:p>
        </w:tc>
      </w:tr>
      <w:tr>
        <w:trPr>
          <w:trHeight w:val="223"/>
        </w:trPr>
        <w:tc>
          <w:tcPr>
            <w:tcW w:w="67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7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Borrowings on debt</w:t>
            </w: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310,166</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538,975</w:t>
            </w:r>
          </w:p>
        </w:tc>
        <w:tc>
          <w:tcPr>
            <w:tcW w:w="100" w:type="dxa"/>
            <w:vAlign w:val="bottom"/>
          </w:tcPr>
          <w:p>
            <w:pPr>
              <w:spacing w:after="0"/>
              <w:rPr>
                <w:sz w:val="19"/>
                <w:szCs w:val="19"/>
                <w:color w:val="auto"/>
              </w:rPr>
            </w:pPr>
          </w:p>
        </w:tc>
      </w:tr>
      <w:tr>
        <w:trPr>
          <w:trHeight w:val="230"/>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Repayments on debt</w:t>
            </w:r>
          </w:p>
        </w:tc>
        <w:tc>
          <w:tcPr>
            <w:tcW w:w="7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9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(193,046)</w:t>
            </w:r>
          </w:p>
        </w:tc>
        <w:tc>
          <w:tcPr>
            <w:tcW w:w="16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(402,879)</w:t>
            </w:r>
          </w:p>
        </w:tc>
      </w:t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20" w:type="dxa"/>
            <w:vAlign w:val="bottom"/>
            <w:gridSpan w:val="2"/>
          </w:tcPr>
          <w:p>
            <w:pPr>
              <w:jc w:val="right"/>
              <w:ind w:right="220"/>
              <w:spacing w:after="0"/>
              <w:rPr>
                <w:sz w:val="20"/>
                <w:szCs w:val="20"/>
                <w:color w:val="auto"/>
              </w:rPr>
            </w:pPr>
            <w:r>
              <w:rPr>
                <w:rFonts w:ascii="Arial" w:cs="Arial" w:eastAsia="Arial" w:hAnsi="Arial"/>
                <w:sz w:val="18"/>
                <w:szCs w:val="18"/>
                <w:color w:val="auto"/>
              </w:rPr>
              <w:t>(3,286)</w:t>
            </w:r>
          </w:p>
        </w:tc>
        <w:tc>
          <w:tcPr>
            <w:tcW w:w="160" w:type="dxa"/>
            <w:vAlign w:val="bottom"/>
          </w:tcPr>
          <w:p>
            <w:pPr>
              <w:spacing w:after="0"/>
              <w:rPr>
                <w:sz w:val="19"/>
                <w:szCs w:val="19"/>
                <w:color w:val="auto"/>
              </w:rPr>
            </w:pPr>
          </w:p>
        </w:tc>
        <w:tc>
          <w:tcPr>
            <w:tcW w:w="1740" w:type="dxa"/>
            <w:vAlign w:val="bottom"/>
            <w:gridSpan w:val="2"/>
          </w:tcPr>
          <w:p>
            <w:pPr>
              <w:jc w:val="right"/>
              <w:ind w:right="40"/>
              <w:spacing w:after="0"/>
              <w:rPr>
                <w:sz w:val="20"/>
                <w:szCs w:val="20"/>
                <w:color w:val="auto"/>
              </w:rPr>
            </w:pPr>
            <w:r>
              <w:rPr>
                <w:rFonts w:ascii="Arial" w:cs="Arial" w:eastAsia="Arial" w:hAnsi="Arial"/>
                <w:sz w:val="18"/>
                <w:szCs w:val="18"/>
                <w:color w:val="auto"/>
              </w:rPr>
              <w:t>(5,612)</w:t>
            </w:r>
          </w:p>
        </w:tc>
      </w:tr>
      <w:tr>
        <w:trPr>
          <w:trHeight w:val="215"/>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Proceeds from issuance of common stock, net of offering and</w:t>
            </w:r>
          </w:p>
        </w:tc>
        <w:tc>
          <w:tcPr>
            <w:tcW w:w="7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67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underwriting costs</w:t>
            </w:r>
          </w:p>
        </w:tc>
        <w:tc>
          <w:tcPr>
            <w:tcW w:w="7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9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63,015</w:t>
            </w:r>
          </w:p>
        </w:tc>
        <w:tc>
          <w:tcPr>
            <w:tcW w:w="100" w:type="dxa"/>
            <w:vAlign w:val="bottom"/>
            <w:shd w:val="clear" w:color="auto" w:fill="CFF0FC"/>
          </w:tcPr>
          <w:p>
            <w:pPr>
              <w:spacing w:after="0"/>
              <w:rPr>
                <w:sz w:val="20"/>
                <w:szCs w:val="20"/>
                <w:color w:val="auto"/>
              </w:rPr>
            </w:pPr>
          </w:p>
        </w:tc>
      </w:t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Dividends paid to stockholders</w:t>
            </w: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20" w:type="dxa"/>
            <w:vAlign w:val="bottom"/>
            <w:gridSpan w:val="2"/>
          </w:tcPr>
          <w:p>
            <w:pPr>
              <w:jc w:val="right"/>
              <w:ind w:right="220"/>
              <w:spacing w:after="0"/>
              <w:rPr>
                <w:sz w:val="20"/>
                <w:szCs w:val="20"/>
                <w:color w:val="auto"/>
              </w:rPr>
            </w:pPr>
            <w:r>
              <w:rPr>
                <w:rFonts w:ascii="Arial" w:cs="Arial" w:eastAsia="Arial" w:hAnsi="Arial"/>
                <w:sz w:val="18"/>
                <w:szCs w:val="18"/>
                <w:color w:val="auto"/>
              </w:rPr>
              <w:t>(27,789)</w:t>
            </w:r>
          </w:p>
        </w:tc>
        <w:tc>
          <w:tcPr>
            <w:tcW w:w="160" w:type="dxa"/>
            <w:vAlign w:val="bottom"/>
          </w:tcPr>
          <w:p>
            <w:pPr>
              <w:spacing w:after="0"/>
              <w:rPr>
                <w:sz w:val="19"/>
                <w:szCs w:val="19"/>
                <w:color w:val="auto"/>
              </w:rPr>
            </w:pPr>
          </w:p>
        </w:tc>
        <w:tc>
          <w:tcPr>
            <w:tcW w:w="1740" w:type="dxa"/>
            <w:vAlign w:val="bottom"/>
            <w:gridSpan w:val="2"/>
          </w:tcPr>
          <w:p>
            <w:pPr>
              <w:jc w:val="right"/>
              <w:ind w:right="40"/>
              <w:spacing w:after="0"/>
              <w:rPr>
                <w:sz w:val="20"/>
                <w:szCs w:val="20"/>
                <w:color w:val="auto"/>
              </w:rPr>
            </w:pPr>
            <w:r>
              <w:rPr>
                <w:rFonts w:ascii="Arial" w:cs="Arial" w:eastAsia="Arial" w:hAnsi="Arial"/>
                <w:sz w:val="18"/>
                <w:szCs w:val="18"/>
                <w:color w:val="auto"/>
              </w:rPr>
              <w:t>(22,099)</w:t>
            </w:r>
          </w:p>
        </w:tc>
      </w:tr>
      <w:tr>
        <w:trPr>
          <w:trHeight w:val="223"/>
        </w:trPr>
        <w:tc>
          <w:tcPr>
            <w:tcW w:w="674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b w:val="1"/>
                <w:bCs w:val="1"/>
                <w:color w:val="auto"/>
              </w:rPr>
              <w:t>Net Cash Provided by Financing Activities</w:t>
            </w:r>
          </w:p>
        </w:tc>
        <w:tc>
          <w:tcPr>
            <w:tcW w:w="7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86,045</w:t>
            </w:r>
          </w:p>
        </w:tc>
        <w:tc>
          <w:tcPr>
            <w:tcW w:w="2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171,400</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6740" w:type="dxa"/>
            <w:vAlign w:val="bottom"/>
          </w:tcPr>
          <w:p>
            <w:pPr>
              <w:ind w:left="500"/>
              <w:spacing w:after="0"/>
              <w:rPr>
                <w:sz w:val="20"/>
                <w:szCs w:val="20"/>
                <w:color w:val="auto"/>
              </w:rPr>
            </w:pPr>
            <w:r>
              <w:rPr>
                <w:rFonts w:ascii="Arial" w:cs="Arial" w:eastAsia="Arial" w:hAnsi="Arial"/>
                <w:sz w:val="18"/>
                <w:szCs w:val="18"/>
                <w:b w:val="1"/>
                <w:bCs w:val="1"/>
                <w:color w:val="auto"/>
              </w:rPr>
              <w:t>Net Increase (Decrease) in Cash, Cash Equivalents, and Restricted Cash</w:t>
            </w: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(925)</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2,205</w:t>
            </w:r>
          </w:p>
        </w:tc>
        <w:tc>
          <w:tcPr>
            <w:tcW w:w="100" w:type="dxa"/>
            <w:vAlign w:val="bottom"/>
          </w:tcPr>
          <w:p>
            <w:pPr>
              <w:spacing w:after="0"/>
              <w:rPr>
                <w:sz w:val="19"/>
                <w:szCs w:val="19"/>
                <w:color w:val="auto"/>
              </w:rPr>
            </w:pPr>
          </w:p>
        </w:tc>
      </w:tr>
      <w:tr>
        <w:trPr>
          <w:trHeight w:val="230"/>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Cash, cash equivalents, and restricted cash, beginning of period</w:t>
            </w:r>
          </w:p>
        </w:tc>
        <w:tc>
          <w:tcPr>
            <w:tcW w:w="7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10,575</w:t>
            </w:r>
          </w:p>
        </w:tc>
        <w:tc>
          <w:tcPr>
            <w:tcW w:w="2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6,665</w:t>
            </w:r>
          </w:p>
        </w:tc>
        <w:tc>
          <w:tcPr>
            <w:tcW w:w="100" w:type="dxa"/>
            <w:vAlign w:val="bottom"/>
            <w:shd w:val="clear" w:color="auto" w:fill="CFF0FC"/>
          </w:tcPr>
          <w:p>
            <w:pPr>
              <w:spacing w:after="0"/>
              <w:rPr>
                <w:sz w:val="19"/>
                <w:szCs w:val="19"/>
                <w:color w:val="auto"/>
              </w:rPr>
            </w:pPr>
          </w:p>
        </w:tc>
      </w:tr>
      <w:tr>
        <w:trPr>
          <w:trHeight w:val="263"/>
        </w:trPr>
        <w:tc>
          <w:tcPr>
            <w:tcW w:w="6740" w:type="dxa"/>
            <w:vAlign w:val="bottom"/>
            <w:tcBorders>
              <w:bottom w:val="single" w:sz="8" w:color="CFF0FC"/>
            </w:tcBorders>
          </w:tcPr>
          <w:p>
            <w:pPr>
              <w:ind w:left="500"/>
              <w:spacing w:after="0"/>
              <w:rPr>
                <w:sz w:val="20"/>
                <w:szCs w:val="20"/>
                <w:color w:val="auto"/>
              </w:rPr>
            </w:pPr>
            <w:r>
              <w:rPr>
                <w:rFonts w:ascii="Arial" w:cs="Arial" w:eastAsia="Arial" w:hAnsi="Arial"/>
                <w:sz w:val="18"/>
                <w:szCs w:val="18"/>
                <w:b w:val="1"/>
                <w:bCs w:val="1"/>
                <w:color w:val="auto"/>
              </w:rPr>
              <w:t>Cash, Cash Equivalents, and Restricted Cash, End of Period</w:t>
            </w:r>
          </w:p>
        </w:tc>
        <w:tc>
          <w:tcPr>
            <w:tcW w:w="70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9,650</w:t>
            </w:r>
          </w:p>
        </w:tc>
        <w:tc>
          <w:tcPr>
            <w:tcW w:w="28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8,870</w:t>
            </w:r>
          </w:p>
        </w:tc>
        <w:tc>
          <w:tcPr>
            <w:tcW w:w="100" w:type="dxa"/>
            <w:vAlign w:val="bottom"/>
            <w:tcBorders>
              <w:bottom w:val="single" w:sz="8" w:color="CFF0FC"/>
            </w:tcBorders>
          </w:tcPr>
          <w:p>
            <w:pPr>
              <w:spacing w:after="0"/>
              <w:rPr>
                <w:sz w:val="22"/>
                <w:szCs w:val="22"/>
                <w:color w:val="auto"/>
              </w:rPr>
            </w:pPr>
          </w:p>
        </w:tc>
      </w:tr>
      <w:tr>
        <w:trPr>
          <w:trHeight w:val="210"/>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Supplemental Information:</w:t>
            </w:r>
          </w:p>
        </w:tc>
        <w:tc>
          <w:tcPr>
            <w:tcW w:w="7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6740" w:type="dxa"/>
            <w:vAlign w:val="bottom"/>
          </w:tcPr>
          <w:p>
            <w:pPr>
              <w:ind w:left="500"/>
              <w:spacing w:after="0"/>
              <w:rPr>
                <w:sz w:val="20"/>
                <w:szCs w:val="20"/>
                <w:color w:val="auto"/>
              </w:rPr>
            </w:pPr>
            <w:r>
              <w:rPr>
                <w:rFonts w:ascii="Arial" w:cs="Arial" w:eastAsia="Arial" w:hAnsi="Arial"/>
                <w:sz w:val="18"/>
                <w:szCs w:val="18"/>
                <w:color w:val="auto"/>
              </w:rPr>
              <w:t>Interest paid during the period</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11,321</w:t>
            </w:r>
          </w:p>
        </w:tc>
        <w:tc>
          <w:tcPr>
            <w:tcW w:w="280" w:type="dxa"/>
            <w:vAlign w:val="bottom"/>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7,303</w:t>
            </w:r>
          </w:p>
        </w:tc>
        <w:tc>
          <w:tcPr>
            <w:tcW w:w="100" w:type="dxa"/>
            <w:vAlign w:val="bottom"/>
          </w:tcPr>
          <w:p>
            <w:pPr>
              <w:spacing w:after="0"/>
              <w:rPr>
                <w:sz w:val="19"/>
                <w:szCs w:val="19"/>
                <w:color w:val="auto"/>
              </w:rPr>
            </w:pPr>
          </w:p>
        </w:tc>
      </w:tr>
      <w:tr>
        <w:trPr>
          <w:trHeight w:val="230"/>
        </w:trPr>
        <w:tc>
          <w:tcPr>
            <w:tcW w:w="67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Excise taxes paid during the period</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3,100</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w:t>
            </w:r>
          </w:p>
        </w:tc>
        <w:tc>
          <w:tcPr>
            <w:tcW w:w="100" w:type="dxa"/>
            <w:vAlign w:val="bottom"/>
            <w:shd w:val="clear" w:color="auto" w:fill="CFF0FC"/>
          </w:tcPr>
          <w:p>
            <w:pPr>
              <w:spacing w:after="0"/>
              <w:rPr>
                <w:sz w:val="19"/>
                <w:szCs w:val="19"/>
                <w:color w:val="auto"/>
              </w:rPr>
            </w:pPr>
          </w:p>
        </w:tc>
      </w:tr>
      <w:tr>
        <w:trPr>
          <w:trHeight w:val="230"/>
        </w:trPr>
        <w:tc>
          <w:tcPr>
            <w:tcW w:w="6740" w:type="dxa"/>
            <w:vAlign w:val="bottom"/>
          </w:tcPr>
          <w:p>
            <w:pPr>
              <w:ind w:left="500"/>
              <w:spacing w:after="0"/>
              <w:rPr>
                <w:sz w:val="20"/>
                <w:szCs w:val="20"/>
                <w:color w:val="auto"/>
              </w:rPr>
            </w:pPr>
            <w:r>
              <w:rPr>
                <w:rFonts w:ascii="Arial" w:cs="Arial" w:eastAsia="Arial" w:hAnsi="Arial"/>
                <w:sz w:val="18"/>
                <w:szCs w:val="18"/>
                <w:color w:val="auto"/>
              </w:rPr>
              <w:t>Dividends declared during the period</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33,469</w:t>
            </w:r>
          </w:p>
        </w:tc>
        <w:tc>
          <w:tcPr>
            <w:tcW w:w="280" w:type="dxa"/>
            <w:vAlign w:val="bottom"/>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25,368</w:t>
            </w:r>
          </w:p>
        </w:tc>
        <w:tc>
          <w:tcPr>
            <w:tcW w:w="100" w:type="dxa"/>
            <w:vAlign w:val="bottom"/>
          </w:tcPr>
          <w:p>
            <w:pPr>
              <w:spacing w:after="0"/>
              <w:rPr>
                <w:sz w:val="19"/>
                <w:szCs w:val="19"/>
                <w:color w:val="auto"/>
              </w:rPr>
            </w:pPr>
          </w:p>
        </w:tc>
      </w:tr>
      <w:tr>
        <w:trPr>
          <w:trHeight w:val="230"/>
        </w:trPr>
        <w:tc>
          <w:tcPr>
            <w:tcW w:w="67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Reinvestment of dividends during the period</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5,586</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3,200</w:t>
            </w:r>
          </w:p>
        </w:tc>
        <w:tc>
          <w:tcPr>
            <w:tcW w:w="100" w:type="dxa"/>
            <w:vAlign w:val="bottom"/>
            <w:shd w:val="clear" w:color="auto" w:fill="CFF0FC"/>
          </w:tcPr>
          <w:p>
            <w:pPr>
              <w:spacing w:after="0"/>
              <w:rPr>
                <w:sz w:val="19"/>
                <w:szCs w:val="19"/>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TPG Specialty Lending,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unless otherwise indicated)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Organization</w:t>
      </w:r>
    </w:p>
    <w:p>
      <w:pPr>
        <w:spacing w:after="0" w:line="117" w:lineRule="exact"/>
        <w:rPr>
          <w:sz w:val="20"/>
          <w:szCs w:val="20"/>
          <w:color w:val="auto"/>
        </w:rPr>
      </w:pPr>
    </w:p>
    <w:p>
      <w:pPr>
        <w:ind w:right="20" w:firstLine="259"/>
        <w:spacing w:after="0" w:line="272" w:lineRule="auto"/>
        <w:rPr>
          <w:sz w:val="20"/>
          <w:szCs w:val="20"/>
          <w:color w:val="auto"/>
        </w:rPr>
      </w:pPr>
      <w:r>
        <w:rPr>
          <w:rFonts w:ascii="Arial" w:cs="Arial" w:eastAsia="Arial" w:hAnsi="Arial"/>
          <w:sz w:val="17"/>
          <w:szCs w:val="17"/>
          <w:color w:val="auto"/>
        </w:rPr>
        <w:t>TPG Specialty Lending, Inc. (“TSLX” or the “Company”) is a Delaware corporation formed on July 21, 2010. The Company was formed primarily to lend to, and selectively invest in, middle-market companies in the United States. The Company has elected to be regulated as a business development company (“BDC”) under the 1940 Act. In addition, for tax purposes, the Company has elected to be treated as a regulated investment company (“RIC”) under Subchapter M of the Internal Revenue Code of 1986, as amended (the “Code”). TSLX is managed by TSL Advisers, LLC (the “Adviser”). On June 1, 2011, the Company formed a wholly-owned subsidiary, TC Lending, LLC, a Delaware limited liability company. On March 22, 2012, the Company formed a wholly-owned subsidiary, TPG SL SPV, LLC, a Delaware limited liability company (“TPG SL SPV”). On May 19, 2014, the Company formed a wholly-owned subsidiary, TSL MR, LLC, a Delaware limited liability company.</w:t>
      </w:r>
    </w:p>
    <w:p>
      <w:pPr>
        <w:spacing w:after="0" w:line="178" w:lineRule="exact"/>
        <w:rPr>
          <w:sz w:val="20"/>
          <w:szCs w:val="20"/>
          <w:color w:val="auto"/>
        </w:rPr>
      </w:pPr>
    </w:p>
    <w:p>
      <w:pPr>
        <w:ind w:right="40" w:firstLine="259"/>
        <w:spacing w:after="0" w:line="277" w:lineRule="auto"/>
        <w:rPr>
          <w:sz w:val="20"/>
          <w:szCs w:val="20"/>
          <w:color w:val="auto"/>
        </w:rPr>
      </w:pPr>
      <w:r>
        <w:rPr>
          <w:rFonts w:ascii="Arial" w:cs="Arial" w:eastAsia="Arial" w:hAnsi="Arial"/>
          <w:sz w:val="18"/>
          <w:szCs w:val="18"/>
          <w:color w:val="auto"/>
        </w:rPr>
        <w:t>On March 21, 2014, the Company completed its initial public offering (“IPO”) and the Company’s shares began trading on the New York Stock Exchange (“NYSE”) under the symbol “TSLX.”</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ind w:right="120" w:firstLine="259"/>
        <w:spacing w:after="0" w:line="302" w:lineRule="auto"/>
        <w:rPr>
          <w:sz w:val="20"/>
          <w:szCs w:val="20"/>
          <w:color w:val="auto"/>
        </w:rPr>
      </w:pPr>
      <w:r>
        <w:rPr>
          <w:rFonts w:ascii="Arial" w:cs="Arial" w:eastAsia="Arial" w:hAnsi="Arial"/>
          <w:sz w:val="16"/>
          <w:szCs w:val="16"/>
          <w:color w:val="auto"/>
        </w:rPr>
        <w:t>The accompanying consolidated financial statements are prepared in accordance with accounting principles generally accepted in the United States of America (“U.S. GAAP”), and include the accounts of the Company and its subsidiaries. In the opinion of management, all adjustments considered necessary for the fair presentation of the consolidated financial statements for the periods presented, have been included. The results of operations for interim periods are not indicative of results to be expected for the full year. All intercompany balances and transactions have been eliminated in consolidation.</w:t>
      </w:r>
    </w:p>
    <w:p>
      <w:pPr>
        <w:spacing w:after="0" w:line="154" w:lineRule="exact"/>
        <w:rPr>
          <w:sz w:val="20"/>
          <w:szCs w:val="20"/>
          <w:color w:val="auto"/>
        </w:rPr>
      </w:pPr>
    </w:p>
    <w:p>
      <w:pPr>
        <w:ind w:firstLine="259"/>
        <w:spacing w:after="0" w:line="302" w:lineRule="auto"/>
        <w:rPr>
          <w:sz w:val="20"/>
          <w:szCs w:val="20"/>
          <w:color w:val="auto"/>
        </w:rPr>
      </w:pPr>
      <w:r>
        <w:rPr>
          <w:rFonts w:ascii="Arial" w:cs="Arial" w:eastAsia="Arial" w:hAnsi="Arial"/>
          <w:sz w:val="16"/>
          <w:szCs w:val="16"/>
          <w:color w:val="auto"/>
        </w:rPr>
        <w:t>Certain financial information that is normally included in annual financial statements, including certain financial statement footnotes, prepared in accordance with U.S. GAAP, is not required for interim reporting purposes and has been condensed or omitted herein. These consolidated financial statements should be read in conjunction with the Company’s consolidated financial statements and notes related thereto included in the Company’s Annual Report on Form 10-K for the year ended December 31, 2018, which was filed with the Securities and Exchange Commission (“SEC”), on February 20, 2019.</w:t>
      </w:r>
    </w:p>
    <w:p>
      <w:pPr>
        <w:spacing w:after="0" w:line="154" w:lineRule="exact"/>
        <w:rPr>
          <w:sz w:val="20"/>
          <w:szCs w:val="20"/>
          <w:color w:val="auto"/>
        </w:rPr>
      </w:pPr>
    </w:p>
    <w:p>
      <w:pPr>
        <w:ind w:right="140" w:firstLine="259"/>
        <w:spacing w:after="0" w:line="277" w:lineRule="auto"/>
        <w:rPr>
          <w:sz w:val="20"/>
          <w:szCs w:val="20"/>
          <w:color w:val="auto"/>
        </w:rPr>
      </w:pPr>
      <w:r>
        <w:rPr>
          <w:rFonts w:ascii="Arial" w:cs="Arial" w:eastAsia="Arial" w:hAnsi="Arial"/>
          <w:sz w:val="18"/>
          <w:szCs w:val="18"/>
          <w:color w:val="auto"/>
        </w:rPr>
        <w:t xml:space="preserve">The Company is an investment company and, therefore, applies the specialized accounting and reporting guidance in Accounting Standards Codification (“ASC”) Topic 946, </w:t>
      </w:r>
      <w:r>
        <w:rPr>
          <w:rFonts w:ascii="Arial" w:cs="Arial" w:eastAsia="Arial" w:hAnsi="Arial"/>
          <w:sz w:val="18"/>
          <w:szCs w:val="18"/>
          <w:i w:val="1"/>
          <w:iCs w:val="1"/>
          <w:color w:val="auto"/>
        </w:rPr>
        <w:t>Financial Services – Investment Companies.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End</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Company’s fiscal year ends on December 31.</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jc w:val="both"/>
        <w:ind w:right="200" w:firstLine="259"/>
        <w:spacing w:after="0" w:line="264"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consolidated financial statements. Actual amounts could differ from those estimates and such differences could be material.</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117" w:lineRule="exact"/>
        <w:rPr>
          <w:sz w:val="20"/>
          <w:szCs w:val="20"/>
          <w:color w:val="auto"/>
        </w:rPr>
      </w:pPr>
    </w:p>
    <w:p>
      <w:pPr>
        <w:ind w:right="100" w:firstLine="259"/>
        <w:spacing w:after="0" w:line="259" w:lineRule="auto"/>
        <w:rPr>
          <w:sz w:val="20"/>
          <w:szCs w:val="20"/>
          <w:color w:val="auto"/>
        </w:rPr>
      </w:pPr>
      <w:r>
        <w:rPr>
          <w:rFonts w:ascii="Arial" w:cs="Arial" w:eastAsia="Arial" w:hAnsi="Arial"/>
          <w:sz w:val="18"/>
          <w:szCs w:val="18"/>
          <w:color w:val="auto"/>
        </w:rPr>
        <w:t>Cash and cash equivalents may consist of demand deposits, highly liquid investments (e.g., money market funds, U.S. Treasury notes, and similar type instruments) with original maturities of three months or less, and restricted cash pledged as collateral. Cash and cash equivalents denominated in U.S. dollars are carried at cost, which approximates fair value. The Company deposits its cash and cash equivalents with highly-rated banking corporations and, at times, cash deposits may exceed the insured limits under applicable law.</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i w:val="1"/>
          <w:iCs w:val="1"/>
          <w:color w:val="auto"/>
        </w:rPr>
        <w:t>Investments at Fair Value</w:t>
      </w:r>
    </w:p>
    <w:p>
      <w:pPr>
        <w:spacing w:after="0" w:line="117" w:lineRule="exact"/>
        <w:rPr>
          <w:sz w:val="20"/>
          <w:szCs w:val="20"/>
          <w:color w:val="auto"/>
        </w:rPr>
      </w:pPr>
    </w:p>
    <w:p>
      <w:pPr>
        <w:ind w:right="40" w:firstLine="259"/>
        <w:spacing w:after="0" w:line="257" w:lineRule="auto"/>
        <w:rPr>
          <w:sz w:val="20"/>
          <w:szCs w:val="20"/>
          <w:color w:val="auto"/>
        </w:rPr>
      </w:pPr>
      <w:r>
        <w:rPr>
          <w:rFonts w:ascii="Arial" w:cs="Arial" w:eastAsia="Arial" w:hAnsi="Arial"/>
          <w:sz w:val="18"/>
          <w:szCs w:val="18"/>
          <w:color w:val="auto"/>
        </w:rPr>
        <w:t>Loan originations are recorded on the date of the binding commitment, which is generally the funding date. Investment transactions purchased through the secondary markets are recorded on the trade date. Realized gains or losses are measured by the difference between the net proceeds received (excluding prepayment fees, if any) and the amortized cost basis of the investment without regard to unrealized gains or losses previously recognized. The net change in unrealized gains or losses primarily reflects the change in investment values and also includes the reversal of previously recorded unrealized gains or losses with respect to investments realized during the period.</w:t>
      </w:r>
    </w:p>
    <w:p>
      <w:pPr>
        <w:spacing w:after="0" w:line="188" w:lineRule="exact"/>
        <w:rPr>
          <w:sz w:val="20"/>
          <w:szCs w:val="20"/>
          <w:color w:val="auto"/>
        </w:rPr>
      </w:pPr>
    </w:p>
    <w:p>
      <w:pPr>
        <w:ind w:firstLine="259"/>
        <w:spacing w:after="0" w:line="276" w:lineRule="auto"/>
        <w:rPr>
          <w:sz w:val="20"/>
          <w:szCs w:val="20"/>
          <w:color w:val="auto"/>
        </w:rPr>
      </w:pPr>
      <w:r>
        <w:rPr>
          <w:rFonts w:ascii="Arial" w:cs="Arial" w:eastAsia="Arial" w:hAnsi="Arial"/>
          <w:sz w:val="17"/>
          <w:szCs w:val="17"/>
          <w:color w:val="auto"/>
        </w:rPr>
        <w:t>Investments for which market quotations are readily available are typically valued at those market quotations. To validate market quotations, the Company utilizes a number of factors to determine if the quotations are representative of fair value, including the source and number of the quotations. Debt and equity securities that are not publicly traded or whose market prices are not readily available, as is the case for substantially all of our investments, are valued at fair value as determined in good faith by the Company’s Board of Directors (the “Board”), based on, among other things, the input of the Adviser, the Company’s Audit Committee and independent third-party valuation firms engaged at the direction of the Board.</w:t>
      </w:r>
    </w:p>
    <w:p>
      <w:pPr>
        <w:spacing w:after="0" w:line="173" w:lineRule="exact"/>
        <w:rPr>
          <w:sz w:val="20"/>
          <w:szCs w:val="20"/>
          <w:color w:val="auto"/>
        </w:rPr>
      </w:pPr>
    </w:p>
    <w:p>
      <w:pPr>
        <w:ind w:right="20" w:firstLine="259"/>
        <w:spacing w:after="0" w:line="255" w:lineRule="auto"/>
        <w:rPr>
          <w:sz w:val="20"/>
          <w:szCs w:val="20"/>
          <w:color w:val="auto"/>
        </w:rPr>
      </w:pPr>
      <w:r>
        <w:rPr>
          <w:rFonts w:ascii="Arial" w:cs="Arial" w:eastAsia="Arial" w:hAnsi="Arial"/>
          <w:sz w:val="18"/>
          <w:szCs w:val="18"/>
          <w:color w:val="auto"/>
        </w:rPr>
        <w:t>As part of the valuation process, the Board takes into account relevant factors in determining the fair value of its investments, including and in combination of: the estimated enterprise value of a portfolio company (that is, the total value of the portfolio company’s net debt and equity), the nature and realizable value of any collateral, the portfolio company’s ability to make payments based on its earnings and cash flow, the markets in which the portfolio company does business, a comparison of the portfolio company’s securities to any similar publicly traded securities, and overall changes in the interest rate environment and the credit markets that may affect the price at which similar investments may be made in the future. When an external event such as a purchase transaction, public offering or subsequent equity sale occurs, the Board considers whether the pricing indicated by the external event corroborates its valuation.</w:t>
      </w:r>
    </w:p>
    <w:p>
      <w:pPr>
        <w:spacing w:after="0" w:line="18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Board undertakes a multi-step valuation process, which includes, among other procedures, the following:</w:t>
      </w:r>
    </w:p>
    <w:p>
      <w:pPr>
        <w:spacing w:after="0" w:line="117" w:lineRule="exact"/>
        <w:rPr>
          <w:sz w:val="20"/>
          <w:szCs w:val="20"/>
          <w:color w:val="auto"/>
        </w:rPr>
      </w:pPr>
    </w:p>
    <w:p>
      <w:pPr>
        <w:ind w:left="520" w:right="260" w:hanging="255"/>
        <w:spacing w:after="0" w:line="277" w:lineRule="auto"/>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valuation process begins with each investment being initially valued by the investment professionals responsible for the portfolio investment in conjunction with the portfolio management team.</w:t>
      </w:r>
    </w:p>
    <w:p>
      <w:pPr>
        <w:spacing w:after="0" w:line="62" w:lineRule="exact"/>
        <w:rPr>
          <w:rFonts w:ascii="Arial" w:cs="Arial" w:eastAsia="Arial" w:hAnsi="Arial"/>
          <w:sz w:val="18"/>
          <w:szCs w:val="18"/>
          <w:color w:val="auto"/>
        </w:rPr>
      </w:pPr>
    </w:p>
    <w:p>
      <w:pPr>
        <w:ind w:left="520" w:right="580" w:hanging="255"/>
        <w:spacing w:after="0" w:line="277" w:lineRule="auto"/>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Adviser’s management reviews the preliminary valuations with the investment professionals. Agreed upon valuation recommendations are presented to the Audit Committee.</w:t>
      </w:r>
    </w:p>
    <w:p>
      <w:pPr>
        <w:spacing w:after="0" w:line="62" w:lineRule="exact"/>
        <w:rPr>
          <w:rFonts w:ascii="Arial" w:cs="Arial" w:eastAsia="Arial" w:hAnsi="Arial"/>
          <w:sz w:val="18"/>
          <w:szCs w:val="18"/>
          <w:color w:val="auto"/>
        </w:rPr>
      </w:pPr>
    </w:p>
    <w:p>
      <w:pPr>
        <w:ind w:left="520" w:hanging="255"/>
        <w:spacing w:after="0"/>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Audit Committee reviews the valuations presented and recommends values for each investment to the Board.</w:t>
      </w:r>
    </w:p>
    <w:p>
      <w:pPr>
        <w:spacing w:after="0" w:line="117" w:lineRule="exact"/>
        <w:rPr>
          <w:rFonts w:ascii="Arial" w:cs="Arial" w:eastAsia="Arial" w:hAnsi="Arial"/>
          <w:sz w:val="18"/>
          <w:szCs w:val="18"/>
          <w:color w:val="auto"/>
        </w:rPr>
      </w:pPr>
    </w:p>
    <w:p>
      <w:pPr>
        <w:ind w:left="520" w:right="80" w:hanging="255"/>
        <w:spacing w:after="0" w:line="264" w:lineRule="auto"/>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Board reviews the recommended valuations and determines the fair value of each investment; valuations that are not based on readily available market quotations are valued in good faith based on, among other things, the input of the Adviser, Audit Committee and, where applicable, other third parties including independent third-party valuation firms engaged at the direction of the Board.</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Company conducts this valuation process on a quarterly basis.</w:t>
      </w:r>
    </w:p>
    <w:p>
      <w:pPr>
        <w:spacing w:after="0" w:line="225" w:lineRule="exact"/>
        <w:rPr>
          <w:sz w:val="20"/>
          <w:szCs w:val="20"/>
          <w:color w:val="auto"/>
        </w:rPr>
      </w:pPr>
    </w:p>
    <w:p>
      <w:pPr>
        <w:ind w:right="80" w:firstLine="259"/>
        <w:spacing w:after="0" w:line="279" w:lineRule="auto"/>
        <w:rPr>
          <w:sz w:val="20"/>
          <w:szCs w:val="20"/>
          <w:color w:val="auto"/>
        </w:rPr>
      </w:pPr>
      <w:r>
        <w:rPr>
          <w:rFonts w:ascii="Arial" w:cs="Arial" w:eastAsia="Arial" w:hAnsi="Arial"/>
          <w:sz w:val="17"/>
          <w:szCs w:val="17"/>
          <w:color w:val="auto"/>
        </w:rPr>
        <w:t>The Board has engaged independent third-party valuation firms to perform certain limited procedures that the Board has identified and requested them to perform in connection with the valuation process. At March 31, 2019, the independent third-party valuation firms performed their procedures over substantially all of the Company’s investments. Upon completion of such limited procedures, the third-party valuation firms determined that the fair value, as determined by the Board, of those investments subjected to their limited procedures, appeared reasonable.</w:t>
      </w:r>
    </w:p>
    <w:p>
      <w:pPr>
        <w:spacing w:after="0" w:line="171" w:lineRule="exact"/>
        <w:rPr>
          <w:sz w:val="20"/>
          <w:szCs w:val="20"/>
          <w:color w:val="auto"/>
        </w:rPr>
      </w:pPr>
    </w:p>
    <w:p>
      <w:pPr>
        <w:ind w:right="40" w:firstLine="259"/>
        <w:spacing w:after="0" w:line="291" w:lineRule="auto"/>
        <w:rPr>
          <w:sz w:val="20"/>
          <w:szCs w:val="20"/>
          <w:color w:val="auto"/>
        </w:rPr>
      </w:pPr>
      <w:r>
        <w:rPr>
          <w:rFonts w:ascii="Arial" w:cs="Arial" w:eastAsia="Arial" w:hAnsi="Arial"/>
          <w:sz w:val="16"/>
          <w:szCs w:val="16"/>
          <w:color w:val="auto"/>
        </w:rPr>
        <w:t xml:space="preserve">The Company applies Financial Accounting Standards Board Accounting Standards Codification 820, </w:t>
      </w:r>
      <w:r>
        <w:rPr>
          <w:rFonts w:ascii="Arial" w:cs="Arial" w:eastAsia="Arial" w:hAnsi="Arial"/>
          <w:sz w:val="16"/>
          <w:szCs w:val="16"/>
          <w:i w:val="1"/>
          <w:iCs w:val="1"/>
          <w:color w:val="auto"/>
        </w:rPr>
        <w:t>Fair Value Measurement</w:t>
      </w:r>
      <w:r>
        <w:rPr>
          <w:rFonts w:ascii="Arial" w:cs="Arial" w:eastAsia="Arial" w:hAnsi="Arial"/>
          <w:sz w:val="16"/>
          <w:szCs w:val="16"/>
          <w:color w:val="auto"/>
        </w:rPr>
        <w:t xml:space="preserve"> (“ASC 820”), as amended, which establishes a framework for measuring fair value in accordance with U.S. GAAP and required disclosures of fair value measurements. ASC 820 determines fair value to be the price that would be received for an investment in a current sale, which assumes an orderly transaction between market participants on the measurement date. Market participants are defined as buyers and sellers in the principal or most advantageous market (which may be a hypothetical market) that are independent, knowledgeable, and willing and able to transact. In accordance with ASC 820, the Company considers its principal market to be the market that has the greatest volume and level of activity. ASC 820 specifies a fair value hierarchy that prioritizes and ranks the level of observability of inputs used in determination of fair value. In accordance with ASC 820, these levels are summarized below:</w:t>
      </w:r>
    </w:p>
    <w:p>
      <w:pPr>
        <w:spacing w:after="0" w:line="59" w:lineRule="exact"/>
        <w:rPr>
          <w:sz w:val="20"/>
          <w:szCs w:val="20"/>
          <w:color w:val="auto"/>
        </w:rPr>
      </w:pPr>
    </w:p>
    <w:p>
      <w:pPr>
        <w:ind w:left="5620" w:right="1040" w:hanging="5355"/>
        <w:spacing w:after="0" w:line="528" w:lineRule="auto"/>
        <w:tabs>
          <w:tab w:leader="none" w:pos="517" w:val="left"/>
        </w:tabs>
        <w:numPr>
          <w:ilvl w:val="0"/>
          <w:numId w:val="17"/>
        </w:numPr>
        <w:rPr>
          <w:rFonts w:ascii="Arial" w:cs="Arial" w:eastAsia="Arial" w:hAnsi="Arial"/>
          <w:sz w:val="18"/>
          <w:szCs w:val="18"/>
          <w:color w:val="auto"/>
        </w:rPr>
      </w:pPr>
      <w:r>
        <w:rPr>
          <w:rFonts w:ascii="Arial" w:cs="Arial" w:eastAsia="Arial" w:hAnsi="Arial"/>
          <w:sz w:val="18"/>
          <w:szCs w:val="18"/>
          <w:color w:val="auto"/>
        </w:rPr>
        <w:t>Level 1—Valuations based on quoted prices in active markets for identical assets or liabilities that the Company has the ability to access.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-100965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1" w:name="page22"/>
    <w:bookmarkEnd w:id="21"/>
    <w:p>
      <w:pPr>
        <w:ind w:left="520" w:right="740" w:hanging="255"/>
        <w:spacing w:after="0" w:line="277" w:lineRule="auto"/>
        <w:tabs>
          <w:tab w:leader="none" w:pos="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Level 2—Valuations based on quoted prices in markets that are not active or for which all significant inputs are observable, either directly or indirectly.</w:t>
      </w:r>
    </w:p>
    <w:p>
      <w:pPr>
        <w:spacing w:after="0" w:line="62" w:lineRule="exact"/>
        <w:rPr>
          <w:rFonts w:ascii="Arial" w:cs="Arial" w:eastAsia="Arial" w:hAnsi="Arial"/>
          <w:sz w:val="18"/>
          <w:szCs w:val="18"/>
          <w:color w:val="auto"/>
        </w:rPr>
      </w:pPr>
    </w:p>
    <w:p>
      <w:pPr>
        <w:ind w:left="520" w:hanging="255"/>
        <w:spacing w:after="0"/>
        <w:tabs>
          <w:tab w:leader="none" w:pos="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Level 3—Valuations based on inputs that are unobservable and significant to the overall fair value measurement.</w:t>
      </w:r>
    </w:p>
    <w:p>
      <w:pPr>
        <w:spacing w:after="0" w:line="225" w:lineRule="exact"/>
        <w:rPr>
          <w:sz w:val="20"/>
          <w:szCs w:val="20"/>
          <w:color w:val="auto"/>
        </w:rPr>
      </w:pPr>
    </w:p>
    <w:p>
      <w:pPr>
        <w:ind w:firstLine="259"/>
        <w:spacing w:after="0" w:line="290" w:lineRule="auto"/>
        <w:rPr>
          <w:sz w:val="20"/>
          <w:szCs w:val="20"/>
          <w:color w:val="auto"/>
        </w:rPr>
      </w:pPr>
      <w:r>
        <w:rPr>
          <w:rFonts w:ascii="Arial" w:cs="Arial" w:eastAsia="Arial" w:hAnsi="Arial"/>
          <w:sz w:val="16"/>
          <w:szCs w:val="16"/>
          <w:color w:val="auto"/>
        </w:rPr>
        <w:t>Transfers between levels, if any, are recognized at the beginning of the quarter in which the transfers occur. In addition to using the above inputs in investment valuations, the Company applies the valuation policy approved by its Board that is consistent with ASC 820. Consistent with the valuation policy, the Company evaluates the source of inputs, including any markets in which its investments are trading (or any markets in which securities with similar attributes are trading), in determining fair value. When a security is valued based on prices provided by reputable dealers or pricing services (that is, broker quotes), the Company subjects those prices to various additional criteria in making the determination as to whether a particular investment would qualify for treatment as a Level 2 or Level 3 investment. For example, the Company reviews pricing provided by dealers or pricing services in order to determine if observable market information is being used, versus unobservable inputs. Some additional factors considered include the number of prices obtained as well as an assessment as to their quality, such as the depth of the relevant market relative to the size of the Company’s position.</w:t>
      </w:r>
    </w:p>
    <w:p>
      <w:pPr>
        <w:spacing w:after="0" w:line="166" w:lineRule="exact"/>
        <w:rPr>
          <w:sz w:val="20"/>
          <w:szCs w:val="20"/>
          <w:color w:val="auto"/>
        </w:rPr>
      </w:pPr>
    </w:p>
    <w:p>
      <w:pPr>
        <w:ind w:right="260" w:firstLine="259"/>
        <w:spacing w:after="0" w:line="255" w:lineRule="auto"/>
        <w:rPr>
          <w:sz w:val="20"/>
          <w:szCs w:val="20"/>
          <w:color w:val="auto"/>
        </w:rPr>
      </w:pPr>
      <w:r>
        <w:rPr>
          <w:rFonts w:ascii="Arial" w:cs="Arial" w:eastAsia="Arial" w:hAnsi="Arial"/>
          <w:sz w:val="18"/>
          <w:szCs w:val="18"/>
          <w:color w:val="auto"/>
        </w:rPr>
        <w:t>Due to the inherent uncertainty of determining the fair value of investments that do not have a readily available market value, the fair value of the Company’s investments may fluctuate from period to period. Additionally, the fair value of such investments may differ significantly from the values that would have been used had a ready market existed for such investments and may differ materially from the values that may ultimately be realized. Further, such investments are generally less liquid than publicly traded securities and may be subject to contractual and other restrictions on resale. If the Company were required to liquidate a portfolio investment in a forced or liquidation sale, it could realize amounts that are different from the amounts presented and such differences could be material.</w:t>
      </w:r>
    </w:p>
    <w:p>
      <w:pPr>
        <w:spacing w:after="0" w:line="193" w:lineRule="exact"/>
        <w:rPr>
          <w:sz w:val="20"/>
          <w:szCs w:val="20"/>
          <w:color w:val="auto"/>
        </w:rPr>
      </w:pPr>
    </w:p>
    <w:p>
      <w:pPr>
        <w:ind w:right="40" w:firstLine="259"/>
        <w:spacing w:after="0" w:line="264" w:lineRule="auto"/>
        <w:rPr>
          <w:sz w:val="20"/>
          <w:szCs w:val="20"/>
          <w:color w:val="auto"/>
        </w:rPr>
      </w:pPr>
      <w:r>
        <w:rPr>
          <w:rFonts w:ascii="Arial" w:cs="Arial" w:eastAsia="Arial" w:hAnsi="Arial"/>
          <w:sz w:val="18"/>
          <w:szCs w:val="18"/>
          <w:color w:val="auto"/>
        </w:rPr>
        <w:t>In addition, changes in the market environment, including the impact of changes in broader market indices and credit spreads, and other events that may occur over the life of the investments may cause the gains or losses ultimately realized on these investments to be different than the unrealized gains or losses reflected herein.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and Derivative Instruments</w:t>
      </w:r>
    </w:p>
    <w:p>
      <w:pPr>
        <w:spacing w:after="0" w:line="117" w:lineRule="exact"/>
        <w:rPr>
          <w:sz w:val="20"/>
          <w:szCs w:val="20"/>
          <w:color w:val="auto"/>
        </w:rPr>
      </w:pPr>
    </w:p>
    <w:p>
      <w:pPr>
        <w:ind w:firstLine="259"/>
        <w:spacing w:after="0" w:line="342" w:lineRule="auto"/>
        <w:rPr>
          <w:sz w:val="20"/>
          <w:szCs w:val="20"/>
          <w:color w:val="auto"/>
        </w:rPr>
      </w:pPr>
      <w:r>
        <w:rPr>
          <w:rFonts w:ascii="Arial" w:cs="Arial" w:eastAsia="Arial" w:hAnsi="Arial"/>
          <w:sz w:val="16"/>
          <w:szCs w:val="16"/>
          <w:color w:val="auto"/>
        </w:rPr>
        <w:t>The Company recognizes all derivative instruments as assets or liabilities at fair value in its consolidated financial statements. Derivative contracts entered into by the Company are not designated as hedging instruments, and as a result the Company presents changes in fair value through current period earnings.</w:t>
      </w:r>
    </w:p>
    <w:p>
      <w:pPr>
        <w:spacing w:after="0" w:line="124" w:lineRule="exact"/>
        <w:rPr>
          <w:sz w:val="20"/>
          <w:szCs w:val="20"/>
          <w:color w:val="auto"/>
        </w:rPr>
      </w:pPr>
    </w:p>
    <w:p>
      <w:pPr>
        <w:ind w:right="60" w:firstLine="259"/>
        <w:spacing w:after="0" w:line="297" w:lineRule="auto"/>
        <w:rPr>
          <w:sz w:val="20"/>
          <w:szCs w:val="20"/>
          <w:color w:val="auto"/>
        </w:rPr>
      </w:pPr>
      <w:r>
        <w:rPr>
          <w:rFonts w:ascii="Arial" w:cs="Arial" w:eastAsia="Arial" w:hAnsi="Arial"/>
          <w:sz w:val="16"/>
          <w:szCs w:val="16"/>
          <w:color w:val="auto"/>
        </w:rPr>
        <w:t>In the normal course of business, the Company has commitments and risks resulting from its investment transactions, which may include those involving derivative instruments. Derivative instruments are measured in terms of the notional contract amount and derive their value based upon one or more underlying instruments. While the notional amount gives some indication of the Company’s derivative activity, it generally is not exchanged, but is only used as the basis on which interest and other payments are exchanged. Derivative instruments are subject to various risks similar to non-derivative instruments including market, credit, liquidity, and operational risks. The Company manages these risks on an aggregate basis as part of its risk management process.</w:t>
      </w:r>
    </w:p>
    <w:p>
      <w:pPr>
        <w:spacing w:after="0" w:line="15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Derivatives, including the Company’s interest rate swaps, for which broker quotes are available are typically valued at those broker quotes.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Offsetting Assets and Liabilities</w:t>
      </w:r>
    </w:p>
    <w:p>
      <w:pPr>
        <w:spacing w:after="0" w:line="117" w:lineRule="exact"/>
        <w:rPr>
          <w:sz w:val="20"/>
          <w:szCs w:val="20"/>
          <w:color w:val="auto"/>
        </w:rPr>
      </w:pPr>
    </w:p>
    <w:p>
      <w:pPr>
        <w:ind w:right="60" w:firstLine="259"/>
        <w:spacing w:after="0" w:line="259" w:lineRule="auto"/>
        <w:rPr>
          <w:sz w:val="20"/>
          <w:szCs w:val="20"/>
          <w:color w:val="auto"/>
        </w:rPr>
      </w:pPr>
      <w:r>
        <w:rPr>
          <w:rFonts w:ascii="Arial" w:cs="Arial" w:eastAsia="Arial" w:hAnsi="Arial"/>
          <w:sz w:val="18"/>
          <w:szCs w:val="18"/>
          <w:color w:val="auto"/>
        </w:rPr>
        <w:t>Foreign currency forward contract and interest rate swap receivables or payables pending settlement are offset, and the net amount is included with receivable or payable for foreign currency forward contracts or interest rate swaps in the consolidated balance sheets when, and only when, they are with the same counterparty, the Company has the legal right to offset the recognized amounts, and it intends to either settle on a net basis or realize the asset and settle the liability simultaneously.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Foreign currency amounts are translated into U.S. dollars on the following basis:</w:t>
      </w:r>
    </w:p>
    <w:p>
      <w:pPr>
        <w:spacing w:after="0" w:line="117" w:lineRule="exact"/>
        <w:rPr>
          <w:sz w:val="20"/>
          <w:szCs w:val="20"/>
          <w:color w:val="auto"/>
        </w:rPr>
      </w:pPr>
    </w:p>
    <w:p>
      <w:pPr>
        <w:ind w:left="520" w:right="40" w:hanging="255"/>
        <w:spacing w:after="0" w:line="277" w:lineRule="auto"/>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cash and cash equivalents, market value of investments, outstanding debt on revolving credit facilities, other assets and liabilities: at the spot exchange rate on the last business day of the period; and</w:t>
      </w:r>
    </w:p>
    <w:p>
      <w:pPr>
        <w:spacing w:after="0" w:line="62" w:lineRule="exact"/>
        <w:rPr>
          <w:rFonts w:ascii="Arial" w:cs="Arial" w:eastAsia="Arial" w:hAnsi="Arial"/>
          <w:sz w:val="18"/>
          <w:szCs w:val="18"/>
          <w:color w:val="auto"/>
        </w:rPr>
      </w:pPr>
    </w:p>
    <w:p>
      <w:pPr>
        <w:ind w:left="520" w:right="160" w:hanging="255"/>
        <w:spacing w:after="0" w:line="277" w:lineRule="auto"/>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purchases and sales of investments, borrowings and repayments of such borrowings, income and expenses: at the rates of exchange prevailing on the respective dates of such transactions.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22" w:name="page23"/>
    <w:bookmarkEnd w:id="22"/>
    <w:p>
      <w:pPr>
        <w:ind w:right="40" w:firstLine="259"/>
        <w:spacing w:after="0" w:line="293" w:lineRule="auto"/>
        <w:rPr>
          <w:sz w:val="20"/>
          <w:szCs w:val="20"/>
          <w:color w:val="auto"/>
        </w:rPr>
      </w:pPr>
      <w:r>
        <w:rPr>
          <w:rFonts w:ascii="Arial" w:cs="Arial" w:eastAsia="Arial" w:hAnsi="Arial"/>
          <w:sz w:val="16"/>
          <w:szCs w:val="16"/>
          <w:color w:val="auto"/>
        </w:rPr>
        <w:t>Although net assets and fair values are presented based on the applicable foreign exchange rates described above, the Company does not isolate that portion of the results of operations resulting from changes in foreign exchange rates on investments from the fluctuations arising from changes in fair values of investments held. Such fluctuations are included with the net realized and unrealized gain or loss from investments. The Company’s current approach to hedging the foreign currency exposure in its non-U.S. dollar denominated investments is primarily to borrow the par amount in local currency under the Company’s Revolving Credit Facility to fund these investments. Fluctuations arising from the translation of foreign currency borrowings are included with the net change in unrealized gains (losses) on translation of assets and liabilities in foreign currencies on the consolidated statements of operations.</w:t>
      </w:r>
    </w:p>
    <w:p>
      <w:pPr>
        <w:spacing w:after="0" w:line="165" w:lineRule="exact"/>
        <w:rPr>
          <w:sz w:val="20"/>
          <w:szCs w:val="20"/>
          <w:color w:val="auto"/>
        </w:rPr>
      </w:pPr>
    </w:p>
    <w:p>
      <w:pPr>
        <w:ind w:right="220" w:firstLine="259"/>
        <w:spacing w:after="0" w:line="308" w:lineRule="auto"/>
        <w:rPr>
          <w:sz w:val="20"/>
          <w:szCs w:val="20"/>
          <w:color w:val="auto"/>
        </w:rPr>
      </w:pPr>
      <w:r>
        <w:rPr>
          <w:rFonts w:ascii="Arial" w:cs="Arial" w:eastAsia="Arial" w:hAnsi="Arial"/>
          <w:sz w:val="17"/>
          <w:szCs w:val="17"/>
          <w:color w:val="auto"/>
        </w:rPr>
        <w:t>Investments denominated in foreign currencies and foreign currency transactions may involve certain considerations and risks not typically associated with those of domestic origin, including unanticipated movements in the value of the foreign currency relative to the U.S. dollar.</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Offering Expenses</w:t>
      </w:r>
    </w:p>
    <w:p>
      <w:pPr>
        <w:spacing w:after="0" w:line="117" w:lineRule="exact"/>
        <w:rPr>
          <w:sz w:val="20"/>
          <w:szCs w:val="20"/>
          <w:color w:val="auto"/>
        </w:rPr>
      </w:pPr>
    </w:p>
    <w:p>
      <w:pPr>
        <w:ind w:right="320" w:firstLine="259"/>
        <w:spacing w:after="0" w:line="277" w:lineRule="auto"/>
        <w:rPr>
          <w:sz w:val="20"/>
          <w:szCs w:val="20"/>
          <w:color w:val="auto"/>
        </w:rPr>
      </w:pPr>
      <w:r>
        <w:rPr>
          <w:rFonts w:ascii="Arial" w:cs="Arial" w:eastAsia="Arial" w:hAnsi="Arial"/>
          <w:sz w:val="18"/>
          <w:szCs w:val="18"/>
          <w:color w:val="auto"/>
        </w:rPr>
        <w:t>The Company records expenses related to equity offerings as a reduction of capital upon completion of an offering of registered securities. The costs associated with renewals of the Company’s shelf registration statement are expensed as incurred.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Issuance Costs</w:t>
      </w:r>
    </w:p>
    <w:p>
      <w:pPr>
        <w:spacing w:after="0" w:line="117" w:lineRule="exact"/>
        <w:rPr>
          <w:sz w:val="20"/>
          <w:szCs w:val="20"/>
          <w:color w:val="auto"/>
        </w:rPr>
      </w:pPr>
    </w:p>
    <w:p>
      <w:pPr>
        <w:ind w:right="20" w:firstLine="259"/>
        <w:spacing w:after="0" w:line="264" w:lineRule="auto"/>
        <w:rPr>
          <w:sz w:val="20"/>
          <w:szCs w:val="20"/>
          <w:color w:val="auto"/>
        </w:rPr>
      </w:pPr>
      <w:r>
        <w:rPr>
          <w:rFonts w:ascii="Arial" w:cs="Arial" w:eastAsia="Arial" w:hAnsi="Arial"/>
          <w:sz w:val="18"/>
          <w:szCs w:val="18"/>
          <w:color w:val="auto"/>
        </w:rPr>
        <w:t>The Company records origination and other expenses related to its debt obligations as deferred financing costs, which are presented as a direct deduction from the carrying value of the related debt liability. These expenses are deferred and amortized using the effective interest method, or straight-line method, over the stated maturity of the obligation.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Dividend Income Recognition</w:t>
      </w:r>
    </w:p>
    <w:p>
      <w:pPr>
        <w:spacing w:after="0" w:line="117" w:lineRule="exact"/>
        <w:rPr>
          <w:sz w:val="20"/>
          <w:szCs w:val="20"/>
          <w:color w:val="auto"/>
        </w:rPr>
      </w:pPr>
    </w:p>
    <w:p>
      <w:pPr>
        <w:ind w:right="180" w:firstLine="259"/>
        <w:spacing w:after="0" w:line="286" w:lineRule="auto"/>
        <w:rPr>
          <w:sz w:val="20"/>
          <w:szCs w:val="20"/>
          <w:color w:val="auto"/>
        </w:rPr>
      </w:pPr>
      <w:r>
        <w:rPr>
          <w:rFonts w:ascii="Arial" w:cs="Arial" w:eastAsia="Arial" w:hAnsi="Arial"/>
          <w:sz w:val="17"/>
          <w:szCs w:val="17"/>
          <w:color w:val="auto"/>
        </w:rPr>
        <w:t>Interest income is recorded on an accrual basis and includes the amortization of discounts and premiums. Discounts and premiums to par value on securities purchased or originated are amortized into interest income over the contractual life of the respective security using the effective interest method. The amortized cost of investments represents the original cost adjusted for the amortization of discounts and premiums, if any.</w:t>
      </w:r>
    </w:p>
    <w:p>
      <w:pPr>
        <w:spacing w:after="0" w:line="166" w:lineRule="exact"/>
        <w:rPr>
          <w:sz w:val="20"/>
          <w:szCs w:val="20"/>
          <w:color w:val="auto"/>
        </w:rPr>
      </w:pPr>
    </w:p>
    <w:p>
      <w:pPr>
        <w:ind w:firstLine="259"/>
        <w:spacing w:after="0" w:line="277" w:lineRule="auto"/>
        <w:rPr>
          <w:sz w:val="20"/>
          <w:szCs w:val="20"/>
          <w:color w:val="auto"/>
        </w:rPr>
      </w:pPr>
      <w:r>
        <w:rPr>
          <w:rFonts w:ascii="Arial" w:cs="Arial" w:eastAsia="Arial" w:hAnsi="Arial"/>
          <w:sz w:val="18"/>
          <w:szCs w:val="18"/>
          <w:color w:val="auto"/>
        </w:rPr>
        <w:t>Unless providing services in connection with an investment, such as syndication, structuring or diligence, all or a portion of any loan fees received by the Company will be deferred and amortized over the investment’s life using the effective interest method.</w:t>
      </w:r>
    </w:p>
    <w:p>
      <w:pPr>
        <w:spacing w:after="0" w:line="170" w:lineRule="exact"/>
        <w:rPr>
          <w:sz w:val="20"/>
          <w:szCs w:val="20"/>
          <w:color w:val="auto"/>
        </w:rPr>
      </w:pPr>
    </w:p>
    <w:p>
      <w:pPr>
        <w:ind w:right="100" w:firstLine="259"/>
        <w:spacing w:after="0" w:line="273" w:lineRule="auto"/>
        <w:rPr>
          <w:sz w:val="20"/>
          <w:szCs w:val="20"/>
          <w:color w:val="auto"/>
        </w:rPr>
      </w:pPr>
      <w:r>
        <w:rPr>
          <w:rFonts w:ascii="Arial" w:cs="Arial" w:eastAsia="Arial" w:hAnsi="Arial"/>
          <w:sz w:val="17"/>
          <w:szCs w:val="17"/>
          <w:color w:val="auto"/>
        </w:rPr>
        <w:t>Loans are generally placed on non-accrual status when principal or interest payments are past due 30 days or more or when management has reasonable doubt that the borrower will pay principal or interest in full. Accrued and unpaid interest is generally reversed when a loan is placed on non-accrual status. Interest payments received on non-accrual loans may be recognized as income or applied to principal depending upon management’s judgment regarding collectability. Non-accrual loans are restored to accrual status when past due principal and interest has been paid and, in management’s judgment, the borrower is likely to make principal and interest payments in the future. Management may determine to not place a loan on non-accrual status if, notwithstanding any failure to pay, the loan has sufficient collateral value and is in the process of collection.</w:t>
      </w:r>
    </w:p>
    <w:p>
      <w:pPr>
        <w:spacing w:after="0" w:line="178" w:lineRule="exact"/>
        <w:rPr>
          <w:sz w:val="20"/>
          <w:szCs w:val="20"/>
          <w:color w:val="auto"/>
        </w:rPr>
      </w:pPr>
    </w:p>
    <w:p>
      <w:pPr>
        <w:ind w:right="60" w:firstLine="259"/>
        <w:spacing w:after="0" w:line="264" w:lineRule="auto"/>
        <w:rPr>
          <w:sz w:val="20"/>
          <w:szCs w:val="20"/>
          <w:color w:val="auto"/>
        </w:rPr>
      </w:pPr>
      <w:r>
        <w:rPr>
          <w:rFonts w:ascii="Arial" w:cs="Arial" w:eastAsia="Arial" w:hAnsi="Arial"/>
          <w:sz w:val="18"/>
          <w:szCs w:val="18"/>
          <w:color w:val="auto"/>
        </w:rPr>
        <w:t>Dividend income on preferred equity securities is recorded on an accrual basis to the extent that such amounts are payable by the portfolio company and are expected to be collected. Dividend income on common equity securities is recorded on the record date for private portfolio companies or on the ex-dividend date for publicly-traded portfolio companies.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117" w:lineRule="exact"/>
        <w:rPr>
          <w:sz w:val="20"/>
          <w:szCs w:val="20"/>
          <w:color w:val="auto"/>
        </w:rPr>
      </w:pPr>
    </w:p>
    <w:p>
      <w:pPr>
        <w:ind w:right="60" w:firstLine="259"/>
        <w:spacing w:after="0" w:line="264" w:lineRule="auto"/>
        <w:rPr>
          <w:sz w:val="20"/>
          <w:szCs w:val="20"/>
          <w:color w:val="auto"/>
        </w:rPr>
      </w:pPr>
      <w:r>
        <w:rPr>
          <w:rFonts w:ascii="Arial" w:cs="Arial" w:eastAsia="Arial" w:hAnsi="Arial"/>
          <w:sz w:val="18"/>
          <w:szCs w:val="18"/>
          <w:color w:val="auto"/>
        </w:rPr>
        <w:t>From time to time, the Company may receive fees for services provided to portfolio companies by the Adviser. The services that the Adviser provides vary by investment, but may include syndication, structuring, diligence fees, or other service-based fees, and fees for providing managerial assistance to our portfolio companies and are recognized as revenue when earned.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Reimbursement of Transaction-Related Expenses</w:t>
      </w:r>
    </w:p>
    <w:p>
      <w:pPr>
        <w:spacing w:after="0" w:line="117" w:lineRule="exact"/>
        <w:rPr>
          <w:sz w:val="20"/>
          <w:szCs w:val="20"/>
          <w:color w:val="auto"/>
        </w:rPr>
      </w:pPr>
    </w:p>
    <w:p>
      <w:pPr>
        <w:ind w:right="40" w:firstLine="259"/>
        <w:spacing w:after="0" w:line="259" w:lineRule="auto"/>
        <w:rPr>
          <w:sz w:val="20"/>
          <w:szCs w:val="20"/>
          <w:color w:val="auto"/>
        </w:rPr>
      </w:pPr>
      <w:r>
        <w:rPr>
          <w:rFonts w:ascii="Arial" w:cs="Arial" w:eastAsia="Arial" w:hAnsi="Arial"/>
          <w:sz w:val="18"/>
          <w:szCs w:val="18"/>
          <w:color w:val="auto"/>
        </w:rPr>
        <w:t>The Company may receive reimbursement for certain transaction-related expenses in pursuing investments. Transaction-related expenses, which are expected to be reimbursed by third parties, are typically deferred until the transaction is consummated and are recorded in Prepaid expenses and other assets on the date incurred. The transaction-related costs of pursuing investments not otherwise reimbursed are borne by the Company and for successfully completed investments included as a component of the investment’s cost basis.</w:t>
      </w:r>
    </w:p>
    <w:p>
      <w:pPr>
        <w:spacing w:after="0" w:line="18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240" w:top="557" w:right="359" w:bottom="1440" w:gutter="0" w:footer="0" w:header="0"/>
        </w:sectPr>
      </w:pPr>
    </w:p>
    <w:bookmarkStart w:id="23" w:name="page24"/>
    <w:bookmarkEnd w:id="23"/>
    <w:p>
      <w:pPr>
        <w:ind w:right="80" w:firstLine="259"/>
        <w:spacing w:after="0" w:line="277" w:lineRule="auto"/>
        <w:rPr>
          <w:sz w:val="20"/>
          <w:szCs w:val="20"/>
          <w:color w:val="auto"/>
        </w:rPr>
      </w:pPr>
      <w:r>
        <w:rPr>
          <w:rFonts w:ascii="Arial" w:cs="Arial" w:eastAsia="Arial" w:hAnsi="Arial"/>
          <w:sz w:val="18"/>
          <w:szCs w:val="18"/>
          <w:color w:val="auto"/>
        </w:rPr>
        <w:t>Cash advances received in respect of transaction-related expenses are recorded as cash and cash equivalents with an offset to Other liabilities or Payables to affiliates. Other liabilities or Payables to affiliates are relieved as reimbursable expenses are incurred.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right="60" w:firstLine="259"/>
        <w:spacing w:after="0" w:line="259" w:lineRule="auto"/>
        <w:rPr>
          <w:sz w:val="20"/>
          <w:szCs w:val="20"/>
          <w:color w:val="auto"/>
        </w:rPr>
      </w:pPr>
      <w:r>
        <w:rPr>
          <w:rFonts w:ascii="Arial" w:cs="Arial" w:eastAsia="Arial" w:hAnsi="Arial"/>
          <w:sz w:val="18"/>
          <w:szCs w:val="18"/>
          <w:color w:val="auto"/>
        </w:rPr>
        <w:t>The Company has elected to be treated as a RIC under the Internal Revenue Code. So long as the Company maintains its status as a RIC, it will generally not pay corporate-level U.S. federal income or excise taxes on any ordinary income or capital gains that it distributes at least annually to its stockholders as dividends. As a result, any tax liability related to income earned and distributed by the Company represents obligations of the Company’s stockholders and will not be reflected in the consolidated financial statements of the Company.</w:t>
      </w:r>
    </w:p>
    <w:p>
      <w:pPr>
        <w:spacing w:after="0" w:line="187" w:lineRule="exact"/>
        <w:rPr>
          <w:sz w:val="20"/>
          <w:szCs w:val="20"/>
          <w:color w:val="auto"/>
        </w:rPr>
      </w:pPr>
    </w:p>
    <w:p>
      <w:pPr>
        <w:ind w:right="40" w:firstLine="259"/>
        <w:spacing w:after="0" w:line="257" w:lineRule="auto"/>
        <w:rPr>
          <w:sz w:val="20"/>
          <w:szCs w:val="20"/>
          <w:color w:val="auto"/>
        </w:rPr>
      </w:pPr>
      <w:r>
        <w:rPr>
          <w:rFonts w:ascii="Arial" w:cs="Arial" w:eastAsia="Arial" w:hAnsi="Arial"/>
          <w:sz w:val="18"/>
          <w:szCs w:val="18"/>
          <w:color w:val="auto"/>
        </w:rPr>
        <w:t>The Company evaluates tax positions taken or expected to be taken in the course of preparing its financial statements to determine whether the tax positions are “more-likely-than-not” to be sustained by the applicable tax authority. Tax positions not deemed to meet the “more-likely-than-not” threshold are reserved and recorded as a tax benefit or expense in the current year. All penalties and interest associated with income taxes are included in income tax expense. Conclusions regarding tax positions are subject to review and may be adjusted at a later date based on factors including, but not limited to, on-going analyses of tax laws, regulations and interpretations thereof.</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 to Common Stockholders</w:t>
      </w:r>
    </w:p>
    <w:p>
      <w:pPr>
        <w:spacing w:after="0" w:line="117" w:lineRule="exact"/>
        <w:rPr>
          <w:sz w:val="20"/>
          <w:szCs w:val="20"/>
          <w:color w:val="auto"/>
        </w:rPr>
      </w:pPr>
    </w:p>
    <w:p>
      <w:pPr>
        <w:ind w:right="40" w:firstLine="259"/>
        <w:spacing w:after="0" w:line="308" w:lineRule="auto"/>
        <w:rPr>
          <w:sz w:val="20"/>
          <w:szCs w:val="20"/>
          <w:color w:val="auto"/>
        </w:rPr>
      </w:pPr>
      <w:r>
        <w:rPr>
          <w:rFonts w:ascii="Arial" w:cs="Arial" w:eastAsia="Arial" w:hAnsi="Arial"/>
          <w:sz w:val="17"/>
          <w:szCs w:val="17"/>
          <w:color w:val="auto"/>
        </w:rPr>
        <w:t>The amount to be paid out as a dividend is determined by the Board and is generally based upon the earnings estimated by the Adviser. Net realized long-term capital gains, if any, would generally be distributed at least annually, although the Company may decide to retain such capital gains.</w:t>
      </w:r>
    </w:p>
    <w:p>
      <w:pPr>
        <w:spacing w:after="0" w:line="147" w:lineRule="exact"/>
        <w:rPr>
          <w:sz w:val="20"/>
          <w:szCs w:val="20"/>
          <w:color w:val="auto"/>
        </w:rPr>
      </w:pPr>
    </w:p>
    <w:p>
      <w:pPr>
        <w:ind w:firstLine="259"/>
        <w:spacing w:after="0" w:line="279" w:lineRule="auto"/>
        <w:rPr>
          <w:sz w:val="20"/>
          <w:szCs w:val="20"/>
          <w:color w:val="auto"/>
        </w:rPr>
      </w:pPr>
      <w:r>
        <w:rPr>
          <w:rFonts w:ascii="Arial" w:cs="Arial" w:eastAsia="Arial" w:hAnsi="Arial"/>
          <w:sz w:val="17"/>
          <w:szCs w:val="17"/>
          <w:color w:val="auto"/>
        </w:rPr>
        <w:t>The Company has adopted a dividend reinvestment plan that provides for reinvestment of any dividends declared in cash on behalf of stockholders, unless a stockholder elects to receive cash. As a result, if the Board authorizes, and it declares, a cash dividend, then the stockholders who have not “opted out” of the dividend reinvestment plan will have their cash dividends automatically reinvested in additional shares of the Company’s common stock, rather than receiving the cash dividend. The Company expects to use newly issued shares to satisfy the dividend reinvestment plan.</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w:t>
      </w:r>
    </w:p>
    <w:p>
      <w:pPr>
        <w:spacing w:after="0" w:line="117" w:lineRule="exact"/>
        <w:rPr>
          <w:sz w:val="20"/>
          <w:szCs w:val="20"/>
          <w:color w:val="auto"/>
        </w:rPr>
      </w:pPr>
    </w:p>
    <w:p>
      <w:pPr>
        <w:ind w:right="20" w:firstLine="259"/>
        <w:spacing w:after="0" w:line="273" w:lineRule="auto"/>
        <w:rPr>
          <w:sz w:val="20"/>
          <w:szCs w:val="20"/>
          <w:color w:val="auto"/>
        </w:rPr>
      </w:pPr>
      <w:r>
        <w:rPr>
          <w:rFonts w:ascii="Arial" w:cs="Arial" w:eastAsia="Arial" w:hAnsi="Arial"/>
          <w:sz w:val="17"/>
          <w:szCs w:val="17"/>
          <w:color w:val="auto"/>
        </w:rPr>
        <w:t>In August 2018, the Financial Accounting Standards Board issued Accounting Standards Update 2018-13 (“ASU 2018-13”) “Fair Value Measurement (Topic 820): Disclosure Framework – Changes to the Disclosure Requirements for Fair Value Measurement.” This guidance modifies the disclosure requirements on fair value measurements in ASC Topic 820, by eliminating, amending, and adding certain disclosure requirements. ASU 2018-13 is effective for financial statements issued for fiscal years beginning after December 15, 2019, including interim periods within those fiscal years. Early adoption is permitted for any period for which financial statements have not yet been issued or have not yet been made available for issuance. The Company is currently evaluating the impact, if any, of adopting this ASU on our financial statements.</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Agreements and Related Party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Administration Agreement</w:t>
      </w:r>
    </w:p>
    <w:p>
      <w:pPr>
        <w:spacing w:after="0" w:line="117" w:lineRule="exact"/>
        <w:rPr>
          <w:sz w:val="20"/>
          <w:szCs w:val="20"/>
          <w:color w:val="auto"/>
        </w:rPr>
      </w:pPr>
    </w:p>
    <w:p>
      <w:pPr>
        <w:ind w:firstLine="259"/>
        <w:spacing w:after="0" w:line="273" w:lineRule="auto"/>
        <w:rPr>
          <w:sz w:val="20"/>
          <w:szCs w:val="20"/>
          <w:color w:val="auto"/>
        </w:rPr>
      </w:pPr>
      <w:r>
        <w:rPr>
          <w:rFonts w:ascii="Arial" w:cs="Arial" w:eastAsia="Arial" w:hAnsi="Arial"/>
          <w:sz w:val="17"/>
          <w:szCs w:val="17"/>
          <w:color w:val="auto"/>
        </w:rPr>
        <w:t>On March 15, 2011, the Company entered into the Administration Agreement with the Adviser. Under the terms of the Administration Agreement, the Adviser provides administrative services to the Company. These services include providing office space, equipment and office services, maintaining financial records, preparing reports to stockholders and reports filed with the SEC, and managing the payment of expenses and the oversight of the performance of administrative and professional services rendered by others. Certain of these services are reimbursable to the Adviser under the terms of the Administration Agreement. In addition, the Adviser is permitted to delegate its duties under the Administration Agreement to affiliates or third parties and the Company pays or reimburses the Adviser for certain expenses incurred by any such affiliates or third parties for work done on its behalf.</w:t>
      </w:r>
    </w:p>
    <w:p>
      <w:pPr>
        <w:spacing w:after="0" w:line="178" w:lineRule="exact"/>
        <w:rPr>
          <w:sz w:val="20"/>
          <w:szCs w:val="20"/>
          <w:color w:val="auto"/>
        </w:rPr>
      </w:pPr>
    </w:p>
    <w:p>
      <w:pPr>
        <w:ind w:right="340" w:firstLine="259"/>
        <w:spacing w:after="0" w:line="264" w:lineRule="auto"/>
        <w:rPr>
          <w:sz w:val="20"/>
          <w:szCs w:val="20"/>
          <w:color w:val="auto"/>
        </w:rPr>
      </w:pPr>
      <w:r>
        <w:rPr>
          <w:rFonts w:ascii="Arial" w:cs="Arial" w:eastAsia="Arial" w:hAnsi="Arial"/>
          <w:sz w:val="18"/>
          <w:szCs w:val="18"/>
          <w:color w:val="auto"/>
        </w:rPr>
        <w:t>In February 2017, the Board of Directors of the Company and the Adviser entered into an amended and restated administration agreement (the “Administration Agreement”) reflecting certain clarifications to the agreement to provide greater detail regarding the scope of the reimbursable costs and expenses of the Administrator’s services.</w:t>
      </w:r>
    </w:p>
    <w:p>
      <w:pPr>
        <w:spacing w:after="0" w:line="181" w:lineRule="exact"/>
        <w:rPr>
          <w:sz w:val="20"/>
          <w:szCs w:val="20"/>
          <w:color w:val="auto"/>
        </w:rPr>
      </w:pPr>
    </w:p>
    <w:p>
      <w:pPr>
        <w:jc w:val="both"/>
        <w:ind w:right="80" w:firstLine="259"/>
        <w:spacing w:after="0" w:line="264" w:lineRule="auto"/>
        <w:rPr>
          <w:sz w:val="20"/>
          <w:szCs w:val="20"/>
          <w:color w:val="auto"/>
        </w:rPr>
      </w:pPr>
      <w:r>
        <w:rPr>
          <w:rFonts w:ascii="Arial" w:cs="Arial" w:eastAsia="Arial" w:hAnsi="Arial"/>
          <w:sz w:val="18"/>
          <w:szCs w:val="18"/>
          <w:color w:val="auto"/>
        </w:rPr>
        <w:t>In November 2018, the Board renewed the Administration Agreement. Unless earlier terminated as described below, the Administration Agreement will remain in effect until November 2019, and may be extended subject to required approvals. The Administration Agreement may be terminated by either party without penalty on 60 days’ written notice to the other party.</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24" w:name="page25"/>
    <w:bookmarkEnd w:id="24"/>
    <w:p>
      <w:pPr>
        <w:ind w:right="20" w:firstLine="259"/>
        <w:spacing w:after="0" w:line="269" w:lineRule="auto"/>
        <w:rPr>
          <w:sz w:val="20"/>
          <w:szCs w:val="20"/>
          <w:color w:val="auto"/>
        </w:rPr>
      </w:pPr>
      <w:r>
        <w:rPr>
          <w:rFonts w:ascii="Arial" w:cs="Arial" w:eastAsia="Arial" w:hAnsi="Arial"/>
          <w:sz w:val="17"/>
          <w:szCs w:val="17"/>
          <w:color w:val="auto"/>
        </w:rPr>
        <w:t>No person who is an officer, director or employee of the Adviser or its affiliates and who serves as a director of the Company receives any compensation from the Company for his or her services as a director. However, the Company reimburses the Adviser (or its affiliates) for the allocable portion of the costs of compensation, benefits, and related administrative expenses of our officers who provide operational and administrative services to us pursuant to the Administration Agreement, their respective staffs and other professionals who provide services to us (including, in each case, employees of the Adviser or an affiliate). Such reimbursable amounts include the allocable portion of the compensation paid by the Adviser or its affiliates to the Company’s Chief Compliance Officer, Chief Financial Officer, and other professionals who provide operational and administrative services to us pursuant to the Administration Agreement, including individuals who provide “back office” or “middle office” financial, operational, legal and/or compliance services to us. The Company reimburses the Adviser (or its affiliates) for the allocable portion of the compensation paid by the Adviser (or its affiliates) to such individuals based on the percentage of time those individuals devote, on an estimated basis, to the business and affairs of the Company and in acting on behalf of the Company. The Company may also reimburse the Adviser or its affiliates for the allocable portion of overhead expenses (including rent, office equipment and utilities) attributable thereto. Directors who are not affiliated with the Adviser receive compensation for their services and reimbursement of expenses incurred to attend meetings.</w:t>
      </w:r>
    </w:p>
    <w:p>
      <w:pPr>
        <w:spacing w:after="0" w:line="180" w:lineRule="exact"/>
        <w:rPr>
          <w:sz w:val="20"/>
          <w:szCs w:val="20"/>
          <w:color w:val="auto"/>
        </w:rPr>
      </w:pPr>
    </w:p>
    <w:p>
      <w:pPr>
        <w:ind w:right="220" w:firstLine="259"/>
        <w:spacing w:after="0" w:line="277" w:lineRule="auto"/>
        <w:rPr>
          <w:sz w:val="20"/>
          <w:szCs w:val="20"/>
          <w:color w:val="auto"/>
        </w:rPr>
      </w:pPr>
      <w:r>
        <w:rPr>
          <w:rFonts w:ascii="Arial" w:cs="Arial" w:eastAsia="Arial" w:hAnsi="Arial"/>
          <w:sz w:val="18"/>
          <w:szCs w:val="18"/>
          <w:color w:val="auto"/>
        </w:rPr>
        <w:t>For the three months ended March 31, 2019 and 2018, the Company incurred expenses of $1.1 million and $0.9 million, respectively, for administrative services payable to the Adviser under the terms of the Administration Agreement.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Advisory Agreement</w:t>
      </w:r>
    </w:p>
    <w:p>
      <w:pPr>
        <w:spacing w:after="0" w:line="117" w:lineRule="exact"/>
        <w:rPr>
          <w:sz w:val="20"/>
          <w:szCs w:val="20"/>
          <w:color w:val="auto"/>
        </w:rPr>
      </w:pPr>
    </w:p>
    <w:p>
      <w:pPr>
        <w:ind w:right="80" w:firstLine="259"/>
        <w:spacing w:after="0" w:line="257" w:lineRule="auto"/>
        <w:rPr>
          <w:sz w:val="20"/>
          <w:szCs w:val="20"/>
          <w:color w:val="auto"/>
        </w:rPr>
      </w:pPr>
      <w:r>
        <w:rPr>
          <w:rFonts w:ascii="Arial" w:cs="Arial" w:eastAsia="Arial" w:hAnsi="Arial"/>
          <w:sz w:val="18"/>
          <w:szCs w:val="18"/>
          <w:color w:val="auto"/>
        </w:rPr>
        <w:t>On April 15, 2011, the Company entered into the Investment Advisory Agreement with the Adviser. The Investment Advisory Agreement was subsequently amended on December 12, 2011. Under the terms of the Investment Advisory Agreement, the Adviser provides investment advisory services to the Company. The Adviser’s services under the Investment Advisory Agreement are not exclusive, and the Adviser is free to furnish similar or other services to others so long as its services to the Company are not impaired. Under the terms of the Investment Advisory Agreement, the Company will pay the Adviser the Management Fee and may also pay certain Incentive Fees.</w:t>
      </w:r>
    </w:p>
    <w:p>
      <w:pPr>
        <w:spacing w:after="0" w:line="188" w:lineRule="exact"/>
        <w:rPr>
          <w:sz w:val="20"/>
          <w:szCs w:val="20"/>
          <w:color w:val="auto"/>
        </w:rPr>
      </w:pPr>
    </w:p>
    <w:p>
      <w:pPr>
        <w:ind w:right="80" w:firstLine="259"/>
        <w:spacing w:after="0" w:line="264" w:lineRule="auto"/>
        <w:rPr>
          <w:sz w:val="20"/>
          <w:szCs w:val="20"/>
          <w:color w:val="auto"/>
        </w:rPr>
      </w:pPr>
      <w:r>
        <w:rPr>
          <w:rFonts w:ascii="Arial" w:cs="Arial" w:eastAsia="Arial" w:hAnsi="Arial"/>
          <w:sz w:val="18"/>
          <w:szCs w:val="18"/>
          <w:color w:val="auto"/>
        </w:rPr>
        <w:t>The Management Fee is calculated at an annual rate of 1.5% based on the average value of the Company’s gross assets calculated using the values at the end of the two most recently completed calendar quarters, adjusted for any share issuances or repurchases during the period. The Management Fee is payable quarterly in arrears.</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For the three months ended March 31, 2019 and 2018 Management Fees (gross of waivers) were $6.6 million and $6.7 million, respectively.</w:t>
      </w:r>
    </w:p>
    <w:p>
      <w:pPr>
        <w:spacing w:after="0" w:line="225" w:lineRule="exact"/>
        <w:rPr>
          <w:sz w:val="20"/>
          <w:szCs w:val="20"/>
          <w:color w:val="auto"/>
        </w:rPr>
      </w:pPr>
    </w:p>
    <w:p>
      <w:pPr>
        <w:ind w:right="180" w:firstLine="259"/>
        <w:spacing w:after="0" w:line="264" w:lineRule="auto"/>
        <w:rPr>
          <w:sz w:val="20"/>
          <w:szCs w:val="20"/>
          <w:color w:val="auto"/>
        </w:rPr>
      </w:pPr>
      <w:r>
        <w:rPr>
          <w:rFonts w:ascii="Arial" w:cs="Arial" w:eastAsia="Arial" w:hAnsi="Arial"/>
          <w:sz w:val="18"/>
          <w:szCs w:val="18"/>
          <w:color w:val="auto"/>
        </w:rPr>
        <w:t>The Adviser voluntarily waived the Management Fee on the Company’s ownership of shares of common stock in Triangle Capital Corp. (the “TCAP Shares”) for any period in which Triangle Capital Corp. remained a portfolio company. As of June 30, 2018 the Company had fully exited its position in the TCAP Shares.</w:t>
      </w:r>
    </w:p>
    <w:p>
      <w:pPr>
        <w:spacing w:after="0" w:line="181" w:lineRule="exact"/>
        <w:rPr>
          <w:sz w:val="20"/>
          <w:szCs w:val="20"/>
          <w:color w:val="auto"/>
        </w:rPr>
      </w:pPr>
    </w:p>
    <w:p>
      <w:pPr>
        <w:ind w:right="180" w:firstLine="259"/>
        <w:spacing w:after="0" w:line="277" w:lineRule="auto"/>
        <w:rPr>
          <w:sz w:val="20"/>
          <w:szCs w:val="20"/>
          <w:color w:val="auto"/>
        </w:rPr>
      </w:pPr>
      <w:r>
        <w:rPr>
          <w:rFonts w:ascii="Arial" w:cs="Arial" w:eastAsia="Arial" w:hAnsi="Arial"/>
          <w:sz w:val="18"/>
          <w:szCs w:val="18"/>
          <w:color w:val="auto"/>
        </w:rPr>
        <w:t>For the three months ended March 31, 2018, Management Fees of less than $0.1 million were waived consisting solely of Management Fees attributable to the Company’s ownership of the TCAP Shares.</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Any waived Management Fees are not subject to recoupment by the Adviser.</w:t>
      </w:r>
    </w:p>
    <w:p>
      <w:pPr>
        <w:spacing w:after="0" w:line="225" w:lineRule="exact"/>
        <w:rPr>
          <w:sz w:val="20"/>
          <w:szCs w:val="20"/>
          <w:color w:val="auto"/>
        </w:rPr>
      </w:pPr>
    </w:p>
    <w:p>
      <w:pPr>
        <w:ind w:firstLine="259"/>
        <w:spacing w:after="0" w:line="255" w:lineRule="auto"/>
        <w:rPr>
          <w:sz w:val="20"/>
          <w:szCs w:val="20"/>
          <w:color w:val="auto"/>
        </w:rPr>
      </w:pPr>
      <w:r>
        <w:rPr>
          <w:rFonts w:ascii="Arial" w:cs="Arial" w:eastAsia="Arial" w:hAnsi="Arial"/>
          <w:sz w:val="18"/>
          <w:szCs w:val="18"/>
          <w:color w:val="auto"/>
        </w:rPr>
        <w:t>The Adviser intends to waive a portion of the Management Fee payable under the Investment Advisory Agreement by reducing the Management Fee on assets financed using leverage over 200% asset coverage (in other words, over 1.0x debt to equity) (the “Leverage Waiver”). Pursuant to the Leverage Waiver, the Adviser intends to waive the portion of the Management Fee in excess of an annual rate of 1.0% (0.250% per quarter) on the average value of the Company’s gross assets as of the end of the two most recently completed calendar quarters that exceeds the product of (i) 200% and (ii) the average value of our net asset value at the end of the two most recently completed calendar quarters. As of March 31, 2019, no Management Fees have been waived pursuant to the Leverage Waiver.</w:t>
      </w:r>
    </w:p>
    <w:p>
      <w:pPr>
        <w:spacing w:after="0" w:line="19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Incentive Fee consists of two parts, as follows:</w:t>
      </w:r>
    </w:p>
    <w:p>
      <w:pPr>
        <w:spacing w:after="0" w:line="117" w:lineRule="exact"/>
        <w:rPr>
          <w:sz w:val="20"/>
          <w:szCs w:val="20"/>
          <w:color w:val="auto"/>
        </w:rPr>
      </w:pPr>
    </w:p>
    <w:p>
      <w:pPr>
        <w:ind w:left="520" w:right="120" w:hanging="255"/>
        <w:spacing w:after="0" w:line="291" w:lineRule="auto"/>
        <w:tabs>
          <w:tab w:leader="none" w:pos="5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first component, payable at the end of each quarter in arrears, equals 100% of the pre-Incentive Fee net investment income in excess of a 1.5% quarterly “hurdle rate,” the calculation of which is further explained below, until the Adviser has received 17.5% of the total pre-Incentive Fee net investment income for that quarter and, for pre-Incentive Fee net investment income in excess of 1.82% quarterly, 17.5% of all remaining pre-Incentive Fee net investment income for that quarter. The 100% “catch-up” provision for pre-Incentive Fee net investment income in excess of the 1.5% “hurdle rate” is intended to provide the Adviser with an Incentive Fee of 17.5% on all pre-Incentive Fee net investment income when that amount equals 1.82% in a quarter (7.28% annualized), which is the rate at which catch-up is achieved. Once the “hurdle rate” is reached and catch-up is achieved, 17.5% of any pre-Incentive Fee net investment income in excess of 1.82% in any quarter is payable to the Adviser.</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5" w:name="page26"/>
    <w:bookmarkEnd w:id="25"/>
    <w:p>
      <w:pPr>
        <w:ind w:left="520" w:right="20"/>
        <w:spacing w:after="0" w:line="293" w:lineRule="auto"/>
        <w:rPr>
          <w:sz w:val="20"/>
          <w:szCs w:val="20"/>
          <w:color w:val="auto"/>
        </w:rPr>
      </w:pPr>
      <w:r>
        <w:rPr>
          <w:rFonts w:ascii="Arial" w:cs="Arial" w:eastAsia="Arial" w:hAnsi="Arial"/>
          <w:sz w:val="16"/>
          <w:szCs w:val="16"/>
          <w:color w:val="auto"/>
        </w:rPr>
        <w:t>Pre-Incentive Fee net investment income means dividends, interest and fee income accrued by the Company during the calendar quarter, minus the Company’s operating expenses for the quarter (including the Management Fee, expenses payable under the Administration Agreement to the Administrator,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pay-in-kind interest and zero coupon securities), accrued income that the Company may not have received in cash. Pre-Incentive Fee net investment income does not include any realized capital gains, realized capital losses or unrealized capital gains or losses.</w:t>
      </w:r>
    </w:p>
    <w:p>
      <w:pPr>
        <w:spacing w:after="0" w:line="57" w:lineRule="exact"/>
        <w:rPr>
          <w:sz w:val="20"/>
          <w:szCs w:val="20"/>
          <w:color w:val="auto"/>
        </w:rPr>
      </w:pPr>
    </w:p>
    <w:p>
      <w:pPr>
        <w:ind w:left="520" w:hanging="255"/>
        <w:spacing w:after="0" w:line="289" w:lineRule="auto"/>
        <w:tabs>
          <w:tab w:leader="none" w:pos="5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second component, payable at the end of each fiscal year in arrears, equaled 15% through March 31, 2014 and, beginning April 1, 2014, equals a weighted percentage of cumulative realized capital gains from the Company’s inception to the end of that fiscal year, less cumulative realized capital losses and unrealized capital losses. This component of the Incentive Fee is referred to as the Capital Gains Fee. Each year, the fee paid for this component of the Incentive Fee is net of the aggregate amount of any previously paid Capital Gains Fee for prior periods. For capital gains that accrue following March 31, 2014, the Incentive Fee rate is 17.5%. The Company accrues, but does not pay, a capital gains Incentive Fee with respect to unrealized capital gains because a capital gains Incentive Fee would be owed to the Adviser if the Company were to sell the relevant investment and realize a capital gain. The weighted percentage is intended to ensure that for each fiscal year following the completion of the IPO, the portion of the Company’s realized capital gains that accrued prior to March 31, 2014, is subject to an Incentive Fee rate of 15% and the portion of the Company’s realized capital gains that accrued beginning April 1, 2014 is subject to an Incentive Fee rate of 17.5%.</w:t>
      </w:r>
    </w:p>
    <w:p>
      <w:pPr>
        <w:spacing w:after="0" w:line="167" w:lineRule="exact"/>
        <w:rPr>
          <w:sz w:val="20"/>
          <w:szCs w:val="20"/>
          <w:color w:val="auto"/>
        </w:rPr>
      </w:pPr>
    </w:p>
    <w:p>
      <w:pPr>
        <w:ind w:right="540" w:firstLine="259"/>
        <w:spacing w:after="0" w:line="308" w:lineRule="auto"/>
        <w:rPr>
          <w:sz w:val="20"/>
          <w:szCs w:val="20"/>
          <w:color w:val="auto"/>
        </w:rPr>
      </w:pPr>
      <w:r>
        <w:rPr>
          <w:rFonts w:ascii="Arial" w:cs="Arial" w:eastAsia="Arial" w:hAnsi="Arial"/>
          <w:sz w:val="17"/>
          <w:szCs w:val="17"/>
          <w:color w:val="auto"/>
        </w:rPr>
        <w:t>For purposes of determining whether pre-Incentive Fee net investment income exceeds the hurdle rate, pre-Incentive Fee net investment income is expressed as a rate of return on the value of the Company’s net assets at the end of the immediately preceding calendar quarter.</w:t>
      </w:r>
    </w:p>
    <w:p>
      <w:pPr>
        <w:spacing w:after="0" w:line="147" w:lineRule="exact"/>
        <w:rPr>
          <w:sz w:val="20"/>
          <w:szCs w:val="20"/>
          <w:color w:val="auto"/>
        </w:rPr>
      </w:pPr>
    </w:p>
    <w:p>
      <w:pPr>
        <w:ind w:firstLine="259"/>
        <w:spacing w:after="0" w:line="277" w:lineRule="auto"/>
        <w:rPr>
          <w:sz w:val="20"/>
          <w:szCs w:val="20"/>
          <w:color w:val="auto"/>
        </w:rPr>
      </w:pPr>
      <w:r>
        <w:rPr>
          <w:rFonts w:ascii="Arial" w:cs="Arial" w:eastAsia="Arial" w:hAnsi="Arial"/>
          <w:sz w:val="18"/>
          <w:szCs w:val="18"/>
          <w:color w:val="auto"/>
        </w:rPr>
        <w:t>Section 205(b)(3) of the Investment Advisers Act of 1940, as amended, prohibits the Adviser from receiving the payment of fees on unrealized gains until those gains are realized, if ever. There can be no assurance that such unrealized gains will be realized in the future.</w:t>
      </w:r>
    </w:p>
    <w:p>
      <w:pPr>
        <w:spacing w:after="0" w:line="170" w:lineRule="exact"/>
        <w:rPr>
          <w:sz w:val="20"/>
          <w:szCs w:val="20"/>
          <w:color w:val="auto"/>
        </w:rPr>
      </w:pPr>
    </w:p>
    <w:p>
      <w:pPr>
        <w:ind w:right="300" w:firstLine="259"/>
        <w:spacing w:after="0" w:line="277" w:lineRule="auto"/>
        <w:rPr>
          <w:sz w:val="20"/>
          <w:szCs w:val="20"/>
          <w:color w:val="auto"/>
        </w:rPr>
      </w:pPr>
      <w:r>
        <w:rPr>
          <w:rFonts w:ascii="Arial" w:cs="Arial" w:eastAsia="Arial" w:hAnsi="Arial"/>
          <w:sz w:val="18"/>
          <w:szCs w:val="18"/>
          <w:color w:val="auto"/>
        </w:rPr>
        <w:t>For the three months ended March 31, 2019 and 2018, Incentive Fees (gross of waivers) were $5.7 million and $6.6 million, respectively, all of which were realized and payable to the Adviser.</w:t>
      </w:r>
    </w:p>
    <w:p>
      <w:pPr>
        <w:spacing w:after="0" w:line="170" w:lineRule="exact"/>
        <w:rPr>
          <w:sz w:val="20"/>
          <w:szCs w:val="20"/>
          <w:color w:val="auto"/>
        </w:rPr>
      </w:pPr>
    </w:p>
    <w:p>
      <w:pPr>
        <w:ind w:firstLine="259"/>
        <w:spacing w:after="0" w:line="257" w:lineRule="auto"/>
        <w:rPr>
          <w:sz w:val="20"/>
          <w:szCs w:val="20"/>
          <w:color w:val="auto"/>
        </w:rPr>
      </w:pPr>
      <w:r>
        <w:rPr>
          <w:rFonts w:ascii="Arial" w:cs="Arial" w:eastAsia="Arial" w:hAnsi="Arial"/>
          <w:sz w:val="18"/>
          <w:szCs w:val="18"/>
          <w:color w:val="auto"/>
        </w:rPr>
        <w:t>The Adviser voluntarily waived the Incentive Fees attributable to pre-Incentive Fee net investment income accrued by the Company as a result of its ownership of the TCAP Shares for any period in which Triangle Capital Corp. remained the Company’s portfolio company. The Adviser has not waived any part of the Capital Gains Fee attributable to the Company’s ownership of the TCAP Shares and, accordingly, any realized capital gains or losses and unrealized capital depreciation with respect to the TCAP Shares will be applied against the Company’s cumulative realized capital gains on which the Capital Gains Fee is calculated.</w:t>
      </w:r>
    </w:p>
    <w:p>
      <w:pPr>
        <w:spacing w:after="0" w:line="188" w:lineRule="exact"/>
        <w:rPr>
          <w:sz w:val="20"/>
          <w:szCs w:val="20"/>
          <w:color w:val="auto"/>
        </w:rPr>
      </w:pPr>
    </w:p>
    <w:p>
      <w:pPr>
        <w:jc w:val="both"/>
        <w:ind w:right="40" w:firstLine="259"/>
        <w:spacing w:after="0" w:line="264" w:lineRule="auto"/>
        <w:rPr>
          <w:sz w:val="20"/>
          <w:szCs w:val="20"/>
          <w:color w:val="auto"/>
        </w:rPr>
      </w:pPr>
      <w:r>
        <w:rPr>
          <w:rFonts w:ascii="Arial" w:cs="Arial" w:eastAsia="Arial" w:hAnsi="Arial"/>
          <w:sz w:val="18"/>
          <w:szCs w:val="18"/>
          <w:color w:val="auto"/>
        </w:rPr>
        <w:t>The Adviser did not waive any Incentive Fees for the three months ended March 31, 2019. For the three months ended March 31, 2018, Incentive Fees of less than $0.1 million were waived, consisting solely of Incentive Fees attributable to the Company’s ownership of the TCAP Shares. Any waived Incentive Fees are not subject to recoupment by the Adviser.</w:t>
      </w:r>
    </w:p>
    <w:p>
      <w:pPr>
        <w:spacing w:after="0" w:line="181" w:lineRule="exact"/>
        <w:rPr>
          <w:sz w:val="20"/>
          <w:szCs w:val="20"/>
          <w:color w:val="auto"/>
        </w:rPr>
      </w:pPr>
    </w:p>
    <w:p>
      <w:pPr>
        <w:ind w:right="80" w:firstLine="259"/>
        <w:spacing w:after="0" w:line="264" w:lineRule="auto"/>
        <w:rPr>
          <w:sz w:val="20"/>
          <w:szCs w:val="20"/>
          <w:color w:val="auto"/>
        </w:rPr>
      </w:pPr>
      <w:r>
        <w:rPr>
          <w:rFonts w:ascii="Arial" w:cs="Arial" w:eastAsia="Arial" w:hAnsi="Arial"/>
          <w:sz w:val="18"/>
          <w:szCs w:val="18"/>
          <w:color w:val="auto"/>
        </w:rPr>
        <w:t>Since the Company’s IPO, with the exception of its waiver of Management Fees and certain Incentive Fees attributable to the Company’s ownership of certain investments, including the TCAP Shares and the Leverage Waiver, the Adviser has not waived its right to receive any Management Fees or Incentive Fees payable pursuant to the Investment Advisory Agreement.</w:t>
      </w:r>
    </w:p>
    <w:p>
      <w:pPr>
        <w:spacing w:after="0" w:line="181" w:lineRule="exact"/>
        <w:rPr>
          <w:sz w:val="20"/>
          <w:szCs w:val="20"/>
          <w:color w:val="auto"/>
        </w:rPr>
      </w:pPr>
    </w:p>
    <w:p>
      <w:pPr>
        <w:ind w:right="120" w:firstLine="259"/>
        <w:spacing w:after="0" w:line="312" w:lineRule="auto"/>
        <w:rPr>
          <w:sz w:val="20"/>
          <w:szCs w:val="20"/>
          <w:color w:val="auto"/>
        </w:rPr>
      </w:pPr>
      <w:r>
        <w:rPr>
          <w:rFonts w:ascii="Arial" w:cs="Arial" w:eastAsia="Arial" w:hAnsi="Arial"/>
          <w:sz w:val="16"/>
          <w:szCs w:val="16"/>
          <w:color w:val="auto"/>
        </w:rPr>
        <w:t>In November 2018, the Board renewed the Investment Advisory Agreement. Unless earlier terminated as described below, the Investment Advisory Agreement will remain in effect until November 2019, and may be extended subject to required approvals. The Investment Advisory Agreement will automatically terminate in the event of an assignment and may be terminated by either party without penalty upon 60 days’ written notice to the other party.</w:t>
      </w:r>
    </w:p>
    <w:p>
      <w:pPr>
        <w:spacing w:after="0" w:line="147" w:lineRule="exact"/>
        <w:rPr>
          <w:sz w:val="20"/>
          <w:szCs w:val="20"/>
          <w:color w:val="auto"/>
        </w:rPr>
      </w:pPr>
    </w:p>
    <w:p>
      <w:pPr>
        <w:ind w:right="200" w:firstLine="259"/>
        <w:spacing w:after="0" w:line="264" w:lineRule="auto"/>
        <w:rPr>
          <w:sz w:val="20"/>
          <w:szCs w:val="20"/>
          <w:color w:val="auto"/>
        </w:rPr>
      </w:pPr>
      <w:r>
        <w:rPr>
          <w:rFonts w:ascii="Arial" w:cs="Arial" w:eastAsia="Arial" w:hAnsi="Arial"/>
          <w:sz w:val="18"/>
          <w:szCs w:val="18"/>
          <w:color w:val="auto"/>
        </w:rPr>
        <w:t>From time to time, the Adviser may pay amounts owed by the Company to third-party providers of goods or services, including the Board, and the Company will subsequently reimburse the Adviser for such amounts paid on its behalf. Amounts payable to the Adviser are settled in the normal course of business without formal payment terms.</w:t>
      </w:r>
    </w:p>
    <w:p>
      <w:pPr>
        <w:spacing w:after="0" w:line="200" w:lineRule="exact"/>
        <w:rPr>
          <w:sz w:val="20"/>
          <w:szCs w:val="20"/>
          <w:color w:val="auto"/>
        </w:rPr>
      </w:pPr>
    </w:p>
    <w:p>
      <w:pPr>
        <w:spacing w:after="0" w:line="3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449" w:right="29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4. Investments at Fair Value</w:t>
      </w:r>
    </w:p>
    <w:p>
      <w:pPr>
        <w:spacing w:after="0" w:line="121" w:lineRule="exact"/>
        <w:rPr>
          <w:sz w:val="20"/>
          <w:szCs w:val="20"/>
          <w:color w:val="auto"/>
        </w:rPr>
      </w:pPr>
    </w:p>
    <w:p>
      <w:pPr>
        <w:ind w:right="80" w:firstLine="259"/>
        <w:spacing w:after="0" w:line="272" w:lineRule="auto"/>
        <w:rPr>
          <w:sz w:val="20"/>
          <w:szCs w:val="20"/>
          <w:color w:val="auto"/>
        </w:rPr>
      </w:pPr>
      <w:r>
        <w:rPr>
          <w:rFonts w:ascii="Arial" w:cs="Arial" w:eastAsia="Arial" w:hAnsi="Arial"/>
          <w:sz w:val="17"/>
          <w:szCs w:val="17"/>
          <w:color w:val="auto"/>
        </w:rPr>
        <w:t>Under the 1940 Act, the Company is required to separately identify non-controlled investments where it owns 5% or more of a portfolio company’s outstanding voting securities as investments in “affiliated” companies. In addition, under the 1940 Act, the Company is required to separately identify investments where it owns more than 25% of a portfolio company’s outstanding voting securities and/or had the power to exercise control over the management or policies of such portfolio company as investments in “controlled” companies. Detailed information with respect to the Company’s non-controlled, non-affiliated; non-controlled, affiliated; and controlled affiliated investments is contained in the accompanying consolidated financial statements, including the consolidated schedules of investments. The information in the tables below is presented on an aggregate portfolio basis, without regard to whether they are non-controlled non-affiliated, non-controlled affiliated or controlled affiliated investments.</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Investments at fair value consisted of the following at March 31, 2019 and December 31, 2018:</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rPr>
              <w:t>March 31, 2019</w:t>
            </w: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5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5"/>
              </w:rPr>
              <w:t xml:space="preserve">Amortized Cost </w:t>
            </w:r>
            <w:r>
              <w:rPr>
                <w:rFonts w:ascii="Arial" w:cs="Arial" w:eastAsia="Arial" w:hAnsi="Arial"/>
                <w:sz w:val="12"/>
                <w:szCs w:val="12"/>
                <w:b w:val="1"/>
                <w:bCs w:val="1"/>
                <w:color w:val="auto"/>
                <w:w w:val="95"/>
              </w:rPr>
              <w:t>(1)</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1"/>
                <w:szCs w:val="11"/>
                <w:color w:val="auto"/>
              </w:rPr>
            </w:pPr>
          </w:p>
        </w:tc>
        <w:tc>
          <w:tcPr>
            <w:tcW w:w="106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94"/>
              </w:rPr>
              <w:t>Net Unrealized</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Gain (Loss)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First-lien debt investments</w:t>
            </w:r>
          </w:p>
        </w:tc>
        <w:tc>
          <w:tcPr>
            <w:tcW w:w="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1,752,777</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1,776,738</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23,961</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4,130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4,137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Mezzanine debt investments</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2,531</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Equity and other investments</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66,312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41,455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(24,857)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 Investments</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1,825,719</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1,824,861</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(858)</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6"/>
              </w:rPr>
              <w:t>December 31, 2018</w:t>
            </w: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5300" w:type="dxa"/>
            <w:vAlign w:val="bottom"/>
          </w:tcPr>
          <w:p>
            <w:pPr>
              <w:spacing w:after="0"/>
              <w:rPr>
                <w:sz w:val="11"/>
                <w:szCs w:val="11"/>
                <w:color w:val="auto"/>
              </w:rPr>
            </w:pPr>
          </w:p>
        </w:tc>
        <w:tc>
          <w:tcPr>
            <w:tcW w:w="12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5"/>
              </w:rPr>
              <w:t xml:space="preserve">Amortized Cost </w:t>
            </w:r>
            <w:r>
              <w:rPr>
                <w:rFonts w:ascii="Arial" w:cs="Arial" w:eastAsia="Arial" w:hAnsi="Arial"/>
                <w:sz w:val="12"/>
                <w:szCs w:val="12"/>
                <w:b w:val="1"/>
                <w:bCs w:val="1"/>
                <w:color w:val="auto"/>
                <w:w w:val="95"/>
              </w:rPr>
              <w:t>(1)</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1"/>
                <w:szCs w:val="11"/>
                <w:color w:val="auto"/>
              </w:rPr>
            </w:pPr>
          </w:p>
        </w:tc>
        <w:tc>
          <w:tcPr>
            <w:tcW w:w="106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94"/>
              </w:rPr>
              <w:t>Net Unrealized</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20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Gain (Loss)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First-lien debt investments</w:t>
            </w:r>
          </w:p>
        </w:tc>
        <w:tc>
          <w:tcPr>
            <w:tcW w:w="28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1,642,015</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1,653,907</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11,892</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4,128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4,137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Mezzanine debt investments</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2,481</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Equity and other investments</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67,757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45,444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(22,313)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 Investments</w:t>
            </w:r>
          </w:p>
        </w:tc>
        <w:tc>
          <w:tcPr>
            <w:tcW w:w="280" w:type="dxa"/>
            <w:vAlign w:val="bottom"/>
            <w:tcBorders>
              <w:top w:val="single" w:sz="8" w:color="auto"/>
              <w:bottom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1,716,400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1,705,969</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(10,431)</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right="300" w:hanging="512"/>
        <w:spacing w:after="0" w:line="277" w:lineRule="auto"/>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amortized cost represents the original cost adjusted for the amortization of discounts or premiums, as applicable, on debt investments using the effective interest method.</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industry composition of investments at fair value at March 31, 2019 and December 31, 2018 is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14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March 31, 2019</w:t>
            </w:r>
          </w:p>
        </w:tc>
        <w:tc>
          <w:tcPr>
            <w:tcW w:w="300" w:type="dxa"/>
            <w:vAlign w:val="bottom"/>
            <w:vMerge w:val="restart"/>
          </w:tcPr>
          <w:p>
            <w:pPr>
              <w:spacing w:after="0"/>
              <w:rPr>
                <w:sz w:val="14"/>
                <w:szCs w:val="14"/>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December 31,</w:t>
            </w: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720" w:type="dxa"/>
            <w:vAlign w:val="bottom"/>
          </w:tcPr>
          <w:p>
            <w:pPr>
              <w:spacing w:after="0"/>
              <w:rPr>
                <w:sz w:val="14"/>
                <w:szCs w:val="14"/>
                <w:color w:val="auto"/>
              </w:rPr>
            </w:pPr>
          </w:p>
        </w:tc>
        <w:tc>
          <w:tcPr>
            <w:tcW w:w="3160" w:type="dxa"/>
            <w:vAlign w:val="bottom"/>
            <w:tcBorders>
              <w:bottom w:val="single" w:sz="8" w:color="CFF0FC"/>
            </w:tcBorders>
          </w:tcPr>
          <w:p>
            <w:pPr>
              <w:spacing w:after="0"/>
              <w:rPr>
                <w:sz w:val="14"/>
                <w:szCs w:val="14"/>
                <w:color w:val="auto"/>
              </w:rPr>
            </w:pPr>
          </w:p>
        </w:tc>
        <w:tc>
          <w:tcPr>
            <w:tcW w:w="2060" w:type="dxa"/>
            <w:vAlign w:val="bottom"/>
            <w:tcBorders>
              <w:bottom w:val="single" w:sz="8" w:color="CFF0FC"/>
            </w:tcBorders>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CFF0FC"/>
            </w:tcBorders>
            <w:vMerge w:val="continue"/>
          </w:tcPr>
          <w:p>
            <w:pPr>
              <w:spacing w:after="0"/>
              <w:rPr>
                <w:sz w:val="14"/>
                <w:szCs w:val="14"/>
                <w:color w:val="auto"/>
              </w:rPr>
            </w:pPr>
          </w:p>
        </w:tc>
        <w:tc>
          <w:tcPr>
            <w:tcW w:w="11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Beverage, food and tobacco</w:t>
            </w:r>
          </w:p>
        </w:tc>
        <w:tc>
          <w:tcPr>
            <w:tcW w:w="206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2.7%</w:t>
            </w: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2.7%</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Business services</w:t>
            </w:r>
          </w:p>
        </w:tc>
        <w:tc>
          <w:tcPr>
            <w:tcW w:w="3500" w:type="dxa"/>
            <w:vAlign w:val="bottom"/>
            <w:gridSpan w:val="3"/>
          </w:tcPr>
          <w:p>
            <w:pPr>
              <w:jc w:val="right"/>
              <w:ind w:right="140"/>
              <w:spacing w:after="0"/>
              <w:rPr>
                <w:sz w:val="20"/>
                <w:szCs w:val="20"/>
                <w:color w:val="auto"/>
              </w:rPr>
            </w:pPr>
            <w:r>
              <w:rPr>
                <w:rFonts w:ascii="Arial" w:cs="Arial" w:eastAsia="Arial" w:hAnsi="Arial"/>
                <w:sz w:val="18"/>
                <w:szCs w:val="18"/>
                <w:color w:val="auto"/>
              </w:rPr>
              <w:t>18.6%</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19.3%</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Chemicals</w:t>
            </w:r>
          </w:p>
        </w:tc>
        <w:tc>
          <w:tcPr>
            <w:tcW w:w="350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0.4%</w:t>
            </w: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0.7%</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Education</w:t>
            </w:r>
          </w:p>
        </w:tc>
        <w:tc>
          <w:tcPr>
            <w:tcW w:w="3500" w:type="dxa"/>
            <w:vAlign w:val="bottom"/>
            <w:gridSpan w:val="3"/>
          </w:tcPr>
          <w:p>
            <w:pPr>
              <w:jc w:val="right"/>
              <w:ind w:right="140"/>
              <w:spacing w:after="0"/>
              <w:rPr>
                <w:sz w:val="20"/>
                <w:szCs w:val="20"/>
                <w:color w:val="auto"/>
              </w:rPr>
            </w:pPr>
            <w:r>
              <w:rPr>
                <w:rFonts w:ascii="Arial" w:cs="Arial" w:eastAsia="Arial" w:hAnsi="Arial"/>
                <w:sz w:val="18"/>
                <w:szCs w:val="18"/>
                <w:color w:val="auto"/>
              </w:rPr>
              <w:t>9.0%</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9.4%</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Electronics</w:t>
            </w:r>
          </w:p>
        </w:tc>
        <w:tc>
          <w:tcPr>
            <w:tcW w:w="350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0.1%</w:t>
            </w: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Financial services</w:t>
            </w:r>
          </w:p>
        </w:tc>
        <w:tc>
          <w:tcPr>
            <w:tcW w:w="3500" w:type="dxa"/>
            <w:vAlign w:val="bottom"/>
            <w:gridSpan w:val="3"/>
          </w:tcPr>
          <w:p>
            <w:pPr>
              <w:jc w:val="right"/>
              <w:ind w:right="140"/>
              <w:spacing w:after="0"/>
              <w:rPr>
                <w:sz w:val="20"/>
                <w:szCs w:val="20"/>
                <w:color w:val="auto"/>
              </w:rPr>
            </w:pPr>
            <w:r>
              <w:rPr>
                <w:rFonts w:ascii="Arial" w:cs="Arial" w:eastAsia="Arial" w:hAnsi="Arial"/>
                <w:sz w:val="18"/>
                <w:szCs w:val="18"/>
                <w:color w:val="auto"/>
              </w:rPr>
              <w:t>20.0%</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19.2%</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Healthcare</w:t>
            </w:r>
          </w:p>
        </w:tc>
        <w:tc>
          <w:tcPr>
            <w:tcW w:w="350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8.9%</w:t>
            </w: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8.2%</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Hotel, gaming, and leisure</w:t>
            </w:r>
          </w:p>
        </w:tc>
        <w:tc>
          <w:tcPr>
            <w:tcW w:w="3500" w:type="dxa"/>
            <w:vAlign w:val="bottom"/>
            <w:gridSpan w:val="3"/>
          </w:tcPr>
          <w:p>
            <w:pPr>
              <w:jc w:val="right"/>
              <w:ind w:right="140"/>
              <w:spacing w:after="0"/>
              <w:rPr>
                <w:sz w:val="20"/>
                <w:szCs w:val="20"/>
                <w:color w:val="auto"/>
              </w:rPr>
            </w:pPr>
            <w:r>
              <w:rPr>
                <w:rFonts w:ascii="Arial" w:cs="Arial" w:eastAsia="Arial" w:hAnsi="Arial"/>
                <w:sz w:val="18"/>
                <w:szCs w:val="18"/>
                <w:color w:val="auto"/>
              </w:rPr>
              <w:t>1.9%</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Human resource support services</w:t>
            </w:r>
          </w:p>
        </w:tc>
        <w:tc>
          <w:tcPr>
            <w:tcW w:w="350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2.9%</w:t>
            </w: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3.1%</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Insurance</w:t>
            </w:r>
          </w:p>
        </w:tc>
        <w:tc>
          <w:tcPr>
            <w:tcW w:w="3500" w:type="dxa"/>
            <w:vAlign w:val="bottom"/>
            <w:gridSpan w:val="3"/>
          </w:tcPr>
          <w:p>
            <w:pPr>
              <w:jc w:val="right"/>
              <w:ind w:right="140"/>
              <w:spacing w:after="0"/>
              <w:rPr>
                <w:sz w:val="20"/>
                <w:szCs w:val="20"/>
                <w:color w:val="auto"/>
              </w:rPr>
            </w:pPr>
            <w:r>
              <w:rPr>
                <w:rFonts w:ascii="Arial" w:cs="Arial" w:eastAsia="Arial" w:hAnsi="Arial"/>
                <w:sz w:val="18"/>
                <w:szCs w:val="18"/>
                <w:color w:val="auto"/>
              </w:rPr>
              <w:t>6.1%</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6.6%</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Internet services</w:t>
            </w:r>
          </w:p>
        </w:tc>
        <w:tc>
          <w:tcPr>
            <w:tcW w:w="350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5.0%</w:t>
            </w: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5.3%</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Manufacturing</w:t>
            </w:r>
          </w:p>
        </w:tc>
        <w:tc>
          <w:tcPr>
            <w:tcW w:w="3500" w:type="dxa"/>
            <w:vAlign w:val="bottom"/>
            <w:gridSpan w:val="3"/>
          </w:tcPr>
          <w:p>
            <w:pPr>
              <w:jc w:val="right"/>
              <w:ind w:right="140"/>
              <w:spacing w:after="0"/>
              <w:rPr>
                <w:sz w:val="20"/>
                <w:szCs w:val="20"/>
                <w:color w:val="auto"/>
              </w:rPr>
            </w:pPr>
            <w:r>
              <w:rPr>
                <w:rFonts w:ascii="Arial" w:cs="Arial" w:eastAsia="Arial" w:hAnsi="Arial"/>
                <w:sz w:val="18"/>
                <w:szCs w:val="18"/>
                <w:color w:val="auto"/>
              </w:rPr>
              <w:t>1.2%</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Marketing services</w:t>
            </w:r>
          </w:p>
        </w:tc>
        <w:tc>
          <w:tcPr>
            <w:tcW w:w="350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2.2%</w:t>
            </w: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Office products</w:t>
            </w:r>
          </w:p>
        </w:tc>
        <w:tc>
          <w:tcPr>
            <w:tcW w:w="3500" w:type="dxa"/>
            <w:vAlign w:val="bottom"/>
            <w:gridSpan w:val="3"/>
          </w:tcPr>
          <w:p>
            <w:pPr>
              <w:jc w:val="right"/>
              <w:ind w:right="140"/>
              <w:spacing w:after="0"/>
              <w:rPr>
                <w:sz w:val="20"/>
                <w:szCs w:val="20"/>
                <w:color w:val="auto"/>
              </w:rPr>
            </w:pPr>
            <w:r>
              <w:rPr>
                <w:rFonts w:ascii="Arial" w:cs="Arial" w:eastAsia="Arial" w:hAnsi="Arial"/>
                <w:sz w:val="18"/>
                <w:szCs w:val="18"/>
                <w:color w:val="auto"/>
              </w:rPr>
              <w:t>0.7%</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0.8%</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Oil, gas and consumable fuels</w:t>
            </w:r>
          </w:p>
        </w:tc>
        <w:tc>
          <w:tcPr>
            <w:tcW w:w="350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1.9%</w:t>
            </w: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Pharmaceuticals</w:t>
            </w:r>
          </w:p>
        </w:tc>
        <w:tc>
          <w:tcPr>
            <w:tcW w:w="3500" w:type="dxa"/>
            <w:vAlign w:val="bottom"/>
            <w:gridSpan w:val="3"/>
          </w:tcPr>
          <w:p>
            <w:pPr>
              <w:jc w:val="right"/>
              <w:ind w:right="140"/>
              <w:spacing w:after="0"/>
              <w:rPr>
                <w:sz w:val="20"/>
                <w:szCs w:val="20"/>
                <w:color w:val="auto"/>
              </w:rPr>
            </w:pPr>
            <w:r>
              <w:rPr>
                <w:rFonts w:ascii="Arial" w:cs="Arial" w:eastAsia="Arial" w:hAnsi="Arial"/>
                <w:sz w:val="18"/>
                <w:szCs w:val="18"/>
                <w:color w:val="auto"/>
              </w:rPr>
              <w:t>5.9%</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6.4%</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Retail and consumer products</w:t>
            </w:r>
          </w:p>
        </w:tc>
        <w:tc>
          <w:tcPr>
            <w:tcW w:w="350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7.9%</w:t>
            </w: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5.6%</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Transportation</w:t>
            </w:r>
          </w:p>
        </w:tc>
        <w:tc>
          <w:tcPr>
            <w:tcW w:w="2060" w:type="dxa"/>
            <w:vAlign w:val="bottom"/>
          </w:tcPr>
          <w:p>
            <w:pPr>
              <w:spacing w:after="0"/>
              <w:rPr>
                <w:sz w:val="19"/>
                <w:szCs w:val="19"/>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4.6%</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4.9%</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160" w:type="dxa"/>
            <w:vAlign w:val="bottom"/>
            <w:vMerge w:val="restart"/>
            <w:shd w:val="clear" w:color="auto" w:fill="CFF0FC"/>
          </w:tcPr>
          <w:p>
            <w:pPr>
              <w:ind w:left="240"/>
              <w:spacing w:after="0"/>
              <w:rPr>
                <w:sz w:val="20"/>
                <w:szCs w:val="20"/>
                <w:color w:val="auto"/>
              </w:rPr>
            </w:pPr>
            <w:r>
              <w:rPr>
                <w:rFonts w:ascii="Arial" w:cs="Arial" w:eastAsia="Arial" w:hAnsi="Arial"/>
                <w:sz w:val="18"/>
                <w:szCs w:val="18"/>
                <w:b w:val="1"/>
                <w:bCs w:val="1"/>
                <w:color w:val="auto"/>
              </w:rPr>
              <w:t>Total</w:t>
            </w:r>
          </w:p>
        </w:tc>
        <w:tc>
          <w:tcPr>
            <w:tcW w:w="2060" w:type="dxa"/>
            <w:vAlign w:val="bottom"/>
            <w:vMerge w:val="restart"/>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720" w:type="dxa"/>
            <w:vAlign w:val="bottom"/>
          </w:tcPr>
          <w:p>
            <w:pPr>
              <w:spacing w:after="0"/>
              <w:rPr>
                <w:sz w:val="19"/>
                <w:szCs w:val="19"/>
                <w:color w:val="auto"/>
              </w:rPr>
            </w:pPr>
          </w:p>
        </w:tc>
        <w:tc>
          <w:tcPr>
            <w:tcW w:w="3160" w:type="dxa"/>
            <w:vAlign w:val="bottom"/>
            <w:vMerge w:val="continue"/>
            <w:shd w:val="clear" w:color="auto" w:fill="CFF0FC"/>
          </w:tcPr>
          <w:p>
            <w:pPr>
              <w:spacing w:after="0"/>
              <w:rPr>
                <w:sz w:val="19"/>
                <w:szCs w:val="19"/>
                <w:color w:val="auto"/>
              </w:rPr>
            </w:pPr>
          </w:p>
        </w:tc>
        <w:tc>
          <w:tcPr>
            <w:tcW w:w="2060" w:type="dxa"/>
            <w:vAlign w:val="bottom"/>
            <w:vMerge w:val="continue"/>
            <w:shd w:val="clear" w:color="auto" w:fill="CFF0FC"/>
          </w:tcPr>
          <w:p>
            <w:pPr>
              <w:spacing w:after="0"/>
              <w:rPr>
                <w:sz w:val="19"/>
                <w:szCs w:val="19"/>
                <w:color w:val="auto"/>
              </w:rPr>
            </w:pPr>
          </w:p>
        </w:tc>
        <w:tc>
          <w:tcPr>
            <w:tcW w:w="1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100.0%</w:t>
            </w: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100.0%</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160" w:type="dxa"/>
            <w:vAlign w:val="bottom"/>
            <w:tcBorders>
              <w:top w:val="single" w:sz="8" w:color="CFF0FC"/>
            </w:tcBorders>
          </w:tcPr>
          <w:p>
            <w:pPr>
              <w:spacing w:after="0" w:line="20" w:lineRule="exact"/>
              <w:rPr>
                <w:sz w:val="1"/>
                <w:szCs w:val="1"/>
                <w:color w:val="auto"/>
              </w:rPr>
            </w:pPr>
          </w:p>
        </w:tc>
        <w:tc>
          <w:tcPr>
            <w:tcW w:w="2060" w:type="dxa"/>
            <w:vAlign w:val="bottom"/>
            <w:tcBorders>
              <w:top w:val="single" w:sz="8" w:color="CFF0FC"/>
              <w:bottom w:val="single" w:sz="8" w:color="CFF0FC"/>
            </w:tcBorders>
            <w:vMerge w:val="restart"/>
          </w:tcPr>
          <w:p>
            <w:pPr>
              <w:jc w:val="right"/>
              <w:ind w:right="1050"/>
              <w:spacing w:after="0"/>
              <w:rPr>
                <w:sz w:val="20"/>
                <w:szCs w:val="20"/>
                <w:color w:val="auto"/>
              </w:rPr>
            </w:pPr>
            <w:r>
              <w:rPr>
                <w:rFonts w:ascii="Arial" w:cs="Arial" w:eastAsia="Arial" w:hAnsi="Arial"/>
                <w:sz w:val="18"/>
                <w:szCs w:val="18"/>
                <w:color w:val="auto"/>
              </w:rPr>
              <w:t>27</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7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06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3160" w:type="dxa"/>
            <w:vAlign w:val="bottom"/>
            <w:tcBorders>
              <w:bottom w:val="single" w:sz="8" w:color="9A9A9A"/>
            </w:tcBorders>
          </w:tcPr>
          <w:p>
            <w:pPr>
              <w:spacing w:after="0"/>
              <w:rPr>
                <w:sz w:val="10"/>
                <w:szCs w:val="10"/>
                <w:color w:val="auto"/>
              </w:rPr>
            </w:pPr>
          </w:p>
        </w:tc>
        <w:tc>
          <w:tcPr>
            <w:tcW w:w="20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27" w:name="page28"/>
    <w:bookmarkEnd w:id="27"/>
    <w:p>
      <w:pPr>
        <w:ind w:left="260"/>
        <w:spacing w:after="0"/>
        <w:rPr>
          <w:sz w:val="20"/>
          <w:szCs w:val="20"/>
          <w:color w:val="auto"/>
        </w:rPr>
      </w:pPr>
      <w:r>
        <w:rPr>
          <w:rFonts w:ascii="Arial" w:cs="Arial" w:eastAsia="Arial" w:hAnsi="Arial"/>
          <w:sz w:val="18"/>
          <w:szCs w:val="18"/>
          <w:color w:val="auto"/>
        </w:rPr>
        <w:t>The geographic composition of Investments at fair value at March 31, 2019 and December 31, 2018 is as follows:</w:t>
      </w:r>
    </w:p>
    <w:p>
      <w:pPr>
        <w:spacing w:after="0" w:line="21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144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March 31, 2019</w:t>
            </w:r>
          </w:p>
        </w:tc>
        <w:tc>
          <w:tcPr>
            <w:tcW w:w="13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522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1140" w:type="dxa"/>
            <w:vAlign w:val="bottom"/>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14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tcPr>
          <w:p>
            <w:pPr>
              <w:ind w:left="240"/>
              <w:spacing w:after="0"/>
              <w:rPr>
                <w:sz w:val="20"/>
                <w:szCs w:val="20"/>
                <w:color w:val="auto"/>
              </w:rPr>
            </w:pPr>
            <w:r>
              <w:rPr>
                <w:rFonts w:ascii="Arial" w:cs="Arial" w:eastAsia="Arial" w:hAnsi="Arial"/>
                <w:sz w:val="18"/>
                <w:szCs w:val="18"/>
                <w:color w:val="auto"/>
              </w:rPr>
              <w:t>Midwest</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13.7%</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Northeast</w:t>
            </w:r>
          </w:p>
        </w:tc>
        <w:tc>
          <w:tcPr>
            <w:tcW w:w="1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22.0%</w:t>
            </w: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30"/>
        </w:trPr>
        <w:tc>
          <w:tcPr>
            <w:tcW w:w="5220" w:type="dxa"/>
            <w:vAlign w:val="bottom"/>
          </w:tcPr>
          <w:p>
            <w:pPr>
              <w:ind w:left="240"/>
              <w:spacing w:after="0"/>
              <w:rPr>
                <w:sz w:val="20"/>
                <w:szCs w:val="20"/>
                <w:color w:val="auto"/>
              </w:rPr>
            </w:pPr>
            <w:r>
              <w:rPr>
                <w:rFonts w:ascii="Arial" w:cs="Arial" w:eastAsia="Arial" w:hAnsi="Arial"/>
                <w:sz w:val="18"/>
                <w:szCs w:val="18"/>
                <w:color w:val="auto"/>
              </w:rPr>
              <w:t>South</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18.3%</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West</w:t>
            </w:r>
          </w:p>
        </w:tc>
        <w:tc>
          <w:tcPr>
            <w:tcW w:w="1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39.8%</w:t>
            </w: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Australia</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1.8%</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Bermuda</w:t>
            </w:r>
          </w:p>
        </w:tc>
        <w:tc>
          <w:tcPr>
            <w:tcW w:w="1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1.8%</w:t>
            </w: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Canada</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2.6%</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5220" w:type="dxa"/>
            <w:vAlign w:val="bottom"/>
            <w:vMerge w:val="restart"/>
            <w:shd w:val="clear" w:color="auto" w:fill="CFF0FC"/>
          </w:tcPr>
          <w:p>
            <w:pPr>
              <w:ind w:left="240"/>
              <w:spacing w:after="0"/>
              <w:rPr>
                <w:sz w:val="20"/>
                <w:szCs w:val="20"/>
                <w:color w:val="auto"/>
              </w:rPr>
            </w:pPr>
            <w:r>
              <w:rPr>
                <w:rFonts w:ascii="Arial" w:cs="Arial" w:eastAsia="Arial" w:hAnsi="Arial"/>
                <w:sz w:val="18"/>
                <w:szCs w:val="18"/>
                <w:b w:val="1"/>
                <w:bCs w:val="1"/>
                <w:color w:val="auto"/>
              </w:rPr>
              <w:t>Total</w:t>
            </w:r>
          </w:p>
        </w:tc>
        <w:tc>
          <w:tcPr>
            <w:tcW w:w="11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20" w:type="dxa"/>
            <w:vAlign w:val="bottom"/>
            <w:vMerge w:val="continue"/>
            <w:shd w:val="clear" w:color="auto" w:fill="CFF0FC"/>
          </w:tcPr>
          <w:p>
            <w:pPr>
              <w:spacing w:after="0"/>
              <w:rPr>
                <w:sz w:val="19"/>
                <w:szCs w:val="19"/>
                <w:color w:val="auto"/>
              </w:rPr>
            </w:pPr>
          </w:p>
        </w:tc>
        <w:tc>
          <w:tcPr>
            <w:tcW w:w="1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100.0%</w:t>
            </w: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522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Swaps</w:t>
      </w:r>
    </w:p>
    <w:p>
      <w:pPr>
        <w:spacing w:after="0" w:line="117" w:lineRule="exact"/>
        <w:rPr>
          <w:sz w:val="20"/>
          <w:szCs w:val="20"/>
          <w:color w:val="auto"/>
        </w:rPr>
      </w:pPr>
    </w:p>
    <w:p>
      <w:pPr>
        <w:jc w:val="both"/>
        <w:ind w:right="80" w:firstLine="259"/>
        <w:spacing w:after="0" w:line="264" w:lineRule="auto"/>
        <w:rPr>
          <w:sz w:val="20"/>
          <w:szCs w:val="20"/>
          <w:color w:val="auto"/>
        </w:rPr>
      </w:pPr>
      <w:r>
        <w:rPr>
          <w:rFonts w:ascii="Arial" w:cs="Arial" w:eastAsia="Arial" w:hAnsi="Arial"/>
          <w:sz w:val="18"/>
          <w:szCs w:val="18"/>
          <w:color w:val="auto"/>
        </w:rPr>
        <w:t>In January 2015, in connection with its 2019 Convertible Notes, the Company entered into two interest rate swap transactions, each with a $57.5 million notional amount. The Company receives fixed rate interest at 4.50% and pays variable rate interest based on the three-month London Interbank Offered Rate (“LIBOR”) plus 2.86%. The swap transactions mature on December 15, 2019.</w:t>
      </w:r>
    </w:p>
    <w:p>
      <w:pPr>
        <w:spacing w:after="0" w:line="181" w:lineRule="exact"/>
        <w:rPr>
          <w:sz w:val="20"/>
          <w:szCs w:val="20"/>
          <w:color w:val="auto"/>
        </w:rPr>
      </w:pPr>
    </w:p>
    <w:p>
      <w:pPr>
        <w:ind w:right="240" w:firstLine="259"/>
        <w:spacing w:after="0" w:line="302" w:lineRule="auto"/>
        <w:rPr>
          <w:sz w:val="20"/>
          <w:szCs w:val="20"/>
          <w:color w:val="auto"/>
        </w:rPr>
      </w:pPr>
      <w:r>
        <w:rPr>
          <w:rFonts w:ascii="Arial" w:cs="Arial" w:eastAsia="Arial" w:hAnsi="Arial"/>
          <w:sz w:val="16"/>
          <w:szCs w:val="16"/>
          <w:color w:val="auto"/>
        </w:rPr>
        <w:t>In November 2015, in connection with a fixed rate investment, the Company entered into two interest rate swap transactions, each with a $46.3 million notional amount. The Company receives three-month LIBOR and pays fixed rate interest at 1.16%. The swap transactions matured on October 5, 2018. In October 2018, upon maturity of the original swap transactions, the Company entered into an interest rate swap transaction with a $91.5 million notional amount. The Company receives three-month LIBOR and pays fixed rate interest at 2.66%. The swap transaction matures on June 27, 2019.</w:t>
      </w:r>
    </w:p>
    <w:p>
      <w:pPr>
        <w:spacing w:after="0" w:line="154" w:lineRule="exact"/>
        <w:rPr>
          <w:sz w:val="20"/>
          <w:szCs w:val="20"/>
          <w:color w:val="auto"/>
        </w:rPr>
      </w:pPr>
    </w:p>
    <w:p>
      <w:pPr>
        <w:ind w:right="80" w:firstLine="259"/>
        <w:spacing w:after="0" w:line="342" w:lineRule="auto"/>
        <w:rPr>
          <w:sz w:val="20"/>
          <w:szCs w:val="20"/>
          <w:color w:val="auto"/>
        </w:rPr>
      </w:pPr>
      <w:r>
        <w:rPr>
          <w:rFonts w:ascii="Arial" w:cs="Arial" w:eastAsia="Arial" w:hAnsi="Arial"/>
          <w:sz w:val="16"/>
          <w:szCs w:val="16"/>
          <w:color w:val="auto"/>
        </w:rPr>
        <w:t>In January 2017, in connection with a fixed rate investment, the Company entered into an interest rate swap transaction with a $33.3 million notional amount. On a net basis, the Company receives three-month LIBOR and pays fixed rate interest at 1.72%. The swap transaction matures on January 10, 2020.</w:t>
      </w:r>
    </w:p>
    <w:p>
      <w:pPr>
        <w:spacing w:after="0" w:line="124" w:lineRule="exact"/>
        <w:rPr>
          <w:sz w:val="20"/>
          <w:szCs w:val="20"/>
          <w:color w:val="auto"/>
        </w:rPr>
      </w:pPr>
    </w:p>
    <w:p>
      <w:pPr>
        <w:ind w:left="260"/>
        <w:spacing w:after="0"/>
        <w:rPr>
          <w:sz w:val="20"/>
          <w:szCs w:val="20"/>
          <w:color w:val="auto"/>
        </w:rPr>
      </w:pPr>
      <w:r>
        <w:rPr>
          <w:rFonts w:ascii="Arial" w:cs="Arial" w:eastAsia="Arial" w:hAnsi="Arial"/>
          <w:sz w:val="17"/>
          <w:szCs w:val="17"/>
          <w:color w:val="auto"/>
        </w:rPr>
        <w:t>In February 2017, in connection with the issuance of the 2022 Convertible Notes, the Company entered into an interest rate swap transaction with a</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$115.0 million notional amount. The Company receives fixed rate interest at 4.50% and pays variable rate interest based on three-month LIBOR plus 2.37%.</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swap transaction matures on August 1, 2022.</w:t>
      </w:r>
    </w:p>
    <w:p>
      <w:pPr>
        <w:spacing w:after="0" w:line="211" w:lineRule="exact"/>
        <w:rPr>
          <w:sz w:val="20"/>
          <w:szCs w:val="20"/>
          <w:color w:val="auto"/>
        </w:rPr>
      </w:pPr>
    </w:p>
    <w:p>
      <w:pPr>
        <w:jc w:val="both"/>
        <w:ind w:right="380" w:firstLine="259"/>
        <w:spacing w:after="0" w:line="264" w:lineRule="auto"/>
        <w:rPr>
          <w:sz w:val="20"/>
          <w:szCs w:val="20"/>
          <w:color w:val="auto"/>
        </w:rPr>
      </w:pPr>
      <w:r>
        <w:rPr>
          <w:rFonts w:ascii="Arial" w:cs="Arial" w:eastAsia="Arial" w:hAnsi="Arial"/>
          <w:sz w:val="18"/>
          <w:szCs w:val="18"/>
          <w:color w:val="auto"/>
        </w:rPr>
        <w:t>In January 2018, in connection with the issuance of the 2023 Notes, the Company entered into an interest rate swap transaction with a $150.0 million notional amount. The Company receives fixed rate interest at 4.50% and pays variable rate interest based on three-month LIBOR plus 1.99%. The swap transaction matures on January 22, 2023.</w:t>
      </w:r>
    </w:p>
    <w:p>
      <w:pPr>
        <w:spacing w:after="0" w:line="181" w:lineRule="exact"/>
        <w:rPr>
          <w:sz w:val="20"/>
          <w:szCs w:val="20"/>
          <w:color w:val="auto"/>
        </w:rPr>
      </w:pPr>
    </w:p>
    <w:p>
      <w:pPr>
        <w:ind w:firstLine="259"/>
        <w:spacing w:after="0" w:line="286" w:lineRule="auto"/>
        <w:rPr>
          <w:sz w:val="20"/>
          <w:szCs w:val="20"/>
          <w:color w:val="auto"/>
        </w:rPr>
      </w:pPr>
      <w:r>
        <w:rPr>
          <w:rFonts w:ascii="Arial" w:cs="Arial" w:eastAsia="Arial" w:hAnsi="Arial"/>
          <w:sz w:val="17"/>
          <w:szCs w:val="17"/>
          <w:color w:val="auto"/>
        </w:rPr>
        <w:t>In June 2018, in connection with the reopening and issuance of additional 2022 Convertible Notes, the Company entered into two interest rate swap transactions with notional amounts of $50.0 million and $7.5 million, respectively. The Company receives fixed rate interest on each swap at 4.50%, and pays variable rate interest based on three-month LIBOR plus 1.59%, and 1.60%, respectively. The swap transactions mature on August 1, 2022.</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82" w:right="279" w:bottom="1440" w:gutter="0" w:footer="0" w:header="0"/>
        </w:sectPr>
      </w:pPr>
    </w:p>
    <w:bookmarkStart w:id="28" w:name="page29"/>
    <w:bookmarkEnd w:id="28"/>
    <w:p>
      <w:pPr>
        <w:ind w:right="140" w:firstLine="259"/>
        <w:spacing w:after="0" w:line="277" w:lineRule="auto"/>
        <w:rPr>
          <w:sz w:val="20"/>
          <w:szCs w:val="20"/>
          <w:color w:val="auto"/>
        </w:rPr>
      </w:pPr>
      <w:r>
        <w:rPr>
          <w:rFonts w:ascii="Arial" w:cs="Arial" w:eastAsia="Arial" w:hAnsi="Arial"/>
          <w:sz w:val="18"/>
          <w:szCs w:val="18"/>
          <w:color w:val="auto"/>
        </w:rPr>
        <w:t>The following tables present the amounts paid and received on the Company’s interest rate swap transactions for the three months ended March 31, 2019 and 2018:</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340" w:type="dxa"/>
            <w:vAlign w:val="bottom"/>
          </w:tcPr>
          <w:p>
            <w:pPr>
              <w:spacing w:after="0"/>
              <w:rPr>
                <w:sz w:val="14"/>
                <w:szCs w:val="14"/>
                <w:color w:val="auto"/>
              </w:rPr>
            </w:pPr>
          </w:p>
        </w:tc>
        <w:tc>
          <w:tcPr>
            <w:tcW w:w="13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Maturity Date</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Notional Amount</w:t>
            </w:r>
          </w:p>
        </w:tc>
        <w:tc>
          <w:tcPr>
            <w:tcW w:w="2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6"/>
              </w:rPr>
              <w:t>March 31, 2019</w:t>
            </w:r>
          </w:p>
        </w:tc>
        <w:tc>
          <w:tcPr>
            <w:tcW w:w="2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340" w:type="dxa"/>
            <w:vAlign w:val="bottom"/>
          </w:tcPr>
          <w:p>
            <w:pPr>
              <w:spacing w:after="0"/>
              <w:rPr>
                <w:sz w:val="13"/>
                <w:szCs w:val="13"/>
                <w:color w:val="auto"/>
              </w:rPr>
            </w:pPr>
          </w:p>
        </w:tc>
        <w:tc>
          <w:tcPr>
            <w:tcW w:w="138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8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00" w:type="dxa"/>
            <w:vAlign w:val="bottom"/>
            <w:gridSpan w:val="3"/>
          </w:tcPr>
          <w:p>
            <w:pPr>
              <w:jc w:val="right"/>
              <w:ind w:right="960"/>
              <w:spacing w:after="0" w:line="155" w:lineRule="exact"/>
              <w:rPr>
                <w:sz w:val="20"/>
                <w:szCs w:val="20"/>
                <w:color w:val="auto"/>
              </w:rPr>
            </w:pPr>
            <w:r>
              <w:rPr>
                <w:rFonts w:ascii="Arial" w:cs="Arial" w:eastAsia="Arial" w:hAnsi="Arial"/>
                <w:sz w:val="14"/>
                <w:szCs w:val="14"/>
                <w:b w:val="1"/>
                <w:bCs w:val="1"/>
                <w:color w:val="auto"/>
              </w:rPr>
              <w:t>Paid</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gridSpan w:val="2"/>
          </w:tcPr>
          <w:p>
            <w:pPr>
              <w:jc w:val="center"/>
              <w:ind w:right="240"/>
              <w:spacing w:after="0" w:line="155" w:lineRule="exact"/>
              <w:rPr>
                <w:sz w:val="20"/>
                <w:szCs w:val="20"/>
                <w:color w:val="auto"/>
              </w:rPr>
            </w:pPr>
            <w:r>
              <w:rPr>
                <w:rFonts w:ascii="Arial" w:cs="Arial" w:eastAsia="Arial" w:hAnsi="Arial"/>
                <w:sz w:val="14"/>
                <w:szCs w:val="14"/>
                <w:b w:val="1"/>
                <w:bCs w:val="1"/>
                <w:color w:val="auto"/>
                <w:w w:val="91"/>
              </w:rPr>
              <w:t>Received</w:t>
            </w: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ind w:left="300"/>
              <w:spacing w:after="0" w:line="155" w:lineRule="exact"/>
              <w:rPr>
                <w:sz w:val="20"/>
                <w:szCs w:val="20"/>
                <w:color w:val="auto"/>
              </w:rPr>
            </w:pPr>
            <w:r>
              <w:rPr>
                <w:rFonts w:ascii="Arial" w:cs="Arial" w:eastAsia="Arial" w:hAnsi="Arial"/>
                <w:sz w:val="14"/>
                <w:szCs w:val="14"/>
                <w:b w:val="1"/>
                <w:bCs w:val="1"/>
                <w:color w:val="auto"/>
              </w:rPr>
              <w:t>Net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(1)</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6/27/2019</w:t>
            </w: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gridSpan w:val="2"/>
            <w:shd w:val="clear" w:color="auto" w:fill="CFF0FC"/>
          </w:tcPr>
          <w:p>
            <w:pPr>
              <w:jc w:val="right"/>
              <w:ind w:right="65"/>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91,500</w:t>
            </w:r>
          </w:p>
        </w:tc>
        <w:tc>
          <w:tcPr>
            <w:tcW w:w="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gridSpan w:val="2"/>
            <w:shd w:val="clear" w:color="auto" w:fill="CFF0FC"/>
          </w:tcPr>
          <w:p>
            <w:pPr>
              <w:jc w:val="right"/>
              <w:ind w:right="205"/>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(609)</w:t>
            </w:r>
          </w:p>
        </w:tc>
        <w:tc>
          <w:tcPr>
            <w:tcW w:w="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gridSpan w:val="2"/>
            <w:shd w:val="clear" w:color="auto" w:fill="CFF0FC"/>
          </w:tcPr>
          <w:p>
            <w:pPr>
              <w:jc w:val="right"/>
              <w:ind w:right="25"/>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646</w:t>
            </w:r>
          </w:p>
        </w:tc>
        <w:tc>
          <w:tcPr>
            <w:tcW w:w="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gridSpan w:val="2"/>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40" w:type="dxa"/>
            <w:vAlign w:val="bottom"/>
          </w:tcPr>
          <w:p>
            <w:pPr>
              <w:spacing w:after="0"/>
              <w:rPr>
                <w:sz w:val="20"/>
                <w:szCs w:val="20"/>
                <w:color w:val="auto"/>
              </w:rPr>
            </w:pPr>
            <w:r>
              <w:rPr>
                <w:rFonts w:ascii="Arial" w:cs="Arial" w:eastAsia="Arial" w:hAnsi="Arial"/>
                <w:sz w:val="18"/>
                <w:szCs w:val="18"/>
                <w:color w:val="auto"/>
              </w:rPr>
              <w:t>Interest rate swap</w:t>
            </w:r>
          </w:p>
        </w:tc>
        <w:tc>
          <w:tcPr>
            <w:tcW w:w="1360" w:type="dxa"/>
            <w:vAlign w:val="bottom"/>
          </w:tcPr>
          <w:p>
            <w:pPr>
              <w:jc w:val="right"/>
              <w:spacing w:after="0"/>
              <w:rPr>
                <w:sz w:val="20"/>
                <w:szCs w:val="20"/>
                <w:color w:val="auto"/>
              </w:rPr>
            </w:pPr>
            <w:r>
              <w:rPr>
                <w:rFonts w:ascii="Arial" w:cs="Arial" w:eastAsia="Arial" w:hAnsi="Arial"/>
                <w:sz w:val="18"/>
                <w:szCs w:val="18"/>
                <w:color w:val="auto"/>
              </w:rPr>
              <w:t>12/15/2019</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115,000</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00" w:type="dxa"/>
            <w:vAlign w:val="bottom"/>
            <w:gridSpan w:val="3"/>
          </w:tcPr>
          <w:p>
            <w:pPr>
              <w:jc w:val="right"/>
              <w:ind w:right="240"/>
              <w:spacing w:after="0"/>
              <w:rPr>
                <w:sz w:val="20"/>
                <w:szCs w:val="20"/>
                <w:color w:val="auto"/>
              </w:rPr>
            </w:pPr>
            <w:r>
              <w:rPr>
                <w:rFonts w:ascii="Arial" w:cs="Arial" w:eastAsia="Arial" w:hAnsi="Arial"/>
                <w:sz w:val="18"/>
                <w:szCs w:val="18"/>
                <w:color w:val="auto"/>
              </w:rPr>
              <w:t>(1,588)</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1,294</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3"/>
          </w:tcPr>
          <w:p>
            <w:pPr>
              <w:jc w:val="right"/>
              <w:ind w:right="60"/>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30"/>
        </w:trPr>
        <w:tc>
          <w:tcPr>
            <w:tcW w:w="2340" w:type="dxa"/>
            <w:vAlign w:val="bottom"/>
            <w:shd w:val="clear" w:color="auto" w:fill="CFF0FC"/>
          </w:tcPr>
          <w:p>
            <w:pPr>
              <w:spacing w:after="0"/>
              <w:rPr>
                <w:sz w:val="20"/>
                <w:szCs w:val="20"/>
                <w:color w:val="auto"/>
              </w:rPr>
            </w:pPr>
            <w:r>
              <w:rPr>
                <w:rFonts w:ascii="Arial" w:cs="Arial" w:eastAsia="Arial" w:hAnsi="Arial"/>
                <w:sz w:val="18"/>
                <w:szCs w:val="18"/>
                <w:color w:val="auto"/>
              </w:rPr>
              <w:t>Interest rate swap</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1/10/2020</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33,333</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0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(698)</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769</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40" w:type="dxa"/>
            <w:vAlign w:val="bottom"/>
          </w:tcPr>
          <w:p>
            <w:pPr>
              <w:spacing w:after="0"/>
              <w:rPr>
                <w:sz w:val="20"/>
                <w:szCs w:val="20"/>
                <w:color w:val="auto"/>
              </w:rPr>
            </w:pPr>
            <w:r>
              <w:rPr>
                <w:rFonts w:ascii="Arial" w:cs="Arial" w:eastAsia="Arial" w:hAnsi="Arial"/>
                <w:sz w:val="18"/>
                <w:szCs w:val="18"/>
                <w:color w:val="auto"/>
              </w:rPr>
              <w:t>Interest rate swap</w:t>
            </w:r>
          </w:p>
        </w:tc>
        <w:tc>
          <w:tcPr>
            <w:tcW w:w="1360" w:type="dxa"/>
            <w:vAlign w:val="bottom"/>
          </w:tcPr>
          <w:p>
            <w:pPr>
              <w:jc w:val="right"/>
              <w:spacing w:after="0"/>
              <w:rPr>
                <w:sz w:val="20"/>
                <w:szCs w:val="20"/>
                <w:color w:val="auto"/>
              </w:rPr>
            </w:pPr>
            <w:r>
              <w:rPr>
                <w:rFonts w:ascii="Arial" w:cs="Arial" w:eastAsia="Arial" w:hAnsi="Arial"/>
                <w:sz w:val="18"/>
                <w:szCs w:val="18"/>
                <w:color w:val="auto"/>
              </w:rPr>
              <w:t>8/1/2022</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115,000</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00" w:type="dxa"/>
            <w:vAlign w:val="bottom"/>
            <w:gridSpan w:val="3"/>
          </w:tcPr>
          <w:p>
            <w:pPr>
              <w:jc w:val="right"/>
              <w:ind w:right="240"/>
              <w:spacing w:after="0"/>
              <w:rPr>
                <w:sz w:val="20"/>
                <w:szCs w:val="20"/>
                <w:color w:val="auto"/>
              </w:rPr>
            </w:pPr>
            <w:r>
              <w:rPr>
                <w:rFonts w:ascii="Arial" w:cs="Arial" w:eastAsia="Arial" w:hAnsi="Arial"/>
                <w:sz w:val="18"/>
                <w:szCs w:val="18"/>
                <w:color w:val="auto"/>
              </w:rPr>
              <w:t>(1,455)</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1,294</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3"/>
          </w:tcPr>
          <w:p>
            <w:pPr>
              <w:jc w:val="right"/>
              <w:ind w:right="6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30"/>
        </w:trPr>
        <w:tc>
          <w:tcPr>
            <w:tcW w:w="2340" w:type="dxa"/>
            <w:vAlign w:val="bottom"/>
            <w:shd w:val="clear" w:color="auto" w:fill="CFF0FC"/>
          </w:tcPr>
          <w:p>
            <w:pPr>
              <w:spacing w:after="0"/>
              <w:rPr>
                <w:sz w:val="20"/>
                <w:szCs w:val="20"/>
                <w:color w:val="auto"/>
              </w:rPr>
            </w:pPr>
            <w:r>
              <w:rPr>
                <w:rFonts w:ascii="Arial" w:cs="Arial" w:eastAsia="Arial" w:hAnsi="Arial"/>
                <w:sz w:val="18"/>
                <w:szCs w:val="18"/>
                <w:color w:val="auto"/>
              </w:rPr>
              <w:t>Interest rate swap</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8/1/2022</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50,000</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0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(537)</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563</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40" w:type="dxa"/>
            <w:vAlign w:val="bottom"/>
          </w:tcPr>
          <w:p>
            <w:pPr>
              <w:spacing w:after="0"/>
              <w:rPr>
                <w:sz w:val="20"/>
                <w:szCs w:val="20"/>
                <w:color w:val="auto"/>
              </w:rPr>
            </w:pPr>
            <w:r>
              <w:rPr>
                <w:rFonts w:ascii="Arial" w:cs="Arial" w:eastAsia="Arial" w:hAnsi="Arial"/>
                <w:sz w:val="18"/>
                <w:szCs w:val="18"/>
                <w:color w:val="auto"/>
              </w:rPr>
              <w:t>Interest rate swap</w:t>
            </w:r>
          </w:p>
        </w:tc>
        <w:tc>
          <w:tcPr>
            <w:tcW w:w="1360" w:type="dxa"/>
            <w:vAlign w:val="bottom"/>
          </w:tcPr>
          <w:p>
            <w:pPr>
              <w:jc w:val="right"/>
              <w:spacing w:after="0"/>
              <w:rPr>
                <w:sz w:val="20"/>
                <w:szCs w:val="20"/>
                <w:color w:val="auto"/>
              </w:rPr>
            </w:pPr>
            <w:r>
              <w:rPr>
                <w:rFonts w:ascii="Arial" w:cs="Arial" w:eastAsia="Arial" w:hAnsi="Arial"/>
                <w:sz w:val="18"/>
                <w:szCs w:val="18"/>
                <w:color w:val="auto"/>
              </w:rPr>
              <w:t>8/1/2022</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7,500</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00" w:type="dxa"/>
            <w:vAlign w:val="bottom"/>
            <w:gridSpan w:val="3"/>
          </w:tcPr>
          <w:p>
            <w:pPr>
              <w:jc w:val="right"/>
              <w:ind w:right="240"/>
              <w:spacing w:after="0"/>
              <w:rPr>
                <w:sz w:val="20"/>
                <w:szCs w:val="20"/>
                <w:color w:val="auto"/>
              </w:rPr>
            </w:pPr>
            <w:r>
              <w:rPr>
                <w:rFonts w:ascii="Arial" w:cs="Arial" w:eastAsia="Arial" w:hAnsi="Arial"/>
                <w:sz w:val="18"/>
                <w:szCs w:val="18"/>
                <w:color w:val="auto"/>
              </w:rPr>
              <w:t>(81)</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84</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40" w:type="dxa"/>
            <w:vAlign w:val="bottom"/>
            <w:shd w:val="clear" w:color="auto" w:fill="CFF0FC"/>
          </w:tcPr>
          <w:p>
            <w:pPr>
              <w:spacing w:after="0"/>
              <w:rPr>
                <w:sz w:val="20"/>
                <w:szCs w:val="20"/>
                <w:color w:val="auto"/>
              </w:rPr>
            </w:pPr>
            <w:r>
              <w:rPr>
                <w:rFonts w:ascii="Arial" w:cs="Arial" w:eastAsia="Arial" w:hAnsi="Arial"/>
                <w:sz w:val="18"/>
                <w:szCs w:val="18"/>
                <w:color w:val="auto"/>
              </w:rPr>
              <w:t>Interest rate swap</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1/22/2023</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150,000</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0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(1,759)</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1,687</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23"/>
        </w:trPr>
        <w:tc>
          <w:tcPr>
            <w:tcW w:w="2340" w:type="dxa"/>
            <w:vAlign w:val="bottom"/>
          </w:tcPr>
          <w:p>
            <w:pPr>
              <w:ind w:left="260"/>
              <w:spacing w:after="0"/>
              <w:rPr>
                <w:sz w:val="20"/>
                <w:szCs w:val="20"/>
                <w:color w:val="auto"/>
              </w:rPr>
            </w:pPr>
            <w:r>
              <w:rPr>
                <w:rFonts w:ascii="Arial" w:cs="Arial" w:eastAsia="Arial" w:hAnsi="Arial"/>
                <w:sz w:val="18"/>
                <w:szCs w:val="18"/>
                <w:b w:val="1"/>
                <w:bCs w:val="1"/>
                <w:color w:val="auto"/>
              </w:rPr>
              <w:t>Total</w:t>
            </w:r>
          </w:p>
        </w:tc>
        <w:tc>
          <w:tcPr>
            <w:tcW w:w="1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Borders>
              <w:top w:val="single" w:sz="8" w:color="auto"/>
              <w:bottom w:val="single" w:sz="8" w:color="auto"/>
            </w:tcBorders>
            <w:gridSpan w:val="2"/>
          </w:tcPr>
          <w:p>
            <w:pPr>
              <w:jc w:val="right"/>
              <w:ind w:right="65"/>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562,333</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Borders>
              <w:top w:val="single" w:sz="8" w:color="auto"/>
              <w:bottom w:val="single" w:sz="8" w:color="auto"/>
            </w:tcBorders>
            <w:gridSpan w:val="2"/>
          </w:tcPr>
          <w:p>
            <w:pPr>
              <w:jc w:val="right"/>
              <w:ind w:right="205"/>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(6,727)</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Borders>
              <w:top w:val="single" w:sz="8" w:color="auto"/>
              <w:bottom w:val="single" w:sz="8" w:color="auto"/>
            </w:tcBorders>
            <w:gridSpan w:val="2"/>
          </w:tcPr>
          <w:p>
            <w:pPr>
              <w:jc w:val="right"/>
              <w:ind w:right="25"/>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6,337</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Borders>
              <w:top w:val="single" w:sz="8" w:color="auto"/>
              <w:bottom w:val="single" w:sz="8" w:color="auto"/>
            </w:tcBorders>
            <w:gridSpan w:val="2"/>
          </w:tcPr>
          <w:p>
            <w:pPr>
              <w:jc w:val="right"/>
              <w:ind w:right="22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340" w:type="dxa"/>
            <w:vAlign w:val="bottom"/>
          </w:tcPr>
          <w:p>
            <w:pPr>
              <w:spacing w:after="0"/>
              <w:rPr>
                <w:sz w:val="24"/>
                <w:szCs w:val="24"/>
                <w:color w:val="auto"/>
              </w:rPr>
            </w:pPr>
          </w:p>
        </w:tc>
        <w:tc>
          <w:tcPr>
            <w:tcW w:w="138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Maturity Date</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Notional Amount</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6"/>
              </w:rPr>
              <w:t>March 31, 2018</w:t>
            </w: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340" w:type="dxa"/>
            <w:vAlign w:val="bottom"/>
          </w:tcPr>
          <w:p>
            <w:pPr>
              <w:spacing w:after="0"/>
              <w:rPr>
                <w:sz w:val="13"/>
                <w:szCs w:val="13"/>
                <w:color w:val="auto"/>
              </w:rPr>
            </w:pPr>
          </w:p>
        </w:tc>
        <w:tc>
          <w:tcPr>
            <w:tcW w:w="138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8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00" w:type="dxa"/>
            <w:vAlign w:val="bottom"/>
            <w:gridSpan w:val="3"/>
          </w:tcPr>
          <w:p>
            <w:pPr>
              <w:jc w:val="right"/>
              <w:ind w:right="940"/>
              <w:spacing w:after="0" w:line="155" w:lineRule="exact"/>
              <w:rPr>
                <w:sz w:val="20"/>
                <w:szCs w:val="20"/>
                <w:color w:val="auto"/>
              </w:rPr>
            </w:pPr>
            <w:r>
              <w:rPr>
                <w:rFonts w:ascii="Arial" w:cs="Arial" w:eastAsia="Arial" w:hAnsi="Arial"/>
                <w:sz w:val="14"/>
                <w:szCs w:val="14"/>
                <w:b w:val="1"/>
                <w:bCs w:val="1"/>
                <w:color w:val="auto"/>
              </w:rPr>
              <w:t>Paid</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gridSpan w:val="2"/>
          </w:tcPr>
          <w:p>
            <w:pPr>
              <w:jc w:val="center"/>
              <w:ind w:right="200"/>
              <w:spacing w:after="0" w:line="155" w:lineRule="exact"/>
              <w:rPr>
                <w:sz w:val="20"/>
                <w:szCs w:val="20"/>
                <w:color w:val="auto"/>
              </w:rPr>
            </w:pPr>
            <w:r>
              <w:rPr>
                <w:rFonts w:ascii="Arial" w:cs="Arial" w:eastAsia="Arial" w:hAnsi="Arial"/>
                <w:sz w:val="14"/>
                <w:szCs w:val="14"/>
                <w:b w:val="1"/>
                <w:bCs w:val="1"/>
                <w:color w:val="auto"/>
                <w:w w:val="91"/>
              </w:rPr>
              <w:t>Received</w:t>
            </w: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gridSpan w:val="2"/>
          </w:tcPr>
          <w:p>
            <w:pPr>
              <w:ind w:left="300"/>
              <w:spacing w:after="0" w:line="155" w:lineRule="exact"/>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(1)</w:t>
            </w:r>
          </w:p>
        </w:tc>
        <w:tc>
          <w:tcPr>
            <w:tcW w:w="138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10/5/2018</w:t>
            </w:r>
          </w:p>
        </w:tc>
        <w:tc>
          <w:tcPr>
            <w:tcW w:w="180" w:type="dxa"/>
            <w:vAlign w:val="bottom"/>
            <w:tcBorders>
              <w:top w:val="single" w:sz="8" w:color="CFF0FC"/>
            </w:tcBorders>
            <w:gridSpan w:val="2"/>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92,500</w:t>
            </w:r>
          </w:p>
        </w:tc>
        <w:tc>
          <w:tcPr>
            <w:tcW w:w="280" w:type="dxa"/>
            <w:vAlign w:val="bottom"/>
            <w:tcBorders>
              <w:top w:val="single" w:sz="8" w:color="CFF0FC"/>
            </w:tcBorders>
            <w:gridSpan w:val="2"/>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(275)</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321</w:t>
            </w:r>
          </w:p>
        </w:tc>
        <w:tc>
          <w:tcPr>
            <w:tcW w:w="300" w:type="dxa"/>
            <w:vAlign w:val="bottom"/>
            <w:tcBorders>
              <w:top w:val="single" w:sz="8" w:color="CFF0FC"/>
            </w:tcBorders>
            <w:gridSpan w:val="2"/>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40" w:type="dxa"/>
            <w:vAlign w:val="bottom"/>
          </w:tcPr>
          <w:p>
            <w:pPr>
              <w:spacing w:after="0"/>
              <w:rPr>
                <w:sz w:val="20"/>
                <w:szCs w:val="20"/>
                <w:color w:val="auto"/>
              </w:rPr>
            </w:pPr>
            <w:r>
              <w:rPr>
                <w:rFonts w:ascii="Arial" w:cs="Arial" w:eastAsia="Arial" w:hAnsi="Arial"/>
                <w:sz w:val="18"/>
                <w:szCs w:val="18"/>
                <w:color w:val="auto"/>
              </w:rPr>
              <w:t>Interest rate swap</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12/15/2019</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115,000</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00" w:type="dxa"/>
            <w:vAlign w:val="bottom"/>
            <w:gridSpan w:val="3"/>
          </w:tcPr>
          <w:p>
            <w:pPr>
              <w:jc w:val="right"/>
              <w:ind w:right="220"/>
              <w:spacing w:after="0"/>
              <w:rPr>
                <w:sz w:val="20"/>
                <w:szCs w:val="20"/>
                <w:color w:val="auto"/>
              </w:rPr>
            </w:pPr>
            <w:r>
              <w:rPr>
                <w:rFonts w:ascii="Arial" w:cs="Arial" w:eastAsia="Arial" w:hAnsi="Arial"/>
                <w:sz w:val="18"/>
                <w:szCs w:val="18"/>
                <w:color w:val="auto"/>
              </w:rPr>
              <w:t>(1,279)</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1,294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40" w:type="dxa"/>
            <w:vAlign w:val="bottom"/>
            <w:shd w:val="clear" w:color="auto" w:fill="CFF0FC"/>
          </w:tcPr>
          <w:p>
            <w:pPr>
              <w:spacing w:after="0"/>
              <w:rPr>
                <w:sz w:val="20"/>
                <w:szCs w:val="20"/>
                <w:color w:val="auto"/>
              </w:rPr>
            </w:pPr>
            <w:r>
              <w:rPr>
                <w:rFonts w:ascii="Arial" w:cs="Arial" w:eastAsia="Arial" w:hAnsi="Arial"/>
                <w:sz w:val="18"/>
                <w:szCs w:val="18"/>
                <w:color w:val="auto"/>
              </w:rPr>
              <w:t>Interest rate swap</w:t>
            </w:r>
          </w:p>
        </w:tc>
        <w:tc>
          <w:tcPr>
            <w:tcW w:w="13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1/10/2020</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33,333</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0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(698)</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687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2340" w:type="dxa"/>
            <w:vAlign w:val="bottom"/>
          </w:tcPr>
          <w:p>
            <w:pPr>
              <w:spacing w:after="0"/>
              <w:rPr>
                <w:sz w:val="20"/>
                <w:szCs w:val="20"/>
                <w:color w:val="auto"/>
              </w:rPr>
            </w:pPr>
            <w:r>
              <w:rPr>
                <w:rFonts w:ascii="Arial" w:cs="Arial" w:eastAsia="Arial" w:hAnsi="Arial"/>
                <w:sz w:val="18"/>
                <w:szCs w:val="18"/>
                <w:color w:val="auto"/>
              </w:rPr>
              <w:t>Interest rate swap</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8/1/2022</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115,000</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00" w:type="dxa"/>
            <w:vAlign w:val="bottom"/>
            <w:gridSpan w:val="3"/>
          </w:tcPr>
          <w:p>
            <w:pPr>
              <w:jc w:val="right"/>
              <w:ind w:right="220"/>
              <w:spacing w:after="0"/>
              <w:rPr>
                <w:sz w:val="20"/>
                <w:szCs w:val="20"/>
                <w:color w:val="auto"/>
              </w:rPr>
            </w:pPr>
            <w:r>
              <w:rPr>
                <w:rFonts w:ascii="Arial" w:cs="Arial" w:eastAsia="Arial" w:hAnsi="Arial"/>
                <w:sz w:val="18"/>
                <w:szCs w:val="18"/>
                <w:color w:val="auto"/>
              </w:rPr>
              <w:t>(1,169)</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1,294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40" w:type="dxa"/>
            <w:vAlign w:val="bottom"/>
            <w:shd w:val="clear" w:color="auto" w:fill="CFF0FC"/>
          </w:tcPr>
          <w:p>
            <w:pPr>
              <w:spacing w:after="0"/>
              <w:rPr>
                <w:sz w:val="20"/>
                <w:szCs w:val="20"/>
                <w:color w:val="auto"/>
              </w:rPr>
            </w:pPr>
            <w:r>
              <w:rPr>
                <w:rFonts w:ascii="Arial" w:cs="Arial" w:eastAsia="Arial" w:hAnsi="Arial"/>
                <w:sz w:val="18"/>
                <w:szCs w:val="18"/>
                <w:color w:val="auto"/>
              </w:rPr>
              <w:t>Interest rate swap</w:t>
            </w:r>
          </w:p>
        </w:tc>
        <w:tc>
          <w:tcPr>
            <w:tcW w:w="13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1/22/2023</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150,000</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0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(1,005)</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1,256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251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40" w:type="dxa"/>
            <w:vAlign w:val="bottom"/>
          </w:tcPr>
          <w:p>
            <w:pPr>
              <w:ind w:left="260"/>
              <w:spacing w:after="0"/>
              <w:rPr>
                <w:sz w:val="20"/>
                <w:szCs w:val="20"/>
                <w:color w:val="auto"/>
              </w:rPr>
            </w:pPr>
            <w:r>
              <w:rPr>
                <w:rFonts w:ascii="Arial" w:cs="Arial" w:eastAsia="Arial" w:hAnsi="Arial"/>
                <w:sz w:val="18"/>
                <w:szCs w:val="18"/>
                <w:b w:val="1"/>
                <w:bCs w:val="1"/>
                <w:color w:val="auto"/>
              </w:rPr>
              <w:t>Total</w:t>
            </w:r>
          </w:p>
        </w:tc>
        <w:tc>
          <w:tcPr>
            <w:tcW w:w="1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gridSpan w:val="2"/>
          </w:tcPr>
          <w:p>
            <w:pPr>
              <w:spacing w:after="0"/>
              <w:rPr>
                <w:sz w:val="19"/>
                <w:szCs w:val="19"/>
                <w:color w:val="auto"/>
              </w:rPr>
            </w:pPr>
          </w:p>
        </w:tc>
        <w:tc>
          <w:tcPr>
            <w:tcW w:w="220" w:type="dxa"/>
            <w:vAlign w:val="bottom"/>
            <w:tcBorders>
              <w:top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505,833</w:t>
            </w:r>
          </w:p>
        </w:tc>
        <w:tc>
          <w:tcPr>
            <w:tcW w:w="280" w:type="dxa"/>
            <w:vAlign w:val="bottom"/>
            <w:gridSpan w:val="2"/>
          </w:tcPr>
          <w:p>
            <w:pPr>
              <w:spacing w:after="0"/>
              <w:rPr>
                <w:sz w:val="19"/>
                <w:szCs w:val="19"/>
                <w:color w:val="auto"/>
              </w:rPr>
            </w:pPr>
          </w:p>
        </w:tc>
        <w:tc>
          <w:tcPr>
            <w:tcW w:w="360" w:type="dxa"/>
            <w:vAlign w:val="bottom"/>
            <w:tcBorders>
              <w:top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(4,426)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4,852</w:t>
            </w:r>
          </w:p>
        </w:tc>
        <w:tc>
          <w:tcPr>
            <w:tcW w:w="300" w:type="dxa"/>
            <w:vAlign w:val="bottom"/>
            <w:gridSpan w:val="2"/>
          </w:tcPr>
          <w:p>
            <w:pPr>
              <w:spacing w:after="0"/>
              <w:rPr>
                <w:sz w:val="19"/>
                <w:szCs w:val="19"/>
                <w:color w:val="auto"/>
              </w:rPr>
            </w:pPr>
          </w:p>
        </w:tc>
        <w:tc>
          <w:tcPr>
            <w:tcW w:w="360" w:type="dxa"/>
            <w:vAlign w:val="bottom"/>
            <w:tcBorders>
              <w:top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right="280" w:hanging="512"/>
        <w:spacing w:after="0" w:line="277" w:lineRule="auto"/>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notional amount of certain interest rate swaps may exceed the Company’s investment in individual portfolio companies as a result of arrangements with other lenders in the syndicate.</w:t>
      </w:r>
    </w:p>
    <w:p>
      <w:pPr>
        <w:spacing w:after="0" w:line="170" w:lineRule="exact"/>
        <w:rPr>
          <w:sz w:val="20"/>
          <w:szCs w:val="20"/>
          <w:color w:val="auto"/>
        </w:rPr>
      </w:pPr>
    </w:p>
    <w:p>
      <w:pPr>
        <w:ind w:right="100" w:firstLine="259"/>
        <w:spacing w:after="0" w:line="257" w:lineRule="auto"/>
        <w:rPr>
          <w:sz w:val="20"/>
          <w:szCs w:val="20"/>
          <w:color w:val="auto"/>
        </w:rPr>
      </w:pPr>
      <w:r>
        <w:rPr>
          <w:rFonts w:ascii="Arial" w:cs="Arial" w:eastAsia="Arial" w:hAnsi="Arial"/>
          <w:sz w:val="18"/>
          <w:szCs w:val="18"/>
          <w:color w:val="auto"/>
        </w:rPr>
        <w:t>For the three months ended March 31, 2019 and 2018, the Company recognized $3.3 million and ($4.2) million, respectively, in net change in unrealized gains (losses) on interest rate swaps in the consolidated statement of operations related to the swap transactions. As of March 31, 2019, the swap transactions had a fair value of $0.7 million on the Company’s consolidated balance sheet. As of December 31, 2018, the swap transactions had a fair value of ($2.7) million which is netted against restricted cash collateral on the Company’s consolidated balance sheet. The Company’s interest rate swaps are with one counterparty and are centrally cleared through a registered commodities exchange.</w:t>
      </w:r>
    </w:p>
    <w:p>
      <w:pPr>
        <w:spacing w:after="0" w:line="188" w:lineRule="exact"/>
        <w:rPr>
          <w:sz w:val="20"/>
          <w:szCs w:val="20"/>
          <w:color w:val="auto"/>
        </w:rPr>
      </w:pPr>
    </w:p>
    <w:p>
      <w:pPr>
        <w:ind w:right="160" w:firstLine="259"/>
        <w:spacing w:after="0" w:line="302" w:lineRule="auto"/>
        <w:rPr>
          <w:sz w:val="20"/>
          <w:szCs w:val="20"/>
          <w:color w:val="auto"/>
        </w:rPr>
      </w:pPr>
      <w:r>
        <w:rPr>
          <w:rFonts w:ascii="Arial" w:cs="Arial" w:eastAsia="Arial" w:hAnsi="Arial"/>
          <w:sz w:val="16"/>
          <w:szCs w:val="16"/>
          <w:color w:val="auto"/>
        </w:rPr>
        <w:t>The Company is required under the terms of its derivatives agreements to pledge assets as collateral to secure its obligations under the derivatives. The amount of collateral required varies over time based on the mark-to-market value, notional amount and remaining term of the derivatives, and may exceed the amount owed by the Company on a mark-to-market basis. Any failure by the Company to fulfill any collateral requirement (e.g., a so-called “margin call”) may result in a default. In the event of a default by a counterparty, the Company would be an unsecured creditor to the extent of any such overcollateralization.</w:t>
      </w:r>
    </w:p>
    <w:p>
      <w:pPr>
        <w:spacing w:after="0" w:line="154" w:lineRule="exact"/>
        <w:rPr>
          <w:sz w:val="20"/>
          <w:szCs w:val="20"/>
          <w:color w:val="auto"/>
        </w:rPr>
      </w:pPr>
    </w:p>
    <w:p>
      <w:pPr>
        <w:ind w:right="360" w:firstLine="259"/>
        <w:spacing w:after="0" w:line="259" w:lineRule="auto"/>
        <w:rPr>
          <w:sz w:val="20"/>
          <w:szCs w:val="20"/>
          <w:color w:val="auto"/>
        </w:rPr>
      </w:pPr>
      <w:r>
        <w:rPr>
          <w:rFonts w:ascii="Arial" w:cs="Arial" w:eastAsia="Arial" w:hAnsi="Arial"/>
          <w:sz w:val="18"/>
          <w:szCs w:val="18"/>
          <w:color w:val="auto"/>
        </w:rPr>
        <w:t>As of March 31, 2019, $5.6 million of cash is pledged as collateral under the Company’s derivative instruments and is included in restricted cash as a component of cash and cash equivalents on the Company’s consolidated balance sheet. The Company had $10.0 million of cash collateral posted as of December 31, 2018, of which $7.3 million is included in restricted cash as a component of cash and cash equivalents on the Company’s consolidated balance sheet.</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Company may enter into other derivative instruments and incur other exposures with the same or other counterparties in the future.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6. Fair Value of Financial Instruments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tables present fair value measurements of investments as of March 31, 2019 and December 31, 2018:</w:t>
      </w:r>
    </w:p>
    <w:p>
      <w:pPr>
        <w:spacing w:after="0" w:line="257" w:lineRule="exact"/>
        <w:rPr>
          <w:sz w:val="20"/>
          <w:szCs w:val="20"/>
          <w:color w:val="auto"/>
        </w:rPr>
      </w:pPr>
    </w:p>
    <w:tbl>
      <w:tblPr>
        <w:tblLayout w:type="fixed"/>
        <w:tblInd w:w="580" w:type="dxa"/>
        <w:tblCellMar>
          <w:top w:w="0" w:type="dxa"/>
          <w:left w:w="0" w:type="dxa"/>
          <w:bottom w:w="0" w:type="dxa"/>
          <w:right w:w="0" w:type="dxa"/>
        </w:tblCellMar>
      </w:tblPr>
      <w:tr>
        <w:trPr>
          <w:trHeight w:val="186"/>
        </w:trPr>
        <w:tc>
          <w:tcPr>
            <w:tcW w:w="5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760" w:type="dxa"/>
            <w:vAlign w:val="bottom"/>
            <w:gridSpan w:val="8"/>
          </w:tcPr>
          <w:p>
            <w:pPr>
              <w:jc w:val="center"/>
              <w:spacing w:after="0"/>
              <w:rPr>
                <w:sz w:val="20"/>
                <w:szCs w:val="20"/>
                <w:color w:val="auto"/>
              </w:rPr>
            </w:pPr>
            <w:r>
              <w:rPr>
                <w:rFonts w:ascii="Arial" w:cs="Arial" w:eastAsia="Arial" w:hAnsi="Arial"/>
                <w:sz w:val="14"/>
                <w:szCs w:val="14"/>
                <w:b w:val="1"/>
                <w:bCs w:val="1"/>
                <w:color w:val="auto"/>
                <w:w w:val="95"/>
              </w:rPr>
              <w:t>Fair Value Hierarchy at March 31, 2019</w:t>
            </w: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6"/>
        </w:trPr>
        <w:tc>
          <w:tcPr>
            <w:tcW w:w="5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gridSpan w:val="2"/>
          </w:tcPr>
          <w:p>
            <w:pPr>
              <w:spacing w:after="0"/>
              <w:rPr>
                <w:sz w:val="2"/>
                <w:szCs w:val="2"/>
                <w:color w:val="auto"/>
              </w:rPr>
            </w:pPr>
          </w:p>
        </w:tc>
      </w:tr>
      <w:tr>
        <w:trPr>
          <w:trHeight w:val="156"/>
        </w:trPr>
        <w:tc>
          <w:tcPr>
            <w:tcW w:w="53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ind w:right="212"/>
              <w:spacing w:after="0" w:line="155" w:lineRule="exact"/>
              <w:rPr>
                <w:sz w:val="20"/>
                <w:szCs w:val="20"/>
                <w:color w:val="auto"/>
              </w:rPr>
            </w:pPr>
            <w:r>
              <w:rPr>
                <w:rFonts w:ascii="Arial" w:cs="Arial" w:eastAsia="Arial" w:hAnsi="Arial"/>
                <w:sz w:val="14"/>
                <w:szCs w:val="14"/>
                <w:b w:val="1"/>
                <w:bCs w:val="1"/>
                <w:color w:val="auto"/>
              </w:rPr>
              <w:t>Level 1</w:t>
            </w:r>
          </w:p>
        </w:tc>
        <w:tc>
          <w:tcPr>
            <w:tcW w:w="2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gridSpan w:val="2"/>
          </w:tcPr>
          <w:p>
            <w:pPr>
              <w:jc w:val="right"/>
              <w:ind w:right="460"/>
              <w:spacing w:after="0" w:line="155" w:lineRule="exact"/>
              <w:rPr>
                <w:sz w:val="20"/>
                <w:szCs w:val="20"/>
                <w:color w:val="auto"/>
              </w:rPr>
            </w:pPr>
            <w:r>
              <w:rPr>
                <w:rFonts w:ascii="Arial" w:cs="Arial" w:eastAsia="Arial" w:hAnsi="Arial"/>
                <w:sz w:val="14"/>
                <w:szCs w:val="14"/>
                <w:b w:val="1"/>
                <w:bCs w:val="1"/>
                <w:color w:val="auto"/>
              </w:rPr>
              <w:t>Level 2</w:t>
            </w:r>
          </w:p>
        </w:tc>
        <w:tc>
          <w:tcPr>
            <w:tcW w:w="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gridSpan w:val="2"/>
          </w:tcPr>
          <w:p>
            <w:pPr>
              <w:ind w:left="100"/>
              <w:spacing w:after="0" w:line="155" w:lineRule="exact"/>
              <w:rPr>
                <w:sz w:val="20"/>
                <w:szCs w:val="20"/>
                <w:color w:val="auto"/>
              </w:rPr>
            </w:pPr>
            <w:r>
              <w:rPr>
                <w:rFonts w:ascii="Arial" w:cs="Arial" w:eastAsia="Arial" w:hAnsi="Arial"/>
                <w:sz w:val="14"/>
                <w:szCs w:val="14"/>
                <w:b w:val="1"/>
                <w:bCs w:val="1"/>
                <w:color w:val="auto"/>
              </w:rPr>
              <w:t>Level 3</w:t>
            </w:r>
          </w:p>
        </w:tc>
        <w:tc>
          <w:tcPr>
            <w:tcW w:w="20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r>
      <w:tr>
        <w:trPr>
          <w:trHeight w:val="223"/>
        </w:trPr>
        <w:tc>
          <w:tcPr>
            <w:tcW w:w="5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First-lien debt investments</w:t>
            </w: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969</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1,775,769</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1,776,738</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4,137</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4,137</w:t>
            </w:r>
          </w:p>
        </w:tc>
        <w:tc>
          <w:tcPr>
            <w:tcW w:w="100" w:type="dxa"/>
            <w:vAlign w:val="bottom"/>
          </w:tcPr>
          <w:p>
            <w:pPr>
              <w:spacing w:after="0"/>
              <w:rPr>
                <w:sz w:val="19"/>
                <w:szCs w:val="19"/>
                <w:color w:val="auto"/>
              </w:rPr>
            </w:pPr>
          </w:p>
        </w:tc>
      </w:tr>
      <w:tr>
        <w:trPr>
          <w:trHeight w:val="230"/>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Mezzanine debt investments</w:t>
            </w: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2,531</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2,531</w:t>
            </w:r>
          </w:p>
        </w:tc>
        <w:tc>
          <w:tcPr>
            <w:tcW w:w="100" w:type="dxa"/>
            <w:vAlign w:val="bottom"/>
            <w:shd w:val="clear" w:color="auto" w:fill="CFF0FC"/>
          </w:tcPr>
          <w:p>
            <w:pPr>
              <w:spacing w:after="0"/>
              <w:rPr>
                <w:sz w:val="19"/>
                <w:szCs w:val="19"/>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Equity and other investments</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1,358</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40,097</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41,455</w:t>
            </w:r>
          </w:p>
        </w:tc>
        <w:tc>
          <w:tcPr>
            <w:tcW w:w="100" w:type="dxa"/>
            <w:vAlign w:val="bottom"/>
          </w:tcPr>
          <w:p>
            <w:pPr>
              <w:spacing w:after="0"/>
              <w:rPr>
                <w:sz w:val="19"/>
                <w:szCs w:val="19"/>
                <w:color w:val="auto"/>
              </w:rPr>
            </w:pPr>
          </w:p>
        </w:tc>
      </w:tr>
      <w:tr>
        <w:trPr>
          <w:trHeight w:val="223"/>
        </w:trPr>
        <w:tc>
          <w:tcPr>
            <w:tcW w:w="532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investments at fair value</w:t>
            </w: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1,358</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969</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1,822,534</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1,824,861</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Interest rate swaps</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656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656</w:t>
            </w:r>
          </w:p>
        </w:tc>
        <w:tc>
          <w:tcPr>
            <w:tcW w:w="100" w:type="dxa"/>
            <w:vAlign w:val="bottom"/>
          </w:tcPr>
          <w:p>
            <w:pPr>
              <w:spacing w:after="0"/>
              <w:rPr>
                <w:sz w:val="19"/>
                <w:szCs w:val="19"/>
                <w:color w:val="auto"/>
              </w:rPr>
            </w:pPr>
          </w:p>
        </w:tc>
      </w:tr>
      <w:tr>
        <w:trPr>
          <w:trHeight w:val="223"/>
        </w:trPr>
        <w:tc>
          <w:tcPr>
            <w:tcW w:w="532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1,625</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1,822,534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1,825,517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01"/>
        </w:trPr>
        <w:tc>
          <w:tcPr>
            <w:tcW w:w="5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760" w:type="dxa"/>
            <w:vAlign w:val="bottom"/>
            <w:gridSpan w:val="8"/>
          </w:tcPr>
          <w:p>
            <w:pPr>
              <w:jc w:val="center"/>
              <w:spacing w:after="0"/>
              <w:rPr>
                <w:sz w:val="20"/>
                <w:szCs w:val="20"/>
                <w:color w:val="auto"/>
              </w:rPr>
            </w:pPr>
            <w:r>
              <w:rPr>
                <w:rFonts w:ascii="Arial" w:cs="Arial" w:eastAsia="Arial" w:hAnsi="Arial"/>
                <w:sz w:val="14"/>
                <w:szCs w:val="14"/>
                <w:b w:val="1"/>
                <w:bCs w:val="1"/>
                <w:color w:val="auto"/>
                <w:w w:val="93"/>
              </w:rPr>
              <w:t>Fair Value Hierarchy at December 31, 2018</w:t>
            </w: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
        </w:trPr>
        <w:tc>
          <w:tcPr>
            <w:tcW w:w="5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gridSpan w:val="2"/>
          </w:tcPr>
          <w:p>
            <w:pPr>
              <w:spacing w:after="0"/>
              <w:rPr>
                <w:sz w:val="2"/>
                <w:szCs w:val="2"/>
                <w:color w:val="auto"/>
              </w:rPr>
            </w:pPr>
          </w:p>
        </w:tc>
      </w:tr>
      <w:tr>
        <w:trPr>
          <w:trHeight w:val="156"/>
        </w:trPr>
        <w:tc>
          <w:tcPr>
            <w:tcW w:w="53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ind w:right="212"/>
              <w:spacing w:after="0" w:line="155" w:lineRule="exact"/>
              <w:rPr>
                <w:sz w:val="20"/>
                <w:szCs w:val="20"/>
                <w:color w:val="auto"/>
              </w:rPr>
            </w:pPr>
            <w:r>
              <w:rPr>
                <w:rFonts w:ascii="Arial" w:cs="Arial" w:eastAsia="Arial" w:hAnsi="Arial"/>
                <w:sz w:val="14"/>
                <w:szCs w:val="14"/>
                <w:b w:val="1"/>
                <w:bCs w:val="1"/>
                <w:color w:val="auto"/>
              </w:rPr>
              <w:t>Level 1</w:t>
            </w:r>
          </w:p>
        </w:tc>
        <w:tc>
          <w:tcPr>
            <w:tcW w:w="2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gridSpan w:val="2"/>
          </w:tcPr>
          <w:p>
            <w:pPr>
              <w:jc w:val="right"/>
              <w:ind w:right="460"/>
              <w:spacing w:after="0" w:line="155" w:lineRule="exact"/>
              <w:rPr>
                <w:sz w:val="20"/>
                <w:szCs w:val="20"/>
                <w:color w:val="auto"/>
              </w:rPr>
            </w:pPr>
            <w:r>
              <w:rPr>
                <w:rFonts w:ascii="Arial" w:cs="Arial" w:eastAsia="Arial" w:hAnsi="Arial"/>
                <w:sz w:val="14"/>
                <w:szCs w:val="14"/>
                <w:b w:val="1"/>
                <w:bCs w:val="1"/>
                <w:color w:val="auto"/>
              </w:rPr>
              <w:t>Level 2</w:t>
            </w:r>
          </w:p>
        </w:tc>
        <w:tc>
          <w:tcPr>
            <w:tcW w:w="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gridSpan w:val="2"/>
          </w:tcPr>
          <w:p>
            <w:pPr>
              <w:ind w:left="100"/>
              <w:spacing w:after="0" w:line="155" w:lineRule="exact"/>
              <w:rPr>
                <w:sz w:val="20"/>
                <w:szCs w:val="20"/>
                <w:color w:val="auto"/>
              </w:rPr>
            </w:pPr>
            <w:r>
              <w:rPr>
                <w:rFonts w:ascii="Arial" w:cs="Arial" w:eastAsia="Arial" w:hAnsi="Arial"/>
                <w:sz w:val="14"/>
                <w:szCs w:val="14"/>
                <w:b w:val="1"/>
                <w:bCs w:val="1"/>
                <w:color w:val="auto"/>
              </w:rPr>
              <w:t>Level 3</w:t>
            </w:r>
          </w:p>
        </w:tc>
        <w:tc>
          <w:tcPr>
            <w:tcW w:w="20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r>
      <w:tr>
        <w:trPr>
          <w:trHeight w:val="223"/>
        </w:trPr>
        <w:tc>
          <w:tcPr>
            <w:tcW w:w="5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First-lien debt investments</w:t>
            </w: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25,870</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1,628,037</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1,653,907</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4,137</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4,137</w:t>
            </w:r>
          </w:p>
        </w:tc>
        <w:tc>
          <w:tcPr>
            <w:tcW w:w="100" w:type="dxa"/>
            <w:vAlign w:val="bottom"/>
          </w:tcPr>
          <w:p>
            <w:pPr>
              <w:spacing w:after="0"/>
              <w:rPr>
                <w:sz w:val="19"/>
                <w:szCs w:val="19"/>
                <w:color w:val="auto"/>
              </w:rPr>
            </w:pPr>
          </w:p>
        </w:tc>
      </w:tr>
      <w:tr>
        <w:trPr>
          <w:trHeight w:val="230"/>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Mezzanine debt investments</w:t>
            </w: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2,481</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2,481</w:t>
            </w:r>
          </w:p>
        </w:tc>
        <w:tc>
          <w:tcPr>
            <w:tcW w:w="100" w:type="dxa"/>
            <w:vAlign w:val="bottom"/>
            <w:shd w:val="clear" w:color="auto" w:fill="CFF0FC"/>
          </w:tcPr>
          <w:p>
            <w:pPr>
              <w:spacing w:after="0"/>
              <w:rPr>
                <w:sz w:val="19"/>
                <w:szCs w:val="19"/>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Equity and other investments</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2,210</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43,234</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45,444</w:t>
            </w:r>
          </w:p>
        </w:tc>
        <w:tc>
          <w:tcPr>
            <w:tcW w:w="100" w:type="dxa"/>
            <w:vAlign w:val="bottom"/>
          </w:tcPr>
          <w:p>
            <w:pPr>
              <w:spacing w:after="0"/>
              <w:rPr>
                <w:sz w:val="19"/>
                <w:szCs w:val="19"/>
                <w:color w:val="auto"/>
              </w:rPr>
            </w:pPr>
          </w:p>
        </w:tc>
      </w:tr>
      <w:tr>
        <w:trPr>
          <w:trHeight w:val="223"/>
        </w:trPr>
        <w:tc>
          <w:tcPr>
            <w:tcW w:w="532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investments at fair value</w:t>
            </w: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2,210</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25,870</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1,677,889</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1,705,969</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Interest rate swaps</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(2,663)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(2,663)</w:t>
            </w:r>
          </w:p>
        </w:tc>
      </w:tr>
      <w:tr>
        <w:trPr>
          <w:trHeight w:val="223"/>
        </w:trPr>
        <w:tc>
          <w:tcPr>
            <w:tcW w:w="532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2,210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23,207</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1,677,889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1,703,306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Transfers between levels, if any, are recognized at the beginning of the quarter in which the transfers occur.</w:t>
      </w:r>
    </w:p>
    <w:p>
      <w:pPr>
        <w:spacing w:after="0" w:line="225" w:lineRule="exact"/>
        <w:rPr>
          <w:sz w:val="20"/>
          <w:szCs w:val="20"/>
          <w:color w:val="auto"/>
        </w:rPr>
      </w:pPr>
    </w:p>
    <w:p>
      <w:pPr>
        <w:ind w:right="200" w:firstLine="259"/>
        <w:spacing w:after="0" w:line="277" w:lineRule="auto"/>
        <w:rPr>
          <w:sz w:val="20"/>
          <w:szCs w:val="20"/>
          <w:color w:val="auto"/>
        </w:rPr>
      </w:pPr>
      <w:r>
        <w:rPr>
          <w:rFonts w:ascii="Arial" w:cs="Arial" w:eastAsia="Arial" w:hAnsi="Arial"/>
          <w:sz w:val="18"/>
          <w:szCs w:val="18"/>
          <w:color w:val="auto"/>
        </w:rPr>
        <w:t>The following tables present the changes in the fair value of investments for which Level 3 inputs were used to determine the fair value as of and for the three months ended March 31, 2019 and 2018:</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40" w:type="dxa"/>
            <w:vAlign w:val="bottom"/>
            <w:gridSpan w:val="9"/>
          </w:tcPr>
          <w:p>
            <w:pPr>
              <w:jc w:val="center"/>
              <w:ind w:right="240"/>
              <w:spacing w:after="0"/>
              <w:rPr>
                <w:sz w:val="20"/>
                <w:szCs w:val="20"/>
                <w:color w:val="auto"/>
              </w:rPr>
            </w:pPr>
            <w:r>
              <w:rPr>
                <w:rFonts w:ascii="Arial" w:cs="Arial" w:eastAsia="Arial" w:hAnsi="Arial"/>
                <w:sz w:val="14"/>
                <w:szCs w:val="14"/>
                <w:b w:val="1"/>
                <w:bCs w:val="1"/>
                <w:color w:val="auto"/>
                <w:w w:val="93"/>
              </w:rPr>
              <w:t>As of and for the Three Months Ended</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March 31, 2019</w:t>
            </w: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4"/>
              </w:rPr>
              <w:t>First-lien</w:t>
            </w:r>
          </w:p>
        </w:tc>
        <w:tc>
          <w:tcPr>
            <w:tcW w:w="120" w:type="dxa"/>
            <w:vAlign w:val="bottom"/>
          </w:tcPr>
          <w:p>
            <w:pPr>
              <w:spacing w:after="0"/>
              <w:rPr>
                <w:sz w:val="11"/>
                <w:szCs w:val="11"/>
                <w:color w:val="auto"/>
              </w:rPr>
            </w:pPr>
          </w:p>
        </w:tc>
        <w:tc>
          <w:tcPr>
            <w:tcW w:w="104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90"/>
              </w:rPr>
              <w:t>Second-lien</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center"/>
              <w:ind w:right="34"/>
              <w:spacing w:after="0" w:line="133" w:lineRule="exact"/>
              <w:rPr>
                <w:sz w:val="20"/>
                <w:szCs w:val="20"/>
                <w:color w:val="auto"/>
              </w:rPr>
            </w:pPr>
            <w:r>
              <w:rPr>
                <w:rFonts w:ascii="Arial" w:cs="Arial" w:eastAsia="Arial" w:hAnsi="Arial"/>
                <w:sz w:val="14"/>
                <w:szCs w:val="14"/>
                <w:b w:val="1"/>
                <w:bCs w:val="1"/>
                <w:color w:val="auto"/>
                <w:w w:val="94"/>
              </w:rPr>
              <w:t>Mezzanine</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98"/>
              </w:rPr>
              <w:t>Equity</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debt</w:t>
            </w:r>
          </w:p>
        </w:tc>
        <w:tc>
          <w:tcPr>
            <w:tcW w:w="12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debt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34"/>
              <w:spacing w:after="0" w:line="149" w:lineRule="exact"/>
              <w:rPr>
                <w:sz w:val="20"/>
                <w:szCs w:val="20"/>
                <w:color w:val="auto"/>
              </w:rPr>
            </w:pPr>
            <w:r>
              <w:rPr>
                <w:rFonts w:ascii="Arial" w:cs="Arial" w:eastAsia="Arial" w:hAnsi="Arial"/>
                <w:sz w:val="14"/>
                <w:szCs w:val="14"/>
                <w:b w:val="1"/>
                <w:bCs w:val="1"/>
                <w:color w:val="auto"/>
                <w:w w:val="87"/>
              </w:rPr>
              <w:t>debt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and other</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investments</w:t>
            </w:r>
          </w:p>
        </w:tc>
        <w:tc>
          <w:tcPr>
            <w:tcW w:w="12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investments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center"/>
              <w:ind w:right="34"/>
              <w:spacing w:after="0"/>
              <w:rPr>
                <w:sz w:val="20"/>
                <w:szCs w:val="20"/>
                <w:color w:val="auto"/>
              </w:rPr>
            </w:pPr>
            <w:r>
              <w:rPr>
                <w:rFonts w:ascii="Arial" w:cs="Arial" w:eastAsia="Arial" w:hAnsi="Arial"/>
                <w:sz w:val="14"/>
                <w:szCs w:val="14"/>
                <w:b w:val="1"/>
                <w:bCs w:val="1"/>
                <w:color w:val="auto"/>
                <w:w w:val="90"/>
              </w:rPr>
              <w:t>investments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investments</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beginning of period</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1,628,037</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4,137</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2,481</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43,234</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1,677,889</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Purchases or originations</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145,977</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1,278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147,255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Repayments / redemptions</w:t>
            </w: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(15,020)</w:t>
            </w: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(1,636)</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(16,656)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Paid-in-kind interest</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1,805</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1,805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Net change in unrealized gains (losses)</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12,802</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(2,414)</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10,437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Net realized losses</w:t>
            </w:r>
          </w:p>
        </w:tc>
        <w:tc>
          <w:tcPr>
            <w:tcW w:w="1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(365)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Net amortization of discount on securities</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2,241</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Transfers into (out of) Level 3</w:t>
            </w:r>
          </w:p>
        </w:tc>
        <w:tc>
          <w:tcPr>
            <w:tcW w:w="10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b w:val="1"/>
                <w:bCs w:val="1"/>
                <w:color w:val="auto"/>
              </w:rPr>
              <w:t>Balance, End of Period</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1,775,769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4,137</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40,097</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1,822,534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ind w:right="394"/>
              <w:spacing w:after="0"/>
              <w:rPr>
                <w:sz w:val="20"/>
                <w:szCs w:val="20"/>
                <w:color w:val="auto"/>
              </w:rPr>
            </w:pPr>
            <w:r>
              <w:rPr>
                <w:rFonts w:ascii="Arial" w:cs="Arial" w:eastAsia="Arial" w:hAnsi="Arial"/>
                <w:sz w:val="18"/>
                <w:szCs w:val="18"/>
                <w:color w:val="auto"/>
              </w:rPr>
              <w:t>30</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61" w:right="21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62"/>
        </w:trPr>
        <w:tc>
          <w:tcPr>
            <w:tcW w:w="5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40" w:type="dxa"/>
            <w:vAlign w:val="bottom"/>
            <w:gridSpan w:val="8"/>
          </w:tcPr>
          <w:p>
            <w:pPr>
              <w:jc w:val="center"/>
              <w:ind w:right="240"/>
              <w:spacing w:after="0"/>
              <w:rPr>
                <w:sz w:val="20"/>
                <w:szCs w:val="20"/>
                <w:color w:val="auto"/>
              </w:rPr>
            </w:pPr>
            <w:r>
              <w:rPr>
                <w:rFonts w:ascii="Arial" w:cs="Arial" w:eastAsia="Arial" w:hAnsi="Arial"/>
                <w:sz w:val="14"/>
                <w:szCs w:val="14"/>
                <w:b w:val="1"/>
                <w:bCs w:val="1"/>
                <w:color w:val="auto"/>
                <w:w w:val="93"/>
              </w:rPr>
              <w:t>As of and for the Three Months Ended</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March 31, 2018</w:t>
            </w: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4"/>
              </w:rPr>
              <w:t>First-lien</w:t>
            </w:r>
          </w:p>
        </w:tc>
        <w:tc>
          <w:tcPr>
            <w:tcW w:w="120" w:type="dxa"/>
            <w:vAlign w:val="bottom"/>
          </w:tcPr>
          <w:p>
            <w:pPr>
              <w:spacing w:after="0"/>
              <w:rPr>
                <w:sz w:val="11"/>
                <w:szCs w:val="11"/>
                <w:color w:val="auto"/>
              </w:rPr>
            </w:pPr>
          </w:p>
        </w:tc>
        <w:tc>
          <w:tcPr>
            <w:tcW w:w="900" w:type="dxa"/>
            <w:vAlign w:val="bottom"/>
          </w:tcPr>
          <w:p>
            <w:pPr>
              <w:jc w:val="center"/>
              <w:ind w:right="56"/>
              <w:spacing w:after="0" w:line="133" w:lineRule="exact"/>
              <w:rPr>
                <w:sz w:val="20"/>
                <w:szCs w:val="20"/>
                <w:color w:val="auto"/>
              </w:rPr>
            </w:pPr>
            <w:r>
              <w:rPr>
                <w:rFonts w:ascii="Arial" w:cs="Arial" w:eastAsia="Arial" w:hAnsi="Arial"/>
                <w:sz w:val="14"/>
                <w:szCs w:val="14"/>
                <w:b w:val="1"/>
                <w:bCs w:val="1"/>
                <w:color w:val="auto"/>
                <w:w w:val="90"/>
              </w:rPr>
              <w:t>Second-lien</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center"/>
              <w:ind w:right="34"/>
              <w:spacing w:after="0" w:line="133" w:lineRule="exact"/>
              <w:rPr>
                <w:sz w:val="20"/>
                <w:szCs w:val="20"/>
                <w:color w:val="auto"/>
              </w:rPr>
            </w:pPr>
            <w:r>
              <w:rPr>
                <w:rFonts w:ascii="Arial" w:cs="Arial" w:eastAsia="Arial" w:hAnsi="Arial"/>
                <w:sz w:val="14"/>
                <w:szCs w:val="14"/>
                <w:b w:val="1"/>
                <w:bCs w:val="1"/>
                <w:color w:val="auto"/>
                <w:w w:val="94"/>
              </w:rPr>
              <w:t>Mezzanine</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98"/>
              </w:rPr>
              <w:t>Equity</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debt</w:t>
            </w:r>
          </w:p>
        </w:tc>
        <w:tc>
          <w:tcPr>
            <w:tcW w:w="120" w:type="dxa"/>
            <w:vAlign w:val="bottom"/>
          </w:tcPr>
          <w:p>
            <w:pPr>
              <w:spacing w:after="0"/>
              <w:rPr>
                <w:sz w:val="12"/>
                <w:szCs w:val="12"/>
                <w:color w:val="auto"/>
              </w:rPr>
            </w:pPr>
          </w:p>
        </w:tc>
        <w:tc>
          <w:tcPr>
            <w:tcW w:w="90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4"/>
              </w:rPr>
              <w:t>debt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34"/>
              <w:spacing w:after="0" w:line="149" w:lineRule="exact"/>
              <w:rPr>
                <w:sz w:val="20"/>
                <w:szCs w:val="20"/>
                <w:color w:val="auto"/>
              </w:rPr>
            </w:pPr>
            <w:r>
              <w:rPr>
                <w:rFonts w:ascii="Arial" w:cs="Arial" w:eastAsia="Arial" w:hAnsi="Arial"/>
                <w:sz w:val="14"/>
                <w:szCs w:val="14"/>
                <w:b w:val="1"/>
                <w:bCs w:val="1"/>
                <w:color w:val="auto"/>
                <w:w w:val="87"/>
              </w:rPr>
              <w:t>debt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and other</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investments</w:t>
            </w:r>
          </w:p>
        </w:tc>
        <w:tc>
          <w:tcPr>
            <w:tcW w:w="120" w:type="dxa"/>
            <w:vAlign w:val="bottom"/>
          </w:tcPr>
          <w:p>
            <w:pPr>
              <w:spacing w:after="0"/>
              <w:rPr>
                <w:sz w:val="14"/>
                <w:szCs w:val="14"/>
                <w:color w:val="auto"/>
              </w:rPr>
            </w:pPr>
          </w:p>
        </w:tc>
        <w:tc>
          <w:tcPr>
            <w:tcW w:w="900" w:type="dxa"/>
            <w:vAlign w:val="bottom"/>
          </w:tcPr>
          <w:p>
            <w:pPr>
              <w:jc w:val="center"/>
              <w:ind w:right="56"/>
              <w:spacing w:after="0"/>
              <w:rPr>
                <w:sz w:val="20"/>
                <w:szCs w:val="20"/>
                <w:color w:val="auto"/>
              </w:rPr>
            </w:pPr>
            <w:r>
              <w:rPr>
                <w:rFonts w:ascii="Arial" w:cs="Arial" w:eastAsia="Arial" w:hAnsi="Arial"/>
                <w:sz w:val="14"/>
                <w:szCs w:val="14"/>
                <w:b w:val="1"/>
                <w:bCs w:val="1"/>
                <w:color w:val="auto"/>
                <w:w w:val="88"/>
              </w:rPr>
              <w:t>investments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center"/>
              <w:ind w:right="34"/>
              <w:spacing w:after="0"/>
              <w:rPr>
                <w:sz w:val="20"/>
                <w:szCs w:val="20"/>
                <w:color w:val="auto"/>
              </w:rPr>
            </w:pPr>
            <w:r>
              <w:rPr>
                <w:rFonts w:ascii="Arial" w:cs="Arial" w:eastAsia="Arial" w:hAnsi="Arial"/>
                <w:sz w:val="14"/>
                <w:szCs w:val="14"/>
                <w:b w:val="1"/>
                <w:bCs w:val="1"/>
                <w:color w:val="auto"/>
                <w:w w:val="90"/>
              </w:rPr>
              <w:t>investments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investments</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beginning of period</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1,563,972</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60,900</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ind w:left="720"/>
              <w:spacing w:after="0"/>
              <w:rPr>
                <w:sz w:val="20"/>
                <w:szCs w:val="20"/>
                <w:color w:val="auto"/>
              </w:rPr>
            </w:pPr>
            <w:r>
              <w:rPr>
                <w:rFonts w:ascii="Arial" w:cs="Arial" w:eastAsia="Arial" w:hAnsi="Arial"/>
                <w:sz w:val="18"/>
                <w:szCs w:val="18"/>
                <w:color w:val="auto"/>
                <w:w w:val="88"/>
              </w:rPr>
              <w:t>—</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38,322</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1,663,194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Purchases or originations</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316,770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ind w:left="72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2,471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319,241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Repayments / redemptions</w:t>
            </w: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(101,090)</w:t>
            </w: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ind w:left="720"/>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(1,379)</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(102,469)</w:t>
            </w: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Paid-in-kind interest</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994</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ind w:left="72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Net change in unrealized gains</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1,312</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464</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ind w:left="720"/>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Net realized gains</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59</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ind w:left="72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Net amortization of discount on securities</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3,510</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ind w:left="720"/>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Transfers into (out of) Level 3</w:t>
            </w:r>
          </w:p>
        </w:tc>
        <w:tc>
          <w:tcPr>
            <w:tcW w:w="10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ind w:left="72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b w:val="1"/>
                <w:bCs w:val="1"/>
                <w:color w:val="auto"/>
              </w:rPr>
              <w:t>Balance, End of Period</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1,785,527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61,364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ind w:left="720"/>
              <w:spacing w:after="0"/>
              <w:rPr>
                <w:sz w:val="20"/>
                <w:szCs w:val="20"/>
                <w:color w:val="auto"/>
              </w:rPr>
            </w:pPr>
            <w:r>
              <w:rPr>
                <w:rFonts w:ascii="Arial" w:cs="Arial" w:eastAsia="Arial" w:hAnsi="Arial"/>
                <w:sz w:val="18"/>
                <w:szCs w:val="18"/>
                <w:color w:val="auto"/>
                <w:w w:val="88"/>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42,555</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1,889,446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right="40" w:firstLine="259"/>
        <w:spacing w:after="0" w:line="277" w:lineRule="auto"/>
        <w:rPr>
          <w:sz w:val="20"/>
          <w:szCs w:val="20"/>
          <w:color w:val="auto"/>
        </w:rPr>
      </w:pPr>
      <w:r>
        <w:rPr>
          <w:rFonts w:ascii="Arial" w:cs="Arial" w:eastAsia="Arial" w:hAnsi="Arial"/>
          <w:sz w:val="18"/>
          <w:szCs w:val="18"/>
          <w:color w:val="auto"/>
        </w:rPr>
        <w:t>The following tables present information with respect to the net change in unrealized gains or losses on investments for which Level 3 inputs were used in determining fair value that are still held by the Company at March 31, 2019 and 2018:</w:t>
      </w:r>
    </w:p>
    <w:p>
      <w:pPr>
        <w:spacing w:after="0" w:line="243"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3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Net Change in Unrealized</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Net Change in Unrealized</w:t>
            </w:r>
          </w:p>
        </w:tc>
      </w:tr>
      <w:tr>
        <w:trPr>
          <w:trHeight w:val="162"/>
        </w:trPr>
        <w:tc>
          <w:tcPr>
            <w:tcW w:w="3880" w:type="dxa"/>
            <w:vAlign w:val="bottom"/>
          </w:tcPr>
          <w:p>
            <w:pPr>
              <w:spacing w:after="0"/>
              <w:rPr>
                <w:sz w:val="14"/>
                <w:szCs w:val="14"/>
                <w:color w:val="auto"/>
              </w:rPr>
            </w:pPr>
          </w:p>
        </w:tc>
        <w:tc>
          <w:tcPr>
            <w:tcW w:w="20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Appreciation or (Depreciation)</w:t>
            </w:r>
          </w:p>
        </w:tc>
        <w:tc>
          <w:tcPr>
            <w:tcW w:w="60" w:type="dxa"/>
            <w:vAlign w:val="bottom"/>
          </w:tcPr>
          <w:p>
            <w:pPr>
              <w:spacing w:after="0"/>
              <w:rPr>
                <w:sz w:val="14"/>
                <w:szCs w:val="14"/>
                <w:color w:val="auto"/>
              </w:rPr>
            </w:pPr>
          </w:p>
        </w:tc>
        <w:tc>
          <w:tcPr>
            <w:tcW w:w="20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4"/>
              </w:rPr>
              <w:t>Appreciation or (Depreciation)</w:t>
            </w:r>
          </w:p>
        </w:tc>
      </w:tr>
      <w:tr>
        <w:trPr>
          <w:trHeight w:val="162"/>
        </w:trPr>
        <w:tc>
          <w:tcPr>
            <w:tcW w:w="3880" w:type="dxa"/>
            <w:vAlign w:val="bottom"/>
          </w:tcPr>
          <w:p>
            <w:pPr>
              <w:spacing w:after="0"/>
              <w:rPr>
                <w:sz w:val="14"/>
                <w:szCs w:val="14"/>
                <w:color w:val="auto"/>
              </w:rPr>
            </w:pPr>
          </w:p>
        </w:tc>
        <w:tc>
          <w:tcPr>
            <w:tcW w:w="20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for the Three Months Ended</w:t>
            </w:r>
          </w:p>
        </w:tc>
        <w:tc>
          <w:tcPr>
            <w:tcW w:w="60" w:type="dxa"/>
            <w:vAlign w:val="bottom"/>
          </w:tcPr>
          <w:p>
            <w:pPr>
              <w:spacing w:after="0"/>
              <w:rPr>
                <w:sz w:val="14"/>
                <w:szCs w:val="14"/>
                <w:color w:val="auto"/>
              </w:rPr>
            </w:pPr>
          </w:p>
        </w:tc>
        <w:tc>
          <w:tcPr>
            <w:tcW w:w="20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4"/>
              </w:rPr>
              <w:t>for the Three Months Ended</w:t>
            </w:r>
          </w:p>
        </w:tc>
      </w:tr>
      <w:tr>
        <w:trPr>
          <w:trHeight w:val="162"/>
        </w:trPr>
        <w:tc>
          <w:tcPr>
            <w:tcW w:w="3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March 31, 2019 on</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March 31, 2018 on</w:t>
            </w:r>
          </w:p>
        </w:tc>
      </w:tr>
      <w:tr>
        <w:trPr>
          <w:trHeight w:val="162"/>
        </w:trPr>
        <w:tc>
          <w:tcPr>
            <w:tcW w:w="3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Investments Held at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Investments Held at</w:t>
            </w:r>
          </w:p>
        </w:tc>
      </w:tr>
      <w:tr>
        <w:trPr>
          <w:trHeight w:val="171"/>
        </w:trPr>
        <w:tc>
          <w:tcPr>
            <w:tcW w:w="3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March 31, 2019</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March 31, 2018</w:t>
            </w:r>
          </w:p>
        </w:tc>
      </w:tr>
      <w:tr>
        <w:trPr>
          <w:trHeight w:val="223"/>
        </w:trPr>
        <w:tc>
          <w:tcPr>
            <w:tcW w:w="3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First-lien debt investments</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12,802</w:t>
            </w:r>
          </w:p>
        </w:tc>
        <w:tc>
          <w:tcPr>
            <w:tcW w:w="10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5,065</w:t>
            </w: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120" w:type="dxa"/>
            <w:vAlign w:val="bottom"/>
          </w:tcPr>
          <w:p>
            <w:pPr>
              <w:spacing w:after="0"/>
              <w:rPr>
                <w:sz w:val="19"/>
                <w:szCs w:val="19"/>
                <w:color w:val="auto"/>
              </w:rPr>
            </w:pPr>
          </w:p>
        </w:tc>
        <w:tc>
          <w:tcPr>
            <w:tcW w:w="192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464</w:t>
            </w:r>
          </w:p>
        </w:tc>
        <w:tc>
          <w:tcPr>
            <w:tcW w:w="60" w:type="dxa"/>
            <w:vAlign w:val="bottom"/>
          </w:tcPr>
          <w:p>
            <w:pPr>
              <w:spacing w:after="0"/>
              <w:rPr>
                <w:sz w:val="19"/>
                <w:szCs w:val="19"/>
                <w:color w:val="auto"/>
              </w:rPr>
            </w:pPr>
          </w:p>
        </w:tc>
      </w:tr>
      <w:tr>
        <w:trPr>
          <w:trHeight w:val="230"/>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Mezzanine debt investments</w:t>
            </w:r>
          </w:p>
        </w:tc>
        <w:tc>
          <w:tcPr>
            <w:tcW w:w="120" w:type="dxa"/>
            <w:vAlign w:val="bottom"/>
            <w:shd w:val="clear" w:color="auto" w:fill="CFF0FC"/>
          </w:tcPr>
          <w:p>
            <w:pPr>
              <w:spacing w:after="0"/>
              <w:rPr>
                <w:sz w:val="19"/>
                <w:szCs w:val="19"/>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Equity and other investments</w:t>
            </w:r>
          </w:p>
        </w:tc>
        <w:tc>
          <w:tcPr>
            <w:tcW w:w="120" w:type="dxa"/>
            <w:vAlign w:val="bottom"/>
          </w:tcPr>
          <w:p>
            <w:pPr>
              <w:spacing w:after="0"/>
              <w:rPr>
                <w:sz w:val="19"/>
                <w:szCs w:val="19"/>
                <w:color w:val="auto"/>
              </w:rPr>
            </w:pPr>
          </w:p>
        </w:tc>
        <w:tc>
          <w:tcPr>
            <w:tcW w:w="1920" w:type="dxa"/>
            <w:vAlign w:val="bottom"/>
            <w:gridSpan w:val="2"/>
          </w:tcPr>
          <w:p>
            <w:pPr>
              <w:jc w:val="right"/>
              <w:ind w:right="40"/>
              <w:spacing w:after="0"/>
              <w:rPr>
                <w:sz w:val="20"/>
                <w:szCs w:val="20"/>
                <w:color w:val="auto"/>
              </w:rPr>
            </w:pPr>
            <w:r>
              <w:rPr>
                <w:rFonts w:ascii="Arial" w:cs="Arial" w:eastAsia="Arial" w:hAnsi="Arial"/>
                <w:sz w:val="18"/>
                <w:szCs w:val="18"/>
                <w:color w:val="auto"/>
              </w:rPr>
              <w:t>(3,337)</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3,097</w:t>
            </w:r>
          </w:p>
        </w:tc>
        <w:tc>
          <w:tcPr>
            <w:tcW w:w="60" w:type="dxa"/>
            <w:vAlign w:val="bottom"/>
          </w:tcPr>
          <w:p>
            <w:pPr>
              <w:spacing w:after="0"/>
              <w:rPr>
                <w:sz w:val="19"/>
                <w:szCs w:val="19"/>
                <w:color w:val="auto"/>
              </w:rPr>
            </w:pPr>
          </w:p>
        </w:tc>
      </w:tr>
      <w:tr>
        <w:trPr>
          <w:trHeight w:val="223"/>
        </w:trPr>
        <w:tc>
          <w:tcPr>
            <w:tcW w:w="388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9,514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8,626</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8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following tables present the fair value of Level 3 Investments at fair value and the significant unobservable inputs used in the valuations as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March 31, 2019 and December 31, 2018. The tables are not intended to be all-inclusive, but instead capture the significant unobservable inputs relevant to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Company’s determination of fair values.</w:t>
      </w:r>
    </w:p>
    <w:p>
      <w:pPr>
        <w:sectPr>
          <w:pgSz w:w="11900" w:h="16838" w:orient="portrait"/>
          <w:cols w:equalWidth="0" w:num="1">
            <w:col w:w="11420"/>
          </w:cols>
          <w:pgMar w:left="240" w:top="63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color w:val="auto"/>
        </w:rPr>
        <w:t>First-lien debt investments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Second-lien debt investments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Mezzanine debt investments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Equity and other investments</w:t>
      </w:r>
    </w:p>
    <w:p>
      <w:pPr>
        <w:spacing w:after="0" w:line="54"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Total</w:t>
      </w:r>
    </w:p>
    <w:p>
      <w:pPr>
        <w:spacing w:after="0" w:line="20" w:lineRule="exact"/>
        <w:rPr>
          <w:sz w:val="20"/>
          <w:szCs w:val="20"/>
          <w:color w:val="auto"/>
        </w:rPr>
      </w:pPr>
      <w:r>
        <w:rPr>
          <w:sz w:val="20"/>
          <w:szCs w:val="20"/>
          <w:color w:val="auto"/>
        </w:rPr>
        <w:br w:type="column"/>
      </w:r>
    </w:p>
    <w:p>
      <w:pPr>
        <w:spacing w:after="0" w:line="264" w:lineRule="exact"/>
        <w:rPr>
          <w:sz w:val="20"/>
          <w:szCs w:val="20"/>
          <w:color w:val="auto"/>
        </w:rPr>
      </w:pPr>
    </w:p>
    <w:p>
      <w:pPr>
        <w:ind w:left="3800"/>
        <w:spacing w:after="0"/>
        <w:rPr>
          <w:sz w:val="20"/>
          <w:szCs w:val="20"/>
          <w:color w:val="auto"/>
        </w:rPr>
      </w:pPr>
      <w:r>
        <w:rPr>
          <w:rFonts w:ascii="Arial" w:cs="Arial" w:eastAsia="Arial" w:hAnsi="Arial"/>
          <w:sz w:val="14"/>
          <w:szCs w:val="14"/>
          <w:b w:val="1"/>
          <w:bCs w:val="1"/>
          <w:color w:val="auto"/>
        </w:rPr>
        <w:t>March 31, 2019</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840" w:type="dxa"/>
            <w:vAlign w:val="bottom"/>
            <w:tcBorders>
              <w:top w:val="single" w:sz="8" w:color="auto"/>
            </w:tcBorders>
            <w:gridSpan w:val="2"/>
            <w:vMerge w:val="restart"/>
          </w:tcPr>
          <w:p>
            <w:pPr>
              <w:ind w:left="560"/>
              <w:spacing w:after="0"/>
              <w:rPr>
                <w:sz w:val="20"/>
                <w:szCs w:val="20"/>
                <w:color w:val="auto"/>
              </w:rPr>
            </w:pPr>
            <w:r>
              <w:rPr>
                <w:rFonts w:ascii="Arial" w:cs="Arial" w:eastAsia="Arial" w:hAnsi="Arial"/>
                <w:sz w:val="14"/>
                <w:szCs w:val="14"/>
                <w:b w:val="1"/>
                <w:bCs w:val="1"/>
                <w:color w:val="auto"/>
              </w:rPr>
              <w:t>Valuation</w:t>
            </w:r>
          </w:p>
        </w:tc>
        <w:tc>
          <w:tcPr>
            <w:tcW w:w="1860" w:type="dxa"/>
            <w:vAlign w:val="bottom"/>
            <w:tcBorders>
              <w:top w:val="single" w:sz="8" w:color="auto"/>
            </w:tcBorders>
            <w:gridSpan w:val="2"/>
            <w:vMerge w:val="restart"/>
          </w:tcPr>
          <w:p>
            <w:pPr>
              <w:ind w:left="460"/>
              <w:spacing w:after="0"/>
              <w:rPr>
                <w:sz w:val="20"/>
                <w:szCs w:val="20"/>
                <w:color w:val="auto"/>
              </w:rPr>
            </w:pPr>
            <w:r>
              <w:rPr>
                <w:rFonts w:ascii="Arial" w:cs="Arial" w:eastAsia="Arial" w:hAnsi="Arial"/>
                <w:sz w:val="14"/>
                <w:szCs w:val="14"/>
                <w:b w:val="1"/>
                <w:bCs w:val="1"/>
                <w:color w:val="auto"/>
              </w:rPr>
              <w:t>Unobservable</w:t>
            </w:r>
          </w:p>
        </w:tc>
        <w:tc>
          <w:tcPr>
            <w:tcW w:w="1960" w:type="dxa"/>
            <w:vAlign w:val="bottom"/>
            <w:tcBorders>
              <w:top w:val="single" w:sz="8" w:color="auto"/>
            </w:tcBorders>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2"/>
              </w:rPr>
              <w:t>Range (Weighted</w:t>
            </w:r>
          </w:p>
        </w:tc>
        <w:tc>
          <w:tcPr>
            <w:tcW w:w="174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4"/>
              </w:rPr>
              <w:t>Impact to Valuation</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40" w:type="dxa"/>
            <w:vAlign w:val="bottom"/>
            <w:gridSpan w:val="2"/>
            <w:vMerge w:val="continue"/>
          </w:tcPr>
          <w:p>
            <w:pPr>
              <w:spacing w:after="0"/>
              <w:rPr>
                <w:sz w:val="14"/>
                <w:szCs w:val="14"/>
                <w:color w:val="auto"/>
              </w:rPr>
            </w:pPr>
          </w:p>
        </w:tc>
        <w:tc>
          <w:tcPr>
            <w:tcW w:w="1860" w:type="dxa"/>
            <w:vAlign w:val="bottom"/>
            <w:gridSpan w:val="2"/>
            <w:vMerge w:val="continue"/>
          </w:tcPr>
          <w:p>
            <w:pPr>
              <w:spacing w:after="0"/>
              <w:rPr>
                <w:sz w:val="14"/>
                <w:szCs w:val="14"/>
                <w:color w:val="auto"/>
              </w:rPr>
            </w:pPr>
          </w:p>
        </w:tc>
        <w:tc>
          <w:tcPr>
            <w:tcW w:w="1960" w:type="dxa"/>
            <w:vAlign w:val="bottom"/>
            <w:gridSpan w:val="2"/>
            <w:vMerge w:val="continue"/>
          </w:tcPr>
          <w:p>
            <w:pPr>
              <w:spacing w:after="0"/>
              <w:rPr>
                <w:sz w:val="14"/>
                <w:szCs w:val="14"/>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3"/>
              </w:rPr>
              <w:t>from an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73"/>
              <w:spacing w:after="0"/>
              <w:rPr>
                <w:sz w:val="20"/>
                <w:szCs w:val="20"/>
                <w:color w:val="auto"/>
              </w:rPr>
            </w:pPr>
            <w:r>
              <w:rPr>
                <w:rFonts w:ascii="Arial" w:cs="Arial" w:eastAsia="Arial" w:hAnsi="Arial"/>
                <w:sz w:val="14"/>
                <w:szCs w:val="14"/>
                <w:b w:val="1"/>
                <w:bCs w:val="1"/>
                <w:color w:val="auto"/>
                <w:w w:val="95"/>
              </w:rPr>
              <w:t>Fair Value</w:t>
            </w:r>
          </w:p>
        </w:tc>
        <w:tc>
          <w:tcPr>
            <w:tcW w:w="220" w:type="dxa"/>
            <w:vAlign w:val="bottom"/>
          </w:tcPr>
          <w:p>
            <w:pPr>
              <w:spacing w:after="0"/>
              <w:rPr>
                <w:sz w:val="14"/>
                <w:szCs w:val="14"/>
                <w:color w:val="auto"/>
              </w:rPr>
            </w:pPr>
          </w:p>
        </w:tc>
        <w:tc>
          <w:tcPr>
            <w:tcW w:w="1840" w:type="dxa"/>
            <w:vAlign w:val="bottom"/>
            <w:gridSpan w:val="2"/>
          </w:tcPr>
          <w:p>
            <w:pPr>
              <w:ind w:left="540"/>
              <w:spacing w:after="0"/>
              <w:rPr>
                <w:sz w:val="20"/>
                <w:szCs w:val="20"/>
                <w:color w:val="auto"/>
              </w:rPr>
            </w:pPr>
            <w:r>
              <w:rPr>
                <w:rFonts w:ascii="Arial" w:cs="Arial" w:eastAsia="Arial" w:hAnsi="Arial"/>
                <w:sz w:val="14"/>
                <w:szCs w:val="14"/>
                <w:b w:val="1"/>
                <w:bCs w:val="1"/>
                <w:color w:val="auto"/>
              </w:rPr>
              <w:t>Technique</w:t>
            </w:r>
          </w:p>
        </w:tc>
        <w:tc>
          <w:tcPr>
            <w:tcW w:w="1860" w:type="dxa"/>
            <w:vAlign w:val="bottom"/>
            <w:gridSpan w:val="2"/>
          </w:tcPr>
          <w:p>
            <w:pPr>
              <w:ind w:left="700"/>
              <w:spacing w:after="0"/>
              <w:rPr>
                <w:sz w:val="20"/>
                <w:szCs w:val="20"/>
                <w:color w:val="auto"/>
              </w:rPr>
            </w:pPr>
            <w:r>
              <w:rPr>
                <w:rFonts w:ascii="Arial" w:cs="Arial" w:eastAsia="Arial" w:hAnsi="Arial"/>
                <w:sz w:val="14"/>
                <w:szCs w:val="14"/>
                <w:b w:val="1"/>
                <w:bCs w:val="1"/>
                <w:color w:val="auto"/>
              </w:rPr>
              <w:t>Input</w:t>
            </w:r>
          </w:p>
        </w:tc>
        <w:tc>
          <w:tcPr>
            <w:tcW w:w="19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Average)</w:t>
            </w: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2"/>
              </w:rPr>
              <w:t>Increase to Input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1,775,769</w:t>
            </w:r>
          </w:p>
        </w:tc>
        <w:tc>
          <w:tcPr>
            <w:tcW w:w="220" w:type="dxa"/>
            <w:vAlign w:val="bottom"/>
          </w:tcPr>
          <w:p>
            <w:pPr>
              <w:spacing w:after="0"/>
              <w:rPr>
                <w:sz w:val="19"/>
                <w:szCs w:val="19"/>
                <w:color w:val="auto"/>
              </w:rPr>
            </w:pPr>
          </w:p>
        </w:tc>
        <w:tc>
          <w:tcPr>
            <w:tcW w:w="17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Income approach</w:t>
            </w:r>
          </w:p>
        </w:tc>
        <w:tc>
          <w:tcPr>
            <w:tcW w:w="100" w:type="dxa"/>
            <w:vAlign w:val="bottom"/>
          </w:tcPr>
          <w:p>
            <w:pPr>
              <w:spacing w:after="0"/>
              <w:rPr>
                <w:sz w:val="19"/>
                <w:szCs w:val="19"/>
                <w:color w:val="auto"/>
              </w:rPr>
            </w:pPr>
          </w:p>
        </w:tc>
        <w:tc>
          <w:tcPr>
            <w:tcW w:w="17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Discount rate</w:t>
            </w:r>
          </w:p>
        </w:tc>
        <w:tc>
          <w:tcPr>
            <w:tcW w:w="100" w:type="dxa"/>
            <w:vAlign w:val="bottom"/>
          </w:tcPr>
          <w:p>
            <w:pPr>
              <w:spacing w:after="0"/>
              <w:rPr>
                <w:sz w:val="19"/>
                <w:szCs w:val="19"/>
                <w:color w:val="auto"/>
              </w:rPr>
            </w:pPr>
          </w:p>
        </w:tc>
        <w:tc>
          <w:tcPr>
            <w:tcW w:w="18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6.0% — 15.2% (11.0%)</w:t>
            </w:r>
          </w:p>
        </w:tc>
        <w:tc>
          <w:tcPr>
            <w:tcW w:w="120" w:type="dxa"/>
            <w:vAlign w:val="bottom"/>
          </w:tcPr>
          <w:p>
            <w:pPr>
              <w:spacing w:after="0"/>
              <w:rPr>
                <w:sz w:val="19"/>
                <w:szCs w:val="19"/>
                <w:color w:val="auto"/>
              </w:rPr>
            </w:pPr>
          </w:p>
        </w:tc>
        <w:tc>
          <w:tcPr>
            <w:tcW w:w="17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Decrease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4,137</w:t>
            </w:r>
          </w:p>
        </w:tc>
        <w:tc>
          <w:tcPr>
            <w:tcW w:w="2060" w:type="dxa"/>
            <w:vAlign w:val="bottom"/>
            <w:gridSpan w:val="3"/>
          </w:tcPr>
          <w:p>
            <w:pPr>
              <w:ind w:left="220"/>
              <w:spacing w:after="0"/>
              <w:rPr>
                <w:sz w:val="20"/>
                <w:szCs w:val="20"/>
                <w:color w:val="auto"/>
              </w:rPr>
            </w:pPr>
            <w:r>
              <w:rPr>
                <w:rFonts w:ascii="Arial" w:cs="Arial" w:eastAsia="Arial" w:hAnsi="Arial"/>
                <w:sz w:val="18"/>
                <w:szCs w:val="18"/>
                <w:color w:val="auto"/>
              </w:rPr>
              <w:t>Income approach</w:t>
            </w:r>
          </w:p>
        </w:tc>
        <w:tc>
          <w:tcPr>
            <w:tcW w:w="1860" w:type="dxa"/>
            <w:vAlign w:val="bottom"/>
            <w:gridSpan w:val="2"/>
          </w:tcPr>
          <w:p>
            <w:pPr>
              <w:spacing w:after="0"/>
              <w:rPr>
                <w:sz w:val="20"/>
                <w:szCs w:val="20"/>
                <w:color w:val="auto"/>
              </w:rPr>
            </w:pPr>
            <w:r>
              <w:rPr>
                <w:rFonts w:ascii="Arial" w:cs="Arial" w:eastAsia="Arial" w:hAnsi="Arial"/>
                <w:sz w:val="18"/>
                <w:szCs w:val="18"/>
                <w:color w:val="auto"/>
              </w:rPr>
              <w:t>Discount rate</w:t>
            </w:r>
          </w:p>
        </w:tc>
        <w:tc>
          <w:tcPr>
            <w:tcW w:w="196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11.3% — 15.7% (14.9%)</w:t>
            </w:r>
          </w:p>
        </w:tc>
        <w:tc>
          <w:tcPr>
            <w:tcW w:w="1740" w:type="dxa"/>
            <w:vAlign w:val="bottom"/>
          </w:tcPr>
          <w:p>
            <w:pPr>
              <w:spacing w:after="0"/>
              <w:rPr>
                <w:sz w:val="20"/>
                <w:szCs w:val="20"/>
                <w:color w:val="auto"/>
              </w:rPr>
            </w:pPr>
            <w:r>
              <w:rPr>
                <w:rFonts w:ascii="Arial" w:cs="Arial" w:eastAsia="Arial" w:hAnsi="Arial"/>
                <w:sz w:val="18"/>
                <w:szCs w:val="18"/>
                <w:color w:val="auto"/>
              </w:rPr>
              <w:t>Decrease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2,531</w:t>
            </w:r>
          </w:p>
        </w:tc>
        <w:tc>
          <w:tcPr>
            <w:tcW w:w="2060" w:type="dxa"/>
            <w:vAlign w:val="bottom"/>
            <w:gridSpan w:val="3"/>
          </w:tcPr>
          <w:p>
            <w:pPr>
              <w:ind w:left="220"/>
              <w:spacing w:after="0"/>
              <w:rPr>
                <w:sz w:val="20"/>
                <w:szCs w:val="20"/>
                <w:color w:val="auto"/>
              </w:rPr>
            </w:pPr>
            <w:r>
              <w:rPr>
                <w:rFonts w:ascii="Arial" w:cs="Arial" w:eastAsia="Arial" w:hAnsi="Arial"/>
                <w:sz w:val="18"/>
                <w:szCs w:val="18"/>
                <w:color w:val="auto"/>
              </w:rPr>
              <w:t>Income approach</w:t>
            </w:r>
          </w:p>
        </w:tc>
        <w:tc>
          <w:tcPr>
            <w:tcW w:w="1860" w:type="dxa"/>
            <w:vAlign w:val="bottom"/>
            <w:gridSpan w:val="2"/>
          </w:tcPr>
          <w:p>
            <w:pPr>
              <w:spacing w:after="0"/>
              <w:rPr>
                <w:sz w:val="20"/>
                <w:szCs w:val="20"/>
                <w:color w:val="auto"/>
              </w:rPr>
            </w:pPr>
            <w:r>
              <w:rPr>
                <w:rFonts w:ascii="Arial" w:cs="Arial" w:eastAsia="Arial" w:hAnsi="Arial"/>
                <w:sz w:val="18"/>
                <w:szCs w:val="18"/>
                <w:color w:val="auto"/>
              </w:rPr>
              <w:t>Discount rate</w:t>
            </w:r>
          </w:p>
        </w:tc>
        <w:tc>
          <w:tcPr>
            <w:tcW w:w="196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15.9% — 15.9% (15.9%)</w:t>
            </w:r>
          </w:p>
        </w:tc>
        <w:tc>
          <w:tcPr>
            <w:tcW w:w="1740" w:type="dxa"/>
            <w:vAlign w:val="bottom"/>
          </w:tcPr>
          <w:p>
            <w:pPr>
              <w:spacing w:after="0"/>
              <w:rPr>
                <w:sz w:val="20"/>
                <w:szCs w:val="20"/>
                <w:color w:val="auto"/>
              </w:rPr>
            </w:pPr>
            <w:r>
              <w:rPr>
                <w:rFonts w:ascii="Arial" w:cs="Arial" w:eastAsia="Arial" w:hAnsi="Arial"/>
                <w:sz w:val="18"/>
                <w:szCs w:val="18"/>
                <w:color w:val="auto"/>
              </w:rPr>
              <w:t>Decrease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40,097</w:t>
            </w:r>
          </w:p>
        </w:tc>
        <w:tc>
          <w:tcPr>
            <w:tcW w:w="2060" w:type="dxa"/>
            <w:vAlign w:val="bottom"/>
            <w:gridSpan w:val="3"/>
          </w:tcPr>
          <w:p>
            <w:pPr>
              <w:ind w:left="220"/>
              <w:spacing w:after="0"/>
              <w:rPr>
                <w:sz w:val="20"/>
                <w:szCs w:val="20"/>
                <w:color w:val="auto"/>
              </w:rPr>
            </w:pPr>
            <w:r>
              <w:rPr>
                <w:rFonts w:ascii="Arial" w:cs="Arial" w:eastAsia="Arial" w:hAnsi="Arial"/>
                <w:sz w:val="18"/>
                <w:szCs w:val="18"/>
                <w:color w:val="auto"/>
              </w:rPr>
              <w:t xml:space="preserve">Market Multiple </w:t>
            </w:r>
            <w:r>
              <w:rPr>
                <w:rFonts w:ascii="Arial" w:cs="Arial" w:eastAsia="Arial" w:hAnsi="Arial"/>
                <w:sz w:val="15"/>
                <w:szCs w:val="15"/>
                <w:color w:val="auto"/>
              </w:rPr>
              <w:t>(1)</w:t>
            </w:r>
          </w:p>
        </w:tc>
        <w:tc>
          <w:tcPr>
            <w:tcW w:w="1860" w:type="dxa"/>
            <w:vAlign w:val="bottom"/>
            <w:gridSpan w:val="2"/>
          </w:tcPr>
          <w:p>
            <w:pPr>
              <w:spacing w:after="0"/>
              <w:rPr>
                <w:sz w:val="20"/>
                <w:szCs w:val="20"/>
                <w:color w:val="auto"/>
              </w:rPr>
            </w:pPr>
            <w:r>
              <w:rPr>
                <w:rFonts w:ascii="Arial" w:cs="Arial" w:eastAsia="Arial" w:hAnsi="Arial"/>
                <w:sz w:val="18"/>
                <w:szCs w:val="18"/>
                <w:color w:val="auto"/>
              </w:rPr>
              <w:t>Comparable multiple</w:t>
            </w:r>
          </w:p>
        </w:tc>
        <w:tc>
          <w:tcPr>
            <w:tcW w:w="19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3.0x — 13.2x (10.4x)</w:t>
            </w:r>
          </w:p>
        </w:tc>
        <w:tc>
          <w:tcPr>
            <w:tcW w:w="1740" w:type="dxa"/>
            <w:vAlign w:val="bottom"/>
          </w:tcPr>
          <w:p>
            <w:pPr>
              <w:spacing w:after="0"/>
              <w:rPr>
                <w:sz w:val="20"/>
                <w:szCs w:val="20"/>
                <w:color w:val="auto"/>
              </w:rPr>
            </w:pPr>
            <w:r>
              <w:rPr>
                <w:rFonts w:ascii="Arial" w:cs="Arial" w:eastAsia="Arial" w:hAnsi="Arial"/>
                <w:sz w:val="18"/>
                <w:szCs w:val="18"/>
                <w:color w:val="auto"/>
              </w:rPr>
              <w:t>Increase</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1,822,534</w:t>
            </w:r>
          </w:p>
        </w:tc>
        <w:tc>
          <w:tcPr>
            <w:tcW w:w="220" w:type="dxa"/>
            <w:vAlign w:val="bottom"/>
          </w:tcPr>
          <w:p>
            <w:pPr>
              <w:spacing w:after="0"/>
              <w:rPr>
                <w:sz w:val="19"/>
                <w:szCs w:val="19"/>
                <w:color w:val="auto"/>
              </w:rPr>
            </w:pPr>
          </w:p>
        </w:tc>
        <w:tc>
          <w:tcPr>
            <w:tcW w:w="1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-1810385</wp:posOffset>
            </wp:positionH>
            <wp:positionV relativeFrom="paragraph">
              <wp:posOffset>-770890</wp:posOffset>
            </wp:positionV>
            <wp:extent cx="7246620" cy="1543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-1810385</wp:posOffset>
            </wp:positionH>
            <wp:positionV relativeFrom="paragraph">
              <wp:posOffset>-471170</wp:posOffset>
            </wp:positionV>
            <wp:extent cx="7246620" cy="146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-1810385</wp:posOffset>
            </wp:positionH>
            <wp:positionV relativeFrom="paragraph">
              <wp:posOffset>-179705</wp:posOffset>
            </wp:positionV>
            <wp:extent cx="7246620" cy="1631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40" w:space="720"/>
            <w:col w:w="8560"/>
          </w:cols>
          <w:pgMar w:left="240" w:top="630" w:right="239" w:bottom="1440" w:gutter="0" w:footer="0" w:header="0"/>
          <w:type w:val="continuous"/>
        </w:sectPr>
      </w:pPr>
    </w:p>
    <w:p>
      <w:pPr>
        <w:spacing w:after="0" w:line="2" w:lineRule="exact"/>
        <w:rPr>
          <w:sz w:val="20"/>
          <w:szCs w:val="20"/>
          <w:color w:val="auto"/>
        </w:rPr>
      </w:pPr>
    </w:p>
    <w:p>
      <w:pPr>
        <w:ind w:left="520" w:right="60" w:hanging="512"/>
        <w:spacing w:after="0" w:line="308" w:lineRule="auto"/>
        <w:tabs>
          <w:tab w:leader="none" w:pos="5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Includes $5.7 million of equity investments which were valued using a weighted valuation approach and $1.0 million of equity investments which due to the proximity of the transactions relative to the measurement date were valued using the cost of the investments.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30" w:right="239" w:bottom="1440" w:gutter="0" w:footer="0" w:header="0"/>
          <w:type w:val="continuous"/>
        </w:sectPr>
      </w:pPr>
    </w:p>
    <w:bookmarkStart w:id="31" w:name="page32"/>
    <w:bookmarkEnd w:id="31"/>
    <w:tbl>
      <w:tblPr>
        <w:tblLayout w:type="fixed"/>
        <w:tblInd w:w="0" w:type="dxa"/>
        <w:tblCellMar>
          <w:top w:w="0" w:type="dxa"/>
          <w:left w:w="0" w:type="dxa"/>
          <w:bottom w:w="0" w:type="dxa"/>
          <w:right w:w="0" w:type="dxa"/>
        </w:tblCellMar>
      </w:tblPr>
      <w:tr>
        <w:trPr>
          <w:trHeight w:val="171"/>
        </w:trPr>
        <w:tc>
          <w:tcPr>
            <w:tcW w:w="28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2"/>
          </w:tcPr>
          <w:p>
            <w:pPr>
              <w:ind w:left="680"/>
              <w:spacing w:after="0"/>
              <w:rPr>
                <w:sz w:val="20"/>
                <w:szCs w:val="20"/>
                <w:color w:val="auto"/>
              </w:rPr>
            </w:pPr>
            <w:r>
              <w:rPr>
                <w:rFonts w:ascii="Arial" w:cs="Arial" w:eastAsia="Arial" w:hAnsi="Arial"/>
                <w:sz w:val="14"/>
                <w:szCs w:val="14"/>
                <w:b w:val="1"/>
                <w:bCs w:val="1"/>
                <w:color w:val="auto"/>
                <w:w w:val="91"/>
              </w:rPr>
              <w:t>December 31, 2018</w:t>
            </w:r>
          </w:p>
        </w:tc>
        <w:tc>
          <w:tcPr>
            <w:tcW w:w="18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40" w:type="dxa"/>
            <w:vAlign w:val="bottom"/>
            <w:gridSpan w:val="2"/>
            <w:vMerge w:val="restart"/>
          </w:tcPr>
          <w:p>
            <w:pPr>
              <w:ind w:left="560"/>
              <w:spacing w:after="0"/>
              <w:rPr>
                <w:sz w:val="20"/>
                <w:szCs w:val="20"/>
                <w:color w:val="auto"/>
              </w:rPr>
            </w:pPr>
            <w:r>
              <w:rPr>
                <w:rFonts w:ascii="Arial" w:cs="Arial" w:eastAsia="Arial" w:hAnsi="Arial"/>
                <w:sz w:val="14"/>
                <w:szCs w:val="14"/>
                <w:b w:val="1"/>
                <w:bCs w:val="1"/>
                <w:color w:val="auto"/>
              </w:rPr>
              <w:t>Valuation</w:t>
            </w:r>
          </w:p>
        </w:tc>
        <w:tc>
          <w:tcPr>
            <w:tcW w:w="186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Unobservable</w:t>
            </w:r>
          </w:p>
        </w:tc>
        <w:tc>
          <w:tcPr>
            <w:tcW w:w="1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Range (Weighted</w:t>
            </w:r>
          </w:p>
        </w:tc>
        <w:tc>
          <w:tcPr>
            <w:tcW w:w="140" w:type="dxa"/>
            <w:vAlign w:val="bottom"/>
          </w:tcPr>
          <w:p>
            <w:pPr>
              <w:spacing w:after="0"/>
              <w:rPr>
                <w:sz w:val="11"/>
                <w:szCs w:val="11"/>
                <w:color w:val="auto"/>
              </w:rPr>
            </w:pPr>
          </w:p>
        </w:tc>
        <w:tc>
          <w:tcPr>
            <w:tcW w:w="17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4"/>
              </w:rPr>
              <w:t>Impact to Valuation</w:t>
            </w:r>
          </w:p>
        </w:tc>
        <w:tc>
          <w:tcPr>
            <w:tcW w:w="0" w:type="dxa"/>
            <w:vAlign w:val="bottom"/>
          </w:tcPr>
          <w:p>
            <w:pPr>
              <w:spacing w:after="0"/>
              <w:rPr>
                <w:sz w:val="1"/>
                <w:szCs w:val="1"/>
                <w:color w:val="auto"/>
              </w:rPr>
            </w:pPr>
          </w:p>
        </w:tc>
      </w:tr>
      <w:tr>
        <w:trPr>
          <w:trHeight w:val="162"/>
        </w:trPr>
        <w:tc>
          <w:tcPr>
            <w:tcW w:w="2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40" w:type="dxa"/>
            <w:vAlign w:val="bottom"/>
            <w:gridSpan w:val="2"/>
            <w:vMerge w:val="continue"/>
          </w:tcPr>
          <w:p>
            <w:pPr>
              <w:spacing w:after="0"/>
              <w:rPr>
                <w:sz w:val="14"/>
                <w:szCs w:val="14"/>
                <w:color w:val="auto"/>
              </w:rPr>
            </w:pPr>
          </w:p>
        </w:tc>
        <w:tc>
          <w:tcPr>
            <w:tcW w:w="1860" w:type="dxa"/>
            <w:vAlign w:val="bottom"/>
            <w:gridSpan w:val="2"/>
            <w:vMerge w:val="continue"/>
          </w:tcPr>
          <w:p>
            <w:pPr>
              <w:spacing w:after="0"/>
              <w:rPr>
                <w:sz w:val="14"/>
                <w:szCs w:val="14"/>
                <w:color w:val="auto"/>
              </w:rPr>
            </w:pPr>
          </w:p>
        </w:tc>
        <w:tc>
          <w:tcPr>
            <w:tcW w:w="18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7"/>
              </w:rPr>
              <w:t>from an</w:t>
            </w:r>
          </w:p>
        </w:tc>
        <w:tc>
          <w:tcPr>
            <w:tcW w:w="0" w:type="dxa"/>
            <w:vAlign w:val="bottom"/>
          </w:tcPr>
          <w:p>
            <w:pPr>
              <w:spacing w:after="0"/>
              <w:rPr>
                <w:sz w:val="1"/>
                <w:szCs w:val="1"/>
                <w:color w:val="auto"/>
              </w:rPr>
            </w:pPr>
          </w:p>
        </w:tc>
      </w:tr>
      <w:tr>
        <w:trPr>
          <w:trHeight w:val="171"/>
        </w:trPr>
        <w:tc>
          <w:tcPr>
            <w:tcW w:w="2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ind w:right="53"/>
              <w:spacing w:after="0"/>
              <w:rPr>
                <w:sz w:val="20"/>
                <w:szCs w:val="20"/>
                <w:color w:val="auto"/>
              </w:rPr>
            </w:pPr>
            <w:r>
              <w:rPr>
                <w:rFonts w:ascii="Arial" w:cs="Arial" w:eastAsia="Arial" w:hAnsi="Arial"/>
                <w:sz w:val="14"/>
                <w:szCs w:val="14"/>
                <w:b w:val="1"/>
                <w:bCs w:val="1"/>
                <w:color w:val="auto"/>
                <w:w w:val="98"/>
              </w:rPr>
              <w:t>Fair Value</w:t>
            </w:r>
          </w:p>
        </w:tc>
        <w:tc>
          <w:tcPr>
            <w:tcW w:w="240" w:type="dxa"/>
            <w:vAlign w:val="bottom"/>
          </w:tcPr>
          <w:p>
            <w:pPr>
              <w:spacing w:after="0"/>
              <w:rPr>
                <w:sz w:val="14"/>
                <w:szCs w:val="14"/>
                <w:color w:val="auto"/>
              </w:rPr>
            </w:pPr>
          </w:p>
        </w:tc>
        <w:tc>
          <w:tcPr>
            <w:tcW w:w="1840" w:type="dxa"/>
            <w:vAlign w:val="bottom"/>
            <w:gridSpan w:val="2"/>
          </w:tcPr>
          <w:p>
            <w:pPr>
              <w:ind w:left="540"/>
              <w:spacing w:after="0"/>
              <w:rPr>
                <w:sz w:val="20"/>
                <w:szCs w:val="20"/>
                <w:color w:val="auto"/>
              </w:rPr>
            </w:pPr>
            <w:r>
              <w:rPr>
                <w:rFonts w:ascii="Arial" w:cs="Arial" w:eastAsia="Arial" w:hAnsi="Arial"/>
                <w:sz w:val="14"/>
                <w:szCs w:val="14"/>
                <w:b w:val="1"/>
                <w:bCs w:val="1"/>
                <w:color w:val="auto"/>
              </w:rPr>
              <w:t>Technique</w:t>
            </w:r>
          </w:p>
        </w:tc>
        <w:tc>
          <w:tcPr>
            <w:tcW w:w="1860" w:type="dxa"/>
            <w:vAlign w:val="bottom"/>
            <w:gridSpan w:val="2"/>
          </w:tcPr>
          <w:p>
            <w:pPr>
              <w:ind w:left="700"/>
              <w:spacing w:after="0"/>
              <w:rPr>
                <w:sz w:val="20"/>
                <w:szCs w:val="20"/>
                <w:color w:val="auto"/>
              </w:rPr>
            </w:pPr>
            <w:r>
              <w:rPr>
                <w:rFonts w:ascii="Arial" w:cs="Arial" w:eastAsia="Arial" w:hAnsi="Arial"/>
                <w:sz w:val="14"/>
                <w:szCs w:val="14"/>
                <w:b w:val="1"/>
                <w:bCs w:val="1"/>
                <w:color w:val="auto"/>
              </w:rPr>
              <w:t>Input</w:t>
            </w: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w w:val="93"/>
              </w:rPr>
              <w:t>Average)</w:t>
            </w:r>
          </w:p>
        </w:tc>
        <w:tc>
          <w:tcPr>
            <w:tcW w:w="14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4"/>
              </w:rPr>
              <w:t>Increase to Input</w:t>
            </w:r>
          </w:p>
        </w:tc>
        <w:tc>
          <w:tcPr>
            <w:tcW w:w="0" w:type="dxa"/>
            <w:vAlign w:val="bottom"/>
          </w:tcPr>
          <w:p>
            <w:pPr>
              <w:spacing w:after="0"/>
              <w:rPr>
                <w:sz w:val="1"/>
                <w:szCs w:val="1"/>
                <w:color w:val="auto"/>
              </w:rPr>
            </w:pPr>
          </w:p>
        </w:tc>
      </w:tr>
      <w:tr>
        <w:trPr>
          <w:trHeight w:val="223"/>
        </w:trPr>
        <w:tc>
          <w:tcPr>
            <w:tcW w:w="2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First-lien debt investments</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1,628,037</w:t>
            </w:r>
          </w:p>
        </w:tc>
        <w:tc>
          <w:tcPr>
            <w:tcW w:w="240" w:type="dxa"/>
            <w:vAlign w:val="bottom"/>
            <w:tcBorders>
              <w:top w:val="single" w:sz="8" w:color="CFF0FC"/>
            </w:tcBorders>
            <w:shd w:val="clear" w:color="auto" w:fill="CFF0FC"/>
          </w:tcPr>
          <w:p>
            <w:pPr>
              <w:spacing w:after="0"/>
              <w:rPr>
                <w:sz w:val="19"/>
                <w:szCs w:val="19"/>
                <w:color w:val="auto"/>
              </w:rPr>
            </w:pPr>
          </w:p>
        </w:tc>
        <w:tc>
          <w:tcPr>
            <w:tcW w:w="17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 xml:space="preserve">Income approach </w:t>
            </w:r>
            <w:r>
              <w:rPr>
                <w:rFonts w:ascii="Arial" w:cs="Arial" w:eastAsia="Arial" w:hAnsi="Arial"/>
                <w:sz w:val="15"/>
                <w:szCs w:val="15"/>
                <w:color w:val="auto"/>
              </w:rPr>
              <w:t>(1)</w:t>
            </w:r>
          </w:p>
        </w:tc>
        <w:tc>
          <w:tcPr>
            <w:tcW w:w="120" w:type="dxa"/>
            <w:vAlign w:val="bottom"/>
            <w:tcBorders>
              <w:top w:val="single" w:sz="8" w:color="CFF0FC"/>
            </w:tcBorders>
            <w:shd w:val="clear" w:color="auto" w:fill="CFF0FC"/>
          </w:tcPr>
          <w:p>
            <w:pPr>
              <w:spacing w:after="0"/>
              <w:rPr>
                <w:sz w:val="19"/>
                <w:szCs w:val="19"/>
                <w:color w:val="auto"/>
              </w:rPr>
            </w:pPr>
          </w:p>
        </w:tc>
        <w:tc>
          <w:tcPr>
            <w:tcW w:w="17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Discount rate</w:t>
            </w:r>
          </w:p>
        </w:tc>
        <w:tc>
          <w:tcPr>
            <w:tcW w:w="120" w:type="dxa"/>
            <w:vAlign w:val="bottom"/>
            <w:tcBorders>
              <w:top w:val="single" w:sz="8" w:color="CFF0FC"/>
            </w:tcBorders>
            <w:shd w:val="clear" w:color="auto" w:fill="CFF0FC"/>
          </w:tcPr>
          <w:p>
            <w:pPr>
              <w:spacing w:after="0"/>
              <w:rPr>
                <w:sz w:val="19"/>
                <w:szCs w:val="19"/>
                <w:color w:val="auto"/>
              </w:rPr>
            </w:pPr>
          </w:p>
        </w:tc>
        <w:tc>
          <w:tcPr>
            <w:tcW w:w="18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1"/>
              </w:rPr>
              <w:t>6.8% — 15.8% (11.8%)</w:t>
            </w:r>
          </w:p>
        </w:tc>
        <w:tc>
          <w:tcPr>
            <w:tcW w:w="140" w:type="dxa"/>
            <w:vAlign w:val="bottom"/>
            <w:tcBorders>
              <w:top w:val="single" w:sz="8" w:color="CFF0FC"/>
            </w:tcBorders>
            <w:shd w:val="clear" w:color="auto" w:fill="CFF0FC"/>
          </w:tcPr>
          <w:p>
            <w:pPr>
              <w:spacing w:after="0"/>
              <w:rPr>
                <w:sz w:val="19"/>
                <w:szCs w:val="19"/>
                <w:color w:val="auto"/>
              </w:rPr>
            </w:pPr>
          </w:p>
        </w:tc>
        <w:tc>
          <w:tcPr>
            <w:tcW w:w="17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Decrease</w:t>
            </w:r>
          </w:p>
        </w:tc>
        <w:tc>
          <w:tcPr>
            <w:tcW w:w="0" w:type="dxa"/>
            <w:vAlign w:val="bottom"/>
          </w:tcPr>
          <w:p>
            <w:pPr>
              <w:spacing w:after="0"/>
              <w:rPr>
                <w:sz w:val="1"/>
                <w:szCs w:val="1"/>
                <w:color w:val="auto"/>
              </w:rPr>
            </w:pPr>
          </w:p>
        </w:tc>
      </w:tr>
      <w:tr>
        <w:trPr>
          <w:trHeight w:val="230"/>
        </w:trPr>
        <w:tc>
          <w:tcPr>
            <w:tcW w:w="284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4,137</w:t>
            </w:r>
          </w:p>
        </w:tc>
        <w:tc>
          <w:tcPr>
            <w:tcW w:w="2080" w:type="dxa"/>
            <w:vAlign w:val="bottom"/>
            <w:gridSpan w:val="3"/>
          </w:tcPr>
          <w:p>
            <w:pPr>
              <w:ind w:left="240"/>
              <w:spacing w:after="0"/>
              <w:rPr>
                <w:sz w:val="20"/>
                <w:szCs w:val="20"/>
                <w:color w:val="auto"/>
              </w:rPr>
            </w:pPr>
            <w:r>
              <w:rPr>
                <w:rFonts w:ascii="Arial" w:cs="Arial" w:eastAsia="Arial" w:hAnsi="Arial"/>
                <w:sz w:val="18"/>
                <w:szCs w:val="18"/>
                <w:color w:val="auto"/>
              </w:rPr>
              <w:t xml:space="preserve">Income approach </w:t>
            </w:r>
            <w:r>
              <w:rPr>
                <w:rFonts w:ascii="Arial" w:cs="Arial" w:eastAsia="Arial" w:hAnsi="Arial"/>
                <w:sz w:val="15"/>
                <w:szCs w:val="15"/>
                <w:color w:val="auto"/>
              </w:rPr>
              <w:t>(2)</w:t>
            </w:r>
          </w:p>
        </w:tc>
        <w:tc>
          <w:tcPr>
            <w:tcW w:w="1860" w:type="dxa"/>
            <w:vAlign w:val="bottom"/>
            <w:gridSpan w:val="2"/>
          </w:tcPr>
          <w:p>
            <w:pPr>
              <w:spacing w:after="0"/>
              <w:rPr>
                <w:sz w:val="20"/>
                <w:szCs w:val="20"/>
                <w:color w:val="auto"/>
              </w:rPr>
            </w:pPr>
            <w:r>
              <w:rPr>
                <w:rFonts w:ascii="Arial" w:cs="Arial" w:eastAsia="Arial" w:hAnsi="Arial"/>
                <w:sz w:val="18"/>
                <w:szCs w:val="18"/>
                <w:color w:val="auto"/>
              </w:rPr>
              <w:t>Discount rate</w:t>
            </w:r>
          </w:p>
        </w:tc>
        <w:tc>
          <w:tcPr>
            <w:tcW w:w="1840" w:type="dxa"/>
            <w:vAlign w:val="bottom"/>
          </w:tcPr>
          <w:p>
            <w:pPr>
              <w:jc w:val="center"/>
              <w:spacing w:after="0"/>
              <w:rPr>
                <w:sz w:val="20"/>
                <w:szCs w:val="20"/>
                <w:color w:val="auto"/>
              </w:rPr>
            </w:pPr>
            <w:r>
              <w:rPr>
                <w:rFonts w:ascii="Arial" w:cs="Arial" w:eastAsia="Arial" w:hAnsi="Arial"/>
                <w:sz w:val="18"/>
                <w:szCs w:val="18"/>
                <w:color w:val="auto"/>
                <w:w w:val="92"/>
              </w:rPr>
              <w:t>15.8% — 15.8% (15.8%)</w:t>
            </w:r>
          </w:p>
        </w:tc>
        <w:tc>
          <w:tcPr>
            <w:tcW w:w="1860" w:type="dxa"/>
            <w:vAlign w:val="bottom"/>
            <w:gridSpan w:val="2"/>
          </w:tcPr>
          <w:p>
            <w:pPr>
              <w:ind w:left="140"/>
              <w:spacing w:after="0"/>
              <w:rPr>
                <w:sz w:val="20"/>
                <w:szCs w:val="20"/>
                <w:color w:val="auto"/>
              </w:rPr>
            </w:pPr>
            <w:r>
              <w:rPr>
                <w:rFonts w:ascii="Arial" w:cs="Arial" w:eastAsia="Arial" w:hAnsi="Arial"/>
                <w:sz w:val="18"/>
                <w:szCs w:val="18"/>
                <w:color w:val="auto"/>
              </w:rPr>
              <w:t>Decrease</w:t>
            </w:r>
          </w:p>
        </w:tc>
        <w:tc>
          <w:tcPr>
            <w:tcW w:w="0" w:type="dxa"/>
            <w:vAlign w:val="bottom"/>
          </w:tcPr>
          <w:p>
            <w:pPr>
              <w:spacing w:after="0"/>
              <w:rPr>
                <w:sz w:val="1"/>
                <w:szCs w:val="1"/>
                <w:color w:val="auto"/>
              </w:rPr>
            </w:pPr>
          </w:p>
        </w:tc>
      </w:tr>
      <w:tr>
        <w:trPr>
          <w:trHeight w:val="230"/>
        </w:trPr>
        <w:tc>
          <w:tcPr>
            <w:tcW w:w="2840" w:type="dxa"/>
            <w:vAlign w:val="bottom"/>
            <w:shd w:val="clear" w:color="auto" w:fill="CFF0FC"/>
          </w:tcPr>
          <w:p>
            <w:pPr>
              <w:spacing w:after="0"/>
              <w:rPr>
                <w:sz w:val="20"/>
                <w:szCs w:val="20"/>
                <w:color w:val="auto"/>
              </w:rPr>
            </w:pPr>
            <w:r>
              <w:rPr>
                <w:rFonts w:ascii="Arial" w:cs="Arial" w:eastAsia="Arial" w:hAnsi="Arial"/>
                <w:sz w:val="18"/>
                <w:szCs w:val="18"/>
                <w:color w:val="auto"/>
              </w:rPr>
              <w:t>Mezzanine debt investments</w:t>
            </w: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2,481</w:t>
            </w:r>
          </w:p>
        </w:tc>
        <w:tc>
          <w:tcPr>
            <w:tcW w:w="208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Income approach</w:t>
            </w:r>
          </w:p>
        </w:tc>
        <w:tc>
          <w:tcPr>
            <w:tcW w:w="18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Discount rate</w:t>
            </w:r>
          </w:p>
        </w:tc>
        <w:tc>
          <w:tcPr>
            <w:tcW w:w="18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16.4% — 16.4% (16.4%)</w:t>
            </w:r>
          </w:p>
        </w:tc>
        <w:tc>
          <w:tcPr>
            <w:tcW w:w="18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Decrease</w:t>
            </w:r>
          </w:p>
        </w:tc>
        <w:tc>
          <w:tcPr>
            <w:tcW w:w="0" w:type="dxa"/>
            <w:vAlign w:val="bottom"/>
          </w:tcPr>
          <w:p>
            <w:pPr>
              <w:spacing w:after="0"/>
              <w:rPr>
                <w:sz w:val="1"/>
                <w:szCs w:val="1"/>
                <w:color w:val="auto"/>
              </w:rPr>
            </w:pPr>
          </w:p>
        </w:tc>
      </w:tr>
      <w:tr>
        <w:trPr>
          <w:trHeight w:val="230"/>
        </w:trPr>
        <w:tc>
          <w:tcPr>
            <w:tcW w:w="2840" w:type="dxa"/>
            <w:vAlign w:val="bottom"/>
          </w:tcPr>
          <w:p>
            <w:pPr>
              <w:spacing w:after="0"/>
              <w:rPr>
                <w:sz w:val="20"/>
                <w:szCs w:val="20"/>
                <w:color w:val="auto"/>
              </w:rPr>
            </w:pPr>
            <w:r>
              <w:rPr>
                <w:rFonts w:ascii="Arial" w:cs="Arial" w:eastAsia="Arial" w:hAnsi="Arial"/>
                <w:sz w:val="18"/>
                <w:szCs w:val="18"/>
                <w:color w:val="auto"/>
              </w:rPr>
              <w:t>Equity and other investments</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43,234</w:t>
            </w:r>
          </w:p>
        </w:tc>
        <w:tc>
          <w:tcPr>
            <w:tcW w:w="2080" w:type="dxa"/>
            <w:vAlign w:val="bottom"/>
            <w:gridSpan w:val="3"/>
          </w:tcPr>
          <w:p>
            <w:pPr>
              <w:ind w:left="240"/>
              <w:spacing w:after="0"/>
              <w:rPr>
                <w:sz w:val="20"/>
                <w:szCs w:val="20"/>
                <w:color w:val="auto"/>
              </w:rPr>
            </w:pPr>
            <w:r>
              <w:rPr>
                <w:rFonts w:ascii="Arial" w:cs="Arial" w:eastAsia="Arial" w:hAnsi="Arial"/>
                <w:sz w:val="18"/>
                <w:szCs w:val="18"/>
                <w:color w:val="auto"/>
              </w:rPr>
              <w:t xml:space="preserve">Market Multiple </w:t>
            </w:r>
            <w:r>
              <w:rPr>
                <w:rFonts w:ascii="Arial" w:cs="Arial" w:eastAsia="Arial" w:hAnsi="Arial"/>
                <w:sz w:val="15"/>
                <w:szCs w:val="15"/>
                <w:color w:val="auto"/>
              </w:rPr>
              <w:t>(3)</w:t>
            </w:r>
          </w:p>
        </w:tc>
        <w:tc>
          <w:tcPr>
            <w:tcW w:w="1860" w:type="dxa"/>
            <w:vAlign w:val="bottom"/>
            <w:gridSpan w:val="2"/>
          </w:tcPr>
          <w:p>
            <w:pPr>
              <w:spacing w:after="0"/>
              <w:rPr>
                <w:sz w:val="20"/>
                <w:szCs w:val="20"/>
                <w:color w:val="auto"/>
              </w:rPr>
            </w:pPr>
            <w:r>
              <w:rPr>
                <w:rFonts w:ascii="Arial" w:cs="Arial" w:eastAsia="Arial" w:hAnsi="Arial"/>
                <w:sz w:val="18"/>
                <w:szCs w:val="18"/>
                <w:color w:val="auto"/>
              </w:rPr>
              <w:t>Comparable multiple</w:t>
            </w:r>
          </w:p>
        </w:tc>
        <w:tc>
          <w:tcPr>
            <w:tcW w:w="1840" w:type="dxa"/>
            <w:vAlign w:val="bottom"/>
          </w:tcPr>
          <w:p>
            <w:pPr>
              <w:jc w:val="center"/>
              <w:spacing w:after="0"/>
              <w:rPr>
                <w:sz w:val="20"/>
                <w:szCs w:val="20"/>
                <w:color w:val="auto"/>
              </w:rPr>
            </w:pPr>
            <w:r>
              <w:rPr>
                <w:rFonts w:ascii="Arial" w:cs="Arial" w:eastAsia="Arial" w:hAnsi="Arial"/>
                <w:sz w:val="18"/>
                <w:szCs w:val="18"/>
                <w:color w:val="auto"/>
                <w:w w:val="93"/>
              </w:rPr>
              <w:t>3.0x — 13.2x (10.6x)</w:t>
            </w:r>
          </w:p>
        </w:tc>
        <w:tc>
          <w:tcPr>
            <w:tcW w:w="1860" w:type="dxa"/>
            <w:vAlign w:val="bottom"/>
            <w:gridSpan w:val="2"/>
          </w:tcPr>
          <w:p>
            <w:pPr>
              <w:ind w:left="140"/>
              <w:spacing w:after="0"/>
              <w:rPr>
                <w:sz w:val="20"/>
                <w:szCs w:val="20"/>
                <w:color w:val="auto"/>
              </w:rPr>
            </w:pPr>
            <w:r>
              <w:rPr>
                <w:rFonts w:ascii="Arial" w:cs="Arial" w:eastAsia="Arial" w:hAnsi="Arial"/>
                <w:sz w:val="18"/>
                <w:szCs w:val="18"/>
                <w:color w:val="auto"/>
              </w:rPr>
              <w:t>Increase</w:t>
            </w:r>
          </w:p>
        </w:tc>
        <w:tc>
          <w:tcPr>
            <w:tcW w:w="0" w:type="dxa"/>
            <w:vAlign w:val="bottom"/>
          </w:tcPr>
          <w:p>
            <w:pPr>
              <w:spacing w:after="0"/>
              <w:rPr>
                <w:sz w:val="1"/>
                <w:szCs w:val="1"/>
                <w:color w:val="auto"/>
              </w:rPr>
            </w:pPr>
          </w:p>
        </w:tc>
      </w:tr>
      <w:tr>
        <w:trPr>
          <w:trHeight w:val="223"/>
        </w:trPr>
        <w:tc>
          <w:tcPr>
            <w:tcW w:w="284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1,677,889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720" w:type="dxa"/>
            <w:vAlign w:val="bottom"/>
            <w:tcBorders>
              <w:top w:val="single" w:sz="8" w:color="auto"/>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740" w:type="dxa"/>
            <w:vAlign w:val="bottom"/>
            <w:tcBorders>
              <w:top w:val="single" w:sz="8" w:color="auto"/>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840" w:type="dxa"/>
            <w:vAlign w:val="bottom"/>
            <w:tcBorders>
              <w:top w:val="single" w:sz="8" w:color="auto"/>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720" w:type="dxa"/>
            <w:vAlign w:val="bottom"/>
            <w:tcBorders>
              <w:top w:val="single" w:sz="8" w:color="auto"/>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right="20" w:hanging="512"/>
        <w:spacing w:after="0" w:line="258" w:lineRule="auto"/>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Includes $19.7 million of first-lien debt investments which, due to the proximity of the transactions relative to the measurement date were valued using the cost of the investments.</w:t>
      </w:r>
    </w:p>
    <w:p>
      <w:pPr>
        <w:spacing w:after="0" w:line="1" w:lineRule="exact"/>
        <w:rPr>
          <w:rFonts w:ascii="Arial" w:cs="Arial" w:eastAsia="Arial" w:hAnsi="Arial"/>
          <w:sz w:val="18"/>
          <w:szCs w:val="18"/>
          <w:color w:val="auto"/>
        </w:rPr>
      </w:pPr>
    </w:p>
    <w:p>
      <w:pPr>
        <w:ind w:left="520" w:right="280" w:hanging="512"/>
        <w:spacing w:after="0" w:line="250" w:lineRule="auto"/>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Includes $0.8 million of second-lien debt investments which, due to the proximity of the transactions relative to the measurement date, were valued using the cost of the investments.</w:t>
      </w:r>
    </w:p>
    <w:p>
      <w:pPr>
        <w:ind w:left="520" w:right="60" w:hanging="512"/>
        <w:spacing w:after="0" w:line="290" w:lineRule="auto"/>
        <w:tabs>
          <w:tab w:leader="none" w:pos="5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Includes $9.5 million of equity investments which were valued using a weighted valuation approach and $4.2 million of equity investments which due to the proximity of the transactions relative to the measurement date, were valued using the cost of the investments.</w:t>
      </w:r>
    </w:p>
    <w:p>
      <w:pPr>
        <w:spacing w:after="0" w:line="162" w:lineRule="exact"/>
        <w:rPr>
          <w:sz w:val="20"/>
          <w:szCs w:val="20"/>
          <w:color w:val="auto"/>
        </w:rPr>
      </w:pPr>
    </w:p>
    <w:p>
      <w:pPr>
        <w:ind w:right="60" w:firstLine="259"/>
        <w:spacing w:after="0" w:line="257" w:lineRule="auto"/>
        <w:rPr>
          <w:sz w:val="20"/>
          <w:szCs w:val="20"/>
          <w:color w:val="auto"/>
        </w:rPr>
      </w:pPr>
      <w:r>
        <w:rPr>
          <w:rFonts w:ascii="Arial" w:cs="Arial" w:eastAsia="Arial" w:hAnsi="Arial"/>
          <w:sz w:val="18"/>
          <w:szCs w:val="18"/>
          <w:color w:val="auto"/>
        </w:rPr>
        <w:t>The Company typically determines the fair value of its performing Level 3 debt investments utilizing a yield analysis. In a yield analysis, a price is ascribed for each investment based upon an assessment of current and expected market yields for similar investments and risk profiles. Additional consideration is given to the expected life, portfolio company performance since close, and other terms and risks associated with an investment. Among other factors, a determinant of risk is the amount of leverage used by the portfolio company relative to the total enterprise value of the company, and the rights and remedies of our investment within each portfolio company’s capital structure.</w:t>
      </w:r>
    </w:p>
    <w:p>
      <w:pPr>
        <w:spacing w:after="0" w:line="188" w:lineRule="exact"/>
        <w:rPr>
          <w:sz w:val="20"/>
          <w:szCs w:val="20"/>
          <w:color w:val="auto"/>
        </w:rPr>
      </w:pPr>
    </w:p>
    <w:p>
      <w:pPr>
        <w:ind w:right="120" w:firstLine="259"/>
        <w:spacing w:after="0" w:line="273" w:lineRule="auto"/>
        <w:rPr>
          <w:sz w:val="20"/>
          <w:szCs w:val="20"/>
          <w:color w:val="auto"/>
        </w:rPr>
      </w:pPr>
      <w:r>
        <w:rPr>
          <w:rFonts w:ascii="Arial" w:cs="Arial" w:eastAsia="Arial" w:hAnsi="Arial"/>
          <w:sz w:val="17"/>
          <w:szCs w:val="17"/>
          <w:color w:val="auto"/>
        </w:rPr>
        <w:t>Significant unobservable quantitative inputs typically considered in the fair value measurement of the Company’s Level 3 debt investments primarily include current market yields, including relevant market indices, but may also include quotes from brokers, dealers, and pricing services as indicated by comparable investments. If debt investments are credit impaired, an enterprise value analysis may be used to value such debt investments; however, in addition to the methods outlined above, other methods such as a liquidation or wind-down analysis may be utilized to estimate enterprise value. For the Company’s Level 3 equity investments, multiples of similar companies’ revenues, earnings before income taxes, depreciation and amortization (“EBITDA”) or some combination thereof and comparable market transactions are typically used.</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Not Carried at Fair Value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Debt</w:t>
      </w:r>
    </w:p>
    <w:p>
      <w:pPr>
        <w:spacing w:after="0" w:line="117" w:lineRule="exact"/>
        <w:rPr>
          <w:sz w:val="20"/>
          <w:szCs w:val="20"/>
          <w:color w:val="auto"/>
        </w:rPr>
      </w:pPr>
    </w:p>
    <w:p>
      <w:pPr>
        <w:ind w:right="440" w:firstLine="259"/>
        <w:spacing w:after="0" w:line="277" w:lineRule="auto"/>
        <w:rPr>
          <w:sz w:val="20"/>
          <w:szCs w:val="20"/>
          <w:color w:val="auto"/>
        </w:rPr>
      </w:pPr>
      <w:r>
        <w:rPr>
          <w:rFonts w:ascii="Arial" w:cs="Arial" w:eastAsia="Arial" w:hAnsi="Arial"/>
          <w:sz w:val="18"/>
          <w:szCs w:val="18"/>
          <w:color w:val="auto"/>
        </w:rPr>
        <w:t>The fair value of the Company’s Revolving Credit Facility, which is categorized as Level 3 within the fair value hierarchy, as of March 31, 2019 and December 31, 2018, approximates its carrying value as the outstanding balance is callable at carrying value.</w:t>
      </w:r>
    </w:p>
    <w:p>
      <w:pPr>
        <w:spacing w:after="0" w:line="170" w:lineRule="exact"/>
        <w:rPr>
          <w:sz w:val="20"/>
          <w:szCs w:val="20"/>
          <w:color w:val="auto"/>
        </w:rPr>
      </w:pPr>
    </w:p>
    <w:p>
      <w:pPr>
        <w:ind w:firstLine="259"/>
        <w:spacing w:after="0" w:line="259" w:lineRule="auto"/>
        <w:rPr>
          <w:sz w:val="20"/>
          <w:szCs w:val="20"/>
          <w:color w:val="auto"/>
        </w:rPr>
      </w:pPr>
      <w:r>
        <w:rPr>
          <w:rFonts w:ascii="Arial" w:cs="Arial" w:eastAsia="Arial" w:hAnsi="Arial"/>
          <w:sz w:val="18"/>
          <w:szCs w:val="18"/>
          <w:color w:val="auto"/>
        </w:rPr>
        <w:t>The fair value of the Company’s Convertible Notes (consisting of the 2019 Convertible Notes and the 2022 Convertible Notes) and 2023 Notes, which are categorized as Level 2 within the fair value hierarchy, as of March 31, 2019 and December 31, 2018, was $437.3 million and $428.9 million, respectively, based on broker quotes received by the Company. The aggregate principal amount of the Company’s Convertible Notes and 2023 Notes, as of March 31, 2019 and December 31, 2018, was $437.5 million and $437.5 million, respectively.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Other Financial Assets and Liabilities</w:t>
      </w:r>
    </w:p>
    <w:p>
      <w:pPr>
        <w:spacing w:after="0" w:line="117" w:lineRule="exact"/>
        <w:rPr>
          <w:sz w:val="20"/>
          <w:szCs w:val="20"/>
          <w:color w:val="auto"/>
        </w:rPr>
      </w:pPr>
    </w:p>
    <w:p>
      <w:pPr>
        <w:ind w:right="20" w:firstLine="259"/>
        <w:spacing w:after="0" w:line="259" w:lineRule="auto"/>
        <w:rPr>
          <w:sz w:val="20"/>
          <w:szCs w:val="20"/>
          <w:color w:val="auto"/>
        </w:rPr>
      </w:pPr>
      <w:r>
        <w:rPr>
          <w:rFonts w:ascii="Arial" w:cs="Arial" w:eastAsia="Arial" w:hAnsi="Arial"/>
          <w:sz w:val="18"/>
          <w:szCs w:val="18"/>
          <w:color w:val="auto"/>
        </w:rPr>
        <w:t>The carrying amounts of the Company’s assets and liabilities, other than investments at fair value and Convertible Notes and 2023 Notes, approximate fair value due to their short maturities or their close proximity of the originations to the measurement date. Under the fair value hierarchy, cash and cash equivalents are classified as Level 1 while the Company’s other assets and liabilities, other than investments at fair value and Revolving Credit Facility, are classified as Level 2.</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30"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7. Debt</w:t>
      </w:r>
    </w:p>
    <w:p>
      <w:pPr>
        <w:spacing w:after="0" w:line="121" w:lineRule="exact"/>
        <w:rPr>
          <w:sz w:val="20"/>
          <w:szCs w:val="20"/>
          <w:color w:val="auto"/>
        </w:rPr>
      </w:pPr>
    </w:p>
    <w:p>
      <w:pPr>
        <w:ind w:right="160" w:firstLine="259"/>
        <w:spacing w:after="0" w:line="264" w:lineRule="auto"/>
        <w:rPr>
          <w:sz w:val="20"/>
          <w:szCs w:val="20"/>
          <w:color w:val="auto"/>
        </w:rPr>
      </w:pPr>
      <w:r>
        <w:rPr>
          <w:rFonts w:ascii="Arial" w:cs="Arial" w:eastAsia="Arial" w:hAnsi="Arial"/>
          <w:sz w:val="18"/>
          <w:szCs w:val="18"/>
          <w:color w:val="auto"/>
        </w:rPr>
        <w:t>In accordance with the 1940 Act, with certain limitations, the Company is allowed to borrow amounts such that its asset coverage, as defined in the 1940 Act, is at least 150% after such borrowing. As of March 31, 2019 and December 31, 2018, the Company’s asset coverage was 244.7% and 270.5%, respectively.</w:t>
      </w:r>
    </w:p>
    <w:p>
      <w:pPr>
        <w:spacing w:after="0" w:line="181" w:lineRule="exact"/>
        <w:rPr>
          <w:sz w:val="20"/>
          <w:szCs w:val="20"/>
          <w:color w:val="auto"/>
        </w:rPr>
      </w:pPr>
    </w:p>
    <w:p>
      <w:pPr>
        <w:ind w:right="200" w:firstLine="259"/>
        <w:spacing w:after="0" w:line="257" w:lineRule="auto"/>
        <w:rPr>
          <w:sz w:val="20"/>
          <w:szCs w:val="20"/>
          <w:color w:val="auto"/>
        </w:rPr>
      </w:pPr>
      <w:r>
        <w:rPr>
          <w:rFonts w:ascii="Arial" w:cs="Arial" w:eastAsia="Arial" w:hAnsi="Arial"/>
          <w:sz w:val="18"/>
          <w:szCs w:val="18"/>
          <w:color w:val="auto"/>
        </w:rPr>
        <w:t>On October 8, 2018, the Company’s stockholders approved the application of the minimum asset coverage ratio of 150% to the Company, as set forth in Section 61(a)(2) of the 1940 Act, as amended by the Small Business Credit Availability Act (the “SBCAA”). As a result and subject to certain additional disclosure requirements, as of October 9, 2018, the Company’s minimum asset coverage ratio was reduced from 200% to 150%. In other words, pursuant to Section 61(a) of the 1940 Act, as amended by the SBCAA, the Company is permitted to potentially increase its maximum debt-to-equity ratio from an effective level of one-to-one to two-to-one.</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Debt obligations consisted of the following as of March 31, 2019 and December 31, 2018:</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8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4"/>
          </w:tcPr>
          <w:p>
            <w:pPr>
              <w:jc w:val="right"/>
              <w:ind w:right="615"/>
              <w:spacing w:after="0"/>
              <w:rPr>
                <w:sz w:val="20"/>
                <w:szCs w:val="20"/>
                <w:color w:val="auto"/>
              </w:rPr>
            </w:pPr>
            <w:r>
              <w:rPr>
                <w:rFonts w:ascii="Arial" w:cs="Arial" w:eastAsia="Arial" w:hAnsi="Arial"/>
                <w:sz w:val="14"/>
                <w:szCs w:val="14"/>
                <w:b w:val="1"/>
                <w:bCs w:val="1"/>
                <w:color w:val="auto"/>
              </w:rPr>
              <w:t>March 31, 2019</w:t>
            </w: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80" w:type="dxa"/>
            <w:vAlign w:val="bottom"/>
          </w:tcPr>
          <w:p>
            <w:pPr>
              <w:spacing w:after="0"/>
              <w:rPr>
                <w:sz w:val="11"/>
                <w:szCs w:val="11"/>
                <w:color w:val="auto"/>
              </w:rPr>
            </w:pPr>
          </w:p>
        </w:tc>
        <w:tc>
          <w:tcPr>
            <w:tcW w:w="4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center"/>
              <w:ind w:right="78"/>
              <w:spacing w:after="0" w:line="133" w:lineRule="exact"/>
              <w:rPr>
                <w:sz w:val="20"/>
                <w:szCs w:val="20"/>
                <w:color w:val="auto"/>
              </w:rPr>
            </w:pPr>
            <w:r>
              <w:rPr>
                <w:rFonts w:ascii="Arial" w:cs="Arial" w:eastAsia="Arial" w:hAnsi="Arial"/>
                <w:sz w:val="14"/>
                <w:szCs w:val="14"/>
                <w:b w:val="1"/>
                <w:bCs w:val="1"/>
                <w:color w:val="auto"/>
                <w:w w:val="92"/>
              </w:rPr>
              <w:t>Aggregate</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94"/>
              </w:rPr>
              <w:t>Principal</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restart"/>
          </w:tcPr>
          <w:p>
            <w:pPr>
              <w:jc w:val="right"/>
              <w:ind w:right="77"/>
              <w:spacing w:after="0"/>
              <w:rPr>
                <w:sz w:val="20"/>
                <w:szCs w:val="20"/>
                <w:color w:val="auto"/>
              </w:rPr>
            </w:pPr>
            <w:r>
              <w:rPr>
                <w:rFonts w:ascii="Arial" w:cs="Arial" w:eastAsia="Arial" w:hAnsi="Arial"/>
                <w:sz w:val="14"/>
                <w:szCs w:val="14"/>
                <w:b w:val="1"/>
                <w:bCs w:val="1"/>
                <w:color w:val="auto"/>
                <w:w w:val="92"/>
              </w:rPr>
              <w:t>Outstanding</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vMerge w:val="restart"/>
          </w:tcPr>
          <w:p>
            <w:pPr>
              <w:jc w:val="right"/>
              <w:ind w:right="215"/>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8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58"/>
              <w:spacing w:after="0"/>
              <w:rPr>
                <w:sz w:val="20"/>
                <w:szCs w:val="20"/>
                <w:color w:val="auto"/>
              </w:rPr>
            </w:pPr>
            <w:r>
              <w:rPr>
                <w:rFonts w:ascii="Arial" w:cs="Arial" w:eastAsia="Arial" w:hAnsi="Arial"/>
                <w:sz w:val="14"/>
                <w:szCs w:val="14"/>
                <w:b w:val="1"/>
                <w:bCs w:val="1"/>
                <w:color w:val="auto"/>
                <w:w w:val="95"/>
              </w:rPr>
              <w:t>Committed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ind w:right="177"/>
              <w:spacing w:after="0"/>
              <w:rPr>
                <w:sz w:val="20"/>
                <w:szCs w:val="20"/>
                <w:color w:val="auto"/>
              </w:rPr>
            </w:pPr>
            <w:r>
              <w:rPr>
                <w:rFonts w:ascii="Arial" w:cs="Arial" w:eastAsia="Arial" w:hAnsi="Arial"/>
                <w:sz w:val="14"/>
                <w:szCs w:val="14"/>
                <w:b w:val="1"/>
                <w:bCs w:val="1"/>
                <w:color w:val="auto"/>
              </w:rPr>
              <w:t>Principal</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ind w:right="75"/>
              <w:spacing w:after="0"/>
              <w:rPr>
                <w:sz w:val="20"/>
                <w:szCs w:val="20"/>
                <w:color w:val="auto"/>
              </w:rPr>
            </w:pPr>
            <w:r>
              <w:rPr>
                <w:rFonts w:ascii="Arial" w:cs="Arial" w:eastAsia="Arial" w:hAnsi="Arial"/>
                <w:sz w:val="14"/>
                <w:szCs w:val="14"/>
                <w:b w:val="1"/>
                <w:bCs w:val="1"/>
                <w:color w:val="auto"/>
                <w:w w:val="94"/>
              </w:rPr>
              <w:t xml:space="preserve">Available </w:t>
            </w:r>
            <w:r>
              <w:rPr>
                <w:rFonts w:ascii="Arial" w:cs="Arial" w:eastAsia="Arial" w:hAnsi="Arial"/>
                <w:sz w:val="12"/>
                <w:szCs w:val="12"/>
                <w:b w:val="1"/>
                <w:bCs w:val="1"/>
                <w:color w:val="auto"/>
                <w:w w:val="94"/>
              </w:rPr>
              <w:t>(1)</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 xml:space="preserve">Value </w:t>
            </w:r>
            <w:r>
              <w:rPr>
                <w:rFonts w:ascii="Arial" w:cs="Arial" w:eastAsia="Arial" w:hAnsi="Arial"/>
                <w:sz w:val="12"/>
                <w:szCs w:val="12"/>
                <w:b w:val="1"/>
                <w:bCs w:val="1"/>
                <w:color w:val="auto"/>
                <w:w w:val="92"/>
              </w:rPr>
              <w:t>(2)</w:t>
            </w:r>
          </w:p>
        </w:tc>
        <w:tc>
          <w:tcPr>
            <w:tcW w:w="0" w:type="dxa"/>
            <w:vAlign w:val="bottom"/>
          </w:tcPr>
          <w:p>
            <w:pPr>
              <w:spacing w:after="0"/>
              <w:rPr>
                <w:sz w:val="1"/>
                <w:szCs w:val="1"/>
                <w:color w:val="auto"/>
              </w:rPr>
            </w:pPr>
          </w:p>
        </w:tc>
      </w:tr>
      <w:tr>
        <w:trPr>
          <w:trHeight w:val="223"/>
        </w:trPr>
        <w:tc>
          <w:tcPr>
            <w:tcW w:w="53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Revolving Credit Facility</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1,170,000</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306,032</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863,968</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294,512</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r>
              <w:rPr>
                <w:rFonts w:ascii="Arial" w:cs="Arial" w:eastAsia="Arial" w:hAnsi="Arial"/>
                <w:sz w:val="18"/>
                <w:szCs w:val="18"/>
                <w:color w:val="auto"/>
                <w:w w:val="89"/>
              </w:rPr>
              <w:t>2019</w:t>
            </w:r>
          </w:p>
        </w:tc>
        <w:tc>
          <w:tcPr>
            <w:tcW w:w="4940" w:type="dxa"/>
            <w:vAlign w:val="bottom"/>
          </w:tcPr>
          <w:p>
            <w:pPr>
              <w:ind w:left="20"/>
              <w:spacing w:after="0"/>
              <w:rPr>
                <w:sz w:val="20"/>
                <w:szCs w:val="20"/>
                <w:color w:val="auto"/>
              </w:rPr>
            </w:pPr>
            <w:r>
              <w:rPr>
                <w:rFonts w:ascii="Arial" w:cs="Arial" w:eastAsia="Arial" w:hAnsi="Arial"/>
                <w:sz w:val="18"/>
                <w:szCs w:val="18"/>
                <w:color w:val="auto"/>
              </w:rPr>
              <w:t>Convertible Notes</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115,000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115,000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113,966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 w:type="dxa"/>
            <w:vAlign w:val="bottom"/>
            <w:shd w:val="clear" w:color="auto" w:fill="CFF0FC"/>
          </w:tcPr>
          <w:p>
            <w:pPr>
              <w:spacing w:after="0"/>
              <w:rPr>
                <w:sz w:val="20"/>
                <w:szCs w:val="20"/>
                <w:color w:val="auto"/>
              </w:rPr>
            </w:pPr>
            <w:r>
              <w:rPr>
                <w:rFonts w:ascii="Arial" w:cs="Arial" w:eastAsia="Arial" w:hAnsi="Arial"/>
                <w:sz w:val="18"/>
                <w:szCs w:val="18"/>
                <w:color w:val="auto"/>
                <w:w w:val="89"/>
              </w:rPr>
              <w:t>2022</w:t>
            </w:r>
          </w:p>
        </w:tc>
        <w:tc>
          <w:tcPr>
            <w:tcW w:w="4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Convertible Notes</w:t>
            </w: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172,500</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172,500</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168,539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w w:val="89"/>
              </w:rPr>
              <w:t>2023</w:t>
            </w:r>
          </w:p>
        </w:tc>
        <w:tc>
          <w:tcPr>
            <w:tcW w:w="494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Notes</w:t>
            </w: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150,000</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150,000</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147,504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20" w:type="dxa"/>
            <w:vAlign w:val="bottom"/>
            <w:tcBorders>
              <w:bottom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b w:val="1"/>
                <w:bCs w:val="1"/>
                <w:color w:val="auto"/>
              </w:rPr>
              <w:t>Total Debt</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1,607,500</w:t>
            </w: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743,532</w:t>
            </w: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863,968</w:t>
            </w: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724,521</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hanging="512"/>
        <w:spacing w:after="0"/>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amount available reflects any limitations related to the respective debt facilities’ borrowing bases.</w:t>
      </w:r>
    </w:p>
    <w:p>
      <w:pPr>
        <w:spacing w:after="0" w:line="23" w:lineRule="exact"/>
        <w:rPr>
          <w:rFonts w:ascii="Arial" w:cs="Arial" w:eastAsia="Arial" w:hAnsi="Arial"/>
          <w:sz w:val="18"/>
          <w:szCs w:val="18"/>
          <w:color w:val="auto"/>
        </w:rPr>
      </w:pPr>
    </w:p>
    <w:p>
      <w:pPr>
        <w:ind w:left="520" w:right="380" w:hanging="512"/>
        <w:spacing w:after="0" w:line="261" w:lineRule="auto"/>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carrying values of the Revolving Credit Facility, Convertible Notes, and 2023 Notes are presented net of deferred financing costs and original issue discounts of $11.5 million, $5.0 million and $2.5 million, respectively.</w:t>
      </w:r>
    </w:p>
    <w:p>
      <w:pPr>
        <w:spacing w:after="0" w:line="256"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8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4"/>
          </w:tcPr>
          <w:p>
            <w:pPr>
              <w:jc w:val="right"/>
              <w:ind w:right="495"/>
              <w:spacing w:after="0"/>
              <w:rPr>
                <w:sz w:val="20"/>
                <w:szCs w:val="20"/>
                <w:color w:val="auto"/>
              </w:rPr>
            </w:pPr>
            <w:r>
              <w:rPr>
                <w:rFonts w:ascii="Arial" w:cs="Arial" w:eastAsia="Arial" w:hAnsi="Arial"/>
                <w:sz w:val="14"/>
                <w:szCs w:val="14"/>
                <w:b w:val="1"/>
                <w:bCs w:val="1"/>
                <w:color w:val="auto"/>
              </w:rPr>
              <w:t>December 31, 2018</w:t>
            </w: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80" w:type="dxa"/>
            <w:vAlign w:val="bottom"/>
          </w:tcPr>
          <w:p>
            <w:pPr>
              <w:spacing w:after="0"/>
              <w:rPr>
                <w:sz w:val="11"/>
                <w:szCs w:val="11"/>
                <w:color w:val="auto"/>
              </w:rPr>
            </w:pPr>
          </w:p>
        </w:tc>
        <w:tc>
          <w:tcPr>
            <w:tcW w:w="4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center"/>
              <w:ind w:right="58"/>
              <w:spacing w:after="0" w:line="133" w:lineRule="exact"/>
              <w:rPr>
                <w:sz w:val="20"/>
                <w:szCs w:val="20"/>
                <w:color w:val="auto"/>
              </w:rPr>
            </w:pPr>
            <w:r>
              <w:rPr>
                <w:rFonts w:ascii="Arial" w:cs="Arial" w:eastAsia="Arial" w:hAnsi="Arial"/>
                <w:sz w:val="14"/>
                <w:szCs w:val="14"/>
                <w:b w:val="1"/>
                <w:bCs w:val="1"/>
                <w:color w:val="auto"/>
                <w:w w:val="92"/>
              </w:rPr>
              <w:t>Aggregate</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4"/>
              </w:rPr>
              <w:t>Principal</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vMerge w:val="restart"/>
          </w:tcPr>
          <w:p>
            <w:pPr>
              <w:jc w:val="right"/>
              <w:ind w:right="77"/>
              <w:spacing w:after="0"/>
              <w:rPr>
                <w:sz w:val="20"/>
                <w:szCs w:val="20"/>
                <w:color w:val="auto"/>
              </w:rPr>
            </w:pPr>
            <w:r>
              <w:rPr>
                <w:rFonts w:ascii="Arial" w:cs="Arial" w:eastAsia="Arial" w:hAnsi="Arial"/>
                <w:sz w:val="14"/>
                <w:szCs w:val="14"/>
                <w:b w:val="1"/>
                <w:bCs w:val="1"/>
                <w:color w:val="auto"/>
                <w:w w:val="92"/>
              </w:rPr>
              <w:t>Outstanding</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restart"/>
          </w:tcPr>
          <w:p>
            <w:pPr>
              <w:jc w:val="right"/>
              <w:ind w:right="195"/>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8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center"/>
              <w:ind w:right="78"/>
              <w:spacing w:after="0"/>
              <w:rPr>
                <w:sz w:val="20"/>
                <w:szCs w:val="20"/>
                <w:color w:val="auto"/>
              </w:rPr>
            </w:pPr>
            <w:r>
              <w:rPr>
                <w:rFonts w:ascii="Arial" w:cs="Arial" w:eastAsia="Arial" w:hAnsi="Arial"/>
                <w:sz w:val="14"/>
                <w:szCs w:val="14"/>
                <w:b w:val="1"/>
                <w:bCs w:val="1"/>
                <w:color w:val="auto"/>
                <w:w w:val="95"/>
              </w:rPr>
              <w:t>Committed</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ind w:right="177"/>
              <w:spacing w:after="0"/>
              <w:rPr>
                <w:sz w:val="20"/>
                <w:szCs w:val="20"/>
                <w:color w:val="auto"/>
              </w:rPr>
            </w:pPr>
            <w:r>
              <w:rPr>
                <w:rFonts w:ascii="Arial" w:cs="Arial" w:eastAsia="Arial" w:hAnsi="Arial"/>
                <w:sz w:val="14"/>
                <w:szCs w:val="14"/>
                <w:b w:val="1"/>
                <w:bCs w:val="1"/>
                <w:color w:val="auto"/>
              </w:rPr>
              <w:t>Principal</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ind w:right="75"/>
              <w:spacing w:after="0"/>
              <w:rPr>
                <w:sz w:val="20"/>
                <w:szCs w:val="20"/>
                <w:color w:val="auto"/>
              </w:rPr>
            </w:pPr>
            <w:r>
              <w:rPr>
                <w:rFonts w:ascii="Arial" w:cs="Arial" w:eastAsia="Arial" w:hAnsi="Arial"/>
                <w:sz w:val="14"/>
                <w:szCs w:val="14"/>
                <w:b w:val="1"/>
                <w:bCs w:val="1"/>
                <w:color w:val="auto"/>
                <w:w w:val="94"/>
              </w:rPr>
              <w:t xml:space="preserve">Available </w:t>
            </w:r>
            <w:r>
              <w:rPr>
                <w:rFonts w:ascii="Arial" w:cs="Arial" w:eastAsia="Arial" w:hAnsi="Arial"/>
                <w:sz w:val="12"/>
                <w:szCs w:val="12"/>
                <w:b w:val="1"/>
                <w:bCs w:val="1"/>
                <w:color w:val="auto"/>
                <w:w w:val="94"/>
              </w:rPr>
              <w:t>(1)</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 xml:space="preserve">Value </w:t>
            </w:r>
            <w:r>
              <w:rPr>
                <w:rFonts w:ascii="Arial" w:cs="Arial" w:eastAsia="Arial" w:hAnsi="Arial"/>
                <w:sz w:val="12"/>
                <w:szCs w:val="12"/>
                <w:b w:val="1"/>
                <w:bCs w:val="1"/>
                <w:color w:val="auto"/>
                <w:w w:val="92"/>
              </w:rPr>
              <w:t>(2)</w:t>
            </w:r>
          </w:p>
        </w:tc>
        <w:tc>
          <w:tcPr>
            <w:tcW w:w="0" w:type="dxa"/>
            <w:vAlign w:val="bottom"/>
          </w:tcPr>
          <w:p>
            <w:pPr>
              <w:spacing w:after="0"/>
              <w:rPr>
                <w:sz w:val="1"/>
                <w:szCs w:val="1"/>
                <w:color w:val="auto"/>
              </w:rPr>
            </w:pPr>
          </w:p>
        </w:tc>
      </w:tr>
      <w:tr>
        <w:trPr>
          <w:trHeight w:val="223"/>
        </w:trPr>
        <w:tc>
          <w:tcPr>
            <w:tcW w:w="53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Revolving Credit Facility</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940,000</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187,543</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752,457</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178,807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r>
              <w:rPr>
                <w:rFonts w:ascii="Arial" w:cs="Arial" w:eastAsia="Arial" w:hAnsi="Arial"/>
                <w:sz w:val="18"/>
                <w:szCs w:val="18"/>
                <w:color w:val="auto"/>
                <w:w w:val="89"/>
              </w:rPr>
              <w:t>2019</w:t>
            </w:r>
          </w:p>
        </w:tc>
        <w:tc>
          <w:tcPr>
            <w:tcW w:w="4940" w:type="dxa"/>
            <w:vAlign w:val="bottom"/>
          </w:tcPr>
          <w:p>
            <w:pPr>
              <w:ind w:left="20"/>
              <w:spacing w:after="0"/>
              <w:rPr>
                <w:sz w:val="20"/>
                <w:szCs w:val="20"/>
                <w:color w:val="auto"/>
              </w:rPr>
            </w:pPr>
            <w:r>
              <w:rPr>
                <w:rFonts w:ascii="Arial" w:cs="Arial" w:eastAsia="Arial" w:hAnsi="Arial"/>
                <w:sz w:val="18"/>
                <w:szCs w:val="18"/>
                <w:color w:val="auto"/>
              </w:rPr>
              <w:t>Convertible Notes</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115,000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115,000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113,606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 w:type="dxa"/>
            <w:vAlign w:val="bottom"/>
            <w:shd w:val="clear" w:color="auto" w:fill="CFF0FC"/>
          </w:tcPr>
          <w:p>
            <w:pPr>
              <w:spacing w:after="0"/>
              <w:rPr>
                <w:sz w:val="20"/>
                <w:szCs w:val="20"/>
                <w:color w:val="auto"/>
              </w:rPr>
            </w:pPr>
            <w:r>
              <w:rPr>
                <w:rFonts w:ascii="Arial" w:cs="Arial" w:eastAsia="Arial" w:hAnsi="Arial"/>
                <w:sz w:val="18"/>
                <w:szCs w:val="18"/>
                <w:color w:val="auto"/>
                <w:w w:val="89"/>
              </w:rPr>
              <w:t>2022</w:t>
            </w:r>
          </w:p>
        </w:tc>
        <w:tc>
          <w:tcPr>
            <w:tcW w:w="4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Convertible Notes</w:t>
            </w: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172,500</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172,500</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168,251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w w:val="89"/>
              </w:rPr>
              <w:t>2023</w:t>
            </w:r>
          </w:p>
        </w:tc>
        <w:tc>
          <w:tcPr>
            <w:tcW w:w="494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Notes</w:t>
            </w: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150,000</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150,000</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147,343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20" w:type="dxa"/>
            <w:vAlign w:val="bottom"/>
            <w:tcBorders>
              <w:bottom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b w:val="1"/>
                <w:bCs w:val="1"/>
                <w:color w:val="auto"/>
              </w:rPr>
              <w:t>Total Debt</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1,377,500</w:t>
            </w: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625,043</w:t>
            </w: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752,457</w:t>
            </w:r>
          </w:p>
        </w:tc>
        <w:tc>
          <w:tcPr>
            <w:tcW w:w="2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608,007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20" w:hanging="512"/>
        <w:spacing w:after="0"/>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amount available reflects any limitations related to the respective debt facilities’ borrowing bases.</w:t>
      </w:r>
    </w:p>
    <w:p>
      <w:pPr>
        <w:spacing w:after="0" w:line="23" w:lineRule="exact"/>
        <w:rPr>
          <w:rFonts w:ascii="Arial" w:cs="Arial" w:eastAsia="Arial" w:hAnsi="Arial"/>
          <w:sz w:val="18"/>
          <w:szCs w:val="18"/>
          <w:color w:val="auto"/>
        </w:rPr>
      </w:pPr>
    </w:p>
    <w:p>
      <w:pPr>
        <w:ind w:left="520" w:right="380" w:hanging="512"/>
        <w:spacing w:after="0" w:line="261" w:lineRule="auto"/>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carrying values of the Revolving Credit Facility, Convertible Notes, and 2023 Notes are presented net of deferred financing costs and original issue discounts of $8.7 million, $5.6 million and $2.7 million, respectively.</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For the three months ended March 31, 2019 and 2018, the components of interest expense were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72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20" w:type="dxa"/>
            <w:vAlign w:val="bottom"/>
            <w:gridSpan w:val="5"/>
          </w:tcPr>
          <w:p>
            <w:pPr>
              <w:jc w:val="right"/>
              <w:ind w:right="900"/>
              <w:spacing w:after="0"/>
              <w:rPr>
                <w:sz w:val="20"/>
                <w:szCs w:val="20"/>
                <w:color w:val="auto"/>
              </w:rPr>
            </w:pPr>
            <w:r>
              <w:rPr>
                <w:rFonts w:ascii="Arial" w:cs="Arial" w:eastAsia="Arial" w:hAnsi="Arial"/>
                <w:sz w:val="14"/>
                <w:szCs w:val="14"/>
                <w:b w:val="1"/>
                <w:bCs w:val="1"/>
                <w:color w:val="auto"/>
              </w:rPr>
              <w:t>Three Months Ended</w:t>
            </w:r>
          </w:p>
        </w:tc>
        <w:tc>
          <w:tcPr>
            <w:tcW w:w="1860" w:type="dxa"/>
            <w:vAlign w:val="bottom"/>
          </w:tcPr>
          <w:p>
            <w:pPr>
              <w:spacing w:after="0"/>
              <w:rPr>
                <w:sz w:val="16"/>
                <w:szCs w:val="16"/>
                <w:color w:val="auto"/>
              </w:rPr>
            </w:pPr>
          </w:p>
        </w:tc>
      </w:tr>
      <w:tr>
        <w:trPr>
          <w:trHeight w:val="215"/>
        </w:trPr>
        <w:tc>
          <w:tcPr>
            <w:tcW w:w="17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6"/>
              </w:rPr>
              <w:t>March 31, 2019</w:t>
            </w:r>
          </w:p>
        </w:tc>
        <w:tc>
          <w:tcPr>
            <w:tcW w:w="10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6"/>
              </w:rPr>
              <w:t>March 31, 2018</w:t>
            </w:r>
          </w:p>
        </w:tc>
        <w:tc>
          <w:tcPr>
            <w:tcW w:w="1860" w:type="dxa"/>
            <w:vAlign w:val="bottom"/>
          </w:tcPr>
          <w:p>
            <w:pPr>
              <w:spacing w:after="0"/>
              <w:rPr>
                <w:sz w:val="18"/>
                <w:szCs w:val="18"/>
                <w:color w:val="auto"/>
              </w:rPr>
            </w:pPr>
          </w:p>
        </w:tc>
      </w:tr>
      <w:tr>
        <w:trPr>
          <w:trHeight w:val="223"/>
        </w:trPr>
        <w:tc>
          <w:tcPr>
            <w:tcW w:w="1720" w:type="dxa"/>
            <w:vAlign w:val="bottom"/>
          </w:tcPr>
          <w:p>
            <w:pPr>
              <w:spacing w:after="0"/>
              <w:rPr>
                <w:sz w:val="19"/>
                <w:szCs w:val="19"/>
                <w:color w:val="auto"/>
              </w:rPr>
            </w:pPr>
          </w:p>
        </w:tc>
        <w:tc>
          <w:tcPr>
            <w:tcW w:w="3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15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7,814</w:t>
            </w:r>
          </w:p>
        </w:tc>
        <w:tc>
          <w:tcPr>
            <w:tcW w:w="3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7,959</w:t>
            </w:r>
          </w:p>
        </w:tc>
        <w:tc>
          <w:tcPr>
            <w:tcW w:w="180" w:type="dxa"/>
            <w:vAlign w:val="bottom"/>
            <w:tcBorders>
              <w:top w:val="single" w:sz="8" w:color="CFF0FC"/>
            </w:tcBorders>
            <w:shd w:val="clear" w:color="auto" w:fill="CFF0FC"/>
          </w:tcPr>
          <w:p>
            <w:pPr>
              <w:spacing w:after="0"/>
              <w:rPr>
                <w:sz w:val="19"/>
                <w:szCs w:val="19"/>
                <w:color w:val="auto"/>
              </w:rPr>
            </w:pPr>
          </w:p>
        </w:tc>
        <w:tc>
          <w:tcPr>
            <w:tcW w:w="186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Commitment fees</w:t>
            </w: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747</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455</w:t>
            </w:r>
          </w:p>
        </w:tc>
        <w:tc>
          <w:tcPr>
            <w:tcW w:w="18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deferred financing costs</w:t>
            </w:r>
          </w:p>
        </w:tc>
        <w:tc>
          <w:tcPr>
            <w:tcW w:w="1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1,085</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870</w:t>
            </w:r>
          </w:p>
        </w:tc>
        <w:tc>
          <w:tcPr>
            <w:tcW w:w="180" w:type="dxa"/>
            <w:vAlign w:val="bottom"/>
            <w:shd w:val="clear" w:color="auto" w:fill="CFF0FC"/>
          </w:tcPr>
          <w:p>
            <w:pPr>
              <w:spacing w:after="0"/>
              <w:rPr>
                <w:sz w:val="19"/>
                <w:szCs w:val="19"/>
                <w:color w:val="auto"/>
              </w:rPr>
            </w:pPr>
          </w:p>
        </w:tc>
        <w:tc>
          <w:tcPr>
            <w:tcW w:w="186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Accretion of original issue discount</w:t>
            </w: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225</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177</w:t>
            </w:r>
          </w:p>
        </w:tc>
        <w:tc>
          <w:tcPr>
            <w:tcW w:w="18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rPr>
              <w:t>Swap settlement</w:t>
            </w:r>
          </w:p>
        </w:tc>
        <w:tc>
          <w:tcPr>
            <w:tcW w:w="1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498</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(391)</w:t>
            </w:r>
          </w:p>
        </w:tc>
        <w:tc>
          <w:tcPr>
            <w:tcW w:w="1860" w:type="dxa"/>
            <w:vAlign w:val="bottom"/>
          </w:tcPr>
          <w:p>
            <w:pPr>
              <w:spacing w:after="0"/>
              <w:rPr>
                <w:sz w:val="19"/>
                <w:szCs w:val="19"/>
                <w:color w:val="auto"/>
              </w:rPr>
            </w:pPr>
          </w:p>
        </w:tc>
      </w:tr>
      <w:tr>
        <w:trPr>
          <w:trHeight w:val="263"/>
        </w:trPr>
        <w:tc>
          <w:tcPr>
            <w:tcW w:w="1720" w:type="dxa"/>
            <w:vAlign w:val="bottom"/>
          </w:tcPr>
          <w:p>
            <w:pPr>
              <w:spacing w:after="0"/>
              <w:rPr>
                <w:sz w:val="22"/>
                <w:szCs w:val="22"/>
                <w:color w:val="auto"/>
              </w:rPr>
            </w:pPr>
          </w:p>
        </w:tc>
        <w:tc>
          <w:tcPr>
            <w:tcW w:w="3420" w:type="dxa"/>
            <w:vAlign w:val="bottom"/>
            <w:tcBorders>
              <w:bottom w:val="single" w:sz="8" w:color="CFF0FC"/>
            </w:tcBorders>
          </w:tcPr>
          <w:p>
            <w:pPr>
              <w:ind w:left="240"/>
              <w:spacing w:after="0"/>
              <w:rPr>
                <w:sz w:val="20"/>
                <w:szCs w:val="20"/>
                <w:color w:val="auto"/>
              </w:rPr>
            </w:pPr>
            <w:r>
              <w:rPr>
                <w:rFonts w:ascii="Arial" w:cs="Arial" w:eastAsia="Arial" w:hAnsi="Arial"/>
                <w:sz w:val="18"/>
                <w:szCs w:val="18"/>
                <w:b w:val="1"/>
                <w:bCs w:val="1"/>
                <w:color w:val="auto"/>
              </w:rPr>
              <w:t>Total Interest Expense</w:t>
            </w:r>
          </w:p>
        </w:tc>
        <w:tc>
          <w:tcPr>
            <w:tcW w:w="152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10,369</w:t>
            </w:r>
          </w:p>
        </w:tc>
        <w:tc>
          <w:tcPr>
            <w:tcW w:w="30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9,070</w:t>
            </w:r>
          </w:p>
        </w:tc>
        <w:tc>
          <w:tcPr>
            <w:tcW w:w="180" w:type="dxa"/>
            <w:vAlign w:val="bottom"/>
            <w:tcBorders>
              <w:bottom w:val="single" w:sz="8" w:color="CFF0FC"/>
            </w:tcBorders>
          </w:tcPr>
          <w:p>
            <w:pPr>
              <w:spacing w:after="0"/>
              <w:rPr>
                <w:sz w:val="22"/>
                <w:szCs w:val="22"/>
                <w:color w:val="auto"/>
              </w:rPr>
            </w:pPr>
          </w:p>
        </w:tc>
        <w:tc>
          <w:tcPr>
            <w:tcW w:w="1860" w:type="dxa"/>
            <w:vAlign w:val="bottom"/>
          </w:tcPr>
          <w:p>
            <w:pPr>
              <w:spacing w:after="0"/>
              <w:rPr>
                <w:sz w:val="22"/>
                <w:szCs w:val="22"/>
                <w:color w:val="auto"/>
              </w:rPr>
            </w:pPr>
          </w:p>
        </w:tc>
      </w:tr>
      <w:tr>
        <w:trPr>
          <w:trHeight w:val="210"/>
        </w:trPr>
        <w:tc>
          <w:tcPr>
            <w:tcW w:w="1720" w:type="dxa"/>
            <w:vAlign w:val="bottom"/>
          </w:tcPr>
          <w:p>
            <w:pPr>
              <w:spacing w:after="0"/>
              <w:rPr>
                <w:sz w:val="18"/>
                <w:szCs w:val="18"/>
                <w:color w:val="auto"/>
              </w:rPr>
            </w:pPr>
          </w:p>
        </w:tc>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rPr>
              <w:t>Average debt outstanding (in millions)</w:t>
            </w:r>
          </w:p>
        </w:tc>
        <w:tc>
          <w:tcPr>
            <w:tcW w:w="15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705.8</w:t>
            </w: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826.8</w:t>
            </w:r>
          </w:p>
        </w:tc>
        <w:tc>
          <w:tcPr>
            <w:tcW w:w="180" w:type="dxa"/>
            <w:vAlign w:val="bottom"/>
            <w:shd w:val="clear" w:color="auto" w:fill="CFF0FC"/>
          </w:tcPr>
          <w:p>
            <w:pPr>
              <w:spacing w:after="0"/>
              <w:rPr>
                <w:sz w:val="18"/>
                <w:szCs w:val="18"/>
                <w:color w:val="auto"/>
              </w:rPr>
            </w:pPr>
          </w:p>
        </w:tc>
        <w:tc>
          <w:tcPr>
            <w:tcW w:w="1860" w:type="dxa"/>
            <w:vAlign w:val="bottom"/>
          </w:tcPr>
          <w:p>
            <w:pPr>
              <w:spacing w:after="0"/>
              <w:rPr>
                <w:sz w:val="18"/>
                <w:szCs w:val="18"/>
                <w:color w:val="auto"/>
              </w:rPr>
            </w:pPr>
          </w:p>
        </w:tc>
      </w:tr>
      <w:tr>
        <w:trPr>
          <w:trHeight w:val="230"/>
        </w:trPr>
        <w:tc>
          <w:tcPr>
            <w:tcW w:w="172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Weighted average interest rate</w:t>
            </w: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c>
          <w:tcPr>
            <w:tcW w:w="186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rPr>
              <w:t>Average 1-month LIBOR rate</w:t>
            </w:r>
          </w:p>
        </w:tc>
        <w:tc>
          <w:tcPr>
            <w:tcW w:w="1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w:t>
            </w:r>
          </w:p>
        </w:tc>
        <w:tc>
          <w:tcPr>
            <w:tcW w:w="1860" w:type="dxa"/>
            <w:vAlign w:val="bottom"/>
          </w:tcPr>
          <w:p>
            <w:pPr>
              <w:spacing w:after="0"/>
              <w:rPr>
                <w:sz w:val="19"/>
                <w:szCs w:val="19"/>
                <w:color w:val="auto"/>
              </w:rPr>
            </w:pPr>
          </w:p>
        </w:tc>
      </w:tr>
      <w:tr>
        <w:trPr>
          <w:trHeight w:val="689"/>
        </w:trPr>
        <w:tc>
          <w:tcPr>
            <w:tcW w:w="17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520" w:type="dxa"/>
            <w:vAlign w:val="bottom"/>
          </w:tcPr>
          <w:p>
            <w:pPr>
              <w:jc w:val="right"/>
              <w:ind w:right="77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342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8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33" w:name="page34"/>
    <w:bookmarkEnd w:id="33"/>
    <w:p>
      <w:pPr>
        <w:spacing w:after="0"/>
        <w:rPr>
          <w:sz w:val="20"/>
          <w:szCs w:val="20"/>
          <w:color w:val="auto"/>
        </w:rPr>
      </w:pPr>
      <w:r>
        <w:rPr>
          <w:rFonts w:ascii="Arial" w:cs="Arial" w:eastAsia="Arial" w:hAnsi="Arial"/>
          <w:sz w:val="18"/>
          <w:szCs w:val="18"/>
          <w:i w:val="1"/>
          <w:iCs w:val="1"/>
          <w:color w:val="auto"/>
        </w:rPr>
        <w:t>Revolving Credit Facility</w:t>
      </w:r>
    </w:p>
    <w:p>
      <w:pPr>
        <w:spacing w:after="0" w:line="117" w:lineRule="exact"/>
        <w:rPr>
          <w:sz w:val="20"/>
          <w:szCs w:val="20"/>
          <w:color w:val="auto"/>
        </w:rPr>
      </w:pPr>
    </w:p>
    <w:p>
      <w:pPr>
        <w:ind w:right="60" w:firstLine="259"/>
        <w:spacing w:after="0" w:line="277" w:lineRule="auto"/>
        <w:rPr>
          <w:sz w:val="20"/>
          <w:szCs w:val="20"/>
          <w:color w:val="auto"/>
        </w:rPr>
      </w:pPr>
      <w:r>
        <w:rPr>
          <w:rFonts w:ascii="Arial" w:cs="Arial" w:eastAsia="Arial" w:hAnsi="Arial"/>
          <w:sz w:val="18"/>
          <w:szCs w:val="18"/>
          <w:color w:val="auto"/>
        </w:rPr>
        <w:t>On August 23, 2012, the Company entered into a senior secured revolving credit agreement with SunTrust Bank, as administrative agent, and J.P. Morgan Chase Bank, N.A., as syndication agent, and certain other lenders (as amended and restated, the “Revolving Credit Facility”).</w:t>
      </w:r>
    </w:p>
    <w:p>
      <w:pPr>
        <w:spacing w:after="0" w:line="170" w:lineRule="exact"/>
        <w:rPr>
          <w:sz w:val="20"/>
          <w:szCs w:val="20"/>
          <w:color w:val="auto"/>
        </w:rPr>
      </w:pPr>
    </w:p>
    <w:p>
      <w:pPr>
        <w:ind w:right="80" w:firstLine="259"/>
        <w:spacing w:after="0" w:line="312" w:lineRule="auto"/>
        <w:rPr>
          <w:sz w:val="20"/>
          <w:szCs w:val="20"/>
          <w:color w:val="auto"/>
        </w:rPr>
      </w:pPr>
      <w:r>
        <w:rPr>
          <w:rFonts w:ascii="Arial" w:cs="Arial" w:eastAsia="Arial" w:hAnsi="Arial"/>
          <w:sz w:val="16"/>
          <w:szCs w:val="16"/>
          <w:color w:val="auto"/>
        </w:rPr>
        <w:t>As of December 31, 2018, aggregate commitments under the facility were $940 million. Pursuant to an amendment to the Revolving Credit Facility dated as of February 14, 2019 (the “Eighth Amendment”), the aggregate commitments under the facility were increased to $1.17 billion. The facility includes an uncommitted accordion feature that allows the Company, under certain circumstances, to increase the size of the facility to up to $1.5 billion.</w:t>
      </w:r>
    </w:p>
    <w:p>
      <w:pPr>
        <w:spacing w:after="0" w:line="147" w:lineRule="exact"/>
        <w:rPr>
          <w:sz w:val="20"/>
          <w:szCs w:val="20"/>
          <w:color w:val="auto"/>
        </w:rPr>
      </w:pPr>
    </w:p>
    <w:p>
      <w:pPr>
        <w:jc w:val="both"/>
        <w:ind w:right="240" w:firstLine="259"/>
        <w:spacing w:after="0" w:line="264" w:lineRule="auto"/>
        <w:rPr>
          <w:sz w:val="20"/>
          <w:szCs w:val="20"/>
          <w:color w:val="auto"/>
        </w:rPr>
      </w:pPr>
      <w:r>
        <w:rPr>
          <w:rFonts w:ascii="Arial" w:cs="Arial" w:eastAsia="Arial" w:hAnsi="Arial"/>
          <w:sz w:val="18"/>
          <w:szCs w:val="18"/>
          <w:color w:val="auto"/>
        </w:rPr>
        <w:t>Pursuant to the Eighth Amendment, the revolving period, during which period the Company, subject to certain conditions, may make borrowings under the facility, was extended from February 18, 2022 to February 14, 2023 and the stated maturity date was extended from February 17, 2023 to February 14, 2024.</w:t>
      </w:r>
    </w:p>
    <w:p>
      <w:pPr>
        <w:spacing w:after="0" w:line="181" w:lineRule="exact"/>
        <w:rPr>
          <w:sz w:val="20"/>
          <w:szCs w:val="20"/>
          <w:color w:val="auto"/>
        </w:rPr>
      </w:pPr>
    </w:p>
    <w:p>
      <w:pPr>
        <w:jc w:val="both"/>
        <w:ind w:right="540" w:firstLine="259"/>
        <w:spacing w:after="0" w:line="264" w:lineRule="auto"/>
        <w:rPr>
          <w:sz w:val="20"/>
          <w:szCs w:val="20"/>
          <w:color w:val="auto"/>
        </w:rPr>
      </w:pPr>
      <w:r>
        <w:rPr>
          <w:rFonts w:ascii="Arial" w:cs="Arial" w:eastAsia="Arial" w:hAnsi="Arial"/>
          <w:sz w:val="18"/>
          <w:szCs w:val="18"/>
          <w:color w:val="auto"/>
        </w:rPr>
        <w:t>The Company may borrow amounts in U.S. dollars or certain other permitted currencies. As of March 31, 2019, the Company had outstanding debt denominated in Australian dollars (AUD) of 47.1 million and Canadian dollars (CAD) of 64.5 million on its Revolving Credit Facility, included in the Outstanding Principal amount in the table above.</w:t>
      </w:r>
    </w:p>
    <w:p>
      <w:pPr>
        <w:spacing w:after="0" w:line="181" w:lineRule="exact"/>
        <w:rPr>
          <w:sz w:val="20"/>
          <w:szCs w:val="20"/>
          <w:color w:val="auto"/>
        </w:rPr>
      </w:pPr>
    </w:p>
    <w:p>
      <w:pPr>
        <w:ind w:firstLine="259"/>
        <w:spacing w:after="0" w:line="264" w:lineRule="auto"/>
        <w:rPr>
          <w:sz w:val="20"/>
          <w:szCs w:val="20"/>
          <w:color w:val="auto"/>
        </w:rPr>
      </w:pPr>
      <w:r>
        <w:rPr>
          <w:rFonts w:ascii="Arial" w:cs="Arial" w:eastAsia="Arial" w:hAnsi="Arial"/>
          <w:sz w:val="18"/>
          <w:szCs w:val="18"/>
          <w:color w:val="auto"/>
        </w:rPr>
        <w:t>The Revolving Credit Facility also provides for the issuance of letters of credit up to an aggregate amount of $75 million. As of March 31, 2019 and December 31, 2018, the Company had no outstanding letters of credit issued through the Revolving Credit Facility. The amount available for borrowing under the Revolving Credit Facility is reduced by any letters of credit issued through the Revolving Credit Facility.</w:t>
      </w:r>
    </w:p>
    <w:p>
      <w:pPr>
        <w:spacing w:after="0" w:line="181" w:lineRule="exact"/>
        <w:rPr>
          <w:sz w:val="20"/>
          <w:szCs w:val="20"/>
          <w:color w:val="auto"/>
        </w:rPr>
      </w:pPr>
    </w:p>
    <w:p>
      <w:pPr>
        <w:ind w:right="20" w:firstLine="259"/>
        <w:spacing w:after="0" w:line="273" w:lineRule="auto"/>
        <w:rPr>
          <w:sz w:val="20"/>
          <w:szCs w:val="20"/>
          <w:color w:val="auto"/>
        </w:rPr>
      </w:pPr>
      <w:r>
        <w:rPr>
          <w:rFonts w:ascii="Arial" w:cs="Arial" w:eastAsia="Arial" w:hAnsi="Arial"/>
          <w:sz w:val="17"/>
          <w:szCs w:val="17"/>
          <w:color w:val="auto"/>
        </w:rPr>
        <w:t>Amounts drawn under the Revolving Credit Facility, including amounts drawn in respect of letters of credit, bear interest at either LIBOR plus a margin of either 1.75% or 1.875%, or the base rate plus a margin of either 0.75% or 0.875%, in each case, based on the total amount of the borrowing base relative to the sum of the total commitments (or, if greater, the total exposure) under the Revolving Credit Facility plus certain other designated secured debt. The Company may elect either the LIBOR or base rate at the time of drawdown, and loans may be converted from one rate to another at any time, subject to certain conditions. The Company also pays a fee of 0.375% on undrawn amounts and, in respect of each undrawn letter of credit, a fee and interest rate equal to the then applicable margin while the letter of credit is outstanding.</w:t>
      </w:r>
    </w:p>
    <w:p>
      <w:pPr>
        <w:spacing w:after="0" w:line="178" w:lineRule="exact"/>
        <w:rPr>
          <w:sz w:val="20"/>
          <w:szCs w:val="20"/>
          <w:color w:val="auto"/>
        </w:rPr>
      </w:pPr>
    </w:p>
    <w:p>
      <w:pPr>
        <w:ind w:right="220" w:firstLine="259"/>
        <w:spacing w:after="0" w:line="259" w:lineRule="auto"/>
        <w:rPr>
          <w:sz w:val="20"/>
          <w:szCs w:val="20"/>
          <w:color w:val="auto"/>
        </w:rPr>
      </w:pPr>
      <w:r>
        <w:rPr>
          <w:rFonts w:ascii="Arial" w:cs="Arial" w:eastAsia="Arial" w:hAnsi="Arial"/>
          <w:sz w:val="18"/>
          <w:szCs w:val="18"/>
          <w:color w:val="auto"/>
        </w:rPr>
        <w:t>The Revolving Credit Facility is guaranteed by TPG SL SPV, LLC, TC Lending, LLC and TSL MR, LLC and may be guaranteed by certain domestic subsidiaries in the future. The Revolving Credit Facility is secured by a perfected first-priority security interest in substantially all the portfolio investments held by the Company and each guarantor. Proceeds from borrowings may be used for general corporate purposes, including the funding of portfolio investments.</w:t>
      </w:r>
    </w:p>
    <w:p>
      <w:pPr>
        <w:spacing w:after="0" w:line="187" w:lineRule="exact"/>
        <w:rPr>
          <w:sz w:val="20"/>
          <w:szCs w:val="20"/>
          <w:color w:val="auto"/>
        </w:rPr>
      </w:pPr>
    </w:p>
    <w:p>
      <w:pPr>
        <w:ind w:right="340" w:firstLine="259"/>
        <w:spacing w:after="0" w:line="277" w:lineRule="auto"/>
        <w:rPr>
          <w:sz w:val="20"/>
          <w:szCs w:val="20"/>
          <w:color w:val="auto"/>
        </w:rPr>
      </w:pPr>
      <w:r>
        <w:rPr>
          <w:rFonts w:ascii="Arial" w:cs="Arial" w:eastAsia="Arial" w:hAnsi="Arial"/>
          <w:sz w:val="18"/>
          <w:szCs w:val="18"/>
          <w:color w:val="auto"/>
        </w:rPr>
        <w:t>The Revolving Credit Facility includes customary events of default, as well as customary covenants, including restrictions on certain distributions and financial covenants. The financial covenants, as amended on November 5, 2018, require:</w:t>
      </w:r>
    </w:p>
    <w:p>
      <w:pPr>
        <w:spacing w:after="0" w:line="62" w:lineRule="exact"/>
        <w:rPr>
          <w:sz w:val="20"/>
          <w:szCs w:val="20"/>
          <w:color w:val="auto"/>
        </w:rPr>
      </w:pPr>
    </w:p>
    <w:p>
      <w:pPr>
        <w:ind w:left="520" w:hanging="255"/>
        <w:spacing w:after="0"/>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 asset coverage ratio of no less than 1.5 to 1 on the last day of any fiscal quarter;</w:t>
      </w:r>
    </w:p>
    <w:p>
      <w:pPr>
        <w:spacing w:after="0" w:line="117" w:lineRule="exact"/>
        <w:rPr>
          <w:rFonts w:ascii="Arial" w:cs="Arial" w:eastAsia="Arial" w:hAnsi="Arial"/>
          <w:sz w:val="18"/>
          <w:szCs w:val="18"/>
          <w:color w:val="auto"/>
        </w:rPr>
      </w:pPr>
    </w:p>
    <w:p>
      <w:pPr>
        <w:ind w:left="520" w:right="40" w:hanging="255"/>
        <w:spacing w:after="0" w:line="264" w:lineRule="auto"/>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liquidity test under which the Company must not maintain cash and liquid investments of less than 10% of the covered debt amount for more than 30 consecutive business days under circumstances where the Company’s adjusted covered debt balance is greater than 90% of the Company’s adjusted borrowing base under the facility;</w:t>
      </w:r>
    </w:p>
    <w:p>
      <w:pPr>
        <w:spacing w:after="0" w:line="73" w:lineRule="exact"/>
        <w:rPr>
          <w:rFonts w:ascii="Arial" w:cs="Arial" w:eastAsia="Arial" w:hAnsi="Arial"/>
          <w:sz w:val="18"/>
          <w:szCs w:val="18"/>
          <w:color w:val="auto"/>
        </w:rPr>
      </w:pPr>
    </w:p>
    <w:p>
      <w:pPr>
        <w:ind w:left="520" w:hanging="255"/>
        <w:spacing w:after="0"/>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stockholders’ equity of at least $500 million plus 25% of the net proceeds of the sale of equity interests after November 5, 2018;</w:t>
      </w:r>
    </w:p>
    <w:p>
      <w:pPr>
        <w:spacing w:after="0" w:line="117" w:lineRule="exact"/>
        <w:rPr>
          <w:rFonts w:ascii="Arial" w:cs="Arial" w:eastAsia="Arial" w:hAnsi="Arial"/>
          <w:sz w:val="18"/>
          <w:szCs w:val="18"/>
          <w:color w:val="auto"/>
        </w:rPr>
      </w:pPr>
    </w:p>
    <w:p>
      <w:pPr>
        <w:ind w:left="520" w:right="160" w:hanging="255"/>
        <w:spacing w:after="0" w:line="259" w:lineRule="auto"/>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minimum asset coverage ratio of no less than 2 to 1 with respect to (i) the consolidated assets of the Company and the subsidiary guarantors (including certain limitations on the contribution of equity in financing subsidiaries) to (ii) the secured debt of the Company and its subsidiary guarantors plus unsecured senior securities of the Company and its subsidiary guarantors that mature within 90 days of the date of determination (the “Obligor Asset Coverage Ratio”); and</w:t>
      </w:r>
    </w:p>
    <w:p>
      <w:pPr>
        <w:spacing w:after="0" w:line="78" w:lineRule="exact"/>
        <w:rPr>
          <w:rFonts w:ascii="Arial" w:cs="Arial" w:eastAsia="Arial" w:hAnsi="Arial"/>
          <w:sz w:val="18"/>
          <w:szCs w:val="18"/>
          <w:color w:val="auto"/>
        </w:rPr>
      </w:pPr>
    </w:p>
    <w:p>
      <w:pPr>
        <w:ind w:left="520" w:right="260" w:hanging="255"/>
        <w:spacing w:after="0" w:line="342" w:lineRule="auto"/>
        <w:tabs>
          <w:tab w:leader="none" w:pos="5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minimum consolidated assets of the Company and the subsidiary guarantors (including certain limitations on the contribution of equity in financing subsidiaries), less total secured debt of the Company and the subsidiary guarantors, of at least $350 million at the last day of any fiscal quarter.</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4" w:name="page35"/>
    <w:bookmarkEnd w:id="34"/>
    <w:p>
      <w:pPr>
        <w:ind w:right="40" w:firstLine="259"/>
        <w:spacing w:after="0" w:line="308" w:lineRule="auto"/>
        <w:rPr>
          <w:sz w:val="20"/>
          <w:szCs w:val="20"/>
          <w:color w:val="auto"/>
        </w:rPr>
      </w:pPr>
      <w:r>
        <w:rPr>
          <w:rFonts w:ascii="Arial" w:cs="Arial" w:eastAsia="Arial" w:hAnsi="Arial"/>
          <w:sz w:val="17"/>
          <w:szCs w:val="17"/>
          <w:color w:val="auto"/>
        </w:rPr>
        <w:t>The November 5, 2018 amendment also established certain additional concentration limits in connection with the calculation of the borrowing base, based on the Obligor Asset Coverage Ratio. Size, pricing and other significant terms in the Revolving Credit Facility remained unchanged.</w:t>
      </w:r>
    </w:p>
    <w:p>
      <w:pPr>
        <w:spacing w:after="0" w:line="147" w:lineRule="exact"/>
        <w:rPr>
          <w:sz w:val="20"/>
          <w:szCs w:val="20"/>
          <w:color w:val="auto"/>
        </w:rPr>
      </w:pPr>
    </w:p>
    <w:p>
      <w:pPr>
        <w:ind w:right="180" w:firstLine="259"/>
        <w:spacing w:after="0" w:line="277" w:lineRule="auto"/>
        <w:rPr>
          <w:sz w:val="20"/>
          <w:szCs w:val="20"/>
          <w:color w:val="auto"/>
        </w:rPr>
      </w:pPr>
      <w:r>
        <w:rPr>
          <w:rFonts w:ascii="Arial" w:cs="Arial" w:eastAsia="Arial" w:hAnsi="Arial"/>
          <w:sz w:val="18"/>
          <w:szCs w:val="18"/>
          <w:color w:val="auto"/>
        </w:rPr>
        <w:t>Net proceeds received from the Company’s common stock issuance in March 2018 and net proceeds received from the issuance of the 2022 Convertible Notes and 2023 Notes were used to pay down borrowings on the Revolving Credit Facility.</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March 31, 2019 and December 31, 2018, the Company was in compliance with the terms of the Revolving Credit Facility.</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Convertible Notes</w:t>
      </w:r>
    </w:p>
    <w:p>
      <w:pPr>
        <w:spacing w:after="0" w:line="117" w:lineRule="exact"/>
        <w:rPr>
          <w:sz w:val="20"/>
          <w:szCs w:val="20"/>
          <w:color w:val="auto"/>
        </w:rPr>
      </w:pPr>
    </w:p>
    <w:p>
      <w:pPr>
        <w:ind w:firstLine="259"/>
        <w:spacing w:after="0" w:line="269" w:lineRule="auto"/>
        <w:rPr>
          <w:sz w:val="20"/>
          <w:szCs w:val="20"/>
          <w:color w:val="auto"/>
        </w:rPr>
      </w:pPr>
      <w:r>
        <w:rPr>
          <w:rFonts w:ascii="Arial" w:cs="Arial" w:eastAsia="Arial" w:hAnsi="Arial"/>
          <w:sz w:val="17"/>
          <w:szCs w:val="17"/>
          <w:color w:val="auto"/>
        </w:rPr>
        <w:t>In June 2014, the Company issued in a private offering $115 million aggregate principal amount convertible notes due December 2019 (the “2019 Convertible Notes”). The 2019 Convertible Notes were issued in a private placement only to qualified institutional buyers pursuant to Rule 144A under the Securities Act. The 2019 Convertible Notes are unsecured, and bear interest at a rate of 4.50% per year, payable semiannually. The 2019 Convertible Notes will mature on December 15, 2019. In certain circumstances, the 2019 Convertible Notes will be convertible into cash, shares of the Company’s common stock or a combination of cash and shares of the Company’s common stock, at the Company’s election, at an initial conversion rate of 38.7162 shares of common stock per $1,000 principal amount of 2019 Convertible Notes, which is equivalent to an initial conversion price of approximately $25.83 per share of the Company’s common stock, subject to customary anti-dilution adjustments. As of March 31, 2019, the estimated adjusted conversion price was approximately $24.91 per share of common stock. The sale of the 2019 Convertible Notes generated net proceeds of approximately $110.8 million. The Company used the net proceeds of the offering to pay down debt under the Revolving Credit Facility. In connection with the offering of 2019 Convertible Notes, the Company has entered into interest rate swaps to continue to align the interest rates of its liabilities with its investment portfolio, which consists of predominately floating rate loans. As a result of the swaps, the Company’s effective interest rate on the 2019 Convertible Notes is three-month LIBOR plus 2.86%. See Note 5 for further information related to the Company’s interest rate swaps.</w:t>
      </w:r>
    </w:p>
    <w:p>
      <w:pPr>
        <w:spacing w:after="0" w:line="180" w:lineRule="exact"/>
        <w:rPr>
          <w:sz w:val="20"/>
          <w:szCs w:val="20"/>
          <w:color w:val="auto"/>
        </w:rPr>
      </w:pPr>
    </w:p>
    <w:p>
      <w:pPr>
        <w:ind w:firstLine="259"/>
        <w:spacing w:after="0" w:line="289" w:lineRule="auto"/>
        <w:rPr>
          <w:sz w:val="20"/>
          <w:szCs w:val="20"/>
          <w:color w:val="auto"/>
        </w:rPr>
      </w:pPr>
      <w:r>
        <w:rPr>
          <w:rFonts w:ascii="Arial" w:cs="Arial" w:eastAsia="Arial" w:hAnsi="Arial"/>
          <w:sz w:val="16"/>
          <w:szCs w:val="16"/>
          <w:color w:val="auto"/>
        </w:rPr>
        <w:t>Holders may convert their 2019 Convertible Notes at their option at any time prior to June 15, 2019 only under the following circumstances: (1) during any calendar quarter commencing after the calendar quarter ending on September 30, 2014 (and only during such calendar quarter), if the last reported sale price of the common stock for at least 20 trading days (whether or not consecutive) during a period of 30 consecutive trading days ending on the last trading day of the immediately preceding calendar quarter is greater than or equal to 130% of the conversion price on each applicable trading day; (2) during the five business day period after any five consecutive trading day period (the “measurement period”) in which the trading price (as defined in the indenture governing the 2019 Convertible Notes) per $1,000 principal amount of notes for each trading day of the measurement period was less than 98% of the product of the last reported sale price of the Company’s common stock and the conversion rate on each such trading day; or (3) upon the occurrence of specified corporate events. On or after June 15, 2019 until the close of business on the scheduled trading day immediately preceding the maturity date, holders may convert their notes at any time, regardless of the occurrence or nonoccurrence of any of the foregoing circumstances.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2022 Convertible Notes</w:t>
      </w:r>
    </w:p>
    <w:p>
      <w:pPr>
        <w:spacing w:after="0" w:line="117" w:lineRule="exact"/>
        <w:rPr>
          <w:sz w:val="20"/>
          <w:szCs w:val="20"/>
          <w:color w:val="auto"/>
        </w:rPr>
      </w:pPr>
    </w:p>
    <w:p>
      <w:pPr>
        <w:ind w:right="60" w:firstLine="259"/>
        <w:spacing w:after="0" w:line="268" w:lineRule="auto"/>
        <w:rPr>
          <w:sz w:val="20"/>
          <w:szCs w:val="20"/>
          <w:color w:val="auto"/>
        </w:rPr>
      </w:pPr>
      <w:r>
        <w:rPr>
          <w:rFonts w:ascii="Arial" w:cs="Arial" w:eastAsia="Arial" w:hAnsi="Arial"/>
          <w:sz w:val="17"/>
          <w:szCs w:val="17"/>
          <w:color w:val="auto"/>
        </w:rPr>
        <w:t>In February 2017, the Company issued in a private offering $115 million aggregate principal amount convertible notes due August 2022 (the “2022 Convertible Notes” and, together with the 2019 Convertible Notes, the “Convertible Notes”). The 2022 Convertible Notes were issued in a private placement only to qualified institutional buyers pursuant to Rule 144A under the Securities Act. The 2022 Convertible Notes are unsecured, and bear interest at a rate of 4.50% per year, payable semiannually. The 2022 Convertible Notes will mature on August 1, 2022. In certain circumstances, the 2022 Convertible Notes will be convertible into cash, shares of the Company’s common stock or a combination of cash and shares of the Company’s common stock, at the Company’s election, at an initial conversion rate of 46.8516 shares of common stock per $1,000 principal amount of 2022 Convertible Notes, which is equivalent to an initial conversion price of approximately $21.34 per share of the Company’s common stock, subject to customary anti-dilution adjustments. As of March 31, 2019, the estimated adjusted conversion price was approximately $20.79 per share of common stock. The sale of the 2022 Convertible Notes generated net proceeds of approximately $111.2 million. The Company used the net proceeds of the offering to pay down debt under the Revolving Credit Facility. In connection with the offering of 2022 Convertible Notes, the Company has entered into an interest rate swap to continue to align the interest rates of its liabilities with its investment portfolio, which consists of predominately floating rate loans. As a result of the swap, the Company’s effective interest rate on the original issuance of 2022 Convertible Notes is three-month LIBOR plus 2.37%. See Note 5 for further information related to the Company’s interest rate swaps.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5" w:name="page36"/>
    <w:bookmarkEnd w:id="35"/>
    <w:p>
      <w:pPr>
        <w:ind w:right="40" w:firstLine="259"/>
        <w:spacing w:after="0" w:line="273" w:lineRule="auto"/>
        <w:rPr>
          <w:sz w:val="20"/>
          <w:szCs w:val="20"/>
          <w:color w:val="auto"/>
        </w:rPr>
      </w:pPr>
      <w:r>
        <w:rPr>
          <w:rFonts w:ascii="Arial" w:cs="Arial" w:eastAsia="Arial" w:hAnsi="Arial"/>
          <w:sz w:val="17"/>
          <w:szCs w:val="17"/>
          <w:color w:val="auto"/>
        </w:rPr>
        <w:t>In June 2018, the Company issued an additional $57.5 million aggregate principal amount of 2022 Convertible Notes. The additional Convertible Notes were issued with identical terms, and are fungible with and are part of a single series with the previously outstanding $115 million aggregate principal amount of the Company’s existing 2022 Convertible Notes issued in February 2017. In connection with the reopening of the 2022 Convertible Notes, the Company entered into interest rate swaps to continue to align the interest rates of its liabilities with its investment portfolio, which consists of predominantly floating rate loans. As a result of the additional swaps, the Company’s effective interest rate on the additional 2022 Convertible Notes is approximately three-month LIBOR plus 1.60%. See Note 5 for further information related to the Company’s interest rate swaps.</w:t>
      </w:r>
    </w:p>
    <w:p>
      <w:pPr>
        <w:spacing w:after="0" w:line="178" w:lineRule="exact"/>
        <w:rPr>
          <w:sz w:val="20"/>
          <w:szCs w:val="20"/>
          <w:color w:val="auto"/>
        </w:rPr>
      </w:pPr>
    </w:p>
    <w:p>
      <w:pPr>
        <w:ind w:right="20" w:firstLine="259"/>
        <w:spacing w:after="0" w:line="289" w:lineRule="auto"/>
        <w:rPr>
          <w:sz w:val="20"/>
          <w:szCs w:val="20"/>
          <w:color w:val="auto"/>
        </w:rPr>
      </w:pPr>
      <w:r>
        <w:rPr>
          <w:rFonts w:ascii="Arial" w:cs="Arial" w:eastAsia="Arial" w:hAnsi="Arial"/>
          <w:sz w:val="16"/>
          <w:szCs w:val="16"/>
          <w:color w:val="auto"/>
        </w:rPr>
        <w:t>Holders may convert their 2022 Convertible Notes at their option at any time prior to February 1, 2022 only under the following circumstances: (1) during any calendar quarter commencing after the calendar quarter ending on June 30, 2017 (and only during such calendar quarter), if the last reported sale price of the common stock for at least 20 trading days (whether or not consecutive) during a period of 30 consecutive trading days ending on the last trading day of the immediately preceding calendar quarter is greater than or equal to 130% of the conversion price on each applicable trading day; (2) during the five business day period after any five consecutive trading day period (the “measurement period”) in which the trading price (as defined in the indenture governing the 2022 Convertible Notes) per $1,000 principal amount of notes for each trading day of the measurement period was less than 98% of the product of the last reported sale price of the Company’s common stock and the conversion rate on each such trading day; or (3) upon the occurrence of specified corporate events. On or after February 1, 2022 until the close of business on the scheduled trading day immediately preceding the maturity date, holders may convert their notes at any time, regardless of the occurrence or nonoccurrence of any of the foregoing circumstances.</w:t>
      </w:r>
    </w:p>
    <w:p>
      <w:pPr>
        <w:spacing w:after="0" w:line="167" w:lineRule="exact"/>
        <w:rPr>
          <w:sz w:val="20"/>
          <w:szCs w:val="20"/>
          <w:color w:val="auto"/>
        </w:rPr>
      </w:pPr>
    </w:p>
    <w:p>
      <w:pPr>
        <w:ind w:right="60" w:firstLine="259"/>
        <w:spacing w:after="0" w:line="276" w:lineRule="auto"/>
        <w:rPr>
          <w:sz w:val="20"/>
          <w:szCs w:val="20"/>
          <w:color w:val="auto"/>
        </w:rPr>
      </w:pPr>
      <w:r>
        <w:rPr>
          <w:rFonts w:ascii="Arial" w:cs="Arial" w:eastAsia="Arial" w:hAnsi="Arial"/>
          <w:sz w:val="17"/>
          <w:szCs w:val="17"/>
          <w:color w:val="auto"/>
        </w:rPr>
        <w:t>The Convertible Notes are the Company’s unsecured obligations and rank senior in right of payment to the Company’s future indebtedness that is expressly subordinated in right of payment to the Convertible Notes; equal in right of payment to the Company’s existing and future indebtedness that is not so subordinated; effectively junior in right of payment to any of the Company’s secured indebtedness (including unsecured indebtedness that the Company later secures) to the extent of the value of the assets securing such indebtedness; and structurally junior to all existing and future indebtedness (including trade payables) incurred by the Company’s subsidiaries, financing vehicles or similar facilities.</w:t>
      </w:r>
    </w:p>
    <w:p>
      <w:pPr>
        <w:spacing w:after="0" w:line="173" w:lineRule="exact"/>
        <w:rPr>
          <w:sz w:val="20"/>
          <w:szCs w:val="20"/>
          <w:color w:val="auto"/>
        </w:rPr>
      </w:pPr>
    </w:p>
    <w:p>
      <w:pPr>
        <w:ind w:left="260"/>
        <w:spacing w:after="0"/>
        <w:rPr>
          <w:sz w:val="20"/>
          <w:szCs w:val="20"/>
          <w:color w:val="auto"/>
        </w:rPr>
      </w:pPr>
      <w:r>
        <w:rPr>
          <w:rFonts w:ascii="Arial" w:cs="Arial" w:eastAsia="Arial" w:hAnsi="Arial"/>
          <w:sz w:val="17"/>
          <w:szCs w:val="17"/>
          <w:color w:val="auto"/>
        </w:rPr>
        <w:t>For the three months ended March 31, 2019 and 2018, the components of interest expense related to the Convertible Notes were as follows:</w:t>
      </w:r>
    </w:p>
    <w:p>
      <w:pPr>
        <w:spacing w:after="0" w:line="309"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3640" w:type="dxa"/>
            <w:vAlign w:val="bottom"/>
            <w:gridSpan w:val="5"/>
          </w:tcPr>
          <w:p>
            <w:pPr>
              <w:jc w:val="right"/>
              <w:ind w:right="866"/>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4940" w:type="dxa"/>
            <w:vAlign w:val="bottom"/>
            <w:tcBorders>
              <w:bottom w:val="single" w:sz="8" w:color="CFF0FC"/>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March 31, 2019</w:t>
            </w:r>
          </w:p>
        </w:tc>
        <w:tc>
          <w:tcPr>
            <w:tcW w:w="460" w:type="dxa"/>
            <w:vAlign w:val="bottom"/>
            <w:tcBorders>
              <w:bottom w:val="single" w:sz="8" w:color="auto"/>
            </w:tcBorders>
          </w:tcPr>
          <w:p>
            <w:pPr>
              <w:spacing w:after="0"/>
              <w:rPr>
                <w:sz w:val="14"/>
                <w:szCs w:val="14"/>
                <w:color w:val="auto"/>
              </w:rPr>
            </w:pPr>
          </w:p>
        </w:tc>
        <w:tc>
          <w:tcPr>
            <w:tcW w:w="26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March 31, 2018</w:t>
            </w: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1460" w:type="dxa"/>
            <w:vAlign w:val="bottom"/>
            <w:shd w:val="clear" w:color="auto" w:fill="CFF0FC"/>
          </w:tcPr>
          <w:p>
            <w:pPr>
              <w:jc w:val="right"/>
              <w:ind w:right="1307"/>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3,234</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1286"/>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2,588</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Accretion of original issue discount</w:t>
            </w:r>
          </w:p>
        </w:tc>
        <w:tc>
          <w:tcPr>
            <w:tcW w:w="14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222</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176</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deferred financing costs</w:t>
            </w:r>
          </w:p>
        </w:tc>
        <w:tc>
          <w:tcPr>
            <w:tcW w:w="146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425</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361</w:t>
            </w:r>
          </w:p>
        </w:tc>
        <w:tc>
          <w:tcPr>
            <w:tcW w:w="8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940" w:type="dxa"/>
            <w:vAlign w:val="bottom"/>
          </w:tcPr>
          <w:p>
            <w:pPr>
              <w:ind w:left="240"/>
              <w:spacing w:after="0"/>
              <w:rPr>
                <w:sz w:val="20"/>
                <w:szCs w:val="20"/>
                <w:color w:val="auto"/>
              </w:rPr>
            </w:pPr>
            <w:r>
              <w:rPr>
                <w:rFonts w:ascii="Arial" w:cs="Arial" w:eastAsia="Arial" w:hAnsi="Arial"/>
                <w:sz w:val="18"/>
                <w:szCs w:val="18"/>
                <w:b w:val="1"/>
                <w:bCs w:val="1"/>
                <w:color w:val="auto"/>
              </w:rPr>
              <w:t>Total Interest Expense</w:t>
            </w:r>
          </w:p>
        </w:tc>
        <w:tc>
          <w:tcPr>
            <w:tcW w:w="1460" w:type="dxa"/>
            <w:vAlign w:val="bottom"/>
            <w:tcBorders>
              <w:bottom w:val="single" w:sz="8" w:color="auto"/>
            </w:tcBorders>
          </w:tcPr>
          <w:p>
            <w:pPr>
              <w:jc w:val="right"/>
              <w:ind w:right="1307"/>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3,881</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286"/>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3,125</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right="320" w:firstLine="259"/>
        <w:spacing w:after="0" w:line="302" w:lineRule="auto"/>
        <w:rPr>
          <w:sz w:val="20"/>
          <w:szCs w:val="20"/>
          <w:color w:val="auto"/>
        </w:rPr>
      </w:pPr>
      <w:r>
        <w:rPr>
          <w:rFonts w:ascii="Arial" w:cs="Arial" w:eastAsia="Arial" w:hAnsi="Arial"/>
          <w:sz w:val="16"/>
          <w:szCs w:val="16"/>
          <w:color w:val="auto"/>
        </w:rPr>
        <w:t>Total interest expense in the table above does not include the effect of the interest rate swaps related to the Convertible Notes. During the three months ended March 31, 2019 and 2018, the Company received $3.2 million and $2.6 million, respectively, and paid $3.7 million and $2.4 million, respectively, related to the settlements of its interest rate swaps related to the Convertible Notes. These net amounts are reflected in interest expense in the Company’s consolidated statements of operations. Please see Note 5 for further information about the Company’s interest rate swaps.</w:t>
      </w:r>
    </w:p>
    <w:p>
      <w:pPr>
        <w:spacing w:after="0" w:line="154" w:lineRule="exact"/>
        <w:rPr>
          <w:sz w:val="20"/>
          <w:szCs w:val="20"/>
          <w:color w:val="auto"/>
        </w:rPr>
      </w:pPr>
    </w:p>
    <w:p>
      <w:pPr>
        <w:ind w:left="260"/>
        <w:spacing w:after="0"/>
        <w:rPr>
          <w:sz w:val="20"/>
          <w:szCs w:val="20"/>
          <w:color w:val="auto"/>
        </w:rPr>
      </w:pPr>
      <w:r>
        <w:rPr>
          <w:rFonts w:ascii="Arial" w:cs="Arial" w:eastAsia="Arial" w:hAnsi="Arial"/>
          <w:sz w:val="16"/>
          <w:szCs w:val="16"/>
          <w:color w:val="auto"/>
        </w:rPr>
        <w:t>As of March 31, 2019 and December 31, 2018, the components of the carrying value of the Convertible Notes and the stated interest rate were as follows: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4"/>
                <w:szCs w:val="14"/>
                <w:b w:val="1"/>
                <w:bCs w:val="1"/>
                <w:color w:val="auto"/>
              </w:rPr>
              <w:t>March 31, 2019</w:t>
            </w:r>
          </w:p>
        </w:tc>
        <w:tc>
          <w:tcPr>
            <w:tcW w:w="14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116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20" w:type="dxa"/>
            <w:vAlign w:val="bottom"/>
          </w:tcPr>
          <w:p>
            <w:pPr>
              <w:jc w:val="center"/>
              <w:ind w:right="258"/>
              <w:spacing w:after="0" w:line="147" w:lineRule="exact"/>
              <w:rPr>
                <w:sz w:val="20"/>
                <w:szCs w:val="20"/>
                <w:color w:val="auto"/>
              </w:rPr>
            </w:pPr>
            <w:r>
              <w:rPr>
                <w:rFonts w:ascii="Arial" w:cs="Arial" w:eastAsia="Arial" w:hAnsi="Arial"/>
                <w:sz w:val="14"/>
                <w:szCs w:val="14"/>
                <w:b w:val="1"/>
                <w:bCs w:val="1"/>
                <w:color w:val="auto"/>
                <w:w w:val="96"/>
              </w:rPr>
              <w:t>2019</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20" w:type="dxa"/>
            <w:vAlign w:val="bottom"/>
          </w:tcPr>
          <w:p>
            <w:pPr>
              <w:jc w:val="center"/>
              <w:ind w:right="337"/>
              <w:spacing w:after="0" w:line="147" w:lineRule="exact"/>
              <w:rPr>
                <w:sz w:val="20"/>
                <w:szCs w:val="20"/>
                <w:color w:val="auto"/>
              </w:rPr>
            </w:pPr>
            <w:r>
              <w:rPr>
                <w:rFonts w:ascii="Arial" w:cs="Arial" w:eastAsia="Arial" w:hAnsi="Arial"/>
                <w:sz w:val="14"/>
                <w:szCs w:val="14"/>
                <w:b w:val="1"/>
                <w:bCs w:val="1"/>
                <w:color w:val="auto"/>
                <w:w w:val="89"/>
              </w:rPr>
              <w:t>2022</w:t>
            </w: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8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6"/>
              </w:rPr>
              <w:t>Convertible</w:t>
            </w: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3"/>
              </w:rPr>
              <w:t>Convertible</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8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7"/>
              </w:rPr>
              <w:t>Notes</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7"/>
              </w:rPr>
              <w:t>Notes</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Principal amount of debt</w:t>
            </w:r>
          </w:p>
        </w:tc>
        <w:tc>
          <w:tcPr>
            <w:tcW w:w="12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115,000</w:t>
            </w:r>
          </w:p>
        </w:tc>
        <w:tc>
          <w:tcPr>
            <w:tcW w:w="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172,500</w:t>
            </w:r>
          </w:p>
        </w:tc>
        <w:tc>
          <w:tcPr>
            <w:tcW w:w="180" w:type="dxa"/>
            <w:vAlign w:val="bottom"/>
            <w:tcBorders>
              <w:top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Original issue discount, net of accretion</w:t>
            </w: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80" w:type="dxa"/>
            <w:vAlign w:val="bottom"/>
            <w:gridSpan w:val="2"/>
          </w:tcPr>
          <w:p>
            <w:pPr>
              <w:jc w:val="right"/>
              <w:ind w:right="220"/>
              <w:spacing w:after="0"/>
              <w:rPr>
                <w:sz w:val="20"/>
                <w:szCs w:val="20"/>
                <w:color w:val="auto"/>
              </w:rPr>
            </w:pPr>
            <w:r>
              <w:rPr>
                <w:rFonts w:ascii="Arial" w:cs="Arial" w:eastAsia="Arial" w:hAnsi="Arial"/>
                <w:sz w:val="18"/>
                <w:szCs w:val="18"/>
                <w:color w:val="auto"/>
              </w:rPr>
              <w:t>(486)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(780)</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Deferred financing costs</w:t>
            </w:r>
          </w:p>
        </w:tc>
        <w:tc>
          <w:tcPr>
            <w:tcW w:w="1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7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(548)</w:t>
            </w: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(3,181)</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820" w:type="dxa"/>
            <w:vAlign w:val="bottom"/>
            <w:gridSpan w:val="2"/>
          </w:tcPr>
          <w:p>
            <w:pPr>
              <w:ind w:left="1140"/>
              <w:spacing w:after="0"/>
              <w:rPr>
                <w:sz w:val="20"/>
                <w:szCs w:val="20"/>
                <w:color w:val="auto"/>
              </w:rPr>
            </w:pPr>
            <w:r>
              <w:rPr>
                <w:rFonts w:ascii="Arial" w:cs="Arial" w:eastAsia="Arial" w:hAnsi="Arial"/>
                <w:sz w:val="18"/>
                <w:szCs w:val="18"/>
                <w:color w:val="auto"/>
              </w:rPr>
              <w:t>Carrying value of debt</w:t>
            </w:r>
          </w:p>
        </w:tc>
        <w:tc>
          <w:tcPr>
            <w:tcW w:w="126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113,966</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168,539</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66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18"/>
                <w:szCs w:val="18"/>
                <w:color w:val="auto"/>
              </w:rPr>
              <w:t>Stated interest rate</w:t>
            </w:r>
          </w:p>
        </w:tc>
        <w:tc>
          <w:tcPr>
            <w:tcW w:w="12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000000"/>
          </w:tcPr>
          <w:p>
            <w:pPr>
              <w:spacing w:after="0" w:line="20" w:lineRule="exact"/>
              <w:rPr>
                <w:sz w:val="1"/>
                <w:szCs w:val="1"/>
                <w:color w:val="auto"/>
              </w:rPr>
            </w:pPr>
          </w:p>
        </w:tc>
        <w:tc>
          <w:tcPr>
            <w:tcW w:w="1520" w:type="dxa"/>
            <w:vAlign w:val="bottom"/>
            <w:tcBorders>
              <w:top w:val="single" w:sz="8" w:color="CFF0FC"/>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CFF0FC"/>
            </w:tcBorders>
            <w:shd w:val="clear" w:color="auto" w:fill="000000"/>
          </w:tcPr>
          <w:p>
            <w:pPr>
              <w:spacing w:after="0" w:line="20" w:lineRule="exact"/>
              <w:rPr>
                <w:sz w:val="1"/>
                <w:szCs w:val="1"/>
                <w:color w:val="auto"/>
              </w:rPr>
            </w:pPr>
          </w:p>
        </w:tc>
        <w:tc>
          <w:tcPr>
            <w:tcW w:w="1420" w:type="dxa"/>
            <w:vAlign w:val="bottom"/>
            <w:tcBorders>
              <w:top w:val="single" w:sz="8" w:color="CFF0FC"/>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spacing w:after="0"/>
              <w:rPr>
                <w:sz w:val="18"/>
                <w:szCs w:val="18"/>
                <w:color w:val="auto"/>
              </w:rPr>
            </w:pPr>
          </w:p>
        </w:tc>
        <w:tc>
          <w:tcPr>
            <w:tcW w:w="3660" w:type="dxa"/>
            <w:vAlign w:val="bottom"/>
            <w:vMerge w:val="continue"/>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4.50%</w:t>
            </w: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4.50%</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260" w:type="dxa"/>
            <w:vAlign w:val="bottom"/>
          </w:tcPr>
          <w:p>
            <w:pPr>
              <w:jc w:val="right"/>
              <w:ind w:right="190"/>
              <w:spacing w:after="0"/>
              <w:rPr>
                <w:sz w:val="20"/>
                <w:szCs w:val="20"/>
                <w:color w:val="auto"/>
              </w:rPr>
            </w:pPr>
            <w:r>
              <w:rPr>
                <w:rFonts w:ascii="Arial" w:cs="Arial" w:eastAsia="Arial" w:hAnsi="Arial"/>
                <w:sz w:val="18"/>
                <w:szCs w:val="18"/>
                <w:color w:val="auto"/>
              </w:rPr>
              <w:t>36</w:t>
            </w:r>
          </w:p>
        </w:tc>
        <w:tc>
          <w:tcPr>
            <w:tcW w:w="3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366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36" w:name="page37"/>
    <w:bookmarkEnd w:id="36"/>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 2018</w:t>
            </w:r>
          </w:p>
        </w:tc>
        <w:tc>
          <w:tcPr>
            <w:tcW w:w="13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20" w:type="dxa"/>
            <w:vAlign w:val="bottom"/>
          </w:tcPr>
          <w:p>
            <w:pPr>
              <w:jc w:val="center"/>
              <w:ind w:right="258"/>
              <w:spacing w:after="0" w:line="147" w:lineRule="exact"/>
              <w:rPr>
                <w:sz w:val="20"/>
                <w:szCs w:val="20"/>
                <w:color w:val="auto"/>
              </w:rPr>
            </w:pPr>
            <w:r>
              <w:rPr>
                <w:rFonts w:ascii="Arial" w:cs="Arial" w:eastAsia="Arial" w:hAnsi="Arial"/>
                <w:sz w:val="14"/>
                <w:szCs w:val="14"/>
                <w:b w:val="1"/>
                <w:bCs w:val="1"/>
                <w:color w:val="auto"/>
                <w:w w:val="96"/>
              </w:rPr>
              <w:t>2019</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60" w:type="dxa"/>
            <w:vAlign w:val="bottom"/>
          </w:tcPr>
          <w:p>
            <w:pPr>
              <w:jc w:val="center"/>
              <w:ind w:right="397"/>
              <w:spacing w:after="0" w:line="147" w:lineRule="exact"/>
              <w:rPr>
                <w:sz w:val="20"/>
                <w:szCs w:val="20"/>
                <w:color w:val="auto"/>
              </w:rPr>
            </w:pPr>
            <w:r>
              <w:rPr>
                <w:rFonts w:ascii="Arial" w:cs="Arial" w:eastAsia="Arial" w:hAnsi="Arial"/>
                <w:sz w:val="14"/>
                <w:szCs w:val="14"/>
                <w:b w:val="1"/>
                <w:bCs w:val="1"/>
                <w:color w:val="auto"/>
                <w:w w:val="89"/>
              </w:rPr>
              <w:t>2022</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8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6"/>
              </w:rPr>
              <w:t>Convertible</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54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3"/>
              </w:rPr>
              <w:t>Convertible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8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7"/>
              </w:rPr>
              <w:t>Notes</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4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7"/>
              </w:rPr>
              <w:t>Notes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Principal amount of debt</w:t>
            </w:r>
          </w:p>
        </w:tc>
        <w:tc>
          <w:tcPr>
            <w:tcW w:w="10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115,000</w:t>
            </w:r>
          </w:p>
        </w:tc>
        <w:tc>
          <w:tcPr>
            <w:tcW w:w="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172,500</w:t>
            </w: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Original issue discount, net of accretion</w:t>
            </w: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80" w:type="dxa"/>
            <w:vAlign w:val="bottom"/>
            <w:gridSpan w:val="2"/>
          </w:tcPr>
          <w:p>
            <w:pPr>
              <w:jc w:val="right"/>
              <w:ind w:right="220"/>
              <w:spacing w:after="0"/>
              <w:rPr>
                <w:sz w:val="20"/>
                <w:szCs w:val="20"/>
                <w:color w:val="auto"/>
              </w:rPr>
            </w:pPr>
            <w:r>
              <w:rPr>
                <w:rFonts w:ascii="Arial" w:cs="Arial" w:eastAsia="Arial" w:hAnsi="Arial"/>
                <w:sz w:val="18"/>
                <w:szCs w:val="18"/>
                <w:color w:val="auto"/>
              </w:rPr>
              <w:t>(656)</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(833)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Deferred financing costs</w:t>
            </w:r>
          </w:p>
        </w:tc>
        <w:tc>
          <w:tcPr>
            <w:tcW w:w="10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7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(738)</w:t>
            </w: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(3,416)</w:t>
            </w:r>
          </w:p>
        </w:tc>
        <w:tc>
          <w:tcPr>
            <w:tcW w:w="0" w:type="dxa"/>
            <w:vAlign w:val="bottom"/>
          </w:tcPr>
          <w:p>
            <w:pPr>
              <w:spacing w:after="0"/>
              <w:rPr>
                <w:sz w:val="1"/>
                <w:szCs w:val="1"/>
                <w:color w:val="auto"/>
              </w:rPr>
            </w:pPr>
          </w:p>
        </w:tc>
      </w:tr>
      <w:tr>
        <w:trPr>
          <w:trHeight w:val="243"/>
        </w:trPr>
        <w:tc>
          <w:tcPr>
            <w:tcW w:w="3900" w:type="dxa"/>
            <w:vAlign w:val="bottom"/>
            <w:gridSpan w:val="2"/>
          </w:tcPr>
          <w:p>
            <w:pPr>
              <w:spacing w:after="0"/>
              <w:rPr>
                <w:sz w:val="20"/>
                <w:szCs w:val="20"/>
                <w:color w:val="auto"/>
              </w:rPr>
            </w:pPr>
            <w:r>
              <w:rPr>
                <w:rFonts w:ascii="Arial" w:cs="Arial" w:eastAsia="Arial" w:hAnsi="Arial"/>
                <w:sz w:val="18"/>
                <w:szCs w:val="18"/>
                <w:color w:val="auto"/>
              </w:rPr>
              <w:t>Carrying value of debt</w:t>
            </w:r>
          </w:p>
        </w:tc>
        <w:tc>
          <w:tcPr>
            <w:tcW w:w="104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113,606</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168,251</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18"/>
                <w:szCs w:val="18"/>
                <w:color w:val="auto"/>
              </w:rPr>
              <w:t>Stated interest rate</w:t>
            </w:r>
          </w:p>
        </w:tc>
        <w:tc>
          <w:tcPr>
            <w:tcW w:w="10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000000"/>
          </w:tcPr>
          <w:p>
            <w:pPr>
              <w:spacing w:after="0" w:line="20" w:lineRule="exact"/>
              <w:rPr>
                <w:sz w:val="1"/>
                <w:szCs w:val="1"/>
                <w:color w:val="auto"/>
              </w:rPr>
            </w:pPr>
          </w:p>
        </w:tc>
        <w:tc>
          <w:tcPr>
            <w:tcW w:w="1520" w:type="dxa"/>
            <w:vAlign w:val="bottom"/>
            <w:tcBorders>
              <w:top w:val="single" w:sz="8" w:color="CFF0FC"/>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CFF0FC"/>
            </w:tcBorders>
            <w:shd w:val="clear" w:color="auto" w:fill="000000"/>
          </w:tcPr>
          <w:p>
            <w:pPr>
              <w:spacing w:after="0" w:line="20" w:lineRule="exact"/>
              <w:rPr>
                <w:sz w:val="1"/>
                <w:szCs w:val="1"/>
                <w:color w:val="auto"/>
              </w:rPr>
            </w:pPr>
          </w:p>
        </w:tc>
        <w:tc>
          <w:tcPr>
            <w:tcW w:w="1360" w:type="dxa"/>
            <w:vAlign w:val="bottom"/>
            <w:tcBorders>
              <w:top w:val="single" w:sz="8" w:color="CFF0FC"/>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vMerge w:val="continue"/>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4.50%</w:t>
            </w: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140" w:firstLine="259"/>
        <w:spacing w:after="0" w:line="264" w:lineRule="auto"/>
        <w:rPr>
          <w:sz w:val="20"/>
          <w:szCs w:val="20"/>
          <w:color w:val="auto"/>
        </w:rPr>
      </w:pPr>
      <w:r>
        <w:rPr>
          <w:rFonts w:ascii="Arial" w:cs="Arial" w:eastAsia="Arial" w:hAnsi="Arial"/>
          <w:sz w:val="18"/>
          <w:szCs w:val="18"/>
          <w:color w:val="auto"/>
        </w:rPr>
        <w:t>The stated interest rate in the table above does not include the effect of the interest rate swaps. The Company’s swap-adjusted interest rate on the Convertible Notes is three month LIBOR plus 2.86% for the 2019 Convertible Notes, and three month LIBOR plus 2.11% (on a weighted average basis) for the 2022 Convertible Notes. Please see Note 5 for further information about the Company’s interest rate swaps.</w:t>
      </w:r>
    </w:p>
    <w:p>
      <w:pPr>
        <w:spacing w:after="0" w:line="181" w:lineRule="exact"/>
        <w:rPr>
          <w:sz w:val="20"/>
          <w:szCs w:val="20"/>
          <w:color w:val="auto"/>
        </w:rPr>
      </w:pPr>
    </w:p>
    <w:p>
      <w:pPr>
        <w:ind w:right="40" w:firstLine="259"/>
        <w:spacing w:after="0" w:line="302" w:lineRule="auto"/>
        <w:rPr>
          <w:sz w:val="20"/>
          <w:szCs w:val="20"/>
          <w:color w:val="auto"/>
        </w:rPr>
      </w:pPr>
      <w:r>
        <w:rPr>
          <w:rFonts w:ascii="Arial" w:cs="Arial" w:eastAsia="Arial" w:hAnsi="Arial"/>
          <w:sz w:val="16"/>
          <w:szCs w:val="16"/>
          <w:color w:val="auto"/>
        </w:rPr>
        <w:t>The indentures governing the Convertible Notes contain certain covenants, including covenants requiring the Company to comply with the applicable asset coverage ratio requirement under the 1940 Act and to provide financial information to the holders of the Convertible Notes under certain circumstances. These covenants are subject to important limitations and exceptions that are described in the indentures governing the Convertible Notes. As of March 31, 2019 and December 31, 2018, the Company was in compliance with the terms of the indentures governing the Convertible Notes.</w:t>
      </w:r>
    </w:p>
    <w:p>
      <w:pPr>
        <w:spacing w:after="0" w:line="154" w:lineRule="exact"/>
        <w:rPr>
          <w:sz w:val="20"/>
          <w:szCs w:val="20"/>
          <w:color w:val="auto"/>
        </w:rPr>
      </w:pPr>
    </w:p>
    <w:p>
      <w:pPr>
        <w:ind w:right="60" w:firstLine="259"/>
        <w:spacing w:after="0" w:line="289" w:lineRule="auto"/>
        <w:rPr>
          <w:sz w:val="20"/>
          <w:szCs w:val="20"/>
          <w:color w:val="auto"/>
        </w:rPr>
      </w:pPr>
      <w:r>
        <w:rPr>
          <w:rFonts w:ascii="Arial" w:cs="Arial" w:eastAsia="Arial" w:hAnsi="Arial"/>
          <w:sz w:val="16"/>
          <w:szCs w:val="16"/>
          <w:color w:val="auto"/>
        </w:rPr>
        <w:t>The Convertible Notes are accounted for in accordance with Accounting Standards Codification (“ASC”) 470-20. Upon conversion of any of the Convertible Notes, the Company intends to pay the outstanding principal amount in cash and, to the extent that the conversion value exceeds the principal amount, the Company has the option to pay in cash or shares of the Company’s common stock (or a combination of cash and shares) in respect of the excess amount, subject to the requirements of the indentures governing the Convertible Notes. The Company has determined that the embedded conversion options in each series of Convertible Notes are not required to be separately accounted for as a derivative under U.S. GAAP. In accounting for the Convertible Notes, the Company estimated at the time of issuance separate debt and equity components of each series of Convertible Notes. An original issue discount equal to the equity components of each series of Convertible Notes was recorded in “additional paid-in capital” in the accompanying consolidated balance sheet. Additionally, the issuance costs associated with the Convertible Notes were allocated to the debt and equity components in proportion to the allocation of the proceeds and accounted for as deferred financing costs and equity issuance costs, respectively.</w:t>
      </w:r>
    </w:p>
    <w:p>
      <w:pPr>
        <w:spacing w:after="0" w:line="167" w:lineRule="exact"/>
        <w:rPr>
          <w:sz w:val="20"/>
          <w:szCs w:val="20"/>
          <w:color w:val="auto"/>
        </w:rPr>
      </w:pPr>
    </w:p>
    <w:p>
      <w:pPr>
        <w:ind w:right="280" w:firstLine="259"/>
        <w:spacing w:after="0" w:line="277" w:lineRule="auto"/>
        <w:rPr>
          <w:sz w:val="20"/>
          <w:szCs w:val="20"/>
          <w:color w:val="auto"/>
        </w:rPr>
      </w:pPr>
      <w:r>
        <w:rPr>
          <w:rFonts w:ascii="Arial" w:cs="Arial" w:eastAsia="Arial" w:hAnsi="Arial"/>
          <w:sz w:val="18"/>
          <w:szCs w:val="18"/>
          <w:color w:val="auto"/>
        </w:rPr>
        <w:t>As of March 31, 2019 and 2018, the principal amount of the Convertible Notes exceeded the value of the underlying shares multiplied by the per share closing price of the Company’s common stock.</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2023 Notes</w:t>
      </w:r>
    </w:p>
    <w:p>
      <w:pPr>
        <w:spacing w:after="0" w:line="117" w:lineRule="exact"/>
        <w:rPr>
          <w:sz w:val="20"/>
          <w:szCs w:val="20"/>
          <w:color w:val="auto"/>
        </w:rPr>
      </w:pPr>
    </w:p>
    <w:p>
      <w:pPr>
        <w:ind w:firstLine="259"/>
        <w:spacing w:after="0" w:line="257" w:lineRule="auto"/>
        <w:rPr>
          <w:sz w:val="20"/>
          <w:szCs w:val="20"/>
          <w:color w:val="auto"/>
        </w:rPr>
      </w:pPr>
      <w:r>
        <w:rPr>
          <w:rFonts w:ascii="Arial" w:cs="Arial" w:eastAsia="Arial" w:hAnsi="Arial"/>
          <w:sz w:val="18"/>
          <w:szCs w:val="18"/>
          <w:color w:val="auto"/>
        </w:rPr>
        <w:t>In January 2018, the Company issued $150.0 million aggregate principal amount of unsecured notes that mature on January 22, 2023 (the “2023 Notes”). The principal amount of the 2023 Notes is payable at maturity. The 2023 Notes bear interest at a rate of 4.50% per year, payable semi-annually commencing on July 22, 2018, and may be redeemed in whole or in part at the Company’s option at any time at par plus a “make whole” premium. Total proceeds from the issuance of the 2023 Notes, net of underwriting discounts and offering costs, were $146.9 million. The Company used the net proceeds of the 2023 Notes to repay outstanding indebtedness under the Revolving Credit Facility.</w:t>
      </w:r>
    </w:p>
    <w:p>
      <w:pPr>
        <w:spacing w:after="0" w:line="188" w:lineRule="exact"/>
        <w:rPr>
          <w:sz w:val="20"/>
          <w:szCs w:val="20"/>
          <w:color w:val="auto"/>
        </w:rPr>
      </w:pPr>
    </w:p>
    <w:p>
      <w:pPr>
        <w:ind w:right="140" w:firstLine="259"/>
        <w:spacing w:after="0" w:line="286" w:lineRule="auto"/>
        <w:rPr>
          <w:sz w:val="20"/>
          <w:szCs w:val="20"/>
          <w:color w:val="auto"/>
        </w:rPr>
      </w:pPr>
      <w:r>
        <w:rPr>
          <w:rFonts w:ascii="Arial" w:cs="Arial" w:eastAsia="Arial" w:hAnsi="Arial"/>
          <w:sz w:val="17"/>
          <w:szCs w:val="17"/>
          <w:color w:val="auto"/>
        </w:rPr>
        <w:t>In connection with the 2023 Notes offering, the Company entered into an interest rate swap to continue to align the interest rates of its liabilities with the Company’s investment portfolio, which consists of predominately floating rate loans. As a result of the swap, the Company’s effective interest rate on the 2023 Notes is three-month LIBOR plus 1.99%. Please see Note 5 for further information about the Company’s interest rate swaps.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43" w:right="259" w:bottom="1440" w:gutter="0" w:footer="0" w:header="0"/>
        </w:sectPr>
      </w:pPr>
    </w:p>
    <w:bookmarkStart w:id="37" w:name="page38"/>
    <w:bookmarkEnd w:id="37"/>
    <w:p>
      <w:pPr>
        <w:ind w:left="260"/>
        <w:spacing w:after="0"/>
        <w:rPr>
          <w:sz w:val="20"/>
          <w:szCs w:val="20"/>
          <w:color w:val="auto"/>
        </w:rPr>
      </w:pPr>
      <w:r>
        <w:rPr>
          <w:rFonts w:ascii="Arial" w:cs="Arial" w:eastAsia="Arial" w:hAnsi="Arial"/>
          <w:sz w:val="18"/>
          <w:szCs w:val="18"/>
          <w:color w:val="auto"/>
        </w:rPr>
        <w:t>For the three months ended March 31, 2019 and 2018, the components of interest expense related to the 2023 Notes were as follows: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3640" w:type="dxa"/>
            <w:vAlign w:val="bottom"/>
            <w:gridSpan w:val="5"/>
          </w:tcPr>
          <w:p>
            <w:pPr>
              <w:jc w:val="right"/>
              <w:ind w:right="866"/>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4940" w:type="dxa"/>
            <w:vAlign w:val="bottom"/>
            <w:tcBorders>
              <w:bottom w:val="single" w:sz="8" w:color="CFF0FC"/>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March 31, 2019</w:t>
            </w:r>
          </w:p>
        </w:tc>
        <w:tc>
          <w:tcPr>
            <w:tcW w:w="460" w:type="dxa"/>
            <w:vAlign w:val="bottom"/>
            <w:tcBorders>
              <w:bottom w:val="single" w:sz="8" w:color="auto"/>
            </w:tcBorders>
          </w:tcPr>
          <w:p>
            <w:pPr>
              <w:spacing w:after="0"/>
              <w:rPr>
                <w:sz w:val="14"/>
                <w:szCs w:val="14"/>
                <w:color w:val="auto"/>
              </w:rPr>
            </w:pPr>
          </w:p>
        </w:tc>
        <w:tc>
          <w:tcPr>
            <w:tcW w:w="26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March 31, 2018</w:t>
            </w: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1460" w:type="dxa"/>
            <w:vAlign w:val="bottom"/>
            <w:shd w:val="clear" w:color="auto" w:fill="CFF0FC"/>
          </w:tcPr>
          <w:p>
            <w:pPr>
              <w:jc w:val="right"/>
              <w:ind w:right="1307"/>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1,688</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1286"/>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1,294</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Accretion of original issue discount</w:t>
            </w:r>
          </w:p>
        </w:tc>
        <w:tc>
          <w:tcPr>
            <w:tcW w:w="14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deferred financing costs</w:t>
            </w:r>
          </w:p>
        </w:tc>
        <w:tc>
          <w:tcPr>
            <w:tcW w:w="146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w:t>
            </w:r>
          </w:p>
        </w:tc>
        <w:tc>
          <w:tcPr>
            <w:tcW w:w="8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940" w:type="dxa"/>
            <w:vAlign w:val="bottom"/>
          </w:tcPr>
          <w:p>
            <w:pPr>
              <w:ind w:left="240"/>
              <w:spacing w:after="0"/>
              <w:rPr>
                <w:sz w:val="20"/>
                <w:szCs w:val="20"/>
                <w:color w:val="auto"/>
              </w:rPr>
            </w:pPr>
            <w:r>
              <w:rPr>
                <w:rFonts w:ascii="Arial" w:cs="Arial" w:eastAsia="Arial" w:hAnsi="Arial"/>
                <w:sz w:val="18"/>
                <w:szCs w:val="18"/>
                <w:b w:val="1"/>
                <w:bCs w:val="1"/>
                <w:color w:val="auto"/>
              </w:rPr>
              <w:t>Total Interest Expense</w:t>
            </w:r>
          </w:p>
        </w:tc>
        <w:tc>
          <w:tcPr>
            <w:tcW w:w="1460" w:type="dxa"/>
            <w:vAlign w:val="bottom"/>
            <w:tcBorders>
              <w:bottom w:val="single" w:sz="8" w:color="auto"/>
            </w:tcBorders>
          </w:tcPr>
          <w:p>
            <w:pPr>
              <w:jc w:val="right"/>
              <w:ind w:right="1307"/>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1,849</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286"/>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1,411</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20" w:firstLine="259"/>
        <w:spacing w:after="0" w:line="279" w:lineRule="auto"/>
        <w:rPr>
          <w:sz w:val="20"/>
          <w:szCs w:val="20"/>
          <w:color w:val="auto"/>
        </w:rPr>
      </w:pPr>
      <w:r>
        <w:rPr>
          <w:rFonts w:ascii="Arial" w:cs="Arial" w:eastAsia="Arial" w:hAnsi="Arial"/>
          <w:sz w:val="17"/>
          <w:szCs w:val="17"/>
          <w:color w:val="auto"/>
        </w:rPr>
        <w:t>Total interest expense in the table above does not include the effect of the interest rate swap related to the 2023 Notes. During the three months ended March 31, 2019 and 2018, the Company received $1.7 million and $1.3 million, respectively, and paid $1.8 million and $1.0 million, respectively, related to the settlements of its interest rate swap related to the 2023 Notes. These net amounts are reflected in interest expense in the Company’s consolidated statements of operations. Please see Note 5 for further information about the Company’s interest rate swaps.</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7"/>
          <w:szCs w:val="17"/>
          <w:color w:val="auto"/>
        </w:rPr>
        <w:t>As of March 31, 2019 and December 31, 2018, the components of the carrying value of the 2023 Notes and the stated interest rate were as follows:</w:t>
      </w:r>
    </w:p>
    <w:p>
      <w:pPr>
        <w:spacing w:after="0" w:line="309"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March 31, 2019</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Principal amount of debt</w:t>
            </w:r>
          </w:p>
        </w:tc>
        <w:tc>
          <w:tcPr>
            <w:tcW w:w="9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150,000</w:t>
            </w:r>
          </w:p>
        </w:tc>
        <w:tc>
          <w:tcPr>
            <w:tcW w:w="2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150,000</w:t>
            </w: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Original issue discount, net of accretion</w:t>
            </w: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60" w:type="dxa"/>
            <w:vAlign w:val="bottom"/>
            <w:gridSpan w:val="2"/>
          </w:tcPr>
          <w:p>
            <w:pPr>
              <w:jc w:val="right"/>
              <w:ind w:right="200"/>
              <w:spacing w:after="0"/>
              <w:rPr>
                <w:sz w:val="20"/>
                <w:szCs w:val="20"/>
                <w:color w:val="auto"/>
              </w:rPr>
            </w:pPr>
            <w:r>
              <w:rPr>
                <w:rFonts w:ascii="Arial" w:cs="Arial" w:eastAsia="Arial" w:hAnsi="Arial"/>
                <w:sz w:val="18"/>
                <w:szCs w:val="18"/>
                <w:color w:val="auto"/>
              </w:rPr>
              <w:t>(36)</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gridSpan w:val="2"/>
          </w:tcPr>
          <w:p>
            <w:pPr>
              <w:jc w:val="right"/>
              <w:ind w:right="1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Deferred financing costs</w:t>
            </w: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(2,460)</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(2,619)</w:t>
            </w:r>
          </w:p>
        </w:tc>
        <w:tc>
          <w:tcPr>
            <w:tcW w:w="0" w:type="dxa"/>
            <w:vAlign w:val="bottom"/>
          </w:tcPr>
          <w:p>
            <w:pPr>
              <w:spacing w:after="0"/>
              <w:rPr>
                <w:sz w:val="1"/>
                <w:szCs w:val="1"/>
                <w:color w:val="auto"/>
              </w:rPr>
            </w:pPr>
          </w:p>
        </w:tc>
      </w:tr>
      <w:tr>
        <w:trPr>
          <w:trHeight w:val="243"/>
        </w:trPr>
        <w:tc>
          <w:tcPr>
            <w:tcW w:w="3860" w:type="dxa"/>
            <w:vAlign w:val="bottom"/>
            <w:gridSpan w:val="2"/>
          </w:tcPr>
          <w:p>
            <w:pPr>
              <w:spacing w:after="0"/>
              <w:rPr>
                <w:sz w:val="20"/>
                <w:szCs w:val="20"/>
                <w:color w:val="auto"/>
              </w:rPr>
            </w:pPr>
            <w:r>
              <w:rPr>
                <w:rFonts w:ascii="Arial" w:cs="Arial" w:eastAsia="Arial" w:hAnsi="Arial"/>
                <w:sz w:val="18"/>
                <w:szCs w:val="18"/>
                <w:color w:val="auto"/>
              </w:rPr>
              <w:t>Carrying value of debt</w:t>
            </w:r>
          </w:p>
        </w:tc>
        <w:tc>
          <w:tcPr>
            <w:tcW w:w="98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147,504</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147,343</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18"/>
                <w:szCs w:val="18"/>
                <w:color w:val="auto"/>
              </w:rPr>
              <w:t>Stated interest rate</w:t>
            </w:r>
          </w:p>
        </w:tc>
        <w:tc>
          <w:tcPr>
            <w:tcW w:w="9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000000"/>
          </w:tcPr>
          <w:p>
            <w:pPr>
              <w:spacing w:after="0" w:line="20" w:lineRule="exact"/>
              <w:rPr>
                <w:sz w:val="1"/>
                <w:szCs w:val="1"/>
                <w:color w:val="auto"/>
              </w:rPr>
            </w:pPr>
          </w:p>
        </w:tc>
        <w:tc>
          <w:tcPr>
            <w:tcW w:w="1600" w:type="dxa"/>
            <w:vAlign w:val="bottom"/>
            <w:tcBorders>
              <w:top w:val="single" w:sz="8" w:color="CFF0FC"/>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000000"/>
          </w:tcPr>
          <w:p>
            <w:pPr>
              <w:spacing w:after="0" w:line="20" w:lineRule="exact"/>
              <w:rPr>
                <w:sz w:val="1"/>
                <w:szCs w:val="1"/>
                <w:color w:val="auto"/>
              </w:rPr>
            </w:pPr>
          </w:p>
        </w:tc>
        <w:tc>
          <w:tcPr>
            <w:tcW w:w="1660" w:type="dxa"/>
            <w:vAlign w:val="bottom"/>
            <w:tcBorders>
              <w:top w:val="single" w:sz="8" w:color="CFF0FC"/>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vMerge w:val="continue"/>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4.50%</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340" w:firstLine="259"/>
        <w:spacing w:after="0" w:line="308" w:lineRule="auto"/>
        <w:rPr>
          <w:sz w:val="20"/>
          <w:szCs w:val="20"/>
          <w:color w:val="auto"/>
        </w:rPr>
      </w:pPr>
      <w:r>
        <w:rPr>
          <w:rFonts w:ascii="Arial" w:cs="Arial" w:eastAsia="Arial" w:hAnsi="Arial"/>
          <w:sz w:val="17"/>
          <w:szCs w:val="17"/>
          <w:color w:val="auto"/>
        </w:rPr>
        <w:t>The stated interest rate in the table above does not include the effect of the interest rate swap. The Company’s swap-adjusted interest rate on the 2023 Notes is three month LIBOR plus 1.99%. Please see Note 5 for further information about the Company’s interest rate swaps.</w:t>
      </w:r>
    </w:p>
    <w:p>
      <w:pPr>
        <w:spacing w:after="0" w:line="14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March 31, 2019 and December 31, 2018, the Company was in compliance with the terms of the indenture governing the 2023 notes.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Portfolio Company Commitments</w:t>
      </w:r>
    </w:p>
    <w:p>
      <w:pPr>
        <w:spacing w:after="0" w:line="117" w:lineRule="exact"/>
        <w:rPr>
          <w:sz w:val="20"/>
          <w:szCs w:val="20"/>
          <w:color w:val="auto"/>
        </w:rPr>
      </w:pPr>
    </w:p>
    <w:p>
      <w:pPr>
        <w:ind w:firstLine="259"/>
        <w:spacing w:after="0" w:line="257" w:lineRule="auto"/>
        <w:rPr>
          <w:sz w:val="20"/>
          <w:szCs w:val="20"/>
          <w:color w:val="auto"/>
        </w:rPr>
      </w:pPr>
      <w:r>
        <w:rPr>
          <w:rFonts w:ascii="Arial" w:cs="Arial" w:eastAsia="Arial" w:hAnsi="Arial"/>
          <w:sz w:val="18"/>
          <w:szCs w:val="18"/>
          <w:color w:val="auto"/>
        </w:rPr>
        <w:t>From time to time, the Company may enter into commitments to fund investments; such commitments are incorporated into the Company’s assessment of its liquidity position. The Company’s senior secured revolving loan commitments are generally available on a borrower’s demand and may remain outstanding until the maturity date of the applicable loan. The Company’s senior secured term loan commitments are generally available on a borrower’s demand and, once drawn, generally have the same remaining term as the associated loan agreement. Undrawn senior secured term loan commitments generally have a shorter availability period than the term of the associated loan agreement.</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57" w:right="299" w:bottom="1440" w:gutter="0" w:footer="0" w:header="0"/>
        </w:sectPr>
      </w:pPr>
    </w:p>
    <w:bookmarkStart w:id="38" w:name="page39"/>
    <w:bookmarkEnd w:id="38"/>
    <w:p>
      <w:pPr>
        <w:ind w:left="260"/>
        <w:spacing w:after="0"/>
        <w:rPr>
          <w:sz w:val="20"/>
          <w:szCs w:val="20"/>
          <w:color w:val="auto"/>
        </w:rPr>
      </w:pPr>
      <w:r>
        <w:rPr>
          <w:rFonts w:ascii="Arial" w:cs="Arial" w:eastAsia="Arial" w:hAnsi="Arial"/>
          <w:sz w:val="17"/>
          <w:szCs w:val="17"/>
          <w:color w:val="auto"/>
        </w:rPr>
        <w:t>As of March 31, 2019 and December 31, 2018, the Company had the following commitments to fund investments in current portfolio companies:</w:t>
      </w:r>
    </w:p>
    <w:p>
      <w:pPr>
        <w:spacing w:after="0" w:line="309"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7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 2019</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2018</w:t>
            </w:r>
          </w:p>
        </w:tc>
      </w:tr>
      <w:tr>
        <w:trPr>
          <w:trHeight w:val="223"/>
        </w:trPr>
        <w:tc>
          <w:tcPr>
            <w:tcW w:w="7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AppStar Financial, LLC - Revolver</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2,000</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2,000</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7040" w:type="dxa"/>
            <w:vAlign w:val="bottom"/>
          </w:tcPr>
          <w:p>
            <w:pPr>
              <w:spacing w:after="0"/>
              <w:rPr>
                <w:sz w:val="20"/>
                <w:szCs w:val="20"/>
                <w:color w:val="auto"/>
              </w:rPr>
            </w:pPr>
            <w:r>
              <w:rPr>
                <w:rFonts w:ascii="Arial" w:cs="Arial" w:eastAsia="Arial" w:hAnsi="Arial"/>
                <w:sz w:val="18"/>
                <w:szCs w:val="18"/>
                <w:color w:val="auto"/>
              </w:rPr>
              <w:t>Caris Life Sciences, Ltd. - Delayed Draw</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2,500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2,500</w:t>
            </w:r>
          </w:p>
        </w:tc>
        <w:tc>
          <w:tcPr>
            <w:tcW w:w="100" w:type="dxa"/>
            <w:vAlign w:val="bottom"/>
          </w:tcPr>
          <w:p>
            <w:pPr>
              <w:spacing w:after="0"/>
              <w:rPr>
                <w:sz w:val="19"/>
                <w:szCs w:val="19"/>
                <w:color w:val="auto"/>
              </w:rPr>
            </w:pPr>
          </w:p>
        </w:tc>
      </w:tr>
      <w:tr>
        <w:trPr>
          <w:trHeight w:val="230"/>
        </w:trPr>
        <w:tc>
          <w:tcPr>
            <w:tcW w:w="7040" w:type="dxa"/>
            <w:vAlign w:val="bottom"/>
            <w:shd w:val="clear" w:color="auto" w:fill="CFF0FC"/>
          </w:tcPr>
          <w:p>
            <w:pPr>
              <w:spacing w:after="0"/>
              <w:rPr>
                <w:sz w:val="20"/>
                <w:szCs w:val="20"/>
                <w:color w:val="auto"/>
              </w:rPr>
            </w:pPr>
            <w:r>
              <w:rPr>
                <w:rFonts w:ascii="Arial" w:cs="Arial" w:eastAsia="Arial" w:hAnsi="Arial"/>
                <w:sz w:val="18"/>
                <w:szCs w:val="18"/>
                <w:color w:val="auto"/>
              </w:rPr>
              <w:t>ClearCompany, LLC - Delayed Draw</w:t>
            </w:r>
          </w:p>
        </w:tc>
        <w:tc>
          <w:tcPr>
            <w:tcW w:w="1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w:t>
            </w:r>
          </w:p>
        </w:tc>
        <w:tc>
          <w:tcPr>
            <w:tcW w:w="100" w:type="dxa"/>
            <w:vAlign w:val="bottom"/>
            <w:shd w:val="clear" w:color="auto" w:fill="CFF0FC"/>
          </w:tcPr>
          <w:p>
            <w:pPr>
              <w:spacing w:after="0"/>
              <w:rPr>
                <w:sz w:val="19"/>
                <w:szCs w:val="19"/>
                <w:color w:val="auto"/>
              </w:rPr>
            </w:pPr>
          </w:p>
        </w:tc>
      </w:tr>
      <w:tr>
        <w:trPr>
          <w:trHeight w:val="230"/>
        </w:trPr>
        <w:tc>
          <w:tcPr>
            <w:tcW w:w="7040" w:type="dxa"/>
            <w:vAlign w:val="bottom"/>
          </w:tcPr>
          <w:p>
            <w:pPr>
              <w:spacing w:after="0"/>
              <w:rPr>
                <w:sz w:val="20"/>
                <w:szCs w:val="20"/>
                <w:color w:val="auto"/>
              </w:rPr>
            </w:pPr>
            <w:r>
              <w:rPr>
                <w:rFonts w:ascii="Arial" w:cs="Arial" w:eastAsia="Arial" w:hAnsi="Arial"/>
                <w:sz w:val="18"/>
                <w:szCs w:val="18"/>
                <w:color w:val="auto"/>
              </w:rPr>
              <w:t>Ferrellgas, L.P. - Revolver</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30,000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30,000</w:t>
            </w:r>
          </w:p>
        </w:tc>
        <w:tc>
          <w:tcPr>
            <w:tcW w:w="100" w:type="dxa"/>
            <w:vAlign w:val="bottom"/>
          </w:tcPr>
          <w:p>
            <w:pPr>
              <w:spacing w:after="0"/>
              <w:rPr>
                <w:sz w:val="19"/>
                <w:szCs w:val="19"/>
                <w:color w:val="auto"/>
              </w:rPr>
            </w:pPr>
          </w:p>
        </w:tc>
      </w:tr>
      <w:tr>
        <w:trPr>
          <w:trHeight w:val="230"/>
        </w:trPr>
        <w:tc>
          <w:tcPr>
            <w:tcW w:w="7040" w:type="dxa"/>
            <w:vAlign w:val="bottom"/>
            <w:shd w:val="clear" w:color="auto" w:fill="CFF0FC"/>
          </w:tcPr>
          <w:p>
            <w:pPr>
              <w:spacing w:after="0"/>
              <w:rPr>
                <w:sz w:val="20"/>
                <w:szCs w:val="20"/>
                <w:color w:val="auto"/>
              </w:rPr>
            </w:pPr>
            <w:r>
              <w:rPr>
                <w:rFonts w:ascii="Arial" w:cs="Arial" w:eastAsia="Arial" w:hAnsi="Arial"/>
                <w:sz w:val="18"/>
                <w:szCs w:val="18"/>
                <w:color w:val="auto"/>
              </w:rPr>
              <w:t>Frontline Technologies Group, LLC - Delayed Draw</w:t>
            </w:r>
          </w:p>
        </w:tc>
        <w:tc>
          <w:tcPr>
            <w:tcW w:w="1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7,291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9,377</w:t>
            </w:r>
          </w:p>
        </w:tc>
        <w:tc>
          <w:tcPr>
            <w:tcW w:w="100" w:type="dxa"/>
            <w:vAlign w:val="bottom"/>
            <w:shd w:val="clear" w:color="auto" w:fill="CFF0FC"/>
          </w:tcPr>
          <w:p>
            <w:pPr>
              <w:spacing w:after="0"/>
              <w:rPr>
                <w:sz w:val="19"/>
                <w:szCs w:val="19"/>
                <w:color w:val="auto"/>
              </w:rPr>
            </w:pPr>
          </w:p>
        </w:tc>
      </w:tr>
      <w:tr>
        <w:trPr>
          <w:trHeight w:val="230"/>
        </w:trPr>
        <w:tc>
          <w:tcPr>
            <w:tcW w:w="7040" w:type="dxa"/>
            <w:vAlign w:val="bottom"/>
          </w:tcPr>
          <w:p>
            <w:pPr>
              <w:spacing w:after="0"/>
              <w:rPr>
                <w:sz w:val="20"/>
                <w:szCs w:val="20"/>
                <w:color w:val="auto"/>
              </w:rPr>
            </w:pPr>
            <w:r>
              <w:rPr>
                <w:rFonts w:ascii="Arial" w:cs="Arial" w:eastAsia="Arial" w:hAnsi="Arial"/>
                <w:sz w:val="18"/>
                <w:szCs w:val="18"/>
                <w:color w:val="auto"/>
              </w:rPr>
              <w:t>GC Agile Holdings Limited - Delayed Draw</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7,073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7040" w:type="dxa"/>
            <w:vAlign w:val="bottom"/>
            <w:shd w:val="clear" w:color="auto" w:fill="CFF0FC"/>
          </w:tcPr>
          <w:p>
            <w:pPr>
              <w:spacing w:after="0"/>
              <w:rPr>
                <w:sz w:val="20"/>
                <w:szCs w:val="20"/>
                <w:color w:val="auto"/>
              </w:rPr>
            </w:pPr>
            <w:r>
              <w:rPr>
                <w:rFonts w:ascii="Arial" w:cs="Arial" w:eastAsia="Arial" w:hAnsi="Arial"/>
                <w:sz w:val="18"/>
                <w:szCs w:val="18"/>
                <w:color w:val="auto"/>
              </w:rPr>
              <w:t>G Treasury SS, LLC - Delayed Draw</w:t>
            </w:r>
          </w:p>
        </w:tc>
        <w:tc>
          <w:tcPr>
            <w:tcW w:w="1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FF0FC"/>
          </w:tcPr>
          <w:p>
            <w:pPr>
              <w:spacing w:after="0"/>
              <w:rPr>
                <w:sz w:val="19"/>
                <w:szCs w:val="19"/>
                <w:color w:val="auto"/>
              </w:rPr>
            </w:pPr>
          </w:p>
        </w:tc>
      </w:tr>
      <w:tr>
        <w:trPr>
          <w:trHeight w:val="230"/>
        </w:trPr>
        <w:tc>
          <w:tcPr>
            <w:tcW w:w="7040" w:type="dxa"/>
            <w:vAlign w:val="bottom"/>
          </w:tcPr>
          <w:p>
            <w:pPr>
              <w:spacing w:after="0"/>
              <w:rPr>
                <w:sz w:val="20"/>
                <w:szCs w:val="20"/>
                <w:color w:val="auto"/>
              </w:rPr>
            </w:pPr>
            <w:r>
              <w:rPr>
                <w:rFonts w:ascii="Arial" w:cs="Arial" w:eastAsia="Arial" w:hAnsi="Arial"/>
                <w:sz w:val="18"/>
                <w:szCs w:val="18"/>
                <w:color w:val="auto"/>
              </w:rPr>
              <w:t>G Treasury SS, LLC - Revolver</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2,000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19"/>
                <w:szCs w:val="19"/>
                <w:color w:val="auto"/>
              </w:rPr>
            </w:pPr>
          </w:p>
        </w:tc>
      </w:tr>
      <w:tr>
        <w:trPr>
          <w:trHeight w:val="230"/>
        </w:trPr>
        <w:tc>
          <w:tcPr>
            <w:tcW w:w="7040" w:type="dxa"/>
            <w:vAlign w:val="bottom"/>
            <w:shd w:val="clear" w:color="auto" w:fill="CFF0FC"/>
          </w:tcPr>
          <w:p>
            <w:pPr>
              <w:spacing w:after="0"/>
              <w:rPr>
                <w:sz w:val="20"/>
                <w:szCs w:val="20"/>
                <w:color w:val="auto"/>
              </w:rPr>
            </w:pPr>
            <w:r>
              <w:rPr>
                <w:rFonts w:ascii="Arial" w:cs="Arial" w:eastAsia="Arial" w:hAnsi="Arial"/>
                <w:sz w:val="18"/>
                <w:szCs w:val="18"/>
                <w:color w:val="auto"/>
              </w:rPr>
              <w:t>Government Brands, LLC - Revolver</w:t>
            </w:r>
          </w:p>
        </w:tc>
        <w:tc>
          <w:tcPr>
            <w:tcW w:w="1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FF0FC"/>
          </w:tcPr>
          <w:p>
            <w:pPr>
              <w:spacing w:after="0"/>
              <w:rPr>
                <w:sz w:val="19"/>
                <w:szCs w:val="19"/>
                <w:color w:val="auto"/>
              </w:rPr>
            </w:pPr>
          </w:p>
        </w:tc>
      </w:tr>
      <w:tr>
        <w:trPr>
          <w:trHeight w:val="230"/>
        </w:trPr>
        <w:tc>
          <w:tcPr>
            <w:tcW w:w="7040" w:type="dxa"/>
            <w:vAlign w:val="bottom"/>
          </w:tcPr>
          <w:p>
            <w:pPr>
              <w:spacing w:after="0"/>
              <w:rPr>
                <w:sz w:val="20"/>
                <w:szCs w:val="20"/>
                <w:color w:val="auto"/>
              </w:rPr>
            </w:pPr>
            <w:r>
              <w:rPr>
                <w:rFonts w:ascii="Arial" w:cs="Arial" w:eastAsia="Arial" w:hAnsi="Arial"/>
                <w:sz w:val="18"/>
                <w:szCs w:val="18"/>
                <w:color w:val="auto"/>
              </w:rPr>
              <w:t>Integration Appliance, Inc. - Revolver</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524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2,619</w:t>
            </w:r>
          </w:p>
        </w:tc>
        <w:tc>
          <w:tcPr>
            <w:tcW w:w="100" w:type="dxa"/>
            <w:vAlign w:val="bottom"/>
          </w:tcPr>
          <w:p>
            <w:pPr>
              <w:spacing w:after="0"/>
              <w:rPr>
                <w:sz w:val="19"/>
                <w:szCs w:val="19"/>
                <w:color w:val="auto"/>
              </w:rPr>
            </w:pPr>
          </w:p>
        </w:tc>
      </w:tr>
      <w:tr>
        <w:trPr>
          <w:trHeight w:val="230"/>
        </w:trPr>
        <w:tc>
          <w:tcPr>
            <w:tcW w:w="7040" w:type="dxa"/>
            <w:vAlign w:val="bottom"/>
            <w:shd w:val="clear" w:color="auto" w:fill="CFF0FC"/>
          </w:tcPr>
          <w:p>
            <w:pPr>
              <w:spacing w:after="0"/>
              <w:rPr>
                <w:sz w:val="20"/>
                <w:szCs w:val="20"/>
                <w:color w:val="auto"/>
              </w:rPr>
            </w:pPr>
            <w:r>
              <w:rPr>
                <w:rFonts w:ascii="Arial" w:cs="Arial" w:eastAsia="Arial" w:hAnsi="Arial"/>
                <w:sz w:val="18"/>
                <w:szCs w:val="18"/>
                <w:color w:val="auto"/>
              </w:rPr>
              <w:t>IRGSE Holding Corp. - Revolver</w:t>
            </w:r>
          </w:p>
        </w:tc>
        <w:tc>
          <w:tcPr>
            <w:tcW w:w="1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w:t>
            </w:r>
          </w:p>
        </w:tc>
        <w:tc>
          <w:tcPr>
            <w:tcW w:w="100" w:type="dxa"/>
            <w:vAlign w:val="bottom"/>
            <w:shd w:val="clear" w:color="auto" w:fill="CFF0FC"/>
          </w:tcPr>
          <w:p>
            <w:pPr>
              <w:spacing w:after="0"/>
              <w:rPr>
                <w:sz w:val="19"/>
                <w:szCs w:val="19"/>
                <w:color w:val="auto"/>
              </w:rPr>
            </w:pPr>
          </w:p>
        </w:tc>
      </w:tr>
      <w:tr>
        <w:trPr>
          <w:trHeight w:val="230"/>
        </w:trPr>
        <w:tc>
          <w:tcPr>
            <w:tcW w:w="7040" w:type="dxa"/>
            <w:vAlign w:val="bottom"/>
          </w:tcPr>
          <w:p>
            <w:pPr>
              <w:spacing w:after="0"/>
              <w:rPr>
                <w:sz w:val="20"/>
                <w:szCs w:val="20"/>
                <w:color w:val="auto"/>
              </w:rPr>
            </w:pPr>
            <w:r>
              <w:rPr>
                <w:rFonts w:ascii="Arial" w:cs="Arial" w:eastAsia="Arial" w:hAnsi="Arial"/>
                <w:sz w:val="18"/>
                <w:szCs w:val="18"/>
                <w:color w:val="auto"/>
              </w:rPr>
              <w:t>Lithium Technologies, LLC - Revolver</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3,959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3,959</w:t>
            </w:r>
          </w:p>
        </w:tc>
        <w:tc>
          <w:tcPr>
            <w:tcW w:w="100" w:type="dxa"/>
            <w:vAlign w:val="bottom"/>
          </w:tcPr>
          <w:p>
            <w:pPr>
              <w:spacing w:after="0"/>
              <w:rPr>
                <w:sz w:val="19"/>
                <w:szCs w:val="19"/>
                <w:color w:val="auto"/>
              </w:rPr>
            </w:pPr>
          </w:p>
        </w:tc>
      </w:tr>
      <w:tr>
        <w:trPr>
          <w:trHeight w:val="230"/>
        </w:trPr>
        <w:tc>
          <w:tcPr>
            <w:tcW w:w="7040" w:type="dxa"/>
            <w:vAlign w:val="bottom"/>
            <w:shd w:val="clear" w:color="auto" w:fill="CFF0FC"/>
          </w:tcPr>
          <w:p>
            <w:pPr>
              <w:spacing w:after="0"/>
              <w:rPr>
                <w:sz w:val="20"/>
                <w:szCs w:val="20"/>
                <w:color w:val="auto"/>
              </w:rPr>
            </w:pPr>
            <w:r>
              <w:rPr>
                <w:rFonts w:ascii="Arial" w:cs="Arial" w:eastAsia="Arial" w:hAnsi="Arial"/>
                <w:sz w:val="18"/>
                <w:szCs w:val="18"/>
                <w:color w:val="auto"/>
              </w:rPr>
              <w:t>MD America Energy, LLC - Delayed Draw</w:t>
            </w:r>
          </w:p>
        </w:tc>
        <w:tc>
          <w:tcPr>
            <w:tcW w:w="1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15,000</w:t>
            </w:r>
          </w:p>
        </w:tc>
        <w:tc>
          <w:tcPr>
            <w:tcW w:w="100" w:type="dxa"/>
            <w:vAlign w:val="bottom"/>
            <w:shd w:val="clear" w:color="auto" w:fill="CFF0FC"/>
          </w:tcPr>
          <w:p>
            <w:pPr>
              <w:spacing w:after="0"/>
              <w:rPr>
                <w:sz w:val="19"/>
                <w:szCs w:val="19"/>
                <w:color w:val="auto"/>
              </w:rPr>
            </w:pPr>
          </w:p>
        </w:tc>
      </w:tr>
      <w:tr>
        <w:trPr>
          <w:trHeight w:val="230"/>
        </w:trPr>
        <w:tc>
          <w:tcPr>
            <w:tcW w:w="7040" w:type="dxa"/>
            <w:vAlign w:val="bottom"/>
          </w:tcPr>
          <w:p>
            <w:pPr>
              <w:spacing w:after="0"/>
              <w:rPr>
                <w:sz w:val="20"/>
                <w:szCs w:val="20"/>
                <w:color w:val="auto"/>
              </w:rPr>
            </w:pPr>
            <w:r>
              <w:rPr>
                <w:rFonts w:ascii="Arial" w:cs="Arial" w:eastAsia="Arial" w:hAnsi="Arial"/>
                <w:sz w:val="18"/>
                <w:szCs w:val="18"/>
                <w:color w:val="auto"/>
              </w:rPr>
              <w:t>Motus, LLC - Revolver</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5,619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5,619</w:t>
            </w:r>
          </w:p>
        </w:tc>
        <w:tc>
          <w:tcPr>
            <w:tcW w:w="100" w:type="dxa"/>
            <w:vAlign w:val="bottom"/>
          </w:tcPr>
          <w:p>
            <w:pPr>
              <w:spacing w:after="0"/>
              <w:rPr>
                <w:sz w:val="19"/>
                <w:szCs w:val="19"/>
                <w:color w:val="auto"/>
              </w:rPr>
            </w:pPr>
          </w:p>
        </w:tc>
      </w:tr>
      <w:tr>
        <w:trPr>
          <w:trHeight w:val="230"/>
        </w:trPr>
        <w:tc>
          <w:tcPr>
            <w:tcW w:w="7040" w:type="dxa"/>
            <w:vAlign w:val="bottom"/>
            <w:shd w:val="clear" w:color="auto" w:fill="CFF0FC"/>
          </w:tcPr>
          <w:p>
            <w:pPr>
              <w:spacing w:after="0"/>
              <w:rPr>
                <w:sz w:val="20"/>
                <w:szCs w:val="20"/>
                <w:color w:val="auto"/>
              </w:rPr>
            </w:pPr>
            <w:r>
              <w:rPr>
                <w:rFonts w:ascii="Arial" w:cs="Arial" w:eastAsia="Arial" w:hAnsi="Arial"/>
                <w:sz w:val="18"/>
                <w:szCs w:val="18"/>
                <w:color w:val="auto"/>
              </w:rPr>
              <w:t>PageUp People Limited - Revolver</w:t>
            </w:r>
          </w:p>
        </w:tc>
        <w:tc>
          <w:tcPr>
            <w:tcW w:w="1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2,112</w:t>
            </w:r>
          </w:p>
        </w:tc>
        <w:tc>
          <w:tcPr>
            <w:tcW w:w="100" w:type="dxa"/>
            <w:vAlign w:val="bottom"/>
            <w:shd w:val="clear" w:color="auto" w:fill="CFF0FC"/>
          </w:tcPr>
          <w:p>
            <w:pPr>
              <w:spacing w:after="0"/>
              <w:rPr>
                <w:sz w:val="19"/>
                <w:szCs w:val="19"/>
                <w:color w:val="auto"/>
              </w:rPr>
            </w:pPr>
          </w:p>
        </w:tc>
      </w:tr>
      <w:tr>
        <w:trPr>
          <w:trHeight w:val="230"/>
        </w:trPr>
        <w:tc>
          <w:tcPr>
            <w:tcW w:w="7040" w:type="dxa"/>
            <w:vAlign w:val="bottom"/>
          </w:tcPr>
          <w:p>
            <w:pPr>
              <w:spacing w:after="0"/>
              <w:rPr>
                <w:sz w:val="20"/>
                <w:szCs w:val="20"/>
                <w:color w:val="auto"/>
              </w:rPr>
            </w:pPr>
            <w:r>
              <w:rPr>
                <w:rFonts w:ascii="Arial" w:cs="Arial" w:eastAsia="Arial" w:hAnsi="Arial"/>
                <w:sz w:val="18"/>
                <w:szCs w:val="18"/>
                <w:color w:val="auto"/>
              </w:rPr>
              <w:t>PayLease, LLC - Revolver</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3,333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3,333</w:t>
            </w:r>
          </w:p>
        </w:tc>
        <w:tc>
          <w:tcPr>
            <w:tcW w:w="100" w:type="dxa"/>
            <w:vAlign w:val="bottom"/>
          </w:tcPr>
          <w:p>
            <w:pPr>
              <w:spacing w:after="0"/>
              <w:rPr>
                <w:sz w:val="19"/>
                <w:szCs w:val="19"/>
                <w:color w:val="auto"/>
              </w:rPr>
            </w:pPr>
          </w:p>
        </w:tc>
      </w:tr>
      <w:tr>
        <w:trPr>
          <w:trHeight w:val="230"/>
        </w:trPr>
        <w:tc>
          <w:tcPr>
            <w:tcW w:w="7040" w:type="dxa"/>
            <w:vAlign w:val="bottom"/>
            <w:shd w:val="clear" w:color="auto" w:fill="CFF0FC"/>
          </w:tcPr>
          <w:p>
            <w:pPr>
              <w:spacing w:after="0"/>
              <w:rPr>
                <w:sz w:val="20"/>
                <w:szCs w:val="20"/>
                <w:color w:val="auto"/>
              </w:rPr>
            </w:pPr>
            <w:r>
              <w:rPr>
                <w:rFonts w:ascii="Arial" w:cs="Arial" w:eastAsia="Arial" w:hAnsi="Arial"/>
                <w:sz w:val="18"/>
                <w:szCs w:val="18"/>
                <w:color w:val="auto"/>
              </w:rPr>
              <w:t>PrimeRevenue, Inc. - Revolver</w:t>
            </w:r>
          </w:p>
        </w:tc>
        <w:tc>
          <w:tcPr>
            <w:tcW w:w="1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6,250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6,250</w:t>
            </w:r>
          </w:p>
        </w:tc>
        <w:tc>
          <w:tcPr>
            <w:tcW w:w="100" w:type="dxa"/>
            <w:vAlign w:val="bottom"/>
            <w:shd w:val="clear" w:color="auto" w:fill="CFF0FC"/>
          </w:tcPr>
          <w:p>
            <w:pPr>
              <w:spacing w:after="0"/>
              <w:rPr>
                <w:sz w:val="19"/>
                <w:szCs w:val="19"/>
                <w:color w:val="auto"/>
              </w:rPr>
            </w:pPr>
          </w:p>
        </w:tc>
      </w:tr>
      <w:tr>
        <w:trPr>
          <w:trHeight w:val="230"/>
        </w:trPr>
        <w:tc>
          <w:tcPr>
            <w:tcW w:w="7040" w:type="dxa"/>
            <w:vAlign w:val="bottom"/>
          </w:tcPr>
          <w:p>
            <w:pPr>
              <w:spacing w:after="0"/>
              <w:rPr>
                <w:sz w:val="20"/>
                <w:szCs w:val="20"/>
                <w:color w:val="auto"/>
              </w:rPr>
            </w:pPr>
            <w:r>
              <w:rPr>
                <w:rFonts w:ascii="Arial" w:cs="Arial" w:eastAsia="Arial" w:hAnsi="Arial"/>
                <w:sz w:val="18"/>
                <w:szCs w:val="18"/>
                <w:color w:val="auto"/>
              </w:rPr>
              <w:t>ScentAir Technologies, Inc. - Revolver</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750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19"/>
                <w:szCs w:val="19"/>
                <w:color w:val="auto"/>
              </w:rPr>
            </w:pPr>
          </w:p>
        </w:tc>
      </w:tr>
      <w:tr>
        <w:trPr>
          <w:trHeight w:val="230"/>
        </w:trPr>
        <w:tc>
          <w:tcPr>
            <w:tcW w:w="7040" w:type="dxa"/>
            <w:vAlign w:val="bottom"/>
            <w:shd w:val="clear" w:color="auto" w:fill="CFF0FC"/>
          </w:tcPr>
          <w:p>
            <w:pPr>
              <w:spacing w:after="0"/>
              <w:rPr>
                <w:sz w:val="20"/>
                <w:szCs w:val="20"/>
                <w:color w:val="auto"/>
              </w:rPr>
            </w:pPr>
            <w:r>
              <w:rPr>
                <w:rFonts w:ascii="Arial" w:cs="Arial" w:eastAsia="Arial" w:hAnsi="Arial"/>
                <w:sz w:val="18"/>
                <w:szCs w:val="18"/>
                <w:color w:val="auto"/>
              </w:rPr>
              <w:t>Sovos Compliance, LLC - Delayed Draw</w:t>
            </w:r>
          </w:p>
        </w:tc>
        <w:tc>
          <w:tcPr>
            <w:tcW w:w="1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545</w:t>
            </w:r>
          </w:p>
        </w:tc>
        <w:tc>
          <w:tcPr>
            <w:tcW w:w="100" w:type="dxa"/>
            <w:vAlign w:val="bottom"/>
            <w:shd w:val="clear" w:color="auto" w:fill="CFF0FC"/>
          </w:tcPr>
          <w:p>
            <w:pPr>
              <w:spacing w:after="0"/>
              <w:rPr>
                <w:sz w:val="19"/>
                <w:szCs w:val="19"/>
                <w:color w:val="auto"/>
              </w:rPr>
            </w:pPr>
          </w:p>
        </w:tc>
      </w:tr>
      <w:tr>
        <w:trPr>
          <w:trHeight w:val="230"/>
        </w:trPr>
        <w:tc>
          <w:tcPr>
            <w:tcW w:w="7040" w:type="dxa"/>
            <w:vAlign w:val="bottom"/>
          </w:tcPr>
          <w:p>
            <w:pPr>
              <w:spacing w:after="0"/>
              <w:rPr>
                <w:sz w:val="20"/>
                <w:szCs w:val="20"/>
                <w:color w:val="auto"/>
              </w:rPr>
            </w:pPr>
            <w:r>
              <w:rPr>
                <w:rFonts w:ascii="Arial" w:cs="Arial" w:eastAsia="Arial" w:hAnsi="Arial"/>
                <w:sz w:val="18"/>
                <w:szCs w:val="18"/>
                <w:color w:val="auto"/>
              </w:rPr>
              <w:t>Sovos Compliance, LLC - Revolver</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1,657</w:t>
            </w:r>
          </w:p>
        </w:tc>
        <w:tc>
          <w:tcPr>
            <w:tcW w:w="100" w:type="dxa"/>
            <w:vAlign w:val="bottom"/>
          </w:tcPr>
          <w:p>
            <w:pPr>
              <w:spacing w:after="0"/>
              <w:rPr>
                <w:sz w:val="19"/>
                <w:szCs w:val="19"/>
                <w:color w:val="auto"/>
              </w:rPr>
            </w:pPr>
          </w:p>
        </w:tc>
      </w:tr>
      <w:tr>
        <w:trPr>
          <w:trHeight w:val="223"/>
        </w:trPr>
        <w:tc>
          <w:tcPr>
            <w:tcW w:w="7040" w:type="dxa"/>
            <w:vAlign w:val="bottom"/>
          </w:tcPr>
          <w:p>
            <w:pPr>
              <w:ind w:left="240"/>
              <w:spacing w:after="0"/>
              <w:rPr>
                <w:sz w:val="20"/>
                <w:szCs w:val="20"/>
                <w:color w:val="auto"/>
              </w:rPr>
            </w:pPr>
            <w:r>
              <w:rPr>
                <w:rFonts w:ascii="Arial" w:cs="Arial" w:eastAsia="Arial" w:hAnsi="Arial"/>
                <w:sz w:val="18"/>
                <w:szCs w:val="18"/>
                <w:b w:val="1"/>
                <w:bCs w:val="1"/>
                <w:color w:val="auto"/>
              </w:rPr>
              <w:t>Total Portfolio Company Commitments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107,159</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103,721</w:t>
            </w:r>
          </w:p>
        </w:tc>
        <w:tc>
          <w:tcPr>
            <w:tcW w:w="100" w:type="dxa"/>
            <w:vAlign w:val="bottom"/>
          </w:tcPr>
          <w:p>
            <w:pPr>
              <w:spacing w:after="0"/>
              <w:rPr>
                <w:sz w:val="19"/>
                <w:szCs w:val="19"/>
                <w:color w:val="auto"/>
              </w:rPr>
            </w:pPr>
          </w:p>
        </w:tc>
      </w:tr>
      <w:tr>
        <w:trPr>
          <w:trHeight w:val="20"/>
        </w:trPr>
        <w:tc>
          <w:tcPr>
            <w:tcW w:w="7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Commitments and Contingencies</w:t>
      </w:r>
    </w:p>
    <w:p>
      <w:pPr>
        <w:spacing w:after="0" w:line="117" w:lineRule="exact"/>
        <w:rPr>
          <w:sz w:val="20"/>
          <w:szCs w:val="20"/>
          <w:color w:val="auto"/>
        </w:rPr>
      </w:pPr>
    </w:p>
    <w:p>
      <w:pPr>
        <w:ind w:firstLine="259"/>
        <w:spacing w:after="0" w:line="277" w:lineRule="auto"/>
        <w:rPr>
          <w:sz w:val="20"/>
          <w:szCs w:val="20"/>
          <w:color w:val="auto"/>
        </w:rPr>
      </w:pPr>
      <w:r>
        <w:rPr>
          <w:rFonts w:ascii="Arial" w:cs="Arial" w:eastAsia="Arial" w:hAnsi="Arial"/>
          <w:sz w:val="18"/>
          <w:szCs w:val="18"/>
          <w:color w:val="auto"/>
        </w:rPr>
        <w:t>As of March 31, 2019 and December 31, 2018, the Company did not have any unfunded commitments to fund investments to new borrowers that were not current portfolio companies as of March 31, 2019 or December 31, 2018, respectively.</w:t>
      </w:r>
    </w:p>
    <w:p>
      <w:pPr>
        <w:spacing w:after="0" w:line="170" w:lineRule="exact"/>
        <w:rPr>
          <w:sz w:val="20"/>
          <w:szCs w:val="20"/>
          <w:color w:val="auto"/>
        </w:rPr>
      </w:pPr>
    </w:p>
    <w:p>
      <w:pPr>
        <w:ind w:right="260" w:firstLine="259"/>
        <w:spacing w:after="0" w:line="277" w:lineRule="auto"/>
        <w:rPr>
          <w:sz w:val="20"/>
          <w:szCs w:val="20"/>
          <w:color w:val="auto"/>
        </w:rPr>
      </w:pPr>
      <w:r>
        <w:rPr>
          <w:rFonts w:ascii="Arial" w:cs="Arial" w:eastAsia="Arial" w:hAnsi="Arial"/>
          <w:sz w:val="18"/>
          <w:szCs w:val="18"/>
          <w:color w:val="auto"/>
        </w:rPr>
        <w:t>From time to time, the Company may become a party to certain legal proceedings incidental to the normal course of its business. As of March 31, 2019 and December 31, 2018, management is not aware of any pending or threatened litigation.</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Net Assets</w:t>
      </w:r>
    </w:p>
    <w:p>
      <w:pPr>
        <w:spacing w:after="0" w:line="121" w:lineRule="exact"/>
        <w:rPr>
          <w:sz w:val="20"/>
          <w:szCs w:val="20"/>
          <w:color w:val="auto"/>
        </w:rPr>
      </w:pPr>
    </w:p>
    <w:p>
      <w:pPr>
        <w:ind w:right="160" w:firstLine="259"/>
        <w:spacing w:after="0" w:line="286" w:lineRule="auto"/>
        <w:rPr>
          <w:sz w:val="20"/>
          <w:szCs w:val="20"/>
          <w:color w:val="auto"/>
        </w:rPr>
      </w:pPr>
      <w:r>
        <w:rPr>
          <w:rFonts w:ascii="Arial" w:cs="Arial" w:eastAsia="Arial" w:hAnsi="Arial"/>
          <w:sz w:val="17"/>
          <w:szCs w:val="17"/>
          <w:color w:val="auto"/>
        </w:rPr>
        <w:t>In March 2018, the Company issued a total of 3,750,000 shares of common stock at $17.45 per share. Net of underwriting fees and offering costs, the Company received total cash proceeds of $63.0 million. Subsequent to the offering the Company issued an additional 522,224 shares in April 2018 pursuant to the overallotment option granted to underwriters and received, net of underwriting fees, total cash proceeds of $8.8 million.</w:t>
      </w:r>
    </w:p>
    <w:p>
      <w:pPr>
        <w:spacing w:after="0" w:line="166" w:lineRule="exact"/>
        <w:rPr>
          <w:sz w:val="20"/>
          <w:szCs w:val="20"/>
          <w:color w:val="auto"/>
        </w:rPr>
      </w:pPr>
    </w:p>
    <w:p>
      <w:pPr>
        <w:ind w:right="60" w:firstLine="259"/>
        <w:spacing w:after="0" w:line="270" w:lineRule="auto"/>
        <w:rPr>
          <w:sz w:val="20"/>
          <w:szCs w:val="20"/>
          <w:color w:val="auto"/>
        </w:rPr>
      </w:pPr>
      <w:r>
        <w:rPr>
          <w:rFonts w:ascii="Arial" w:cs="Arial" w:eastAsia="Arial" w:hAnsi="Arial"/>
          <w:sz w:val="17"/>
          <w:szCs w:val="17"/>
          <w:color w:val="auto"/>
        </w:rPr>
        <w:t>The Company has a dividend reinvestment plan, whereby the Company may buy shares of its common stock in the open market or issue new shares in order to satisfy dividend reinvestment requests. The number of shares to be issued to a stockholder is determined by dividing the total dollar amount of the cash dividend or distribution payable to a stockholder by the market price per share of the Company’s common stock at the close of regular trading on the NYSE on the payment date of a distribution, or if no sale is reported for such day, the average of the reported bid and ask prices. However, if the market price per share on the payment date of a cash dividend or distribution exceeds the most recently computed net asset value per share, the Company will issue shares at the greater of (i) the most recently computed net asset value per share or (ii) 95% of the current market price per share (or such lesser discount to the current market price per share that still exceeded the most recently computed net asset value per share). Shares purchased in open market transactions by the plan administrator will be allocated to a stockholder based on the average purchase price, excluding any brokerage charges or other charges, of all shares of common stock purchased in the open market.</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9" w:name="page40"/>
    <w:bookmarkEnd w:id="39"/>
    <w:p>
      <w:pPr>
        <w:jc w:val="both"/>
        <w:ind w:right="200" w:firstLine="259"/>
        <w:spacing w:after="0" w:line="264" w:lineRule="auto"/>
        <w:rPr>
          <w:sz w:val="20"/>
          <w:szCs w:val="20"/>
          <w:color w:val="auto"/>
        </w:rPr>
      </w:pPr>
      <w:r>
        <w:rPr>
          <w:rFonts w:ascii="Arial" w:cs="Arial" w:eastAsia="Arial" w:hAnsi="Arial"/>
          <w:sz w:val="18"/>
          <w:szCs w:val="18"/>
          <w:color w:val="auto"/>
        </w:rPr>
        <w:t>Pursuant to the Company’s dividend reinvestment plan, the following tables summarize the shares issued to stockholders who have not opted out of the Company’s dividend reinvestment plan during the three months ended March 31, 2019 and 2018. All shares issued to stockholders in the tables below are newly issued shares.</w:t>
      </w:r>
    </w:p>
    <w:p>
      <w:pPr>
        <w:spacing w:after="0" w:line="254"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20" w:type="dxa"/>
            <w:vAlign w:val="bottom"/>
            <w:gridSpan w:val="4"/>
          </w:tcPr>
          <w:p>
            <w:pPr>
              <w:jc w:val="center"/>
              <w:ind w:left="261"/>
              <w:spacing w:after="0"/>
              <w:rPr>
                <w:sz w:val="20"/>
                <w:szCs w:val="20"/>
                <w:color w:val="auto"/>
              </w:rPr>
            </w:pPr>
            <w:r>
              <w:rPr>
                <w:rFonts w:ascii="Arial" w:cs="Arial" w:eastAsia="Arial" w:hAnsi="Arial"/>
                <w:sz w:val="14"/>
                <w:szCs w:val="14"/>
                <w:b w:val="1"/>
                <w:bCs w:val="1"/>
                <w:color w:val="auto"/>
                <w:w w:val="95"/>
              </w:rPr>
              <w:t>Three Months Ended</w:t>
            </w: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20" w:type="dxa"/>
            <w:vAlign w:val="bottom"/>
            <w:tcBorders>
              <w:bottom w:val="single" w:sz="8" w:color="auto"/>
            </w:tcBorders>
            <w:gridSpan w:val="4"/>
          </w:tcPr>
          <w:p>
            <w:pPr>
              <w:jc w:val="center"/>
              <w:ind w:left="261"/>
              <w:spacing w:after="0"/>
              <w:rPr>
                <w:sz w:val="20"/>
                <w:szCs w:val="20"/>
                <w:color w:val="auto"/>
              </w:rPr>
            </w:pPr>
            <w:r>
              <w:rPr>
                <w:rFonts w:ascii="Arial" w:cs="Arial" w:eastAsia="Arial" w:hAnsi="Arial"/>
                <w:sz w:val="14"/>
                <w:szCs w:val="14"/>
                <w:b w:val="1"/>
                <w:bCs w:val="1"/>
                <w:color w:val="auto"/>
                <w:w w:val="96"/>
              </w:rPr>
              <w:t>March 31, 2019</w:t>
            </w:r>
          </w:p>
        </w:tc>
        <w:tc>
          <w:tcPr>
            <w:tcW w:w="14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20" w:type="dxa"/>
            <w:vAlign w:val="bottom"/>
            <w:gridSpan w:val="2"/>
          </w:tcPr>
          <w:p>
            <w:pPr>
              <w:jc w:val="center"/>
              <w:ind w:right="140"/>
              <w:spacing w:after="0" w:line="147" w:lineRule="exact"/>
              <w:rPr>
                <w:sz w:val="20"/>
                <w:szCs w:val="20"/>
                <w:color w:val="auto"/>
              </w:rPr>
            </w:pPr>
            <w:r>
              <w:rPr>
                <w:rFonts w:ascii="Arial" w:cs="Arial" w:eastAsia="Arial" w:hAnsi="Arial"/>
                <w:sz w:val="14"/>
                <w:szCs w:val="14"/>
                <w:b w:val="1"/>
                <w:bCs w:val="1"/>
                <w:color w:val="auto"/>
                <w:w w:val="98"/>
              </w:rPr>
              <w:t>Date</w:t>
            </w: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140" w:type="dxa"/>
            <w:vAlign w:val="bottom"/>
            <w:gridSpan w:val="2"/>
          </w:tcPr>
          <w:p>
            <w:pPr>
              <w:spacing w:after="0"/>
              <w:rPr>
                <w:sz w:val="20"/>
                <w:szCs w:val="20"/>
                <w:color w:val="auto"/>
              </w:rPr>
            </w:pPr>
            <w:r>
              <w:rPr>
                <w:rFonts w:ascii="Arial" w:cs="Arial" w:eastAsia="Arial" w:hAnsi="Arial"/>
                <w:sz w:val="14"/>
                <w:szCs w:val="14"/>
                <w:b w:val="1"/>
                <w:bCs w:val="1"/>
                <w:color w:val="auto"/>
              </w:rPr>
              <w:t>Date Declared</w:t>
            </w:r>
          </w:p>
        </w:tc>
        <w:tc>
          <w:tcPr>
            <w:tcW w:w="300" w:type="dxa"/>
            <w:vAlign w:val="bottom"/>
          </w:tcPr>
          <w:p>
            <w:pPr>
              <w:spacing w:after="0"/>
              <w:rPr>
                <w:sz w:val="14"/>
                <w:szCs w:val="14"/>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 xml:space="preserve">Dividend </w:t>
            </w:r>
            <w:r>
              <w:rPr>
                <w:rFonts w:ascii="Arial" w:cs="Arial" w:eastAsia="Arial" w:hAnsi="Arial"/>
                <w:sz w:val="12"/>
                <w:szCs w:val="12"/>
                <w:b w:val="1"/>
                <w:bCs w:val="1"/>
                <w:color w:val="auto"/>
                <w:w w:val="92"/>
              </w:rPr>
              <w:t>(1)</w:t>
            </w:r>
          </w:p>
        </w:tc>
        <w:tc>
          <w:tcPr>
            <w:tcW w:w="2100" w:type="dxa"/>
            <w:vAlign w:val="bottom"/>
            <w:gridSpan w:val="2"/>
          </w:tcPr>
          <w:p>
            <w:pPr>
              <w:ind w:left="600"/>
              <w:spacing w:after="0"/>
              <w:rPr>
                <w:sz w:val="20"/>
                <w:szCs w:val="20"/>
                <w:color w:val="auto"/>
              </w:rPr>
            </w:pPr>
            <w:r>
              <w:rPr>
                <w:rFonts w:ascii="Arial" w:cs="Arial" w:eastAsia="Arial" w:hAnsi="Arial"/>
                <w:sz w:val="14"/>
                <w:szCs w:val="14"/>
                <w:b w:val="1"/>
                <w:bCs w:val="1"/>
                <w:color w:val="auto"/>
              </w:rPr>
              <w:t>Record Date</w:t>
            </w:r>
          </w:p>
        </w:tc>
        <w:tc>
          <w:tcPr>
            <w:tcW w:w="1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Shares Issued</w:t>
            </w:r>
          </w:p>
        </w:tc>
        <w:tc>
          <w:tcPr>
            <w:tcW w:w="1560" w:type="dxa"/>
            <w:vAlign w:val="bottom"/>
            <w:gridSpan w:val="2"/>
          </w:tcPr>
          <w:p>
            <w:pPr>
              <w:ind w:left="300"/>
              <w:spacing w:after="0"/>
              <w:rPr>
                <w:sz w:val="20"/>
                <w:szCs w:val="20"/>
                <w:color w:val="auto"/>
              </w:rPr>
            </w:pPr>
            <w:r>
              <w:rPr>
                <w:rFonts w:ascii="Arial" w:cs="Arial" w:eastAsia="Arial" w:hAnsi="Arial"/>
                <w:sz w:val="14"/>
                <w:szCs w:val="14"/>
                <w:b w:val="1"/>
                <w:bCs w:val="1"/>
                <w:color w:val="auto"/>
              </w:rPr>
              <w:t>Shares Issued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November 6, 2018</w:t>
            </w:r>
          </w:p>
        </w:tc>
        <w:tc>
          <w:tcPr>
            <w:tcW w:w="30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7"/>
              </w:rPr>
              <w:t>Base</w:t>
            </w:r>
          </w:p>
        </w:tc>
        <w:tc>
          <w:tcPr>
            <w:tcW w:w="100" w:type="dxa"/>
            <w:vAlign w:val="bottom"/>
            <w:tcBorders>
              <w:top w:val="single" w:sz="8" w:color="CFF0FC"/>
            </w:tcBorders>
            <w:shd w:val="clear" w:color="auto" w:fill="CFF0FC"/>
          </w:tcPr>
          <w:p>
            <w:pPr>
              <w:spacing w:after="0"/>
              <w:rPr>
                <w:sz w:val="19"/>
                <w:szCs w:val="19"/>
                <w:color w:val="auto"/>
              </w:rPr>
            </w:pPr>
          </w:p>
        </w:tc>
        <w:tc>
          <w:tcPr>
            <w:tcW w:w="2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December 14, 2018</w:t>
            </w:r>
          </w:p>
        </w:tc>
        <w:tc>
          <w:tcPr>
            <w:tcW w:w="100" w:type="dxa"/>
            <w:vAlign w:val="bottom"/>
            <w:tcBorders>
              <w:top w:val="single" w:sz="8" w:color="CFF0FC"/>
            </w:tcBorders>
            <w:shd w:val="clear" w:color="auto" w:fill="CFF0FC"/>
          </w:tcPr>
          <w:p>
            <w:pPr>
              <w:spacing w:after="0"/>
              <w:rPr>
                <w:sz w:val="19"/>
                <w:szCs w:val="19"/>
                <w:color w:val="auto"/>
              </w:rPr>
            </w:pPr>
          </w:p>
        </w:tc>
        <w:tc>
          <w:tcPr>
            <w:tcW w:w="1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January 15, 2019</w:t>
            </w:r>
          </w:p>
        </w:tc>
        <w:tc>
          <w:tcPr>
            <w:tcW w:w="100" w:type="dxa"/>
            <w:vAlign w:val="bottom"/>
            <w:tcBorders>
              <w:top w:val="single" w:sz="8" w:color="CFF0FC"/>
            </w:tcBorders>
            <w:shd w:val="clear" w:color="auto" w:fill="CFF0FC"/>
          </w:tcPr>
          <w:p>
            <w:pPr>
              <w:spacing w:after="0"/>
              <w:rPr>
                <w:sz w:val="19"/>
                <w:szCs w:val="19"/>
                <w:color w:val="auto"/>
              </w:rPr>
            </w:pP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212,818</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1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February 20, 2019</w:t>
            </w:r>
          </w:p>
        </w:tc>
        <w:tc>
          <w:tcPr>
            <w:tcW w:w="1420" w:type="dxa"/>
            <w:vAlign w:val="bottom"/>
            <w:tcBorders>
              <w:bottom w:val="single" w:sz="8" w:color="CFF0FC"/>
            </w:tcBorders>
            <w:gridSpan w:val="3"/>
          </w:tcPr>
          <w:p>
            <w:pPr>
              <w:jc w:val="center"/>
              <w:ind w:left="90"/>
              <w:spacing w:after="0"/>
              <w:rPr>
                <w:sz w:val="20"/>
                <w:szCs w:val="20"/>
                <w:color w:val="auto"/>
              </w:rPr>
            </w:pPr>
            <w:r>
              <w:rPr>
                <w:rFonts w:ascii="Arial" w:cs="Arial" w:eastAsia="Arial" w:hAnsi="Arial"/>
                <w:sz w:val="18"/>
                <w:szCs w:val="18"/>
                <w:color w:val="auto"/>
                <w:w w:val="90"/>
              </w:rPr>
              <w:t>Supplemental</w:t>
            </w:r>
          </w:p>
        </w:tc>
        <w:tc>
          <w:tcPr>
            <w:tcW w:w="2100" w:type="dxa"/>
            <w:vAlign w:val="bottom"/>
            <w:tcBorders>
              <w:bottom w:val="single" w:sz="8" w:color="CFF0FC"/>
            </w:tcBorders>
            <w:gridSpan w:val="2"/>
          </w:tcPr>
          <w:p>
            <w:pPr>
              <w:jc w:val="right"/>
              <w:ind w:right="120"/>
              <w:spacing w:after="0"/>
              <w:rPr>
                <w:sz w:val="20"/>
                <w:szCs w:val="20"/>
                <w:color w:val="auto"/>
              </w:rPr>
            </w:pPr>
            <w:r>
              <w:rPr>
                <w:rFonts w:ascii="Arial" w:cs="Arial" w:eastAsia="Arial" w:hAnsi="Arial"/>
                <w:sz w:val="18"/>
                <w:szCs w:val="18"/>
                <w:color w:val="auto"/>
              </w:rPr>
              <w:t>February 28, 2019</w:t>
            </w:r>
          </w:p>
        </w:tc>
        <w:tc>
          <w:tcPr>
            <w:tcW w:w="1920" w:type="dxa"/>
            <w:vAlign w:val="bottom"/>
            <w:tcBorders>
              <w:bottom w:val="single" w:sz="8" w:color="CFF0FC"/>
            </w:tcBorders>
            <w:gridSpan w:val="2"/>
          </w:tcPr>
          <w:p>
            <w:pPr>
              <w:jc w:val="right"/>
              <w:ind w:right="120"/>
              <w:spacing w:after="0"/>
              <w:rPr>
                <w:sz w:val="20"/>
                <w:szCs w:val="20"/>
                <w:color w:val="auto"/>
              </w:rPr>
            </w:pPr>
            <w:r>
              <w:rPr>
                <w:rFonts w:ascii="Arial" w:cs="Arial" w:eastAsia="Arial" w:hAnsi="Arial"/>
                <w:sz w:val="18"/>
                <w:szCs w:val="18"/>
                <w:color w:val="auto"/>
              </w:rPr>
              <w:t>March 29, 2019</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87,327</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12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 Shares Issued</w:t>
            </w:r>
          </w:p>
        </w:tc>
        <w:tc>
          <w:tcPr>
            <w:tcW w:w="30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0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8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300,145</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20" w:type="dxa"/>
            <w:vAlign w:val="bottom"/>
            <w:gridSpan w:val="4"/>
            <w:vMerge w:val="restart"/>
          </w:tcPr>
          <w:p>
            <w:pPr>
              <w:jc w:val="center"/>
              <w:ind w:left="261"/>
              <w:spacing w:after="0"/>
              <w:rPr>
                <w:sz w:val="20"/>
                <w:szCs w:val="20"/>
                <w:color w:val="auto"/>
              </w:rPr>
            </w:pPr>
            <w:r>
              <w:rPr>
                <w:rFonts w:ascii="Arial" w:cs="Arial" w:eastAsia="Arial" w:hAnsi="Arial"/>
                <w:sz w:val="14"/>
                <w:szCs w:val="14"/>
                <w:b w:val="1"/>
                <w:bCs w:val="1"/>
                <w:color w:val="auto"/>
                <w:w w:val="95"/>
              </w:rPr>
              <w:t>Three Months Ended</w:t>
            </w: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20" w:type="dxa"/>
            <w:vAlign w:val="bottom"/>
            <w:gridSpan w:val="4"/>
            <w:vMerge w:val="continue"/>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20" w:type="dxa"/>
            <w:vAlign w:val="bottom"/>
            <w:tcBorders>
              <w:bottom w:val="single" w:sz="8" w:color="auto"/>
            </w:tcBorders>
            <w:gridSpan w:val="4"/>
          </w:tcPr>
          <w:p>
            <w:pPr>
              <w:jc w:val="center"/>
              <w:ind w:left="261"/>
              <w:spacing w:after="0"/>
              <w:rPr>
                <w:sz w:val="20"/>
                <w:szCs w:val="20"/>
                <w:color w:val="auto"/>
              </w:rPr>
            </w:pPr>
            <w:r>
              <w:rPr>
                <w:rFonts w:ascii="Arial" w:cs="Arial" w:eastAsia="Arial" w:hAnsi="Arial"/>
                <w:sz w:val="14"/>
                <w:szCs w:val="14"/>
                <w:b w:val="1"/>
                <w:bCs w:val="1"/>
                <w:color w:val="auto"/>
                <w:w w:val="96"/>
              </w:rPr>
              <w:t>March 31, 2018</w:t>
            </w:r>
          </w:p>
        </w:tc>
        <w:tc>
          <w:tcPr>
            <w:tcW w:w="14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20" w:type="dxa"/>
            <w:vAlign w:val="bottom"/>
            <w:gridSpan w:val="2"/>
          </w:tcPr>
          <w:p>
            <w:pPr>
              <w:jc w:val="center"/>
              <w:ind w:right="140"/>
              <w:spacing w:after="0" w:line="147" w:lineRule="exact"/>
              <w:rPr>
                <w:sz w:val="20"/>
                <w:szCs w:val="20"/>
                <w:color w:val="auto"/>
              </w:rPr>
            </w:pPr>
            <w:r>
              <w:rPr>
                <w:rFonts w:ascii="Arial" w:cs="Arial" w:eastAsia="Arial" w:hAnsi="Arial"/>
                <w:sz w:val="14"/>
                <w:szCs w:val="14"/>
                <w:b w:val="1"/>
                <w:bCs w:val="1"/>
                <w:color w:val="auto"/>
                <w:w w:val="98"/>
              </w:rPr>
              <w:t>Date</w:t>
            </w: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140" w:type="dxa"/>
            <w:vAlign w:val="bottom"/>
            <w:gridSpan w:val="2"/>
          </w:tcPr>
          <w:p>
            <w:pPr>
              <w:spacing w:after="0"/>
              <w:rPr>
                <w:sz w:val="20"/>
                <w:szCs w:val="20"/>
                <w:color w:val="auto"/>
              </w:rPr>
            </w:pPr>
            <w:r>
              <w:rPr>
                <w:rFonts w:ascii="Arial" w:cs="Arial" w:eastAsia="Arial" w:hAnsi="Arial"/>
                <w:sz w:val="14"/>
                <w:szCs w:val="14"/>
                <w:b w:val="1"/>
                <w:bCs w:val="1"/>
                <w:color w:val="auto"/>
              </w:rPr>
              <w:t>Date Declared</w:t>
            </w:r>
          </w:p>
        </w:tc>
        <w:tc>
          <w:tcPr>
            <w:tcW w:w="300" w:type="dxa"/>
            <w:vAlign w:val="bottom"/>
          </w:tcPr>
          <w:p>
            <w:pPr>
              <w:spacing w:after="0"/>
              <w:rPr>
                <w:sz w:val="14"/>
                <w:szCs w:val="14"/>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 xml:space="preserve">Dividend </w:t>
            </w:r>
            <w:r>
              <w:rPr>
                <w:rFonts w:ascii="Arial" w:cs="Arial" w:eastAsia="Arial" w:hAnsi="Arial"/>
                <w:sz w:val="12"/>
                <w:szCs w:val="12"/>
                <w:b w:val="1"/>
                <w:bCs w:val="1"/>
                <w:color w:val="auto"/>
                <w:w w:val="92"/>
              </w:rPr>
              <w:t>(1)</w:t>
            </w:r>
          </w:p>
        </w:tc>
        <w:tc>
          <w:tcPr>
            <w:tcW w:w="2100" w:type="dxa"/>
            <w:vAlign w:val="bottom"/>
            <w:gridSpan w:val="2"/>
          </w:tcPr>
          <w:p>
            <w:pPr>
              <w:ind w:left="600"/>
              <w:spacing w:after="0"/>
              <w:rPr>
                <w:sz w:val="20"/>
                <w:szCs w:val="20"/>
                <w:color w:val="auto"/>
              </w:rPr>
            </w:pPr>
            <w:r>
              <w:rPr>
                <w:rFonts w:ascii="Arial" w:cs="Arial" w:eastAsia="Arial" w:hAnsi="Arial"/>
                <w:sz w:val="14"/>
                <w:szCs w:val="14"/>
                <w:b w:val="1"/>
                <w:bCs w:val="1"/>
                <w:color w:val="auto"/>
              </w:rPr>
              <w:t>Record Date</w:t>
            </w:r>
          </w:p>
        </w:tc>
        <w:tc>
          <w:tcPr>
            <w:tcW w:w="1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Shares Issued</w:t>
            </w:r>
          </w:p>
        </w:tc>
        <w:tc>
          <w:tcPr>
            <w:tcW w:w="1560" w:type="dxa"/>
            <w:vAlign w:val="bottom"/>
            <w:gridSpan w:val="2"/>
          </w:tcPr>
          <w:p>
            <w:pPr>
              <w:ind w:left="300"/>
              <w:spacing w:after="0"/>
              <w:rPr>
                <w:sz w:val="20"/>
                <w:szCs w:val="20"/>
                <w:color w:val="auto"/>
              </w:rPr>
            </w:pPr>
            <w:r>
              <w:rPr>
                <w:rFonts w:ascii="Arial" w:cs="Arial" w:eastAsia="Arial" w:hAnsi="Arial"/>
                <w:sz w:val="14"/>
                <w:szCs w:val="14"/>
                <w:b w:val="1"/>
                <w:bCs w:val="1"/>
                <w:color w:val="auto"/>
              </w:rPr>
              <w:t>Shares Issued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November 7, 2017</w:t>
            </w:r>
          </w:p>
        </w:tc>
        <w:tc>
          <w:tcPr>
            <w:tcW w:w="30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7"/>
              </w:rPr>
              <w:t>Base</w:t>
            </w:r>
          </w:p>
        </w:tc>
        <w:tc>
          <w:tcPr>
            <w:tcW w:w="100" w:type="dxa"/>
            <w:vAlign w:val="bottom"/>
            <w:tcBorders>
              <w:top w:val="single" w:sz="8" w:color="CFF0FC"/>
            </w:tcBorders>
            <w:shd w:val="clear" w:color="auto" w:fill="CFF0FC"/>
          </w:tcPr>
          <w:p>
            <w:pPr>
              <w:spacing w:after="0"/>
              <w:rPr>
                <w:sz w:val="19"/>
                <w:szCs w:val="19"/>
                <w:color w:val="auto"/>
              </w:rPr>
            </w:pPr>
          </w:p>
        </w:tc>
        <w:tc>
          <w:tcPr>
            <w:tcW w:w="2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December 15, 2017</w:t>
            </w:r>
          </w:p>
        </w:tc>
        <w:tc>
          <w:tcPr>
            <w:tcW w:w="100" w:type="dxa"/>
            <w:vAlign w:val="bottom"/>
            <w:tcBorders>
              <w:top w:val="single" w:sz="8" w:color="CFF0FC"/>
            </w:tcBorders>
            <w:shd w:val="clear" w:color="auto" w:fill="CFF0FC"/>
          </w:tcPr>
          <w:p>
            <w:pPr>
              <w:spacing w:after="0"/>
              <w:rPr>
                <w:sz w:val="19"/>
                <w:szCs w:val="19"/>
                <w:color w:val="auto"/>
              </w:rPr>
            </w:pPr>
          </w:p>
        </w:tc>
        <w:tc>
          <w:tcPr>
            <w:tcW w:w="1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January 12, 2018</w:t>
            </w:r>
          </w:p>
        </w:tc>
        <w:tc>
          <w:tcPr>
            <w:tcW w:w="100" w:type="dxa"/>
            <w:vAlign w:val="bottom"/>
            <w:tcBorders>
              <w:top w:val="single" w:sz="8" w:color="CFF0FC"/>
            </w:tcBorders>
            <w:shd w:val="clear" w:color="auto" w:fill="CFF0FC"/>
          </w:tcPr>
          <w:p>
            <w:pPr>
              <w:spacing w:after="0"/>
              <w:rPr>
                <w:sz w:val="19"/>
                <w:szCs w:val="19"/>
                <w:color w:val="auto"/>
              </w:rPr>
            </w:pP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153,295</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1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February 21, 2018</w:t>
            </w:r>
          </w:p>
        </w:tc>
        <w:tc>
          <w:tcPr>
            <w:tcW w:w="1420" w:type="dxa"/>
            <w:vAlign w:val="bottom"/>
            <w:tcBorders>
              <w:bottom w:val="single" w:sz="8" w:color="CFF0FC"/>
            </w:tcBorders>
            <w:gridSpan w:val="3"/>
          </w:tcPr>
          <w:p>
            <w:pPr>
              <w:jc w:val="center"/>
              <w:ind w:left="90"/>
              <w:spacing w:after="0"/>
              <w:rPr>
                <w:sz w:val="20"/>
                <w:szCs w:val="20"/>
                <w:color w:val="auto"/>
              </w:rPr>
            </w:pPr>
            <w:r>
              <w:rPr>
                <w:rFonts w:ascii="Arial" w:cs="Arial" w:eastAsia="Arial" w:hAnsi="Arial"/>
                <w:sz w:val="18"/>
                <w:szCs w:val="18"/>
                <w:color w:val="auto"/>
                <w:w w:val="90"/>
              </w:rPr>
              <w:t>Supplemental</w:t>
            </w:r>
          </w:p>
        </w:tc>
        <w:tc>
          <w:tcPr>
            <w:tcW w:w="2100" w:type="dxa"/>
            <w:vAlign w:val="bottom"/>
            <w:tcBorders>
              <w:bottom w:val="single" w:sz="8" w:color="CFF0FC"/>
            </w:tcBorders>
            <w:gridSpan w:val="2"/>
          </w:tcPr>
          <w:p>
            <w:pPr>
              <w:jc w:val="right"/>
              <w:ind w:right="120"/>
              <w:spacing w:after="0"/>
              <w:rPr>
                <w:sz w:val="20"/>
                <w:szCs w:val="20"/>
                <w:color w:val="auto"/>
              </w:rPr>
            </w:pPr>
            <w:r>
              <w:rPr>
                <w:rFonts w:ascii="Arial" w:cs="Arial" w:eastAsia="Arial" w:hAnsi="Arial"/>
                <w:sz w:val="18"/>
                <w:szCs w:val="18"/>
                <w:color w:val="auto"/>
              </w:rPr>
              <w:t>February 28, 2018</w:t>
            </w:r>
          </w:p>
        </w:tc>
        <w:tc>
          <w:tcPr>
            <w:tcW w:w="1920" w:type="dxa"/>
            <w:vAlign w:val="bottom"/>
            <w:tcBorders>
              <w:bottom w:val="single" w:sz="8" w:color="CFF0FC"/>
            </w:tcBorders>
            <w:gridSpan w:val="2"/>
          </w:tcPr>
          <w:p>
            <w:pPr>
              <w:jc w:val="right"/>
              <w:ind w:right="120"/>
              <w:spacing w:after="0"/>
              <w:rPr>
                <w:sz w:val="20"/>
                <w:szCs w:val="20"/>
                <w:color w:val="auto"/>
              </w:rPr>
            </w:pPr>
            <w:r>
              <w:rPr>
                <w:rFonts w:ascii="Arial" w:cs="Arial" w:eastAsia="Arial" w:hAnsi="Arial"/>
                <w:sz w:val="18"/>
                <w:szCs w:val="18"/>
                <w:color w:val="auto"/>
              </w:rPr>
              <w:t>March 30, 2018</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16,455</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12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 Shares Issued</w:t>
            </w:r>
          </w:p>
        </w:tc>
        <w:tc>
          <w:tcPr>
            <w:tcW w:w="30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0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8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169,750</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hanging="512"/>
        <w:spacing w:after="0"/>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See Note 11 for further information on base and supplemental dividends.</w:t>
      </w:r>
    </w:p>
    <w:p>
      <w:pPr>
        <w:spacing w:after="0" w:line="225" w:lineRule="exact"/>
        <w:rPr>
          <w:sz w:val="20"/>
          <w:szCs w:val="20"/>
          <w:color w:val="auto"/>
        </w:rPr>
      </w:pPr>
    </w:p>
    <w:p>
      <w:pPr>
        <w:ind w:firstLine="259"/>
        <w:spacing w:after="0" w:line="259" w:lineRule="auto"/>
        <w:rPr>
          <w:sz w:val="20"/>
          <w:szCs w:val="20"/>
          <w:color w:val="auto"/>
        </w:rPr>
      </w:pPr>
      <w:r>
        <w:rPr>
          <w:rFonts w:ascii="Arial" w:cs="Arial" w:eastAsia="Arial" w:hAnsi="Arial"/>
          <w:sz w:val="18"/>
          <w:szCs w:val="18"/>
          <w:color w:val="auto"/>
        </w:rPr>
        <w:t>On August 4, 2015, the Company's Board approved a stock repurchase plan, the Company 10b5-1 Plan, to acquire up to $50 million in the aggregate of the Company’s common stock at prices just below the Company’s net asset value per share over an initial six month period, in accordance with the guidelines specified in Rule 10b-18 and Rule 10b5-1 of the Exchange Act, and has continued to authorize extensions of the plan termination date prior to its expiration since that time.</w:t>
      </w:r>
    </w:p>
    <w:p>
      <w:pPr>
        <w:spacing w:after="0" w:line="187" w:lineRule="exact"/>
        <w:rPr>
          <w:sz w:val="20"/>
          <w:szCs w:val="20"/>
          <w:color w:val="auto"/>
        </w:rPr>
      </w:pPr>
    </w:p>
    <w:p>
      <w:pPr>
        <w:ind w:right="120" w:firstLine="259"/>
        <w:spacing w:after="0" w:line="272" w:lineRule="auto"/>
        <w:rPr>
          <w:sz w:val="20"/>
          <w:szCs w:val="20"/>
          <w:color w:val="auto"/>
        </w:rPr>
      </w:pPr>
      <w:r>
        <w:rPr>
          <w:rFonts w:ascii="Arial" w:cs="Arial" w:eastAsia="Arial" w:hAnsi="Arial"/>
          <w:sz w:val="17"/>
          <w:szCs w:val="17"/>
          <w:color w:val="auto"/>
        </w:rPr>
        <w:t>The Company 10b5-1 Plan is designed to allow the Company to repurchase its common stock at times when it otherwise might be prevented from doing so under insider trading laws. The Company 10b5-1 Plan requires Goldman Sachs &amp; Co. LLC, as agent, to repurchase shares of common stock on the Company’s behalf when the market price per share is below the most recently reported net asset value per share (including any updates, corrections or adjustments publicly announced by the Company to any previously announced net asset value per share). Under the Company 10b5-1 Plan, the agent will increase the volume of purchases made as the price of the Company’s common stock declines, subject to volume restrictions. The timing and amount of any stock repurchases depend on the terms and conditions of the Company 10b5-1 Plan, the market price of the common stock and trading volumes, and no assurance can be given that any particular amount of common stock will be repurchased.</w:t>
      </w:r>
    </w:p>
    <w:p>
      <w:pPr>
        <w:spacing w:after="0" w:line="178" w:lineRule="exact"/>
        <w:rPr>
          <w:sz w:val="20"/>
          <w:szCs w:val="20"/>
          <w:color w:val="auto"/>
        </w:rPr>
      </w:pPr>
    </w:p>
    <w:p>
      <w:pPr>
        <w:ind w:right="220" w:firstLine="259"/>
        <w:spacing w:after="0" w:line="308" w:lineRule="auto"/>
        <w:rPr>
          <w:sz w:val="20"/>
          <w:szCs w:val="20"/>
          <w:color w:val="auto"/>
        </w:rPr>
      </w:pPr>
      <w:r>
        <w:rPr>
          <w:rFonts w:ascii="Arial" w:cs="Arial" w:eastAsia="Arial" w:hAnsi="Arial"/>
          <w:sz w:val="17"/>
          <w:szCs w:val="17"/>
          <w:color w:val="auto"/>
        </w:rPr>
        <w:t>The purchase of shares pursuant to the Company 10b5-1 Plan is intended to satisfy the conditions of Rule 10b5-1 and Rule 10b-18 under the Exchange Act, and will otherwise be subject to applicable law, including Regulation M, which may prohibit purchases under certain circumstances.</w:t>
      </w:r>
    </w:p>
    <w:p>
      <w:pPr>
        <w:spacing w:after="0" w:line="147" w:lineRule="exact"/>
        <w:rPr>
          <w:sz w:val="20"/>
          <w:szCs w:val="20"/>
          <w:color w:val="auto"/>
        </w:rPr>
      </w:pPr>
    </w:p>
    <w:p>
      <w:pPr>
        <w:ind w:right="80" w:firstLine="259"/>
        <w:spacing w:after="0" w:line="279" w:lineRule="auto"/>
        <w:rPr>
          <w:sz w:val="20"/>
          <w:szCs w:val="20"/>
          <w:color w:val="auto"/>
        </w:rPr>
      </w:pPr>
      <w:r>
        <w:rPr>
          <w:rFonts w:ascii="Arial" w:cs="Arial" w:eastAsia="Arial" w:hAnsi="Arial"/>
          <w:sz w:val="17"/>
          <w:szCs w:val="17"/>
          <w:color w:val="auto"/>
        </w:rPr>
        <w:t>On May 2, 2019, the Board authorized an amendment to the Company 10b5-1 Plan to (1) revise the market prices at which the agent will repurchase shares of the Company’s common stock on its behalf from just below the Company’s most recently reported net asset value per share to just below 1.05x the most recently reported net asset value per share, less the amount of any supplemental dividend declared for that quarter but not yet reflected in the most recently reported net asset value per share, and (2) extend the termination date to November 30, 2019.</w:t>
      </w:r>
    </w:p>
    <w:p>
      <w:pPr>
        <w:spacing w:after="0" w:line="171" w:lineRule="exact"/>
        <w:rPr>
          <w:sz w:val="20"/>
          <w:szCs w:val="20"/>
          <w:color w:val="auto"/>
        </w:rPr>
      </w:pPr>
    </w:p>
    <w:p>
      <w:pPr>
        <w:ind w:right="40" w:firstLine="259"/>
        <w:spacing w:after="0" w:line="277" w:lineRule="auto"/>
        <w:rPr>
          <w:sz w:val="20"/>
          <w:szCs w:val="20"/>
          <w:color w:val="auto"/>
        </w:rPr>
      </w:pPr>
      <w:r>
        <w:rPr>
          <w:rFonts w:ascii="Arial" w:cs="Arial" w:eastAsia="Arial" w:hAnsi="Arial"/>
          <w:sz w:val="18"/>
          <w:szCs w:val="18"/>
          <w:color w:val="auto"/>
        </w:rPr>
        <w:t>Unless otherwise extended or terminated by the Board, the Company 10b5-1 Plan will be in effect through the earlier of the termination date or such time as the current approved repurchase amount of up to $50 million has been fully utilized, subject to certain conditions.</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During the three months ended March 31, 2019 and 2018, no shares were repurchased under the Company 10b5-1 Plan.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57" w:right="299" w:bottom="1440" w:gutter="0" w:footer="0" w:header="0"/>
        </w:sectPr>
      </w:pPr>
    </w:p>
    <w:bookmarkStart w:id="40" w:name="page41"/>
    <w:bookmarkEnd w:id="40"/>
    <w:p>
      <w:pPr>
        <w:ind w:left="280" w:hanging="272"/>
        <w:spacing w:after="0"/>
        <w:tabs>
          <w:tab w:leader="none" w:pos="28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21" w:lineRule="exact"/>
        <w:rPr>
          <w:rFonts w:ascii="Arial" w:cs="Arial" w:eastAsia="Arial" w:hAnsi="Arial"/>
          <w:sz w:val="18"/>
          <w:szCs w:val="18"/>
          <w:b w:val="1"/>
          <w:bCs w:val="1"/>
          <w:color w:val="auto"/>
        </w:rPr>
      </w:pPr>
    </w:p>
    <w:p>
      <w:pPr>
        <w:ind w:left="2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sets forth the computation of basic and diluted earnings per common share:</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3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500" w:type="dxa"/>
            <w:vAlign w:val="bottom"/>
            <w:gridSpan w:val="5"/>
          </w:tcPr>
          <w:p>
            <w:pPr>
              <w:ind w:left="940"/>
              <w:spacing w:after="0"/>
              <w:rPr>
                <w:sz w:val="20"/>
                <w:szCs w:val="20"/>
                <w:color w:val="auto"/>
              </w:rPr>
            </w:pPr>
            <w:r>
              <w:rPr>
                <w:rFonts w:ascii="Arial" w:cs="Arial" w:eastAsia="Arial" w:hAnsi="Arial"/>
                <w:sz w:val="14"/>
                <w:szCs w:val="14"/>
                <w:b w:val="1"/>
                <w:bCs w:val="1"/>
                <w:color w:val="auto"/>
              </w:rPr>
              <w:t>Three Months Ended</w:t>
            </w:r>
          </w:p>
        </w:tc>
      </w:tr>
      <w:tr>
        <w:trPr>
          <w:trHeight w:val="156"/>
        </w:trPr>
        <w:tc>
          <w:tcPr>
            <w:tcW w:w="38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720" w:type="dxa"/>
            <w:vAlign w:val="bottom"/>
            <w:tcBorders>
              <w:top w:val="single" w:sz="8" w:color="auto"/>
            </w:tcBorders>
            <w:gridSpan w:val="2"/>
          </w:tcPr>
          <w:p>
            <w:pPr>
              <w:ind w:left="140"/>
              <w:spacing w:after="0" w:line="155" w:lineRule="exact"/>
              <w:rPr>
                <w:sz w:val="20"/>
                <w:szCs w:val="20"/>
                <w:color w:val="auto"/>
              </w:rPr>
            </w:pPr>
            <w:r>
              <w:rPr>
                <w:rFonts w:ascii="Arial" w:cs="Arial" w:eastAsia="Arial" w:hAnsi="Arial"/>
                <w:sz w:val="14"/>
                <w:szCs w:val="14"/>
                <w:b w:val="1"/>
                <w:bCs w:val="1"/>
                <w:color w:val="auto"/>
              </w:rPr>
              <w:t>March 31, 2019</w:t>
            </w:r>
          </w:p>
        </w:tc>
        <w:tc>
          <w:tcPr>
            <w:tcW w:w="240" w:type="dxa"/>
            <w:vAlign w:val="bottom"/>
            <w:tcBorders>
              <w:top w:val="single" w:sz="8" w:color="auto"/>
            </w:tcBorders>
          </w:tcPr>
          <w:p>
            <w:pPr>
              <w:spacing w:after="0"/>
              <w:rPr>
                <w:sz w:val="13"/>
                <w:szCs w:val="13"/>
                <w:color w:val="auto"/>
              </w:rPr>
            </w:pPr>
          </w:p>
        </w:tc>
        <w:tc>
          <w:tcPr>
            <w:tcW w:w="1480" w:type="dxa"/>
            <w:vAlign w:val="bottom"/>
            <w:tcBorders>
              <w:top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March 31, 2018</w:t>
            </w:r>
          </w:p>
        </w:tc>
        <w:tc>
          <w:tcPr>
            <w:tcW w:w="60" w:type="dxa"/>
            <w:vAlign w:val="bottom"/>
          </w:tcPr>
          <w:p>
            <w:pPr>
              <w:spacing w:after="0"/>
              <w:rPr>
                <w:sz w:val="13"/>
                <w:szCs w:val="13"/>
                <w:color w:val="auto"/>
              </w:rPr>
            </w:pPr>
          </w:p>
        </w:tc>
      </w:tr>
      <w:tr>
        <w:trPr>
          <w:trHeight w:val="223"/>
        </w:trPr>
        <w:tc>
          <w:tcPr>
            <w:tcW w:w="3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Increase in net assets resulting from operations</w:t>
            </w:r>
          </w:p>
        </w:tc>
        <w:tc>
          <w:tcPr>
            <w:tcW w:w="4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38,745</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33,836</w:t>
            </w:r>
          </w:p>
        </w:tc>
        <w:tc>
          <w:tcPr>
            <w:tcW w:w="60" w:type="dxa"/>
            <w:vAlign w:val="bottom"/>
            <w:tcBorders>
              <w:top w:val="single" w:sz="8" w:color="CFF0FC"/>
            </w:tcBorders>
            <w:shd w:val="clear" w:color="auto" w:fill="CFF0FC"/>
          </w:tcPr>
          <w:p>
            <w:pPr>
              <w:spacing w:after="0"/>
              <w:rPr>
                <w:sz w:val="19"/>
                <w:szCs w:val="19"/>
                <w:color w:val="auto"/>
              </w:rPr>
            </w:pPr>
          </w:p>
        </w:tc>
      </w:tr>
      <w:tr>
        <w:trPr>
          <w:trHeight w:val="215"/>
        </w:trPr>
        <w:tc>
          <w:tcPr>
            <w:tcW w:w="3840" w:type="dxa"/>
            <w:vAlign w:val="bottom"/>
          </w:tcPr>
          <w:p>
            <w:pPr>
              <w:spacing w:after="0"/>
              <w:rPr>
                <w:sz w:val="20"/>
                <w:szCs w:val="20"/>
                <w:color w:val="auto"/>
              </w:rPr>
            </w:pPr>
            <w:r>
              <w:rPr>
                <w:rFonts w:ascii="Arial" w:cs="Arial" w:eastAsia="Arial" w:hAnsi="Arial"/>
                <w:sz w:val="18"/>
                <w:szCs w:val="18"/>
                <w:color w:val="auto"/>
              </w:rPr>
              <w:t>Weighted average shares of common stock</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3840" w:type="dxa"/>
            <w:vAlign w:val="bottom"/>
          </w:tcPr>
          <w:p>
            <w:pPr>
              <w:ind w:left="140"/>
              <w:spacing w:after="0"/>
              <w:rPr>
                <w:sz w:val="20"/>
                <w:szCs w:val="20"/>
                <w:color w:val="auto"/>
              </w:rPr>
            </w:pPr>
            <w:r>
              <w:rPr>
                <w:rFonts w:ascii="Arial" w:cs="Arial" w:eastAsia="Arial" w:hAnsi="Arial"/>
                <w:sz w:val="18"/>
                <w:szCs w:val="18"/>
                <w:color w:val="auto"/>
              </w:rPr>
              <w:t>outstanding—basic and diluted</w:t>
            </w: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65,595,441</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60,840,459</w:t>
            </w:r>
          </w:p>
        </w:tc>
        <w:tc>
          <w:tcPr>
            <w:tcW w:w="60" w:type="dxa"/>
            <w:vAlign w:val="bottom"/>
          </w:tcPr>
          <w:p>
            <w:pPr>
              <w:spacing w:after="0"/>
              <w:rPr>
                <w:sz w:val="20"/>
                <w:szCs w:val="20"/>
                <w:color w:val="auto"/>
              </w:rPr>
            </w:pPr>
          </w:p>
        </w:tc>
      </w:tr>
      <w:tr>
        <w:trPr>
          <w:trHeight w:val="230"/>
        </w:trPr>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Earnings per common share—basic and diluted</w:t>
            </w:r>
          </w:p>
        </w:tc>
        <w:tc>
          <w:tcPr>
            <w:tcW w:w="64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0.59</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0.56</w:t>
            </w:r>
          </w:p>
        </w:tc>
        <w:tc>
          <w:tcPr>
            <w:tcW w:w="60" w:type="dxa"/>
            <w:vAlign w:val="bottom"/>
            <w:shd w:val="clear" w:color="auto" w:fill="CFF0FC"/>
          </w:tcPr>
          <w:p>
            <w:pPr>
              <w:spacing w:after="0"/>
              <w:rPr>
                <w:sz w:val="19"/>
                <w:szCs w:val="19"/>
                <w:color w:val="auto"/>
              </w:rPr>
            </w:pPr>
          </w:p>
        </w:tc>
      </w:tr>
    </w:tbl>
    <w:p>
      <w:pPr>
        <w:spacing w:after="0" w:line="242" w:lineRule="exact"/>
        <w:rPr>
          <w:sz w:val="20"/>
          <w:szCs w:val="20"/>
          <w:color w:val="auto"/>
        </w:rPr>
      </w:pPr>
    </w:p>
    <w:p>
      <w:pPr>
        <w:ind w:right="160" w:firstLine="259"/>
        <w:spacing w:after="0" w:line="259" w:lineRule="auto"/>
        <w:rPr>
          <w:sz w:val="20"/>
          <w:szCs w:val="20"/>
          <w:color w:val="auto"/>
        </w:rPr>
      </w:pPr>
      <w:r>
        <w:rPr>
          <w:rFonts w:ascii="Arial" w:cs="Arial" w:eastAsia="Arial" w:hAnsi="Arial"/>
          <w:sz w:val="18"/>
          <w:szCs w:val="18"/>
          <w:color w:val="auto"/>
        </w:rPr>
        <w:t>For the purpose of calculating diluted earnings per common share, the average closing price of the Company’s common stock for the three months ended March 31, 2019 was less than the conversion price for the Convertible Notes outstanding as of March 31, 2019. Therefore, for all periods presented in the consolidated financial statements, the underlying shares for the intrinsic value of the embedded options in the Convertible Notes have no impact on the computation of diluted earnings per common share.</w:t>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Dividends</w:t>
      </w:r>
    </w:p>
    <w:p>
      <w:pPr>
        <w:spacing w:after="0" w:line="121" w:lineRule="exact"/>
        <w:rPr>
          <w:sz w:val="20"/>
          <w:szCs w:val="20"/>
          <w:color w:val="auto"/>
        </w:rPr>
      </w:pPr>
    </w:p>
    <w:p>
      <w:pPr>
        <w:ind w:right="180" w:firstLine="259"/>
        <w:spacing w:after="0" w:line="308" w:lineRule="auto"/>
        <w:rPr>
          <w:sz w:val="20"/>
          <w:szCs w:val="20"/>
          <w:color w:val="auto"/>
        </w:rPr>
      </w:pPr>
      <w:r>
        <w:rPr>
          <w:rFonts w:ascii="Arial" w:cs="Arial" w:eastAsia="Arial" w:hAnsi="Arial"/>
          <w:sz w:val="17"/>
          <w:szCs w:val="17"/>
          <w:color w:val="auto"/>
        </w:rPr>
        <w:t>The Company has historically paid a dividend to stockholders on a quarterly basis. The Company has a dividend framework that provides for a quarterly base dividend and a variable supplemental dividend, subject to satisfaction of certain measurement tests and the approval of the Board.</w:t>
      </w:r>
    </w:p>
    <w:p>
      <w:pPr>
        <w:spacing w:after="0" w:line="14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tables summarize dividends declared during the three months ended March 31, 2019 and 2018:</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40" w:type="dxa"/>
            <w:vAlign w:val="bottom"/>
            <w:gridSpan w:val="3"/>
          </w:tcPr>
          <w:p>
            <w:pPr>
              <w:jc w:val="center"/>
              <w:ind w:left="101"/>
              <w:spacing w:after="0"/>
              <w:rPr>
                <w:sz w:val="20"/>
                <w:szCs w:val="20"/>
                <w:color w:val="auto"/>
              </w:rPr>
            </w:pPr>
            <w:r>
              <w:rPr>
                <w:rFonts w:ascii="Arial" w:cs="Arial" w:eastAsia="Arial" w:hAnsi="Arial"/>
                <w:sz w:val="14"/>
                <w:szCs w:val="14"/>
                <w:b w:val="1"/>
                <w:bCs w:val="1"/>
                <w:color w:val="auto"/>
                <w:w w:val="93"/>
              </w:rPr>
              <w:t>Three Months Ended</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Date Declared</w:t>
            </w: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640" w:type="dxa"/>
            <w:vAlign w:val="bottom"/>
            <w:tcBorders>
              <w:bottom w:val="single" w:sz="8" w:color="auto"/>
            </w:tcBorders>
            <w:gridSpan w:val="3"/>
          </w:tcPr>
          <w:p>
            <w:pPr>
              <w:jc w:val="center"/>
              <w:ind w:left="101"/>
              <w:spacing w:after="0"/>
              <w:rPr>
                <w:sz w:val="20"/>
                <w:szCs w:val="20"/>
                <w:color w:val="auto"/>
              </w:rPr>
            </w:pPr>
            <w:r>
              <w:rPr>
                <w:rFonts w:ascii="Arial" w:cs="Arial" w:eastAsia="Arial" w:hAnsi="Arial"/>
                <w:sz w:val="14"/>
                <w:szCs w:val="14"/>
                <w:b w:val="1"/>
                <w:bCs w:val="1"/>
                <w:color w:val="auto"/>
                <w:w w:val="94"/>
              </w:rPr>
              <w:t>March 31, 2019</w:t>
            </w: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560" w:type="dxa"/>
            <w:vAlign w:val="bottom"/>
            <w:gridSpan w:val="2"/>
            <w:vMerge w:val="continue"/>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20" w:type="dxa"/>
            <w:vAlign w:val="bottom"/>
            <w:gridSpan w:val="4"/>
          </w:tcPr>
          <w:p>
            <w:pPr>
              <w:jc w:val="center"/>
              <w:ind w:right="160"/>
              <w:spacing w:after="0" w:line="155" w:lineRule="exact"/>
              <w:rPr>
                <w:sz w:val="20"/>
                <w:szCs w:val="20"/>
                <w:color w:val="auto"/>
              </w:rPr>
            </w:pPr>
            <w:r>
              <w:rPr>
                <w:rFonts w:ascii="Arial" w:cs="Arial" w:eastAsia="Arial" w:hAnsi="Arial"/>
                <w:sz w:val="14"/>
                <w:szCs w:val="14"/>
                <w:b w:val="1"/>
                <w:bCs w:val="1"/>
                <w:color w:val="auto"/>
                <w:w w:val="94"/>
              </w:rPr>
              <w:t>Dividend</w:t>
            </w:r>
          </w:p>
        </w:tc>
        <w:tc>
          <w:tcPr>
            <w:tcW w:w="1820" w:type="dxa"/>
            <w:vAlign w:val="bottom"/>
            <w:gridSpan w:val="2"/>
          </w:tcPr>
          <w:p>
            <w:pPr>
              <w:ind w:left="440"/>
              <w:spacing w:after="0" w:line="155" w:lineRule="exact"/>
              <w:rPr>
                <w:sz w:val="20"/>
                <w:szCs w:val="20"/>
                <w:color w:val="auto"/>
              </w:rPr>
            </w:pPr>
            <w:r>
              <w:rPr>
                <w:rFonts w:ascii="Arial" w:cs="Arial" w:eastAsia="Arial" w:hAnsi="Arial"/>
                <w:sz w:val="14"/>
                <w:szCs w:val="14"/>
                <w:b w:val="1"/>
                <w:bCs w:val="1"/>
                <w:color w:val="auto"/>
              </w:rPr>
              <w:t>Record Date</w:t>
            </w:r>
          </w:p>
        </w:tc>
        <w:tc>
          <w:tcPr>
            <w:tcW w:w="1820" w:type="dxa"/>
            <w:vAlign w:val="bottom"/>
          </w:tcPr>
          <w:p>
            <w:pPr>
              <w:jc w:val="right"/>
              <w:ind w:right="416"/>
              <w:spacing w:after="0" w:line="155" w:lineRule="exact"/>
              <w:rPr>
                <w:sz w:val="20"/>
                <w:szCs w:val="20"/>
                <w:color w:val="auto"/>
              </w:rPr>
            </w:pPr>
            <w:r>
              <w:rPr>
                <w:rFonts w:ascii="Arial" w:cs="Arial" w:eastAsia="Arial" w:hAnsi="Arial"/>
                <w:sz w:val="14"/>
                <w:szCs w:val="14"/>
                <w:b w:val="1"/>
                <w:bCs w:val="1"/>
                <w:color w:val="auto"/>
              </w:rPr>
              <w:t>Payment Date</w:t>
            </w:r>
          </w:p>
        </w:tc>
        <w:tc>
          <w:tcPr>
            <w:tcW w:w="100" w:type="dxa"/>
            <w:vAlign w:val="bottom"/>
          </w:tcPr>
          <w:p>
            <w:pPr>
              <w:spacing w:after="0"/>
              <w:rPr>
                <w:sz w:val="13"/>
                <w:szCs w:val="13"/>
                <w:color w:val="auto"/>
              </w:rPr>
            </w:pPr>
          </w:p>
        </w:tc>
        <w:tc>
          <w:tcPr>
            <w:tcW w:w="124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w w:val="94"/>
              </w:rPr>
              <w:t>Dividend per Share</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February 20, 2019</w:t>
            </w:r>
          </w:p>
        </w:tc>
        <w:tc>
          <w:tcPr>
            <w:tcW w:w="3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gridSpan w:val="2"/>
            <w:shd w:val="clear" w:color="auto" w:fill="CFF0FC"/>
          </w:tcPr>
          <w:p>
            <w:pPr>
              <w:jc w:val="center"/>
              <w:ind w:right="20"/>
              <w:spacing w:after="0"/>
              <w:rPr>
                <w:sz w:val="20"/>
                <w:szCs w:val="20"/>
                <w:color w:val="auto"/>
              </w:rPr>
            </w:pPr>
            <w:r>
              <w:rPr>
                <w:rFonts w:ascii="Arial" w:cs="Arial" w:eastAsia="Arial" w:hAnsi="Arial"/>
                <w:sz w:val="18"/>
                <w:szCs w:val="18"/>
                <w:color w:val="auto"/>
                <w:w w:val="89"/>
              </w:rPr>
              <w:t>Supplemental</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February 28, 2019</w:t>
            </w:r>
          </w:p>
        </w:tc>
        <w:tc>
          <w:tcPr>
            <w:tcW w:w="120" w:type="dxa"/>
            <w:vAlign w:val="bottom"/>
            <w:tcBorders>
              <w:top w:val="single" w:sz="8" w:color="CFF0FC"/>
            </w:tcBorders>
            <w:shd w:val="clear" w:color="auto" w:fill="CFF0FC"/>
          </w:tcPr>
          <w:p>
            <w:pPr>
              <w:spacing w:after="0"/>
              <w:rPr>
                <w:sz w:val="19"/>
                <w:szCs w:val="19"/>
                <w:color w:val="auto"/>
              </w:rPr>
            </w:pPr>
          </w:p>
        </w:tc>
        <w:tc>
          <w:tcPr>
            <w:tcW w:w="1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March 29, 2019</w:t>
            </w:r>
          </w:p>
        </w:tc>
        <w:tc>
          <w:tcPr>
            <w:tcW w:w="10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0.12</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5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February 20, 2019</w:t>
            </w:r>
          </w:p>
        </w:tc>
        <w:tc>
          <w:tcPr>
            <w:tcW w:w="3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120" w:type="dxa"/>
            <w:vAlign w:val="bottom"/>
            <w:tcBorders>
              <w:bottom w:val="single" w:sz="8" w:color="CFF0FC"/>
            </w:tcBorders>
            <w:gridSpan w:val="4"/>
          </w:tcPr>
          <w:p>
            <w:pPr>
              <w:jc w:val="center"/>
              <w:ind w:right="160"/>
              <w:spacing w:after="0"/>
              <w:rPr>
                <w:sz w:val="20"/>
                <w:szCs w:val="20"/>
                <w:color w:val="auto"/>
              </w:rPr>
            </w:pPr>
            <w:r>
              <w:rPr>
                <w:rFonts w:ascii="Arial" w:cs="Arial" w:eastAsia="Arial" w:hAnsi="Arial"/>
                <w:sz w:val="18"/>
                <w:szCs w:val="18"/>
                <w:color w:val="auto"/>
                <w:w w:val="87"/>
              </w:rPr>
              <w:t>Base</w:t>
            </w:r>
          </w:p>
        </w:tc>
        <w:tc>
          <w:tcPr>
            <w:tcW w:w="1820" w:type="dxa"/>
            <w:vAlign w:val="bottom"/>
            <w:tcBorders>
              <w:bottom w:val="single" w:sz="8" w:color="CFF0FC"/>
            </w:tcBorders>
            <w:gridSpan w:val="2"/>
          </w:tcPr>
          <w:p>
            <w:pPr>
              <w:jc w:val="right"/>
              <w:ind w:right="140"/>
              <w:spacing w:after="0"/>
              <w:rPr>
                <w:sz w:val="20"/>
                <w:szCs w:val="20"/>
                <w:color w:val="auto"/>
              </w:rPr>
            </w:pPr>
            <w:r>
              <w:rPr>
                <w:rFonts w:ascii="Arial" w:cs="Arial" w:eastAsia="Arial" w:hAnsi="Arial"/>
                <w:sz w:val="18"/>
                <w:szCs w:val="18"/>
                <w:color w:val="auto"/>
              </w:rPr>
              <w:t>March 15, 2019</w:t>
            </w:r>
          </w:p>
        </w:tc>
        <w:tc>
          <w:tcPr>
            <w:tcW w:w="18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April 15, 2019</w:t>
            </w:r>
          </w:p>
        </w:tc>
        <w:tc>
          <w:tcPr>
            <w:tcW w:w="10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0.39</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5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 Dividends Declared</w:t>
            </w:r>
          </w:p>
        </w:tc>
        <w:tc>
          <w:tcPr>
            <w:tcW w:w="3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7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8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0.51</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40" w:type="dxa"/>
            <w:vAlign w:val="bottom"/>
            <w:gridSpan w:val="3"/>
            <w:vMerge w:val="restart"/>
          </w:tcPr>
          <w:p>
            <w:pPr>
              <w:jc w:val="center"/>
              <w:ind w:left="101"/>
              <w:spacing w:after="0"/>
              <w:rPr>
                <w:sz w:val="20"/>
                <w:szCs w:val="20"/>
                <w:color w:val="auto"/>
              </w:rPr>
            </w:pPr>
            <w:r>
              <w:rPr>
                <w:rFonts w:ascii="Arial" w:cs="Arial" w:eastAsia="Arial" w:hAnsi="Arial"/>
                <w:sz w:val="14"/>
                <w:szCs w:val="14"/>
                <w:b w:val="1"/>
                <w:bCs w:val="1"/>
                <w:color w:val="auto"/>
                <w:w w:val="93"/>
              </w:rPr>
              <w:t>Three Months Ended</w:t>
            </w: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4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Date Declared</w:t>
            </w:r>
          </w:p>
        </w:tc>
        <w:tc>
          <w:tcPr>
            <w:tcW w:w="3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640" w:type="dxa"/>
            <w:vAlign w:val="bottom"/>
            <w:tcBorders>
              <w:bottom w:val="single" w:sz="8" w:color="auto"/>
            </w:tcBorders>
            <w:gridSpan w:val="3"/>
          </w:tcPr>
          <w:p>
            <w:pPr>
              <w:jc w:val="center"/>
              <w:ind w:left="81"/>
              <w:spacing w:after="0"/>
              <w:rPr>
                <w:sz w:val="20"/>
                <w:szCs w:val="20"/>
                <w:color w:val="auto"/>
              </w:rPr>
            </w:pPr>
            <w:r>
              <w:rPr>
                <w:rFonts w:ascii="Arial" w:cs="Arial" w:eastAsia="Arial" w:hAnsi="Arial"/>
                <w:sz w:val="14"/>
                <w:szCs w:val="14"/>
                <w:b w:val="1"/>
                <w:bCs w:val="1"/>
                <w:color w:val="auto"/>
                <w:w w:val="96"/>
              </w:rPr>
              <w:t>March 31, 2018</w:t>
            </w: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560" w:type="dxa"/>
            <w:vAlign w:val="bottom"/>
            <w:gridSpan w:val="2"/>
            <w:vMerge w:val="continue"/>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20" w:type="dxa"/>
            <w:vAlign w:val="bottom"/>
            <w:gridSpan w:val="4"/>
          </w:tcPr>
          <w:p>
            <w:pPr>
              <w:jc w:val="center"/>
              <w:ind w:right="200"/>
              <w:spacing w:after="0" w:line="155" w:lineRule="exact"/>
              <w:rPr>
                <w:sz w:val="20"/>
                <w:szCs w:val="20"/>
                <w:color w:val="auto"/>
              </w:rPr>
            </w:pPr>
            <w:r>
              <w:rPr>
                <w:rFonts w:ascii="Arial" w:cs="Arial" w:eastAsia="Arial" w:hAnsi="Arial"/>
                <w:sz w:val="14"/>
                <w:szCs w:val="14"/>
                <w:b w:val="1"/>
                <w:bCs w:val="1"/>
                <w:color w:val="auto"/>
                <w:w w:val="94"/>
              </w:rPr>
              <w:t>Dividend</w:t>
            </w:r>
          </w:p>
        </w:tc>
        <w:tc>
          <w:tcPr>
            <w:tcW w:w="1820" w:type="dxa"/>
            <w:vAlign w:val="bottom"/>
            <w:gridSpan w:val="2"/>
          </w:tcPr>
          <w:p>
            <w:pPr>
              <w:ind w:left="440"/>
              <w:spacing w:after="0" w:line="155" w:lineRule="exact"/>
              <w:rPr>
                <w:sz w:val="20"/>
                <w:szCs w:val="20"/>
                <w:color w:val="auto"/>
              </w:rPr>
            </w:pPr>
            <w:r>
              <w:rPr>
                <w:rFonts w:ascii="Arial" w:cs="Arial" w:eastAsia="Arial" w:hAnsi="Arial"/>
                <w:sz w:val="14"/>
                <w:szCs w:val="14"/>
                <w:b w:val="1"/>
                <w:bCs w:val="1"/>
                <w:color w:val="auto"/>
              </w:rPr>
              <w:t>Record Date</w:t>
            </w:r>
          </w:p>
        </w:tc>
        <w:tc>
          <w:tcPr>
            <w:tcW w:w="1820" w:type="dxa"/>
            <w:vAlign w:val="bottom"/>
          </w:tcPr>
          <w:p>
            <w:pPr>
              <w:jc w:val="right"/>
              <w:ind w:right="416"/>
              <w:spacing w:after="0" w:line="155" w:lineRule="exact"/>
              <w:rPr>
                <w:sz w:val="20"/>
                <w:szCs w:val="20"/>
                <w:color w:val="auto"/>
              </w:rPr>
            </w:pPr>
            <w:r>
              <w:rPr>
                <w:rFonts w:ascii="Arial" w:cs="Arial" w:eastAsia="Arial" w:hAnsi="Arial"/>
                <w:sz w:val="14"/>
                <w:szCs w:val="14"/>
                <w:b w:val="1"/>
                <w:bCs w:val="1"/>
                <w:color w:val="auto"/>
              </w:rPr>
              <w:t>Payment Date</w:t>
            </w:r>
          </w:p>
        </w:tc>
        <w:tc>
          <w:tcPr>
            <w:tcW w:w="100" w:type="dxa"/>
            <w:vAlign w:val="bottom"/>
          </w:tcPr>
          <w:p>
            <w:pPr>
              <w:spacing w:after="0"/>
              <w:rPr>
                <w:sz w:val="13"/>
                <w:szCs w:val="13"/>
                <w:color w:val="auto"/>
              </w:rPr>
            </w:pPr>
          </w:p>
        </w:tc>
        <w:tc>
          <w:tcPr>
            <w:tcW w:w="124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w w:val="94"/>
              </w:rPr>
              <w:t>Dividend per Share</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February 21, 2018</w:t>
            </w:r>
          </w:p>
        </w:tc>
        <w:tc>
          <w:tcPr>
            <w:tcW w:w="38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gridSpan w:val="2"/>
            <w:shd w:val="clear" w:color="auto" w:fill="CFF0FC"/>
          </w:tcPr>
          <w:p>
            <w:pPr>
              <w:jc w:val="center"/>
              <w:spacing w:after="0"/>
              <w:rPr>
                <w:sz w:val="20"/>
                <w:szCs w:val="20"/>
                <w:color w:val="auto"/>
              </w:rPr>
            </w:pPr>
            <w:r>
              <w:rPr>
                <w:rFonts w:ascii="Arial" w:cs="Arial" w:eastAsia="Arial" w:hAnsi="Arial"/>
                <w:sz w:val="18"/>
                <w:szCs w:val="18"/>
                <w:color w:val="auto"/>
                <w:w w:val="89"/>
              </w:rPr>
              <w:t>Supplemental</w:t>
            </w:r>
          </w:p>
        </w:tc>
        <w:tc>
          <w:tcPr>
            <w:tcW w:w="120" w:type="dxa"/>
            <w:vAlign w:val="bottom"/>
            <w:tcBorders>
              <w:top w:val="single" w:sz="8" w:color="CFF0FC"/>
            </w:tcBorders>
            <w:gridSpan w:val="2"/>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February 28, 2018</w:t>
            </w:r>
          </w:p>
        </w:tc>
        <w:tc>
          <w:tcPr>
            <w:tcW w:w="120" w:type="dxa"/>
            <w:vAlign w:val="bottom"/>
            <w:tcBorders>
              <w:top w:val="single" w:sz="8" w:color="CFF0FC"/>
            </w:tcBorders>
            <w:shd w:val="clear" w:color="auto" w:fill="CFF0FC"/>
          </w:tcPr>
          <w:p>
            <w:pPr>
              <w:spacing w:after="0"/>
              <w:rPr>
                <w:sz w:val="19"/>
                <w:szCs w:val="19"/>
                <w:color w:val="auto"/>
              </w:rPr>
            </w:pPr>
          </w:p>
        </w:tc>
        <w:tc>
          <w:tcPr>
            <w:tcW w:w="1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March 30, 2018</w:t>
            </w:r>
          </w:p>
        </w:tc>
        <w:tc>
          <w:tcPr>
            <w:tcW w:w="10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0.03</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5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February 21, 2018</w:t>
            </w:r>
          </w:p>
        </w:tc>
        <w:tc>
          <w:tcPr>
            <w:tcW w:w="3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120" w:type="dxa"/>
            <w:vAlign w:val="bottom"/>
            <w:tcBorders>
              <w:bottom w:val="single" w:sz="8" w:color="CFF0FC"/>
            </w:tcBorders>
            <w:gridSpan w:val="4"/>
          </w:tcPr>
          <w:p>
            <w:pPr>
              <w:jc w:val="center"/>
              <w:ind w:right="180"/>
              <w:spacing w:after="0"/>
              <w:rPr>
                <w:sz w:val="20"/>
                <w:szCs w:val="20"/>
                <w:color w:val="auto"/>
              </w:rPr>
            </w:pPr>
            <w:r>
              <w:rPr>
                <w:rFonts w:ascii="Arial" w:cs="Arial" w:eastAsia="Arial" w:hAnsi="Arial"/>
                <w:sz w:val="18"/>
                <w:szCs w:val="18"/>
                <w:color w:val="auto"/>
                <w:w w:val="82"/>
              </w:rPr>
              <w:t>Base</w:t>
            </w:r>
          </w:p>
        </w:tc>
        <w:tc>
          <w:tcPr>
            <w:tcW w:w="1820" w:type="dxa"/>
            <w:vAlign w:val="bottom"/>
            <w:tcBorders>
              <w:bottom w:val="single" w:sz="8" w:color="CFF0FC"/>
            </w:tcBorders>
            <w:gridSpan w:val="2"/>
          </w:tcPr>
          <w:p>
            <w:pPr>
              <w:jc w:val="right"/>
              <w:ind w:right="140"/>
              <w:spacing w:after="0"/>
              <w:rPr>
                <w:sz w:val="20"/>
                <w:szCs w:val="20"/>
                <w:color w:val="auto"/>
              </w:rPr>
            </w:pPr>
            <w:r>
              <w:rPr>
                <w:rFonts w:ascii="Arial" w:cs="Arial" w:eastAsia="Arial" w:hAnsi="Arial"/>
                <w:sz w:val="18"/>
                <w:szCs w:val="18"/>
                <w:color w:val="auto"/>
              </w:rPr>
              <w:t>March 15, 2018</w:t>
            </w:r>
          </w:p>
        </w:tc>
        <w:tc>
          <w:tcPr>
            <w:tcW w:w="18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April 13, 2018</w:t>
            </w:r>
          </w:p>
        </w:tc>
        <w:tc>
          <w:tcPr>
            <w:tcW w:w="10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0.39</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5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 Dividends Declared</w:t>
            </w:r>
          </w:p>
        </w:tc>
        <w:tc>
          <w:tcPr>
            <w:tcW w:w="3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7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8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0.42</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The dividends declared during the three months ended March 31, 2019 and 2018 were derived from net investment income, determined on a tax basis.</w:t>
      </w:r>
    </w:p>
    <w:p>
      <w:pPr>
        <w:spacing w:after="0" w:line="393" w:lineRule="exact"/>
        <w:rPr>
          <w:sz w:val="20"/>
          <w:szCs w:val="20"/>
          <w:color w:val="auto"/>
        </w:rPr>
      </w:pPr>
    </w:p>
    <w:p>
      <w:pPr>
        <w:ind w:left="280" w:hanging="272"/>
        <w:spacing w:after="0"/>
        <w:tabs>
          <w:tab w:leader="none" w:pos="28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rFonts w:ascii="Arial" w:cs="Arial" w:eastAsia="Arial" w:hAnsi="Arial"/>
          <w:sz w:val="18"/>
          <w:szCs w:val="18"/>
          <w:b w:val="1"/>
          <w:bCs w:val="1"/>
          <w:color w:val="auto"/>
        </w:rPr>
      </w:pPr>
    </w:p>
    <w:p>
      <w:pPr>
        <w:ind w:left="260"/>
        <w:spacing w:after="0"/>
        <w:rPr>
          <w:rFonts w:ascii="Arial" w:cs="Arial" w:eastAsia="Arial" w:hAnsi="Arial"/>
          <w:sz w:val="18"/>
          <w:szCs w:val="18"/>
          <w:b w:val="1"/>
          <w:bCs w:val="1"/>
          <w:color w:val="auto"/>
        </w:rPr>
      </w:pPr>
      <w:r>
        <w:rPr>
          <w:rFonts w:ascii="Arial" w:cs="Arial" w:eastAsia="Arial" w:hAnsi="Arial"/>
          <w:sz w:val="18"/>
          <w:szCs w:val="18"/>
          <w:color w:val="auto"/>
        </w:rPr>
        <w:t>The tax character of shareholder distributions attributable to the three months ended March 31, 2019 and 2018 were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Three Months Ended</w:t>
            </w:r>
          </w:p>
        </w:tc>
        <w:tc>
          <w:tcPr>
            <w:tcW w:w="100" w:type="dxa"/>
            <w:vAlign w:val="bottom"/>
          </w:tcPr>
          <w:p>
            <w:pPr>
              <w:spacing w:after="0"/>
              <w:rPr>
                <w:sz w:val="14"/>
                <w:szCs w:val="14"/>
                <w:color w:val="auto"/>
              </w:rPr>
            </w:pPr>
          </w:p>
        </w:tc>
        <w:tc>
          <w:tcPr>
            <w:tcW w:w="1520" w:type="dxa"/>
            <w:vAlign w:val="bottom"/>
          </w:tcPr>
          <w:p>
            <w:pPr>
              <w:jc w:val="right"/>
              <w:ind w:right="117"/>
              <w:spacing w:after="0"/>
              <w:rPr>
                <w:sz w:val="20"/>
                <w:szCs w:val="20"/>
                <w:color w:val="auto"/>
              </w:rPr>
            </w:pPr>
            <w:r>
              <w:rPr>
                <w:rFonts w:ascii="Arial" w:cs="Arial" w:eastAsia="Arial" w:hAnsi="Arial"/>
                <w:sz w:val="14"/>
                <w:szCs w:val="14"/>
                <w:b w:val="1"/>
                <w:bCs w:val="1"/>
                <w:color w:val="auto"/>
                <w:w w:val="93"/>
              </w:rPr>
              <w:t>Three Months Ended</w:t>
            </w: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7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March 31, 2019</w:t>
            </w:r>
          </w:p>
        </w:tc>
        <w:tc>
          <w:tcPr>
            <w:tcW w:w="100" w:type="dxa"/>
            <w:vAlign w:val="bottom"/>
          </w:tcPr>
          <w:p>
            <w:pPr>
              <w:spacing w:after="0"/>
              <w:rPr>
                <w:sz w:val="14"/>
                <w:szCs w:val="14"/>
                <w:color w:val="auto"/>
              </w:rPr>
            </w:pPr>
          </w:p>
        </w:tc>
        <w:tc>
          <w:tcPr>
            <w:tcW w:w="1520" w:type="dxa"/>
            <w:vAlign w:val="bottom"/>
          </w:tcPr>
          <w:p>
            <w:pPr>
              <w:jc w:val="right"/>
              <w:ind w:right="277"/>
              <w:spacing w:after="0"/>
              <w:rPr>
                <w:sz w:val="20"/>
                <w:szCs w:val="20"/>
                <w:color w:val="auto"/>
              </w:rPr>
            </w:pPr>
            <w:r>
              <w:rPr>
                <w:rFonts w:ascii="Arial" w:cs="Arial" w:eastAsia="Arial" w:hAnsi="Arial"/>
                <w:sz w:val="14"/>
                <w:szCs w:val="14"/>
                <w:b w:val="1"/>
                <w:bCs w:val="1"/>
                <w:color w:val="auto"/>
              </w:rPr>
              <w:t>March 31, 2018</w:t>
            </w: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2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Ordinary Income</w:t>
            </w:r>
          </w:p>
        </w:tc>
        <w:tc>
          <w:tcPr>
            <w:tcW w:w="20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33,469</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25,368</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Capital Gains</w:t>
            </w:r>
          </w:p>
        </w:tc>
        <w:tc>
          <w:tcPr>
            <w:tcW w:w="2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25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w:t>
            </w:r>
          </w:p>
        </w:tc>
        <w:tc>
          <w:tcPr>
            <w:tcW w:w="20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33,469</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25,368</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020" w:type="dxa"/>
            <w:vAlign w:val="bottom"/>
            <w:vMerge w:val="restart"/>
          </w:tcPr>
          <w:p>
            <w:pPr>
              <w:jc w:val="right"/>
              <w:ind w:right="430"/>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7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0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2580" w:type="dxa"/>
            <w:vAlign w:val="bottom"/>
            <w:tcBorders>
              <w:bottom w:val="single" w:sz="8" w:color="9A9A9A"/>
            </w:tcBorders>
          </w:tcPr>
          <w:p>
            <w:pPr>
              <w:spacing w:after="0"/>
              <w:rPr>
                <w:sz w:val="10"/>
                <w:szCs w:val="10"/>
                <w:color w:val="auto"/>
              </w:rPr>
            </w:pPr>
          </w:p>
        </w:tc>
        <w:tc>
          <w:tcPr>
            <w:tcW w:w="20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41" w:name="page42"/>
    <w:bookmarkEnd w:id="41"/>
    <w:p>
      <w:pPr>
        <w:ind w:left="260"/>
        <w:spacing w:after="0"/>
        <w:rPr>
          <w:sz w:val="20"/>
          <w:szCs w:val="20"/>
          <w:color w:val="auto"/>
        </w:rPr>
      </w:pPr>
      <w:r>
        <w:rPr>
          <w:rFonts w:ascii="Arial" w:cs="Arial" w:eastAsia="Arial" w:hAnsi="Arial"/>
          <w:sz w:val="18"/>
          <w:szCs w:val="18"/>
          <w:color w:val="auto"/>
        </w:rPr>
        <w:t>The tax basis components of distributable earnings as of March 31, 2019 and December 31, 2018 were as follows:</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4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2019</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3"/>
              </w:rPr>
              <w:t>December 31, 2018</w:t>
            </w:r>
          </w:p>
        </w:tc>
      </w:tr>
      <w:tr>
        <w:trPr>
          <w:trHeight w:val="223"/>
        </w:trPr>
        <w:tc>
          <w:tcPr>
            <w:tcW w:w="4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Undistributed net investment income - tax basis</w:t>
            </w: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63,524</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0"/>
                <w:szCs w:val="10"/>
                <w:color w:val="auto"/>
                <w:w w:val="71"/>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70,702</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4600" w:type="dxa"/>
            <w:vAlign w:val="bottom"/>
          </w:tcPr>
          <w:p>
            <w:pPr>
              <w:spacing w:after="0"/>
              <w:rPr>
                <w:sz w:val="20"/>
                <w:szCs w:val="20"/>
                <w:color w:val="auto"/>
              </w:rPr>
            </w:pPr>
            <w:r>
              <w:rPr>
                <w:rFonts w:ascii="Arial" w:cs="Arial" w:eastAsia="Arial" w:hAnsi="Arial"/>
                <w:sz w:val="18"/>
                <w:szCs w:val="18"/>
                <w:color w:val="auto"/>
              </w:rPr>
              <w:t>Undistributed net realized gains - tax basis</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10,016</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8,719</w:t>
            </w:r>
          </w:p>
        </w:tc>
        <w:tc>
          <w:tcPr>
            <w:tcW w:w="80" w:type="dxa"/>
            <w:vAlign w:val="bottom"/>
          </w:tcPr>
          <w:p>
            <w:pPr>
              <w:spacing w:after="0"/>
              <w:rPr>
                <w:sz w:val="19"/>
                <w:szCs w:val="19"/>
                <w:color w:val="auto"/>
              </w:rPr>
            </w:pPr>
          </w:p>
        </w:tc>
      </w:tr>
      <w:tr>
        <w:trPr>
          <w:trHeight w:val="230"/>
        </w:trPr>
        <w:tc>
          <w:tcPr>
            <w:tcW w:w="46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unrealized gains (losses) on investments</w:t>
            </w: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4,027</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(7,434)</w:t>
            </w:r>
          </w:p>
        </w:tc>
      </w:tr>
      <w:tr>
        <w:trPr>
          <w:trHeight w:val="223"/>
        </w:trPr>
        <w:tc>
          <w:tcPr>
            <w:tcW w:w="4600" w:type="dxa"/>
            <w:vAlign w:val="bottom"/>
          </w:tcPr>
          <w:p>
            <w:pPr>
              <w:ind w:left="500"/>
              <w:spacing w:after="0"/>
              <w:rPr>
                <w:sz w:val="20"/>
                <w:szCs w:val="20"/>
                <w:color w:val="auto"/>
              </w:rPr>
            </w:pPr>
            <w:r>
              <w:rPr>
                <w:rFonts w:ascii="Arial" w:cs="Arial" w:eastAsia="Arial" w:hAnsi="Arial"/>
                <w:sz w:val="18"/>
                <w:szCs w:val="18"/>
                <w:b w:val="1"/>
                <w:bCs w:val="1"/>
                <w:color w:val="auto"/>
              </w:rPr>
              <w:t>Total distributable earnings - book basis</w:t>
            </w: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77,567</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71,987</w:t>
            </w:r>
          </w:p>
        </w:tc>
        <w:tc>
          <w:tcPr>
            <w:tcW w:w="80" w:type="dxa"/>
            <w:vAlign w:val="bottom"/>
          </w:tcPr>
          <w:p>
            <w:pPr>
              <w:spacing w:after="0"/>
              <w:rPr>
                <w:sz w:val="19"/>
                <w:szCs w:val="19"/>
                <w:color w:val="auto"/>
              </w:rPr>
            </w:pPr>
          </w:p>
        </w:tc>
      </w:tr>
      <w:tr>
        <w:trPr>
          <w:trHeight w:val="20"/>
        </w:trPr>
        <w:tc>
          <w:tcPr>
            <w:tcW w:w="4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following reconciles increase in net assets resulting from operations to taxable income for the three months ended March 31, 2019 and 2018:</w:t>
      </w:r>
    </w:p>
    <w:p>
      <w:pPr>
        <w:spacing w:after="0" w:line="309"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4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3"/>
              </w:rPr>
              <w:t>Three Months Ended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3"/>
              </w:rPr>
              <w:t>Three Months Ended</w:t>
            </w:r>
          </w:p>
        </w:tc>
      </w:tr>
      <w:tr>
        <w:trPr>
          <w:trHeight w:val="171"/>
        </w:trPr>
        <w:tc>
          <w:tcPr>
            <w:tcW w:w="4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March 31, 2019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March 31, 2018</w:t>
            </w:r>
          </w:p>
        </w:tc>
      </w:tr>
      <w:tr>
        <w:trPr>
          <w:trHeight w:val="223"/>
        </w:trPr>
        <w:tc>
          <w:tcPr>
            <w:tcW w:w="4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Increase in net assets resulting from operations</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38,745</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33,836</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Adjustments:</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Net unrealized gains (losses) on investments</w:t>
            </w:r>
          </w:p>
        </w:tc>
        <w:tc>
          <w:tcPr>
            <w:tcW w:w="10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(11,461)</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w:t>
            </w:r>
          </w:p>
        </w:tc>
        <w:tc>
          <w:tcPr>
            <w:tcW w:w="80" w:type="dxa"/>
            <w:vAlign w:val="bottom"/>
            <w:shd w:val="clear" w:color="auto" w:fill="CFF0FC"/>
          </w:tcPr>
          <w:p>
            <w:pPr>
              <w:spacing w:after="0"/>
              <w:rPr>
                <w:sz w:val="19"/>
                <w:szCs w:val="19"/>
                <w:color w:val="auto"/>
              </w:rPr>
            </w:pPr>
          </w:p>
        </w:tc>
      </w:tr>
      <w:tr>
        <w:trPr>
          <w:trHeight w:val="215"/>
        </w:trPr>
        <w:tc>
          <w:tcPr>
            <w:tcW w:w="4580" w:type="dxa"/>
            <w:vAlign w:val="bottom"/>
          </w:tcPr>
          <w:p>
            <w:pPr>
              <w:ind w:left="240"/>
              <w:spacing w:after="0"/>
              <w:rPr>
                <w:sz w:val="20"/>
                <w:szCs w:val="20"/>
                <w:color w:val="auto"/>
              </w:rPr>
            </w:pPr>
            <w:r>
              <w:rPr>
                <w:rFonts w:ascii="Arial" w:cs="Arial" w:eastAsia="Arial" w:hAnsi="Arial"/>
                <w:sz w:val="18"/>
                <w:szCs w:val="18"/>
                <w:color w:val="auto"/>
              </w:rPr>
              <w:t>Other income for tax purposes, not</w:t>
            </w: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4580" w:type="dxa"/>
            <w:vAlign w:val="bottom"/>
          </w:tcPr>
          <w:p>
            <w:pPr>
              <w:ind w:left="380"/>
              <w:spacing w:after="0"/>
              <w:rPr>
                <w:sz w:val="20"/>
                <w:szCs w:val="20"/>
                <w:color w:val="auto"/>
              </w:rPr>
            </w:pPr>
            <w:r>
              <w:rPr>
                <w:rFonts w:ascii="Arial" w:cs="Arial" w:eastAsia="Arial" w:hAnsi="Arial"/>
                <w:sz w:val="18"/>
                <w:szCs w:val="18"/>
                <w:color w:val="auto"/>
              </w:rPr>
              <w:t>book</w:t>
            </w:r>
          </w:p>
        </w:tc>
        <w:tc>
          <w:tcPr>
            <w:tcW w:w="1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425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330</w:t>
            </w:r>
          </w:p>
        </w:tc>
        <w:tc>
          <w:tcPr>
            <w:tcW w:w="80" w:type="dxa"/>
            <w:vAlign w:val="bottom"/>
          </w:tcPr>
          <w:p>
            <w:pPr>
              <w:spacing w:after="0"/>
              <w:rPr>
                <w:sz w:val="20"/>
                <w:szCs w:val="20"/>
                <w:color w:val="auto"/>
              </w:rPr>
            </w:pPr>
          </w:p>
        </w:tc>
      </w:tr>
      <w:tr>
        <w:trPr>
          <w:trHeight w:val="230"/>
        </w:trPr>
        <w:tc>
          <w:tcPr>
            <w:tcW w:w="45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Deferred organization costs</w:t>
            </w:r>
          </w:p>
        </w:tc>
        <w:tc>
          <w:tcPr>
            <w:tcW w:w="10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(25)</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(25)</w:t>
            </w:r>
          </w:p>
        </w:tc>
      </w:tr>
      <w:tr>
        <w:trPr>
          <w:trHeight w:val="230"/>
        </w:trPr>
        <w:tc>
          <w:tcPr>
            <w:tcW w:w="4580" w:type="dxa"/>
            <w:vAlign w:val="bottom"/>
          </w:tcPr>
          <w:p>
            <w:pPr>
              <w:ind w:left="240"/>
              <w:spacing w:after="0"/>
              <w:rPr>
                <w:sz w:val="20"/>
                <w:szCs w:val="20"/>
                <w:color w:val="auto"/>
              </w:rPr>
            </w:pPr>
            <w:r>
              <w:rPr>
                <w:rFonts w:ascii="Arial" w:cs="Arial" w:eastAsia="Arial" w:hAnsi="Arial"/>
                <w:sz w:val="18"/>
                <w:szCs w:val="18"/>
                <w:color w:val="auto"/>
              </w:rPr>
              <w:t>Other expenses not currently deductible</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303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854</w:t>
            </w:r>
          </w:p>
        </w:tc>
        <w:tc>
          <w:tcPr>
            <w:tcW w:w="80" w:type="dxa"/>
            <w:vAlign w:val="bottom"/>
          </w:tcPr>
          <w:p>
            <w:pPr>
              <w:spacing w:after="0"/>
              <w:rPr>
                <w:sz w:val="19"/>
                <w:szCs w:val="19"/>
                <w:color w:val="auto"/>
              </w:rPr>
            </w:pPr>
          </w:p>
        </w:tc>
      </w:tr>
      <w:tr>
        <w:trPr>
          <w:trHeight w:val="230"/>
        </w:trPr>
        <w:tc>
          <w:tcPr>
            <w:tcW w:w="45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book-tax differences</w:t>
            </w:r>
          </w:p>
        </w:tc>
        <w:tc>
          <w:tcPr>
            <w:tcW w:w="1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(5,185)</w:t>
            </w:r>
          </w:p>
        </w:tc>
      </w:tr>
      <w:tr>
        <w:trPr>
          <w:trHeight w:val="230"/>
        </w:trPr>
        <w:tc>
          <w:tcPr>
            <w:tcW w:w="4580" w:type="dxa"/>
            <w:vAlign w:val="bottom"/>
          </w:tcPr>
          <w:p>
            <w:pPr>
              <w:ind w:left="240"/>
              <w:spacing w:after="0"/>
              <w:rPr>
                <w:sz w:val="20"/>
                <w:szCs w:val="20"/>
                <w:color w:val="auto"/>
              </w:rPr>
            </w:pPr>
            <w:r>
              <w:rPr>
                <w:rFonts w:ascii="Arial" w:cs="Arial" w:eastAsia="Arial" w:hAnsi="Arial"/>
                <w:sz w:val="18"/>
                <w:szCs w:val="18"/>
                <w:color w:val="auto"/>
              </w:rPr>
              <w:t>Capital loss carryforward</w:t>
            </w:r>
          </w:p>
        </w:tc>
        <w:tc>
          <w:tcPr>
            <w:tcW w:w="100" w:type="dxa"/>
            <w:vAlign w:val="bottom"/>
          </w:tcPr>
          <w:p>
            <w:pPr>
              <w:spacing w:after="0"/>
              <w:rPr>
                <w:sz w:val="19"/>
                <w:szCs w:val="19"/>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(3,877)</w:t>
            </w:r>
          </w:p>
        </w:tc>
      </w:tr>
      <w:tr>
        <w:trPr>
          <w:trHeight w:val="223"/>
        </w:trPr>
        <w:tc>
          <w:tcPr>
            <w:tcW w:w="4580" w:type="dxa"/>
            <w:vAlign w:val="bottom"/>
            <w:tcBorders>
              <w:top w:val="single" w:sz="8" w:color="CFF0FC"/>
              <w:bottom w:val="single" w:sz="8" w:color="CFF0FC"/>
            </w:tcBorders>
            <w:shd w:val="clear" w:color="auto" w:fill="CFF0FC"/>
          </w:tcPr>
          <w:p>
            <w:pPr>
              <w:ind w:left="500"/>
              <w:spacing w:after="0"/>
              <w:rPr>
                <w:sz w:val="20"/>
                <w:szCs w:val="20"/>
                <w:color w:val="auto"/>
              </w:rPr>
            </w:pPr>
            <w:r>
              <w:rPr>
                <w:rFonts w:ascii="Arial" w:cs="Arial" w:eastAsia="Arial" w:hAnsi="Arial"/>
                <w:sz w:val="18"/>
                <w:szCs w:val="18"/>
                <w:b w:val="1"/>
                <w:bCs w:val="1"/>
                <w:color w:val="auto"/>
              </w:rPr>
              <w:t>Taxable Income</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31,274</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26,140</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83" w:lineRule="exact"/>
        <w:rPr>
          <w:sz w:val="20"/>
          <w:szCs w:val="20"/>
          <w:color w:val="auto"/>
        </w:rPr>
      </w:pPr>
    </w:p>
    <w:p>
      <w:pPr>
        <w:ind w:left="260"/>
        <w:spacing w:after="0"/>
        <w:rPr>
          <w:sz w:val="20"/>
          <w:szCs w:val="20"/>
          <w:color w:val="auto"/>
        </w:rPr>
      </w:pPr>
      <w:r>
        <w:rPr>
          <w:rFonts w:ascii="Arial" w:cs="Arial" w:eastAsia="Arial" w:hAnsi="Arial"/>
          <w:sz w:val="17"/>
          <w:szCs w:val="17"/>
          <w:color w:val="auto"/>
        </w:rPr>
        <w:t>Note: Taxable income is an estimate and is not fully determined until the Company’s tax return is filed. The Company’s tax year end is March 31</w:t>
      </w:r>
      <w:r>
        <w:rPr>
          <w:rFonts w:ascii="Arial" w:cs="Arial" w:eastAsia="Arial" w:hAnsi="Arial"/>
          <w:sz w:val="14"/>
          <w:szCs w:val="14"/>
          <w:color w:val="auto"/>
        </w:rPr>
        <w:t>st</w:t>
      </w:r>
      <w:r>
        <w:rPr>
          <w:rFonts w:ascii="Arial" w:cs="Arial" w:eastAsia="Arial" w:hAnsi="Arial"/>
          <w:sz w:val="17"/>
          <w:szCs w:val="17"/>
          <w:color w:val="auto"/>
        </w:rPr>
        <w:t>.</w:t>
      </w:r>
    </w:p>
    <w:p>
      <w:pPr>
        <w:spacing w:after="0" w:line="237" w:lineRule="exact"/>
        <w:rPr>
          <w:sz w:val="20"/>
          <w:szCs w:val="20"/>
          <w:color w:val="auto"/>
        </w:rPr>
      </w:pPr>
    </w:p>
    <w:p>
      <w:pPr>
        <w:jc w:val="both"/>
        <w:ind w:right="200" w:firstLine="259"/>
        <w:spacing w:after="0" w:line="264" w:lineRule="auto"/>
        <w:rPr>
          <w:sz w:val="20"/>
          <w:szCs w:val="20"/>
          <w:color w:val="auto"/>
        </w:rPr>
      </w:pPr>
      <w:r>
        <w:rPr>
          <w:rFonts w:ascii="Arial" w:cs="Arial" w:eastAsia="Arial" w:hAnsi="Arial"/>
          <w:sz w:val="18"/>
          <w:szCs w:val="18"/>
          <w:color w:val="auto"/>
        </w:rPr>
        <w:t>Taxable income generally differs from increase in net assets resulting from operations due to temporary and permanent differences in the recognition of income and expenses, and generally excludes net unrealized gains or losses, as unrealized gains or losses are generally not included in taxable income until they are realized.</w:t>
      </w:r>
    </w:p>
    <w:p>
      <w:pPr>
        <w:spacing w:after="0" w:line="181" w:lineRule="exact"/>
        <w:rPr>
          <w:sz w:val="20"/>
          <w:szCs w:val="20"/>
          <w:color w:val="auto"/>
        </w:rPr>
      </w:pPr>
    </w:p>
    <w:p>
      <w:pPr>
        <w:ind w:right="220" w:firstLine="259"/>
        <w:spacing w:after="0" w:line="257" w:lineRule="auto"/>
        <w:rPr>
          <w:sz w:val="20"/>
          <w:szCs w:val="20"/>
          <w:color w:val="auto"/>
        </w:rPr>
      </w:pPr>
      <w:r>
        <w:rPr>
          <w:rFonts w:ascii="Arial" w:cs="Arial" w:eastAsia="Arial" w:hAnsi="Arial"/>
          <w:sz w:val="18"/>
          <w:szCs w:val="18"/>
          <w:color w:val="auto"/>
        </w:rPr>
        <w:t>The Company makes certain adjustments to the classification of stockholders’ equity as a result of permanent book-to-tax differences, which include differences in the book and tax basis of certain assets and liabilities, and nondeductible federal taxes or losses among other items. To the extent these differences are permanent, they are charged or credited to additional paid in capital, or distributable earnings, as appropriate. In addition, due to the Company’s differing fiscal, tax, and excise tax year ends, the best estimates available are recorded to the above accounts in the period that such differences arise or are identifiable.</w:t>
      </w:r>
    </w:p>
    <w:p>
      <w:pPr>
        <w:spacing w:after="0" w:line="188" w:lineRule="exact"/>
        <w:rPr>
          <w:sz w:val="20"/>
          <w:szCs w:val="20"/>
          <w:color w:val="auto"/>
        </w:rPr>
      </w:pPr>
    </w:p>
    <w:p>
      <w:pPr>
        <w:ind w:right="540" w:firstLine="259"/>
        <w:spacing w:after="0" w:line="277" w:lineRule="auto"/>
        <w:rPr>
          <w:sz w:val="20"/>
          <w:szCs w:val="20"/>
          <w:color w:val="auto"/>
        </w:rPr>
      </w:pPr>
      <w:r>
        <w:rPr>
          <w:rFonts w:ascii="Arial" w:cs="Arial" w:eastAsia="Arial" w:hAnsi="Arial"/>
          <w:sz w:val="18"/>
          <w:szCs w:val="18"/>
          <w:color w:val="auto"/>
        </w:rPr>
        <w:t>For the three months ended March 31, 2019, the Company increased distributable earnings and decreased additional paid in capital by $0.3 million attributable to U.S. federal excise taxes.</w:t>
      </w:r>
    </w:p>
    <w:p>
      <w:pPr>
        <w:spacing w:after="0" w:line="170" w:lineRule="exact"/>
        <w:rPr>
          <w:sz w:val="20"/>
          <w:szCs w:val="20"/>
          <w:color w:val="auto"/>
        </w:rPr>
      </w:pPr>
    </w:p>
    <w:p>
      <w:pPr>
        <w:ind w:right="540" w:firstLine="259"/>
        <w:spacing w:after="0" w:line="277" w:lineRule="auto"/>
        <w:rPr>
          <w:sz w:val="20"/>
          <w:szCs w:val="20"/>
          <w:color w:val="auto"/>
        </w:rPr>
      </w:pPr>
      <w:r>
        <w:rPr>
          <w:rFonts w:ascii="Arial" w:cs="Arial" w:eastAsia="Arial" w:hAnsi="Arial"/>
          <w:sz w:val="18"/>
          <w:szCs w:val="18"/>
          <w:color w:val="auto"/>
        </w:rPr>
        <w:t>For the three months ended March 31, 2018, the Company increased distributable earnings and decreased additional paid in capital by $0.9 million attributable to U.S. federal excise taxes.</w:t>
      </w:r>
    </w:p>
    <w:p>
      <w:pPr>
        <w:spacing w:after="0" w:line="170" w:lineRule="exact"/>
        <w:rPr>
          <w:sz w:val="20"/>
          <w:szCs w:val="20"/>
          <w:color w:val="auto"/>
        </w:rPr>
      </w:pPr>
    </w:p>
    <w:p>
      <w:pPr>
        <w:jc w:val="both"/>
        <w:ind w:firstLine="259"/>
        <w:spacing w:after="0" w:line="286" w:lineRule="auto"/>
        <w:rPr>
          <w:sz w:val="20"/>
          <w:szCs w:val="20"/>
          <w:color w:val="auto"/>
        </w:rPr>
      </w:pPr>
      <w:r>
        <w:rPr>
          <w:rFonts w:ascii="Arial" w:cs="Arial" w:eastAsia="Arial" w:hAnsi="Arial"/>
          <w:sz w:val="17"/>
          <w:szCs w:val="17"/>
          <w:color w:val="auto"/>
        </w:rPr>
        <w:t>The Company’s wholly-owned subsidiary, TSL MR, LLC, is a taxable subsidiary in which the Company holds certain equity investments. TSL MR, LLC is not consolidated for U.S. federal income tax purposes and may generate income tax expense as a result of its ownership of certain portfolio companies. The income tax expense, or benefit, and the related tax assets and liabilities, if any, are reflected in our Statement of Operations.</w:t>
      </w:r>
    </w:p>
    <w:p>
      <w:pPr>
        <w:spacing w:after="0" w:line="166" w:lineRule="exact"/>
        <w:rPr>
          <w:sz w:val="20"/>
          <w:szCs w:val="20"/>
          <w:color w:val="auto"/>
        </w:rPr>
      </w:pPr>
    </w:p>
    <w:p>
      <w:pPr>
        <w:ind w:left="260"/>
        <w:spacing w:after="0"/>
        <w:rPr>
          <w:sz w:val="20"/>
          <w:szCs w:val="20"/>
          <w:color w:val="auto"/>
        </w:rPr>
      </w:pPr>
      <w:r>
        <w:rPr>
          <w:rFonts w:ascii="Arial" w:cs="Arial" w:eastAsia="Arial" w:hAnsi="Arial"/>
          <w:sz w:val="16"/>
          <w:szCs w:val="16"/>
          <w:color w:val="auto"/>
        </w:rPr>
        <w:t>As of March 31, 2019, the Company had an estimated deferred tax asset of $5.9 million pertaining to operating losses, related to one of its investments.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Given the losses generated by the entity, the deferred tax asset has been offset by a valuation allowance of $5.9 million.</w:t>
      </w:r>
    </w:p>
    <w:p>
      <w:pPr>
        <w:spacing w:after="0" w:line="211" w:lineRule="exact"/>
        <w:rPr>
          <w:sz w:val="20"/>
          <w:szCs w:val="20"/>
          <w:color w:val="auto"/>
        </w:rPr>
      </w:pPr>
    </w:p>
    <w:p>
      <w:pPr>
        <w:ind w:right="880" w:firstLine="259"/>
        <w:spacing w:after="0" w:line="342" w:lineRule="auto"/>
        <w:rPr>
          <w:sz w:val="20"/>
          <w:szCs w:val="20"/>
          <w:color w:val="auto"/>
        </w:rPr>
      </w:pPr>
      <w:r>
        <w:rPr>
          <w:rFonts w:ascii="Arial" w:cs="Arial" w:eastAsia="Arial" w:hAnsi="Arial"/>
          <w:sz w:val="16"/>
          <w:szCs w:val="16"/>
          <w:color w:val="auto"/>
        </w:rPr>
        <w:t>As of December 31, 2018, the Company had an estimated deferred tax asset of $4.4 million pertaining to operating losses, related to one of its investments. Given the losses generated by the entity, the deferred tax asset has been offset by a valuation allowance of $4.4 million.</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82" w:right="279" w:bottom="1440" w:gutter="0" w:footer="0" w:header="0"/>
        </w:sectPr>
      </w:pPr>
    </w:p>
    <w:bookmarkStart w:id="42" w:name="page43"/>
    <w:bookmarkEnd w:id="42"/>
    <w:p>
      <w:pPr>
        <w:ind w:firstLine="259"/>
        <w:spacing w:after="0" w:line="259" w:lineRule="auto"/>
        <w:rPr>
          <w:sz w:val="20"/>
          <w:szCs w:val="20"/>
          <w:color w:val="auto"/>
        </w:rPr>
      </w:pPr>
      <w:r>
        <w:rPr>
          <w:rFonts w:ascii="Arial" w:cs="Arial" w:eastAsia="Arial" w:hAnsi="Arial"/>
          <w:sz w:val="18"/>
          <w:szCs w:val="18"/>
          <w:color w:val="auto"/>
        </w:rPr>
        <w:t>During the period April 1, 2018 through March 31, 2019, the Company’s estimated U.S. federal taxable income exceeded its distributions made from such taxable income during the tax year; consequently, the Company has elected to carry forward the excess for distribution to shareholders. The amount carried forward is estimated to be approximately $103.5 million, all of which is expected to be ordinary income, although these amounts will not be finalized until the 2018 tax returns are filed in 2019.</w:t>
      </w:r>
    </w:p>
    <w:p>
      <w:pPr>
        <w:spacing w:after="0" w:line="187" w:lineRule="exact"/>
        <w:rPr>
          <w:sz w:val="20"/>
          <w:szCs w:val="20"/>
          <w:color w:val="auto"/>
        </w:rPr>
      </w:pPr>
    </w:p>
    <w:p>
      <w:pPr>
        <w:ind w:right="300" w:firstLine="259"/>
        <w:spacing w:after="0" w:line="264" w:lineRule="auto"/>
        <w:rPr>
          <w:sz w:val="20"/>
          <w:szCs w:val="20"/>
          <w:color w:val="auto"/>
        </w:rPr>
      </w:pPr>
      <w:r>
        <w:rPr>
          <w:rFonts w:ascii="Arial" w:cs="Arial" w:eastAsia="Arial" w:hAnsi="Arial"/>
          <w:sz w:val="18"/>
          <w:szCs w:val="18"/>
          <w:color w:val="auto"/>
        </w:rPr>
        <w:t>To the extent that the Company determines that its estimated current year annual taxable income will exceed its estimated current year dividends from such taxable income, the Company accrues excise tax on estimated excess taxable income. For the three months ended March 31, 2019 and 2018, a net expense of $0.3 million and $0.9 million, respectively, was recorded for U.S. federal excise tax.</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Financial Highlights</w:t>
      </w:r>
    </w:p>
    <w:p>
      <w:pPr>
        <w:spacing w:after="0" w:line="121" w:lineRule="exact"/>
        <w:rPr>
          <w:sz w:val="20"/>
          <w:szCs w:val="20"/>
          <w:color w:val="auto"/>
        </w:rPr>
      </w:pPr>
    </w:p>
    <w:p>
      <w:pPr>
        <w:ind w:right="440" w:firstLine="259"/>
        <w:spacing w:after="0" w:line="308" w:lineRule="auto"/>
        <w:rPr>
          <w:sz w:val="20"/>
          <w:szCs w:val="20"/>
          <w:color w:val="auto"/>
        </w:rPr>
      </w:pPr>
      <w:r>
        <w:rPr>
          <w:rFonts w:ascii="Arial" w:cs="Arial" w:eastAsia="Arial" w:hAnsi="Arial"/>
          <w:sz w:val="17"/>
          <w:szCs w:val="17"/>
          <w:color w:val="auto"/>
        </w:rPr>
        <w:t>The following per share data and ratios have been derived from information provided in the consolidated financial statements. The following are the financial highlights for one share of common stock outstanding during the three months ended March 31, 2019 and 2018.</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2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March 31, 2019</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8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March 31, 2018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 xml:space="preserve">Per Share Data </w:t>
            </w:r>
            <w:r>
              <w:rPr>
                <w:rFonts w:ascii="Arial" w:cs="Arial" w:eastAsia="Arial" w:hAnsi="Arial"/>
                <w:sz w:val="15"/>
                <w:szCs w:val="15"/>
                <w:b w:val="1"/>
                <w:bCs w:val="1"/>
                <w:color w:val="auto"/>
              </w:rPr>
              <w:t>(7)</w:t>
            </w:r>
          </w:p>
        </w:tc>
        <w:tc>
          <w:tcPr>
            <w:tcW w:w="9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76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7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Net asset value, beginning of period</w:t>
            </w:r>
          </w:p>
        </w:tc>
        <w:tc>
          <w:tcPr>
            <w:tcW w:w="11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16.25</w:t>
            </w:r>
          </w:p>
        </w:tc>
        <w:tc>
          <w:tcPr>
            <w:tcW w:w="260" w:type="dxa"/>
            <w:vAlign w:val="bottom"/>
          </w:tcPr>
          <w:p>
            <w:pPr>
              <w:spacing w:after="0"/>
              <w:rPr>
                <w:sz w:val="19"/>
                <w:szCs w:val="19"/>
                <w:color w:val="auto"/>
              </w:rPr>
            </w:pPr>
          </w:p>
        </w:tc>
        <w:tc>
          <w:tcPr>
            <w:tcW w:w="3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16.09</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6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7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 xml:space="preserve">Net investment income </w:t>
            </w:r>
            <w:r>
              <w:rPr>
                <w:rFonts w:ascii="Arial" w:cs="Arial" w:eastAsia="Arial" w:hAnsi="Arial"/>
                <w:sz w:val="15"/>
                <w:szCs w:val="15"/>
                <w:color w:val="auto"/>
              </w:rPr>
              <w:t>(1)</w:t>
            </w: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0.41</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0.51</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Net realized and unrealized</w:t>
            </w:r>
          </w:p>
        </w:tc>
        <w:tc>
          <w:tcPr>
            <w:tcW w:w="9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 xml:space="preserve">gain </w:t>
            </w:r>
            <w:r>
              <w:rPr>
                <w:rFonts w:ascii="Arial" w:cs="Arial" w:eastAsia="Arial" w:hAnsi="Arial"/>
                <w:sz w:val="15"/>
                <w:szCs w:val="15"/>
                <w:color w:val="auto"/>
              </w:rPr>
              <w:t>(1)</w:t>
            </w:r>
          </w:p>
        </w:tc>
        <w:tc>
          <w:tcPr>
            <w:tcW w:w="960" w:type="dxa"/>
            <w:vAlign w:val="bottom"/>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0.18</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0.05</w:t>
            </w:r>
          </w:p>
        </w:tc>
        <w:tc>
          <w:tcPr>
            <w:tcW w:w="2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60" w:type="dxa"/>
            <w:vAlign w:val="bottom"/>
          </w:tcPr>
          <w:p>
            <w:pPr>
              <w:ind w:left="240"/>
              <w:spacing w:after="0"/>
              <w:rPr>
                <w:sz w:val="20"/>
                <w:szCs w:val="20"/>
                <w:color w:val="auto"/>
              </w:rPr>
            </w:pPr>
            <w:r>
              <w:rPr>
                <w:rFonts w:ascii="Arial" w:cs="Arial" w:eastAsia="Arial" w:hAnsi="Arial"/>
                <w:sz w:val="18"/>
                <w:szCs w:val="18"/>
                <w:color w:val="auto"/>
              </w:rPr>
              <w:t>Total from operations</w:t>
            </w: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0.59</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0.56</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Issuance of common stock, net of</w:t>
            </w:r>
          </w:p>
        </w:tc>
        <w:tc>
          <w:tcPr>
            <w:tcW w:w="9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 xml:space="preserve">offering costs </w:t>
            </w:r>
            <w:r>
              <w:rPr>
                <w:rFonts w:ascii="Arial" w:cs="Arial" w:eastAsia="Arial" w:hAnsi="Arial"/>
                <w:sz w:val="15"/>
                <w:szCs w:val="15"/>
                <w:color w:val="auto"/>
              </w:rPr>
              <w:t>(2)</w:t>
            </w:r>
          </w:p>
        </w:tc>
        <w:tc>
          <w:tcPr>
            <w:tcW w:w="9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0.01</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0.05</w:t>
            </w:r>
          </w:p>
        </w:tc>
        <w:tc>
          <w:tcPr>
            <w:tcW w:w="2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Dividends declared from net</w:t>
            </w: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60" w:type="dxa"/>
            <w:vAlign w:val="bottom"/>
          </w:tcPr>
          <w:p>
            <w:pPr>
              <w:ind w:left="120"/>
              <w:spacing w:after="0"/>
              <w:rPr>
                <w:sz w:val="20"/>
                <w:szCs w:val="20"/>
                <w:color w:val="auto"/>
              </w:rPr>
            </w:pPr>
            <w:r>
              <w:rPr>
                <w:rFonts w:ascii="Arial" w:cs="Arial" w:eastAsia="Arial" w:hAnsi="Arial"/>
                <w:sz w:val="18"/>
                <w:szCs w:val="18"/>
                <w:color w:val="auto"/>
              </w:rPr>
              <w:t xml:space="preserve">investment income </w:t>
            </w:r>
            <w:r>
              <w:rPr>
                <w:rFonts w:ascii="Arial" w:cs="Arial" w:eastAsia="Arial" w:hAnsi="Arial"/>
                <w:sz w:val="15"/>
                <w:szCs w:val="15"/>
                <w:color w:val="auto"/>
              </w:rPr>
              <w:t>(2)</w:t>
            </w: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20" w:type="dxa"/>
            <w:vAlign w:val="bottom"/>
            <w:gridSpan w:val="2"/>
          </w:tcPr>
          <w:p>
            <w:pPr>
              <w:jc w:val="right"/>
              <w:ind w:right="200"/>
              <w:spacing w:after="0"/>
              <w:rPr>
                <w:sz w:val="20"/>
                <w:szCs w:val="20"/>
                <w:color w:val="auto"/>
              </w:rPr>
            </w:pPr>
            <w:r>
              <w:rPr>
                <w:rFonts w:ascii="Arial" w:cs="Arial" w:eastAsia="Arial" w:hAnsi="Arial"/>
                <w:sz w:val="18"/>
                <w:szCs w:val="18"/>
                <w:color w:val="auto"/>
              </w:rPr>
              <w:t>(0.51)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80" w:type="dxa"/>
            <w:vAlign w:val="bottom"/>
            <w:gridSpan w:val="2"/>
          </w:tcPr>
          <w:p>
            <w:pPr>
              <w:jc w:val="right"/>
              <w:ind w:right="180"/>
              <w:spacing w:after="0"/>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increase in net</w:t>
            </w:r>
          </w:p>
        </w:tc>
        <w:tc>
          <w:tcPr>
            <w:tcW w:w="96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76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7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assets</w:t>
            </w:r>
          </w:p>
        </w:tc>
        <w:tc>
          <w:tcPr>
            <w:tcW w:w="960" w:type="dxa"/>
            <w:vAlign w:val="bottom"/>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0.09</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0.19</w:t>
            </w:r>
          </w:p>
        </w:tc>
        <w:tc>
          <w:tcPr>
            <w:tcW w:w="2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680" w:type="dxa"/>
            <w:vAlign w:val="bottom"/>
            <w:gridSpan w:val="2"/>
          </w:tcPr>
          <w:p>
            <w:pPr>
              <w:spacing w:after="0"/>
              <w:rPr>
                <w:sz w:val="20"/>
                <w:szCs w:val="20"/>
                <w:color w:val="auto"/>
              </w:rPr>
            </w:pPr>
            <w:r>
              <w:rPr>
                <w:rFonts w:ascii="Arial" w:cs="Arial" w:eastAsia="Arial" w:hAnsi="Arial"/>
                <w:sz w:val="18"/>
                <w:szCs w:val="18"/>
                <w:b w:val="1"/>
                <w:bCs w:val="1"/>
                <w:color w:val="auto"/>
              </w:rPr>
              <w:t>Net Asset Value, End of Period</w:t>
            </w:r>
          </w:p>
        </w:tc>
        <w:tc>
          <w:tcPr>
            <w:tcW w:w="960" w:type="dxa"/>
            <w:vAlign w:val="bottom"/>
          </w:tcPr>
          <w:p>
            <w:pPr>
              <w:spacing w:after="0"/>
              <w:rPr>
                <w:sz w:val="19"/>
                <w:szCs w:val="19"/>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16.34</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16.27</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Per share market value at end of</w:t>
            </w:r>
          </w:p>
        </w:tc>
        <w:tc>
          <w:tcPr>
            <w:tcW w:w="96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76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7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period</w:t>
            </w:r>
          </w:p>
        </w:tc>
        <w:tc>
          <w:tcPr>
            <w:tcW w:w="114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w:t>
            </w:r>
          </w:p>
        </w:tc>
        <w:tc>
          <w:tcPr>
            <w:tcW w:w="260" w:type="dxa"/>
            <w:vAlign w:val="bottom"/>
            <w:shd w:val="clear" w:color="auto" w:fill="CFF0FC"/>
          </w:tcPr>
          <w:p>
            <w:pPr>
              <w:spacing w:after="0"/>
              <w:rPr>
                <w:sz w:val="20"/>
                <w:szCs w:val="20"/>
                <w:color w:val="auto"/>
              </w:rPr>
            </w:pPr>
          </w:p>
        </w:tc>
        <w:tc>
          <w:tcPr>
            <w:tcW w:w="32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17.86</w:t>
            </w:r>
          </w:p>
        </w:tc>
        <w:tc>
          <w:tcPr>
            <w:tcW w:w="2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 xml:space="preserve">Total return based on market value </w:t>
            </w:r>
            <w:r>
              <w:rPr>
                <w:rFonts w:ascii="Arial" w:cs="Arial" w:eastAsia="Arial" w:hAnsi="Arial"/>
                <w:sz w:val="15"/>
                <w:szCs w:val="15"/>
                <w:color w:val="auto"/>
              </w:rPr>
              <w:t>(3)</w:t>
            </w: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20" w:type="dxa"/>
            <w:vAlign w:val="bottom"/>
            <w:gridSpan w:val="2"/>
          </w:tcPr>
          <w:p>
            <w:pPr>
              <w:jc w:val="right"/>
              <w:ind w:right="120"/>
              <w:spacing w:after="0"/>
              <w:rPr>
                <w:sz w:val="20"/>
                <w:szCs w:val="20"/>
                <w:color w:val="auto"/>
              </w:rPr>
            </w:pPr>
            <w:r>
              <w:rPr>
                <w:rFonts w:ascii="Arial" w:cs="Arial" w:eastAsia="Arial" w:hAnsi="Arial"/>
                <w:sz w:val="18"/>
                <w:szCs w:val="18"/>
                <w:color w:val="auto"/>
              </w:rPr>
              <w:t>13.38%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80" w:type="dxa"/>
            <w:vAlign w:val="bottom"/>
            <w:gridSpan w:val="2"/>
          </w:tcPr>
          <w:p>
            <w:pPr>
              <w:jc w:val="right"/>
              <w:ind w:right="20"/>
              <w:spacing w:after="0"/>
              <w:rPr>
                <w:sz w:val="20"/>
                <w:szCs w:val="20"/>
                <w:color w:val="auto"/>
              </w:rPr>
            </w:pPr>
            <w:r>
              <w:rPr>
                <w:rFonts w:ascii="Arial" w:cs="Arial" w:eastAsia="Arial" w:hAnsi="Arial"/>
                <w:sz w:val="18"/>
                <w:szCs w:val="18"/>
                <w:color w:val="auto"/>
              </w:rPr>
              <w:t>(7.68)%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Total return based on net asset</w:t>
            </w:r>
          </w:p>
        </w:tc>
        <w:tc>
          <w:tcPr>
            <w:tcW w:w="9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 xml:space="preserve">value </w:t>
            </w:r>
            <w:r>
              <w:rPr>
                <w:rFonts w:ascii="Arial" w:cs="Arial" w:eastAsia="Arial" w:hAnsi="Arial"/>
                <w:sz w:val="15"/>
                <w:szCs w:val="15"/>
                <w:color w:val="auto"/>
              </w:rPr>
              <w:t>(4)</w:t>
            </w:r>
          </w:p>
        </w:tc>
        <w:tc>
          <w:tcPr>
            <w:tcW w:w="9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3.69%</w:t>
            </w: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Shares Outstanding, End of Period</w:t>
            </w: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65,712,962</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64,166,951</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 xml:space="preserve">Ratios / Supplemental Data </w:t>
            </w:r>
            <w:r>
              <w:rPr>
                <w:rFonts w:ascii="Arial" w:cs="Arial" w:eastAsia="Arial" w:hAnsi="Arial"/>
                <w:sz w:val="15"/>
                <w:szCs w:val="15"/>
                <w:b w:val="1"/>
                <w:bCs w:val="1"/>
                <w:color w:val="auto"/>
              </w:rPr>
              <w:t>(5)</w:t>
            </w:r>
          </w:p>
        </w:tc>
        <w:tc>
          <w:tcPr>
            <w:tcW w:w="9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7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Ratio of net expenses to average</w:t>
            </w: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60" w:type="dxa"/>
            <w:vAlign w:val="bottom"/>
          </w:tcPr>
          <w:p>
            <w:pPr>
              <w:ind w:left="120"/>
              <w:spacing w:after="0"/>
              <w:rPr>
                <w:sz w:val="20"/>
                <w:szCs w:val="20"/>
                <w:color w:val="auto"/>
              </w:rPr>
            </w:pPr>
            <w:r>
              <w:rPr>
                <w:rFonts w:ascii="Arial" w:cs="Arial" w:eastAsia="Arial" w:hAnsi="Arial"/>
                <w:sz w:val="18"/>
                <w:szCs w:val="18"/>
                <w:color w:val="auto"/>
              </w:rPr>
              <w:t xml:space="preserve">net assets </w:t>
            </w:r>
            <w:r>
              <w:rPr>
                <w:rFonts w:ascii="Arial" w:cs="Arial" w:eastAsia="Arial" w:hAnsi="Arial"/>
                <w:sz w:val="15"/>
                <w:szCs w:val="15"/>
                <w:color w:val="auto"/>
              </w:rPr>
              <w:t>(6)</w:t>
            </w: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20" w:type="dxa"/>
            <w:vAlign w:val="bottom"/>
            <w:gridSpan w:val="2"/>
          </w:tcPr>
          <w:p>
            <w:pPr>
              <w:jc w:val="right"/>
              <w:ind w:right="120"/>
              <w:spacing w:after="0"/>
              <w:rPr>
                <w:sz w:val="20"/>
                <w:szCs w:val="20"/>
                <w:color w:val="auto"/>
              </w:rPr>
            </w:pPr>
            <w:r>
              <w:rPr>
                <w:rFonts w:ascii="Arial" w:cs="Arial" w:eastAsia="Arial" w:hAnsi="Arial"/>
                <w:sz w:val="18"/>
                <w:szCs w:val="18"/>
                <w:color w:val="auto"/>
              </w:rPr>
              <w:t>9.68%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80" w:type="dxa"/>
            <w:vAlign w:val="bottom"/>
            <w:gridSpan w:val="2"/>
          </w:tcPr>
          <w:p>
            <w:pPr>
              <w:jc w:val="right"/>
              <w:ind w:right="80"/>
              <w:spacing w:after="0"/>
              <w:rPr>
                <w:sz w:val="20"/>
                <w:szCs w:val="20"/>
                <w:color w:val="auto"/>
              </w:rPr>
            </w:pPr>
            <w:r>
              <w:rPr>
                <w:rFonts w:ascii="Arial" w:cs="Arial" w:eastAsia="Arial" w:hAnsi="Arial"/>
                <w:sz w:val="18"/>
                <w:szCs w:val="18"/>
                <w:color w:val="auto"/>
              </w:rPr>
              <w:t>10.56%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Ratio of net investment income</w:t>
            </w:r>
          </w:p>
        </w:tc>
        <w:tc>
          <w:tcPr>
            <w:tcW w:w="9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to average net assets</w:t>
            </w:r>
          </w:p>
        </w:tc>
        <w:tc>
          <w:tcPr>
            <w:tcW w:w="9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9.97%</w:t>
            </w: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12.39%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Portfolio turnover</w:t>
            </w: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20" w:type="dxa"/>
            <w:vAlign w:val="bottom"/>
            <w:gridSpan w:val="2"/>
          </w:tcPr>
          <w:p>
            <w:pPr>
              <w:jc w:val="right"/>
              <w:ind w:right="120"/>
              <w:spacing w:after="0"/>
              <w:rPr>
                <w:sz w:val="20"/>
                <w:szCs w:val="20"/>
                <w:color w:val="auto"/>
              </w:rPr>
            </w:pPr>
            <w:r>
              <w:rPr>
                <w:rFonts w:ascii="Arial" w:cs="Arial" w:eastAsia="Arial" w:hAnsi="Arial"/>
                <w:sz w:val="18"/>
                <w:szCs w:val="18"/>
                <w:color w:val="auto"/>
              </w:rPr>
              <w:t>7.27%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80" w:type="dxa"/>
            <w:vAlign w:val="bottom"/>
            <w:gridSpan w:val="2"/>
          </w:tcPr>
          <w:p>
            <w:pPr>
              <w:jc w:val="right"/>
              <w:ind w:right="80"/>
              <w:spacing w:after="0"/>
              <w:rPr>
                <w:sz w:val="20"/>
                <w:szCs w:val="20"/>
                <w:color w:val="auto"/>
              </w:rPr>
            </w:pPr>
            <w:r>
              <w:rPr>
                <w:rFonts w:ascii="Arial" w:cs="Arial" w:eastAsia="Arial" w:hAnsi="Arial"/>
                <w:sz w:val="18"/>
                <w:szCs w:val="18"/>
                <w:color w:val="auto"/>
              </w:rPr>
              <w:t>25.72%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Net assets, end of period</w:t>
            </w:r>
          </w:p>
        </w:tc>
        <w:tc>
          <w:tcPr>
            <w:tcW w:w="114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1,074,064</w:t>
            </w:r>
          </w:p>
        </w:tc>
        <w:tc>
          <w:tcPr>
            <w:tcW w:w="26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1,043,967</w:t>
            </w: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520" w:hanging="512"/>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per share data was derived by using the weighted average shares outstanding during the period.</w:t>
      </w:r>
    </w:p>
    <w:p>
      <w:pPr>
        <w:spacing w:after="0" w:line="23" w:lineRule="exact"/>
        <w:rPr>
          <w:rFonts w:ascii="Arial" w:cs="Arial" w:eastAsia="Arial" w:hAnsi="Arial"/>
          <w:sz w:val="18"/>
          <w:szCs w:val="18"/>
          <w:color w:val="auto"/>
        </w:rPr>
      </w:pPr>
    </w:p>
    <w:p>
      <w:pPr>
        <w:ind w:left="520" w:hanging="512"/>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per share data was derived by using the actual shares outstanding at the date of the relevant transactions.</w:t>
      </w:r>
    </w:p>
    <w:p>
      <w:pPr>
        <w:spacing w:after="0" w:line="9" w:lineRule="exact"/>
        <w:rPr>
          <w:rFonts w:ascii="Arial" w:cs="Arial" w:eastAsia="Arial" w:hAnsi="Arial"/>
          <w:sz w:val="18"/>
          <w:szCs w:val="18"/>
          <w:color w:val="auto"/>
        </w:rPr>
      </w:pPr>
    </w:p>
    <w:p>
      <w:pPr>
        <w:ind w:left="520" w:right="180" w:hanging="512"/>
        <w:spacing w:after="0" w:line="250" w:lineRule="auto"/>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Total return based on market value is calculated as the change in market value per share during the period plus declared dividends per share, divided by the beginning market value per share.</w:t>
      </w:r>
    </w:p>
    <w:p>
      <w:pPr>
        <w:ind w:left="520" w:right="540" w:hanging="512"/>
        <w:spacing w:after="0" w:line="250" w:lineRule="auto"/>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Total return based on net asset value is calculated as the change in net asset value per share during the period plus declared dividends per share, divided by the beginning net asset value per share.</w:t>
      </w:r>
    </w:p>
    <w:p>
      <w:pPr>
        <w:ind w:left="520" w:hanging="512"/>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ratios reflect an annualized amount.</w:t>
      </w:r>
    </w:p>
    <w:p>
      <w:pPr>
        <w:spacing w:after="0" w:line="9" w:lineRule="exact"/>
        <w:rPr>
          <w:rFonts w:ascii="Arial" w:cs="Arial" w:eastAsia="Arial" w:hAnsi="Arial"/>
          <w:sz w:val="18"/>
          <w:szCs w:val="18"/>
          <w:color w:val="auto"/>
        </w:rPr>
      </w:pPr>
    </w:p>
    <w:p>
      <w:pPr>
        <w:ind w:left="520" w:right="40" w:hanging="512"/>
        <w:spacing w:after="0" w:line="250" w:lineRule="auto"/>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ratio of net expenses to average net assets in the table above reflects the Adviser’s waivers of its right to receive a portion of the Management Fee and Incentive Fees with respect to the Company’s ownership of shares of common stock of Triangle Capital Corp. Excluding the effects of waivers, the ratio of net expenses to average net assets would have been 10.59% for the three months ended March 31, 2018. The Adviser did not waive any Management Fees or Incentive Fees for the three months ended March 31, 2019.</w:t>
      </w:r>
    </w:p>
    <w:p>
      <w:pPr>
        <w:spacing w:after="0" w:line="1" w:lineRule="exact"/>
        <w:rPr>
          <w:rFonts w:ascii="Arial" w:cs="Arial" w:eastAsia="Arial" w:hAnsi="Arial"/>
          <w:sz w:val="18"/>
          <w:szCs w:val="18"/>
          <w:color w:val="auto"/>
        </w:rPr>
      </w:pPr>
    </w:p>
    <w:p>
      <w:pPr>
        <w:ind w:left="520" w:hanging="512"/>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Table may not sum due to rounding.</w:t>
      </w: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14. Subsequent Events</w:t>
      </w:r>
    </w:p>
    <w:p>
      <w:pPr>
        <w:spacing w:after="0" w:line="121" w:lineRule="exact"/>
        <w:rPr>
          <w:sz w:val="20"/>
          <w:szCs w:val="20"/>
          <w:color w:val="auto"/>
        </w:rPr>
      </w:pPr>
    </w:p>
    <w:p>
      <w:pPr>
        <w:jc w:val="both"/>
        <w:ind w:firstLine="259"/>
        <w:spacing w:after="0" w:line="264" w:lineRule="auto"/>
        <w:rPr>
          <w:sz w:val="20"/>
          <w:szCs w:val="20"/>
          <w:color w:val="auto"/>
        </w:rPr>
      </w:pPr>
      <w:r>
        <w:rPr>
          <w:rFonts w:ascii="Arial" w:cs="Arial" w:eastAsia="Arial" w:hAnsi="Arial"/>
          <w:sz w:val="18"/>
          <w:szCs w:val="18"/>
          <w:color w:val="auto"/>
        </w:rPr>
        <w:t>The Company’s management has evaluated subsequent events through the date of issuance of the consolidated financial statements included herein. There have been no subsequent events that occurred during such period that would require disclosure in this Form 10-Q or would be required to be recognized in the consolidated financial statements as of and for the three months ended March 31, 2019.</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40" w:right="25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ind w:right="100" w:firstLine="259"/>
        <w:spacing w:after="0" w:line="264" w:lineRule="auto"/>
        <w:rPr>
          <w:sz w:val="20"/>
          <w:szCs w:val="20"/>
          <w:color w:val="auto"/>
        </w:rPr>
      </w:pPr>
      <w:r>
        <w:rPr>
          <w:rFonts w:ascii="Arial" w:cs="Arial" w:eastAsia="Arial" w:hAnsi="Arial"/>
          <w:sz w:val="18"/>
          <w:szCs w:val="18"/>
          <w:i w:val="1"/>
          <w:iCs w:val="1"/>
          <w:color w:val="auto"/>
        </w:rPr>
        <w:t>The information contained in this section should be read in conjunction with the consolidated financial statements and notes thereto appearing elsewhere in this report. This discussion also should be read in conjunction with the “Cautionary Statement Regarding Forward Looking Statements” set forth on page 3 of this Quarterly Report on Form 10-Q.</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right="480" w:firstLine="259"/>
        <w:spacing w:after="0" w:line="259" w:lineRule="auto"/>
        <w:rPr>
          <w:sz w:val="20"/>
          <w:szCs w:val="20"/>
          <w:color w:val="auto"/>
        </w:rPr>
      </w:pPr>
      <w:r>
        <w:rPr>
          <w:rFonts w:ascii="Arial" w:cs="Arial" w:eastAsia="Arial" w:hAnsi="Arial"/>
          <w:sz w:val="18"/>
          <w:szCs w:val="18"/>
          <w:color w:val="auto"/>
        </w:rPr>
        <w:t>TPG Specialty Lending, Inc. is a Delaware corporation formed on July 21, 2010. The Adviser is our external manager. We have three wholly owned subsidiaries, TC Lending, LLC, a Delaware limited liability company, which holds a California finance lender and broker license, TPG SL SPV, LLC, a Delaware limited liability company, in which we hold assets that were previously used to support our asset-backed credit facility, and TSL MR, LLC, a Delaware limited liability company, in which we hold certain investments.</w:t>
      </w:r>
    </w:p>
    <w:p>
      <w:pPr>
        <w:spacing w:after="0" w:line="187" w:lineRule="exact"/>
        <w:rPr>
          <w:sz w:val="20"/>
          <w:szCs w:val="20"/>
          <w:color w:val="auto"/>
        </w:rPr>
      </w:pPr>
    </w:p>
    <w:p>
      <w:pPr>
        <w:ind w:right="40" w:firstLine="259"/>
        <w:spacing w:after="0" w:line="277" w:lineRule="auto"/>
        <w:rPr>
          <w:sz w:val="20"/>
          <w:szCs w:val="20"/>
          <w:color w:val="auto"/>
        </w:rPr>
      </w:pPr>
      <w:r>
        <w:rPr>
          <w:rFonts w:ascii="Arial" w:cs="Arial" w:eastAsia="Arial" w:hAnsi="Arial"/>
          <w:sz w:val="18"/>
          <w:szCs w:val="18"/>
          <w:color w:val="auto"/>
        </w:rPr>
        <w:t>We have elected to be regulated as a BDC under the 1940 Act and as a RIC under the Code. We made our BDC election on April 15, 2011. As a result, we are required to comply with various statutory and regulatory requirements, such as:</w:t>
      </w:r>
    </w:p>
    <w:p>
      <w:pPr>
        <w:spacing w:after="0" w:line="62" w:lineRule="exact"/>
        <w:rPr>
          <w:sz w:val="20"/>
          <w:szCs w:val="20"/>
          <w:color w:val="auto"/>
        </w:rPr>
      </w:pPr>
    </w:p>
    <w:p>
      <w:pPr>
        <w:ind w:left="520" w:hanging="255"/>
        <w:spacing w:after="0"/>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requirement to invest at least 70% of our assets in “qualifying assets”;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source of income limitations;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asset diversification requirements; and</w:t>
      </w:r>
    </w:p>
    <w:p>
      <w:pPr>
        <w:spacing w:after="0" w:line="117" w:lineRule="exact"/>
        <w:rPr>
          <w:rFonts w:ascii="Arial" w:cs="Arial" w:eastAsia="Arial" w:hAnsi="Arial"/>
          <w:sz w:val="18"/>
          <w:szCs w:val="18"/>
          <w:color w:val="auto"/>
        </w:rPr>
      </w:pPr>
    </w:p>
    <w:p>
      <w:pPr>
        <w:ind w:left="520" w:right="520" w:hanging="255"/>
        <w:spacing w:after="0" w:line="277" w:lineRule="auto"/>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requirement to distribute (or be treated as distributing) in each taxable year at least 90% of our investment company taxable income and tax-exempt interest for that taxable year.</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Our shares are currently listed on the NYSE under the symbol “TSLX.”</w:t>
      </w:r>
    </w:p>
    <w:p>
      <w:pPr>
        <w:spacing w:after="0" w:line="225" w:lineRule="exact"/>
        <w:rPr>
          <w:sz w:val="20"/>
          <w:szCs w:val="20"/>
          <w:color w:val="auto"/>
        </w:rPr>
      </w:pPr>
    </w:p>
    <w:p>
      <w:pPr>
        <w:ind w:right="60" w:firstLine="259"/>
        <w:spacing w:after="0" w:line="291" w:lineRule="auto"/>
        <w:rPr>
          <w:sz w:val="20"/>
          <w:szCs w:val="20"/>
          <w:color w:val="auto"/>
        </w:rPr>
      </w:pPr>
      <w:r>
        <w:rPr>
          <w:rFonts w:ascii="Arial" w:cs="Arial" w:eastAsia="Arial" w:hAnsi="Arial"/>
          <w:sz w:val="16"/>
          <w:szCs w:val="16"/>
          <w:color w:val="auto"/>
        </w:rPr>
        <w:t>On August 4, 2015, our Board authorized us to enter into a stock repurchase plan, the Company 10b5-1 Plan, to acquire up to $50 million in the aggregate of our common stock at prices just below our net asset value per share over an initial six month period, in accordance with the guidelines specified in Rule</w:t>
      </w:r>
    </w:p>
    <w:p>
      <w:pPr>
        <w:jc w:val="both"/>
        <w:spacing w:after="0" w:line="277" w:lineRule="auto"/>
        <w:rPr>
          <w:sz w:val="20"/>
          <w:szCs w:val="20"/>
          <w:color w:val="auto"/>
        </w:rPr>
      </w:pPr>
      <w:r>
        <w:rPr>
          <w:rFonts w:ascii="Arial" w:cs="Arial" w:eastAsia="Arial" w:hAnsi="Arial"/>
          <w:sz w:val="17"/>
          <w:szCs w:val="17"/>
          <w:color w:val="auto"/>
        </w:rPr>
        <w:t>10b-18 and Rule 10b5-1 of the Exchange Act, and has continued to authorize extensions of the plan termination date prior to its expiration since that time. We put the Company 10b5-1 Plan in place because we believe that if our common stock is trading below our then-current net asset value per share, it is in the best interest of our stockholders for us to reinvest in our portfolio and increase our leverage ratio through share repurchases.</w:t>
      </w:r>
    </w:p>
    <w:p>
      <w:pPr>
        <w:spacing w:after="0" w:line="173" w:lineRule="exact"/>
        <w:rPr>
          <w:sz w:val="20"/>
          <w:szCs w:val="20"/>
          <w:color w:val="auto"/>
        </w:rPr>
      </w:pPr>
    </w:p>
    <w:p>
      <w:pPr>
        <w:ind w:right="40" w:firstLine="259"/>
        <w:spacing w:after="0" w:line="255" w:lineRule="auto"/>
        <w:rPr>
          <w:sz w:val="20"/>
          <w:szCs w:val="20"/>
          <w:color w:val="auto"/>
        </w:rPr>
      </w:pPr>
      <w:r>
        <w:rPr>
          <w:rFonts w:ascii="Arial" w:cs="Arial" w:eastAsia="Arial" w:hAnsi="Arial"/>
          <w:sz w:val="18"/>
          <w:szCs w:val="18"/>
          <w:color w:val="auto"/>
        </w:rPr>
        <w:t>The Company 10b5-1 Plan is designed to allow us to repurchase our common stock at times when we otherwise might be prevented from doing so under insider trading laws. The Company 10b5-1 Plan requires Goldman Sachs &amp; Co. LLC, as our agent, to repurchase shares of common stock on our behalf when the market price per share is below the most recently reported net asset value per share (including any updates, corrections or adjustments publicly announced by us to any previously announced net asset value per share). Under the Company 10b5-1 Plan, the agent will increase the volume of purchases made as the price of our common stock declines, subject to volume restrictions. The timing and amount of any stock repurchases will depend on the terms and conditions of the Company 10b5-1 Plan, the market price of our common stock and trading volumes, and no assurance can be given that any particular amount of common stock will be repurchased.</w:t>
      </w:r>
    </w:p>
    <w:p>
      <w:pPr>
        <w:spacing w:after="0" w:line="189" w:lineRule="exact"/>
        <w:rPr>
          <w:sz w:val="20"/>
          <w:szCs w:val="20"/>
          <w:color w:val="auto"/>
        </w:rPr>
      </w:pPr>
    </w:p>
    <w:p>
      <w:pPr>
        <w:ind w:right="140" w:firstLine="259"/>
        <w:spacing w:after="0" w:line="279" w:lineRule="auto"/>
        <w:rPr>
          <w:sz w:val="20"/>
          <w:szCs w:val="20"/>
          <w:color w:val="auto"/>
        </w:rPr>
      </w:pPr>
      <w:r>
        <w:rPr>
          <w:rFonts w:ascii="Arial" w:cs="Arial" w:eastAsia="Arial" w:hAnsi="Arial"/>
          <w:sz w:val="17"/>
          <w:szCs w:val="17"/>
          <w:color w:val="auto"/>
        </w:rPr>
        <w:t>On May 2, 2019, the Board authorized an amendment to the Company 10b5-1 Plan to (1) revise the market prices at which the agent will repurchase shares of the Company’s common stock on its behalf from just below the Company’s most recently reported net asset value per share to just below 1.05x the most recently reported net asset value per share, less the amount of any supplemental dividend declared for that quarter but not yet reflected in the most recently reported net asset value per share, and (2) extend the termination date to November 30, 2019.</w:t>
      </w:r>
    </w:p>
    <w:p>
      <w:pPr>
        <w:spacing w:after="0" w:line="171" w:lineRule="exact"/>
        <w:rPr>
          <w:sz w:val="20"/>
          <w:szCs w:val="20"/>
          <w:color w:val="auto"/>
        </w:rPr>
      </w:pPr>
    </w:p>
    <w:p>
      <w:pPr>
        <w:ind w:right="100" w:firstLine="259"/>
        <w:spacing w:after="0" w:line="277" w:lineRule="auto"/>
        <w:rPr>
          <w:sz w:val="20"/>
          <w:szCs w:val="20"/>
          <w:color w:val="auto"/>
        </w:rPr>
      </w:pPr>
      <w:r>
        <w:rPr>
          <w:rFonts w:ascii="Arial" w:cs="Arial" w:eastAsia="Arial" w:hAnsi="Arial"/>
          <w:sz w:val="18"/>
          <w:szCs w:val="18"/>
          <w:color w:val="auto"/>
        </w:rPr>
        <w:t>Unless otherwise extended or terminated by the Board, the Company 10b5-1 Plan will be in effect through the earlier of the termination date or such time as the current approved repurchase amount of up to $50 million has been fully utilized, subject to certain conditions.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 Framework</w:t>
      </w:r>
    </w:p>
    <w:p>
      <w:pPr>
        <w:spacing w:after="0" w:line="121" w:lineRule="exact"/>
        <w:rPr>
          <w:sz w:val="20"/>
          <w:szCs w:val="20"/>
          <w:color w:val="auto"/>
        </w:rPr>
      </w:pPr>
    </w:p>
    <w:p>
      <w:pPr>
        <w:ind w:right="100" w:firstLine="259"/>
        <w:spacing w:after="0" w:line="276" w:lineRule="auto"/>
        <w:rPr>
          <w:sz w:val="20"/>
          <w:szCs w:val="20"/>
          <w:color w:val="auto"/>
        </w:rPr>
      </w:pPr>
      <w:r>
        <w:rPr>
          <w:rFonts w:ascii="Arial" w:cs="Arial" w:eastAsia="Arial" w:hAnsi="Arial"/>
          <w:sz w:val="17"/>
          <w:szCs w:val="17"/>
          <w:color w:val="auto"/>
        </w:rPr>
        <w:t>We are a specialty finance company focused on lending to middle-market companies. Since we began our investment activities in July 2011, through March 31, 2019, we have originated more than $9.7 billion aggregate principal amount of investments and retained approximately $5.4 billion aggregate principal amount of these investments on our balance sheet prior to any subsequent exits and repayments. We seek to generate current income primarily in U.S.-domiciled middle-market companies through direct originations of senior secured loans and, to a lesser extent, originations of mezzanine and unsecured loans and investments in corporate bonds and equity securities.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5" w:name="page46"/>
    <w:bookmarkEnd w:id="45"/>
    <w:p>
      <w:pPr>
        <w:ind w:right="80" w:firstLine="259"/>
        <w:spacing w:after="0" w:line="259" w:lineRule="auto"/>
        <w:rPr>
          <w:sz w:val="20"/>
          <w:szCs w:val="20"/>
          <w:color w:val="auto"/>
        </w:rPr>
      </w:pPr>
      <w:r>
        <w:rPr>
          <w:rFonts w:ascii="Arial" w:cs="Arial" w:eastAsia="Arial" w:hAnsi="Arial"/>
          <w:sz w:val="18"/>
          <w:szCs w:val="18"/>
          <w:color w:val="auto"/>
        </w:rPr>
        <w:t>By “middle-market companies,” we mean companies that have annual EBITDA, which we believe is a useful proxy for cash flow, of $10 million to $250 million, although we may invest in larger or smaller companies on occasion. As of March 31, 2019, our core portfolio companies, which excludes certain investments that fall outside of our typical borrower profile and represent 82.0% of our total investments based on fair value, had weighted average annual revenue of $107.0 million and weighted average annual EBITDA of $31.5 million.</w:t>
      </w:r>
    </w:p>
    <w:p>
      <w:pPr>
        <w:spacing w:after="0" w:line="187" w:lineRule="exact"/>
        <w:rPr>
          <w:sz w:val="20"/>
          <w:szCs w:val="20"/>
          <w:color w:val="auto"/>
        </w:rPr>
      </w:pPr>
    </w:p>
    <w:p>
      <w:pPr>
        <w:ind w:firstLine="259"/>
        <w:spacing w:after="0" w:line="257" w:lineRule="auto"/>
        <w:rPr>
          <w:sz w:val="20"/>
          <w:szCs w:val="20"/>
          <w:color w:val="auto"/>
        </w:rPr>
      </w:pPr>
      <w:r>
        <w:rPr>
          <w:rFonts w:ascii="Arial" w:cs="Arial" w:eastAsia="Arial" w:hAnsi="Arial"/>
          <w:sz w:val="18"/>
          <w:szCs w:val="18"/>
          <w:color w:val="auto"/>
        </w:rPr>
        <w:t>We invest in first-lien debt, second-lien debt, mezzanine and unsecured debt and equity and other investments.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second-lien debt may include secured loans, and, to a lesser extent, secured corporate bonds, with a secondary priority behind first-lien debt.</w:t>
      </w:r>
    </w:p>
    <w:p>
      <w:pPr>
        <w:spacing w:after="0" w:line="188" w:lineRule="exact"/>
        <w:rPr>
          <w:sz w:val="20"/>
          <w:szCs w:val="20"/>
          <w:color w:val="auto"/>
        </w:rPr>
      </w:pPr>
    </w:p>
    <w:p>
      <w:pPr>
        <w:ind w:right="160" w:firstLine="259"/>
        <w:spacing w:after="0" w:line="264" w:lineRule="auto"/>
        <w:rPr>
          <w:sz w:val="20"/>
          <w:szCs w:val="20"/>
          <w:color w:val="auto"/>
        </w:rPr>
      </w:pPr>
      <w:r>
        <w:rPr>
          <w:rFonts w:ascii="Arial" w:cs="Arial" w:eastAsia="Arial" w:hAnsi="Arial"/>
          <w:sz w:val="18"/>
          <w:szCs w:val="18"/>
          <w:color w:val="auto"/>
        </w:rPr>
        <w:t>The debt in which we invest typically is not rated by any rating agency, but if these instruments were rated, they would likely receive a rating of below investment grade (that is, below BBB- or Baa3 as defined by Standard &amp; Poor’s and Moody’s Investors Services, respectively), which is often referred to as “junk.”</w:t>
      </w:r>
    </w:p>
    <w:p>
      <w:pPr>
        <w:spacing w:after="0" w:line="181" w:lineRule="exact"/>
        <w:rPr>
          <w:sz w:val="20"/>
          <w:szCs w:val="20"/>
          <w:color w:val="auto"/>
        </w:rPr>
      </w:pPr>
    </w:p>
    <w:p>
      <w:pPr>
        <w:ind w:right="220" w:firstLine="259"/>
        <w:spacing w:after="0" w:line="308" w:lineRule="auto"/>
        <w:rPr>
          <w:sz w:val="20"/>
          <w:szCs w:val="20"/>
          <w:color w:val="auto"/>
        </w:rPr>
      </w:pPr>
      <w:r>
        <w:rPr>
          <w:rFonts w:ascii="Arial" w:cs="Arial" w:eastAsia="Arial" w:hAnsi="Arial"/>
          <w:sz w:val="17"/>
          <w:szCs w:val="17"/>
          <w:color w:val="auto"/>
        </w:rPr>
        <w:t>The companies in which we invest use our capital to support organic growth, acquisitions, market or product expansion and recapitalizations (including restructurings). As of March 31, 2019, the largest single investment based on fair value represented 4.6% of our total investment portfolio.</w:t>
      </w:r>
    </w:p>
    <w:p>
      <w:pPr>
        <w:spacing w:after="0" w:line="14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March 31, 2019, the average investment size in each of our portfolio companies was approximately $38.0 million based on fair value.</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Through our Adviser, we consider potential investments utilizing a four-tiered investment framework and against our existing portfolio as a whole:</w:t>
      </w:r>
    </w:p>
    <w:p>
      <w:pPr>
        <w:spacing w:after="0" w:line="237" w:lineRule="exact"/>
        <w:rPr>
          <w:sz w:val="20"/>
          <w:szCs w:val="20"/>
          <w:color w:val="auto"/>
        </w:rPr>
      </w:pPr>
    </w:p>
    <w:p>
      <w:pPr>
        <w:ind w:right="60" w:firstLine="259"/>
        <w:spacing w:after="0" w:line="259" w:lineRule="auto"/>
        <w:rPr>
          <w:sz w:val="20"/>
          <w:szCs w:val="20"/>
          <w:color w:val="auto"/>
        </w:rPr>
      </w:pPr>
      <w:r>
        <w:rPr>
          <w:rFonts w:ascii="Arial" w:cs="Arial" w:eastAsia="Arial" w:hAnsi="Arial"/>
          <w:sz w:val="18"/>
          <w:szCs w:val="18"/>
          <w:i w:val="1"/>
          <w:iCs w:val="1"/>
          <w:color w:val="auto"/>
        </w:rPr>
        <w:t xml:space="preserve">Business and sector selection. </w:t>
      </w:r>
      <w:r>
        <w:rPr>
          <w:rFonts w:ascii="Arial" w:cs="Arial" w:eastAsia="Arial" w:hAnsi="Arial"/>
          <w:sz w:val="18"/>
          <w:szCs w:val="18"/>
          <w:color w:val="auto"/>
        </w:rPr>
        <w:t>We focus on companies with enterprise value between $50 million and $1 billion. When reviewing potential investments,</w:t>
      </w:r>
      <w:r>
        <w:rPr>
          <w:rFonts w:ascii="Arial" w:cs="Arial" w:eastAsia="Arial" w:hAnsi="Arial"/>
          <w:sz w:val="18"/>
          <w:szCs w:val="18"/>
          <w:i w:val="1"/>
          <w:iCs w:val="1"/>
          <w:color w:val="auto"/>
        </w:rPr>
        <w:t xml:space="preserve"> </w:t>
      </w:r>
      <w:r>
        <w:rPr>
          <w:rFonts w:ascii="Arial" w:cs="Arial" w:eastAsia="Arial" w:hAnsi="Arial"/>
          <w:sz w:val="18"/>
          <w:szCs w:val="18"/>
          <w:color w:val="auto"/>
        </w:rPr>
        <w:t>we seek to invest in businesses with high marginal cash flow, recurring revenue streams and where we believe credit quality will improve over time. We look for portfolio companies that we think have a sustainable competitive advantage in growing industries or distressed situations. We also seek companies where our investment will have a low loan-to-value ratio.</w:t>
      </w:r>
    </w:p>
    <w:p>
      <w:pPr>
        <w:spacing w:after="0" w:line="187" w:lineRule="exact"/>
        <w:rPr>
          <w:sz w:val="20"/>
          <w:szCs w:val="20"/>
          <w:color w:val="auto"/>
        </w:rPr>
      </w:pPr>
    </w:p>
    <w:p>
      <w:pPr>
        <w:ind w:right="220" w:firstLine="259"/>
        <w:spacing w:after="0" w:line="264" w:lineRule="auto"/>
        <w:rPr>
          <w:sz w:val="20"/>
          <w:szCs w:val="20"/>
          <w:color w:val="auto"/>
        </w:rPr>
      </w:pPr>
      <w:r>
        <w:rPr>
          <w:rFonts w:ascii="Arial" w:cs="Arial" w:eastAsia="Arial" w:hAnsi="Arial"/>
          <w:sz w:val="18"/>
          <w:szCs w:val="18"/>
          <w:color w:val="auto"/>
        </w:rPr>
        <w:t>We currently do not limit our focus to any specific industry and we may invest in larger or smaller companies on occasion. We classify the industries of our portfolio companies by end-market (such as healthcare, and business services) and not by the products or services (such as software) directed to those end-markets.</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March 31, 2019, the largest industry represented 20.0% of our total investment portfolio based on fair value.</w:t>
      </w:r>
    </w:p>
    <w:p>
      <w:pPr>
        <w:spacing w:after="0" w:line="225" w:lineRule="exact"/>
        <w:rPr>
          <w:sz w:val="20"/>
          <w:szCs w:val="20"/>
          <w:color w:val="auto"/>
        </w:rPr>
      </w:pPr>
    </w:p>
    <w:p>
      <w:pPr>
        <w:ind w:right="80" w:firstLine="259"/>
        <w:spacing w:after="0" w:line="272" w:lineRule="auto"/>
        <w:rPr>
          <w:sz w:val="20"/>
          <w:szCs w:val="20"/>
          <w:color w:val="auto"/>
        </w:rPr>
      </w:pPr>
      <w:r>
        <w:rPr>
          <w:rFonts w:ascii="Arial" w:cs="Arial" w:eastAsia="Arial" w:hAnsi="Arial"/>
          <w:sz w:val="17"/>
          <w:szCs w:val="17"/>
          <w:i w:val="1"/>
          <w:iCs w:val="1"/>
          <w:color w:val="auto"/>
        </w:rPr>
        <w:t xml:space="preserve">Investment Structuring. </w:t>
      </w:r>
      <w:r>
        <w:rPr>
          <w:rFonts w:ascii="Arial" w:cs="Arial" w:eastAsia="Arial" w:hAnsi="Arial"/>
          <w:sz w:val="17"/>
          <w:szCs w:val="17"/>
          <w:color w:val="auto"/>
        </w:rPr>
        <w:t>We focus on investing at the top of the capital structure and protecting that position. As of March 31, 2019, approximately 97.6%</w:t>
      </w:r>
      <w:r>
        <w:rPr>
          <w:rFonts w:ascii="Arial" w:cs="Arial" w:eastAsia="Arial" w:hAnsi="Arial"/>
          <w:sz w:val="17"/>
          <w:szCs w:val="17"/>
          <w:i w:val="1"/>
          <w:iCs w:val="1"/>
          <w:color w:val="auto"/>
        </w:rPr>
        <w:t xml:space="preserve"> </w:t>
      </w:r>
      <w:r>
        <w:rPr>
          <w:rFonts w:ascii="Arial" w:cs="Arial" w:eastAsia="Arial" w:hAnsi="Arial"/>
          <w:sz w:val="17"/>
          <w:szCs w:val="17"/>
          <w:color w:val="auto"/>
        </w:rPr>
        <w:t>of our portfolio was invested in secured debt, including 97.4% in first-lien debt investments. We carefully perform diligence and structure investments to include strong investor covenants. As a result, we structure investments with a view to creating opportunities for early intervention in the event of non-performance or stress. In addition, we seek to retain effective voting control in investments over the loans or particular class of securities in which we invest through maintaining affirmative voting positions or negotiating consent rights that allow us to retain a blocking position. We also aim for our loans to mature on a medium term, between two to six years after origination. For the three months ended March 31, 2019, the weighted average term on new investment commitments in new portfolio companies was 5.4 years.</w:t>
      </w:r>
    </w:p>
    <w:p>
      <w:pPr>
        <w:spacing w:after="0" w:line="178" w:lineRule="exact"/>
        <w:rPr>
          <w:sz w:val="20"/>
          <w:szCs w:val="20"/>
          <w:color w:val="auto"/>
        </w:rPr>
      </w:pPr>
    </w:p>
    <w:p>
      <w:pPr>
        <w:ind w:right="340" w:firstLine="259"/>
        <w:spacing w:after="0" w:line="277" w:lineRule="auto"/>
        <w:rPr>
          <w:sz w:val="20"/>
          <w:szCs w:val="20"/>
          <w:color w:val="auto"/>
        </w:rPr>
      </w:pPr>
      <w:r>
        <w:rPr>
          <w:rFonts w:ascii="Arial" w:cs="Arial" w:eastAsia="Arial" w:hAnsi="Arial"/>
          <w:sz w:val="18"/>
          <w:szCs w:val="18"/>
          <w:i w:val="1"/>
          <w:iCs w:val="1"/>
          <w:color w:val="auto"/>
        </w:rPr>
        <w:t xml:space="preserve">Deal Dynamics. </w:t>
      </w:r>
      <w:r>
        <w:rPr>
          <w:rFonts w:ascii="Arial" w:cs="Arial" w:eastAsia="Arial" w:hAnsi="Arial"/>
          <w:sz w:val="18"/>
          <w:szCs w:val="18"/>
          <w:color w:val="auto"/>
        </w:rPr>
        <w:t>We focus on, among other deal dynamics, direct origination of investments, where we identify and lead the investment transaction. A</w:t>
      </w:r>
      <w:r>
        <w:rPr>
          <w:rFonts w:ascii="Arial" w:cs="Arial" w:eastAsia="Arial" w:hAnsi="Arial"/>
          <w:sz w:val="18"/>
          <w:szCs w:val="18"/>
          <w:i w:val="1"/>
          <w:iCs w:val="1"/>
          <w:color w:val="auto"/>
        </w:rPr>
        <w:t xml:space="preserve"> </w:t>
      </w:r>
      <w:r>
        <w:rPr>
          <w:rFonts w:ascii="Arial" w:cs="Arial" w:eastAsia="Arial" w:hAnsi="Arial"/>
          <w:sz w:val="18"/>
          <w:szCs w:val="18"/>
          <w:color w:val="auto"/>
        </w:rPr>
        <w:t>substantial majority of our portfolio investments are sourced through our direct or proprietary relationships.</w:t>
      </w:r>
    </w:p>
    <w:p>
      <w:pPr>
        <w:spacing w:after="0" w:line="170" w:lineRule="exact"/>
        <w:rPr>
          <w:sz w:val="20"/>
          <w:szCs w:val="20"/>
          <w:color w:val="auto"/>
        </w:rPr>
      </w:pPr>
    </w:p>
    <w:p>
      <w:pPr>
        <w:ind w:right="80" w:firstLine="259"/>
        <w:spacing w:after="0" w:line="276" w:lineRule="auto"/>
        <w:rPr>
          <w:sz w:val="20"/>
          <w:szCs w:val="20"/>
          <w:color w:val="auto"/>
        </w:rPr>
      </w:pPr>
      <w:r>
        <w:rPr>
          <w:rFonts w:ascii="Arial" w:cs="Arial" w:eastAsia="Arial" w:hAnsi="Arial"/>
          <w:sz w:val="17"/>
          <w:szCs w:val="17"/>
          <w:i w:val="1"/>
          <w:iCs w:val="1"/>
          <w:color w:val="auto"/>
        </w:rPr>
        <w:t xml:space="preserve">Risk Mitigation. </w:t>
      </w:r>
      <w:r>
        <w:rPr>
          <w:rFonts w:ascii="Arial" w:cs="Arial" w:eastAsia="Arial" w:hAnsi="Arial"/>
          <w:sz w:val="17"/>
          <w:szCs w:val="17"/>
          <w:color w:val="auto"/>
        </w:rPr>
        <w:t>We seek to mitigate non-credit-related risk on our returns in several ways, including call protection provisions to protect future interest</w:t>
      </w:r>
      <w:r>
        <w:rPr>
          <w:rFonts w:ascii="Arial" w:cs="Arial" w:eastAsia="Arial" w:hAnsi="Arial"/>
          <w:sz w:val="17"/>
          <w:szCs w:val="17"/>
          <w:i w:val="1"/>
          <w:iCs w:val="1"/>
          <w:color w:val="auto"/>
        </w:rPr>
        <w:t xml:space="preserve"> </w:t>
      </w:r>
      <w:r>
        <w:rPr>
          <w:rFonts w:ascii="Arial" w:cs="Arial" w:eastAsia="Arial" w:hAnsi="Arial"/>
          <w:sz w:val="17"/>
          <w:szCs w:val="17"/>
          <w:color w:val="auto"/>
        </w:rPr>
        <w:t>income. As of March 31, 2019, we had call protection on 85.7% of our debt investments based on fair value, with weighted average call prices of 105.5% for the first year, 102.9% for the second year and 101.3% for the third year, in each case from the date of the initial investment. As of March 31, 2019, 99.7% of our debt investments based on fair value bore interest at floating rates (when including investment specific hedges), with 93.9% of these subject to interest rate floors, which we believe helps act as a portfolio-wide hedge against inflation.</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i w:val="1"/>
          <w:iCs w:val="1"/>
          <w:color w:val="auto"/>
        </w:rPr>
        <w:t>Relationship with our Adviser and TSSP</w:t>
      </w:r>
    </w:p>
    <w:p>
      <w:pPr>
        <w:spacing w:after="0" w:line="117" w:lineRule="exact"/>
        <w:rPr>
          <w:sz w:val="20"/>
          <w:szCs w:val="20"/>
          <w:color w:val="auto"/>
        </w:rPr>
      </w:pPr>
    </w:p>
    <w:p>
      <w:pPr>
        <w:ind w:right="40" w:firstLine="259"/>
        <w:spacing w:after="0" w:line="255" w:lineRule="auto"/>
        <w:rPr>
          <w:sz w:val="20"/>
          <w:szCs w:val="20"/>
          <w:color w:val="auto"/>
        </w:rPr>
      </w:pPr>
      <w:r>
        <w:rPr>
          <w:rFonts w:ascii="Arial" w:cs="Arial" w:eastAsia="Arial" w:hAnsi="Arial"/>
          <w:sz w:val="18"/>
          <w:szCs w:val="18"/>
          <w:color w:val="auto"/>
        </w:rPr>
        <w:t>Our Adviser is a Delaware limited liability company. Our Adviser acts as our investment adviser and administrator and is a registered investment adviser with the SEC under the Advisers Act. Our Adviser sources and manages our portfolio through a dedicated team of investment professionals predominately focused on us. Our Investment Team is led by our Chairman and Chief Executive Officer and our Adviser’s Co-Chief Investment Officer Joshua Easterly, and our Adviser’s Co-Chief Investment Officer Alan Waxman, both of whom have substantial experience in credit origination, underwriting and asset management. Our investment decisions are made by our Investment Review Committee, which includes senior personnel of our Adviser and TPG Sixth Street Partners, LLC, or TSSP.</w:t>
      </w:r>
    </w:p>
    <w:p>
      <w:pPr>
        <w:spacing w:after="0" w:line="193" w:lineRule="exact"/>
        <w:rPr>
          <w:sz w:val="20"/>
          <w:szCs w:val="20"/>
          <w:color w:val="auto"/>
        </w:rPr>
      </w:pPr>
    </w:p>
    <w:p>
      <w:pPr>
        <w:ind w:right="20" w:firstLine="259"/>
        <w:spacing w:after="0" w:line="289" w:lineRule="auto"/>
        <w:rPr>
          <w:sz w:val="20"/>
          <w:szCs w:val="20"/>
          <w:color w:val="auto"/>
        </w:rPr>
      </w:pPr>
      <w:r>
        <w:rPr>
          <w:rFonts w:ascii="Arial" w:cs="Arial" w:eastAsia="Arial" w:hAnsi="Arial"/>
          <w:sz w:val="16"/>
          <w:szCs w:val="16"/>
          <w:color w:val="auto"/>
        </w:rPr>
        <w:t>TSSP is a global finance and investment firm with over $30 billion of assets under management as of December 31, 2018. TSSP is in a strategic partnership with TPG, the global alternative asset firm. TSSP’s core platforms include TPG Specialty Lending, TSL Europe, which is aimed at European middle-market loan originations, TSSP Adjacent Opportunities, which has the flexibility to invest across all of TSSP’s private credit market investments, TSSP Opportunities Partners, which focuses on actively managed opportunistic investments across the credit cycle, TPG Institutional Credit Partners, which is a “public-side” credit investment platform focused on investment opportunities in broadly syndicated leveraged loan markets, and TSSP Capital Solutions, which provides financing solutions to growing companies. TSSP has a long-term oriented, highly flexible capital base that allows it to invest across industries, geographies, capital structures and asset classes. TSSP has extensive experience with highly complex, global public and private investments executed through primary originations, secondary market purchases and restructurings, and has a team of over 200 investment and operating professionals. As of March 31, 2019, thirty two (32) of these personnel are dedicated to our business, including twenty five (25) investment professionals.</w:t>
      </w:r>
    </w:p>
    <w:p>
      <w:pPr>
        <w:spacing w:after="0" w:line="167" w:lineRule="exact"/>
        <w:rPr>
          <w:sz w:val="20"/>
          <w:szCs w:val="20"/>
          <w:color w:val="auto"/>
        </w:rPr>
      </w:pPr>
    </w:p>
    <w:p>
      <w:pPr>
        <w:ind w:right="40" w:firstLine="259"/>
        <w:spacing w:after="0" w:line="273" w:lineRule="auto"/>
        <w:rPr>
          <w:sz w:val="20"/>
          <w:szCs w:val="20"/>
          <w:color w:val="auto"/>
        </w:rPr>
      </w:pPr>
      <w:r>
        <w:rPr>
          <w:rFonts w:ascii="Arial" w:cs="Arial" w:eastAsia="Arial" w:hAnsi="Arial"/>
          <w:sz w:val="17"/>
          <w:szCs w:val="17"/>
          <w:color w:val="auto"/>
        </w:rPr>
        <w:t>Our Adviser consults with TSSP in connection with a substantial number of our investments. The TSSP platform provides us with a breadth of large and scalable investment resources. We believe we benefit from TSSP’s market expertise, insights into industry, sector and macroeconomic trends and intensive due diligence capabilities, which help us discern market conditions that vary across industries and credit cycles, identify favorable investment opportunities and manage our portfolio of investments. TSSP and TPG will refer all middle-market loan origination activities for companies domiciled in the United States to us and conduct those activities through us. The Adviser will determine whether it would be permissible, advisable or otherwise appropriate for us to pursue a particular investment opportunity allocated to us by TSSP and TPG.</w:t>
      </w:r>
    </w:p>
    <w:p>
      <w:pPr>
        <w:spacing w:after="0" w:line="178" w:lineRule="exact"/>
        <w:rPr>
          <w:sz w:val="20"/>
          <w:szCs w:val="20"/>
          <w:color w:val="auto"/>
        </w:rPr>
      </w:pPr>
    </w:p>
    <w:p>
      <w:pPr>
        <w:jc w:val="both"/>
        <w:ind w:right="140" w:firstLine="259"/>
        <w:spacing w:after="0" w:line="259" w:lineRule="auto"/>
        <w:rPr>
          <w:sz w:val="20"/>
          <w:szCs w:val="20"/>
          <w:color w:val="auto"/>
        </w:rPr>
      </w:pPr>
      <w:r>
        <w:rPr>
          <w:rFonts w:ascii="Arial" w:cs="Arial" w:eastAsia="Arial" w:hAnsi="Arial"/>
          <w:sz w:val="18"/>
          <w:szCs w:val="18"/>
          <w:color w:val="auto"/>
        </w:rPr>
        <w:t>On December 16, 2014, we were granted an exemptive order from the SEC that allows us to co-invest, subject to certain conditions and to the extent the size of an investment opportunity exceeds the amount our Adviser has independently determined is appropriate to invest, with affiliates of TSSP and TPG in middle-market loan origination activities for companies domiciled in the United States and certain “follow-on” investments in companies in which we have already co-invested pursuant to the order and remain invested.</w:t>
      </w:r>
    </w:p>
    <w:p>
      <w:pPr>
        <w:spacing w:after="0" w:line="187" w:lineRule="exact"/>
        <w:rPr>
          <w:sz w:val="20"/>
          <w:szCs w:val="20"/>
          <w:color w:val="auto"/>
        </w:rPr>
      </w:pPr>
    </w:p>
    <w:p>
      <w:pPr>
        <w:ind w:right="120" w:firstLine="259"/>
        <w:spacing w:after="0" w:line="259" w:lineRule="auto"/>
        <w:rPr>
          <w:sz w:val="20"/>
          <w:szCs w:val="20"/>
          <w:color w:val="auto"/>
        </w:rPr>
      </w:pPr>
      <w:r>
        <w:rPr>
          <w:rFonts w:ascii="Arial" w:cs="Arial" w:eastAsia="Arial" w:hAnsi="Arial"/>
          <w:sz w:val="18"/>
          <w:szCs w:val="18"/>
          <w:color w:val="auto"/>
        </w:rPr>
        <w:t>We believe our ability to co-invest with TSSP affiliates is particularly useful where we identify larger capital commitments than otherwise would be appropriate for us. We expect that with the ability to co-invest with TSSP affiliates we will continue to be able to provide “one-stop” financing to a potential portfolio company in these circumstances, which may allow us to capture opportunities where we alone could not commit the full amount of required capital or would have to spend additional time to locate unaffiliated co-investors.</w:t>
      </w:r>
    </w:p>
    <w:p>
      <w:pPr>
        <w:spacing w:after="0" w:line="187" w:lineRule="exact"/>
        <w:rPr>
          <w:sz w:val="20"/>
          <w:szCs w:val="20"/>
          <w:color w:val="auto"/>
        </w:rPr>
      </w:pPr>
    </w:p>
    <w:p>
      <w:pPr>
        <w:jc w:val="both"/>
        <w:ind w:right="180" w:firstLine="259"/>
        <w:spacing w:after="0" w:line="312" w:lineRule="auto"/>
        <w:rPr>
          <w:sz w:val="20"/>
          <w:szCs w:val="20"/>
          <w:color w:val="auto"/>
        </w:rPr>
      </w:pPr>
      <w:r>
        <w:rPr>
          <w:rFonts w:ascii="Arial" w:cs="Arial" w:eastAsia="Arial" w:hAnsi="Arial"/>
          <w:sz w:val="16"/>
          <w:szCs w:val="16"/>
          <w:color w:val="auto"/>
        </w:rPr>
        <w:t>Under the terms of the Investment Advisory Agreement and Administration Agreement, the Adviser’s services are not exclusive, and the Adviser is free to furnish similar or other services to others, so long as its services to us are not impaired. Under the terms of the Investment Advisory Agreement, we will pay the Adviser the base management fee, or the Management Fee, and may also pay certain incentive fees, or the Incentive Fees.</w:t>
      </w:r>
    </w:p>
    <w:p>
      <w:pPr>
        <w:spacing w:after="0" w:line="147" w:lineRule="exact"/>
        <w:rPr>
          <w:sz w:val="20"/>
          <w:szCs w:val="20"/>
          <w:color w:val="auto"/>
        </w:rPr>
      </w:pPr>
    </w:p>
    <w:p>
      <w:pPr>
        <w:ind w:firstLine="259"/>
        <w:spacing w:after="0" w:line="259" w:lineRule="auto"/>
        <w:rPr>
          <w:sz w:val="20"/>
          <w:szCs w:val="20"/>
          <w:color w:val="auto"/>
        </w:rPr>
      </w:pPr>
      <w:r>
        <w:rPr>
          <w:rFonts w:ascii="Arial" w:cs="Arial" w:eastAsia="Arial" w:hAnsi="Arial"/>
          <w:sz w:val="18"/>
          <w:szCs w:val="18"/>
          <w:color w:val="auto"/>
        </w:rPr>
        <w:t>Under the terms of the Administration Agreement, the Adviser also provides administrative services to us. These services include providing office space, equipment and office services, maintaining financial records, preparing reports to stockholders and reports filed with the SEC, and managing the payment of expenses and the oversight of the performance of administrative and professional services rendered by others. Certain of these services are reimbursable to the Adviser under the terms of the Administration Agreement.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Key Components of Our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focus primarily on the direct origination of loans to middle-market companies domiciled in the United States.</w:t>
      </w:r>
    </w:p>
    <w:p>
      <w:pPr>
        <w:spacing w:after="0" w:line="225" w:lineRule="exact"/>
        <w:rPr>
          <w:sz w:val="20"/>
          <w:szCs w:val="20"/>
          <w:color w:val="auto"/>
        </w:rPr>
      </w:pPr>
    </w:p>
    <w:p>
      <w:pPr>
        <w:ind w:right="240" w:firstLine="259"/>
        <w:spacing w:after="0" w:line="312" w:lineRule="auto"/>
        <w:rPr>
          <w:sz w:val="20"/>
          <w:szCs w:val="20"/>
          <w:color w:val="auto"/>
        </w:rPr>
      </w:pPr>
      <w:r>
        <w:rPr>
          <w:rFonts w:ascii="Arial" w:cs="Arial" w:eastAsia="Arial" w:hAnsi="Arial"/>
          <w:sz w:val="16"/>
          <w:szCs w:val="16"/>
          <w:color w:val="auto"/>
        </w:rPr>
        <w:t>Our level of investment activity (both the number of investments and the size of each investment) can and does vary substantially from period to period depending on many factors, including the amount of debt and equity capital generally available to middle-market companies, the level of merger and acquisition activity for such companies, the general economic environment and the competitive environment for the types of investments we make.</w:t>
      </w:r>
    </w:p>
    <w:p>
      <w:pPr>
        <w:spacing w:after="0" w:line="147" w:lineRule="exact"/>
        <w:rPr>
          <w:sz w:val="20"/>
          <w:szCs w:val="20"/>
          <w:color w:val="auto"/>
        </w:rPr>
      </w:pPr>
    </w:p>
    <w:p>
      <w:pPr>
        <w:ind w:right="460" w:firstLine="259"/>
        <w:spacing w:after="0" w:line="277" w:lineRule="auto"/>
        <w:rPr>
          <w:sz w:val="20"/>
          <w:szCs w:val="20"/>
          <w:color w:val="auto"/>
        </w:rPr>
      </w:pPr>
      <w:r>
        <w:rPr>
          <w:rFonts w:ascii="Arial" w:cs="Arial" w:eastAsia="Arial" w:hAnsi="Arial"/>
          <w:sz w:val="18"/>
          <w:szCs w:val="18"/>
          <w:color w:val="auto"/>
        </w:rPr>
        <w:t>In addition, as part of our risk strategy on investments, we may reduce certain levels of investments through partial sales or syndication to additional investors.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ind w:firstLine="259"/>
        <w:spacing w:after="0" w:line="255" w:lineRule="auto"/>
        <w:rPr>
          <w:sz w:val="20"/>
          <w:szCs w:val="20"/>
          <w:color w:val="auto"/>
        </w:rPr>
      </w:pPr>
      <w:r>
        <w:rPr>
          <w:rFonts w:ascii="Arial" w:cs="Arial" w:eastAsia="Arial" w:hAnsi="Arial"/>
          <w:sz w:val="18"/>
          <w:szCs w:val="18"/>
          <w:color w:val="auto"/>
        </w:rPr>
        <w:t>We generate revenues primarily in the form of interest income from the investments we hold. In addition, we may generate income from dividends on direct equity investments, capital gains on the sale of investments and various loan origination and other fees. Our debt investments typically have a term of two to six years, and, as of March 31, 2019, 99.7% of these investments based on fair value bore interest at a floating rate (when including investment specific hedges), with 93.9% of these subject to interest rate floors. Interest on debt investments is generally payable quarterly or semiannually. Some of our debt investments provide for deferred interest payments or PIK interest. For the three months ended March 31, 2019, 3.4% of our total investment income was comprised of PIK interest.</w:t>
      </w:r>
    </w:p>
    <w:p>
      <w:pPr>
        <w:spacing w:after="0" w:line="193" w:lineRule="exact"/>
        <w:rPr>
          <w:sz w:val="20"/>
          <w:szCs w:val="20"/>
          <w:color w:val="auto"/>
        </w:rPr>
      </w:pPr>
    </w:p>
    <w:p>
      <w:pPr>
        <w:ind w:right="40" w:firstLine="259"/>
        <w:spacing w:after="0" w:line="271" w:lineRule="auto"/>
        <w:rPr>
          <w:sz w:val="20"/>
          <w:szCs w:val="20"/>
          <w:color w:val="auto"/>
        </w:rPr>
      </w:pPr>
      <w:r>
        <w:rPr>
          <w:rFonts w:ascii="Arial" w:cs="Arial" w:eastAsia="Arial" w:hAnsi="Arial"/>
          <w:sz w:val="17"/>
          <w:szCs w:val="17"/>
          <w:color w:val="auto"/>
        </w:rPr>
        <w:t>Changes in our net investment income are primarily driven by the spread between the payments we receive from our investments in our portfolio companies against our cost of funding, rather than by changes in interest rates. Our investment portfolio primarily consists of floating rate loans, and our credit facilities, 2023 Notes and Convertible Notes, after taking into account the effect of the interest rate swaps we have entered into in connection with the Convertible Notes and 2023 Notes, all bear interest at floating rates. Macro trends in base interest rates like LIBOR may affect our net investment income over the long term. However, because we generally originate loans to a small number of portfolio companies each quarter, and those investments also vary in size, our results in any given period—including the interest rate on investments that were sold or repaid in a period compared to the interest rate of new investments made during that period—often are idiosyncratic, and reflect the characteristics of the particular portfolio companies that we invested in or exited during the period and not necessarily any trends in our business.</w:t>
      </w:r>
    </w:p>
    <w:p>
      <w:pPr>
        <w:spacing w:after="0" w:line="179" w:lineRule="exact"/>
        <w:rPr>
          <w:sz w:val="20"/>
          <w:szCs w:val="20"/>
          <w:color w:val="auto"/>
        </w:rPr>
      </w:pPr>
    </w:p>
    <w:p>
      <w:pPr>
        <w:ind w:right="220" w:firstLine="259"/>
        <w:spacing w:after="0" w:line="297" w:lineRule="auto"/>
        <w:rPr>
          <w:sz w:val="20"/>
          <w:szCs w:val="20"/>
          <w:color w:val="auto"/>
        </w:rPr>
      </w:pPr>
      <w:r>
        <w:rPr>
          <w:rFonts w:ascii="Arial" w:cs="Arial" w:eastAsia="Arial" w:hAnsi="Arial"/>
          <w:sz w:val="16"/>
          <w:szCs w:val="16"/>
          <w:color w:val="auto"/>
        </w:rPr>
        <w:t>In addition to interest income, our net investment income is also driven by prepayment and other fees, which also can vary significantly from quarter to quarter. The level of prepayment fees is generally correlated to the movement in credit spreads and risk premiums, but also will vary based on corporate events that may take place at an individual portfolio company in a given period—e.g., merger and acquisition activity, initial public offerings and restructurings. As noted above, generally a small but varied number of portfolio companies may make prepayments in any quarter, meaning that changes in the amount of prepayment fees received can vary significantly between periods and can vary without regard to underlying credit trends.</w:t>
      </w:r>
    </w:p>
    <w:p>
      <w:pPr>
        <w:spacing w:after="0" w:line="158" w:lineRule="exact"/>
        <w:rPr>
          <w:sz w:val="20"/>
          <w:szCs w:val="20"/>
          <w:color w:val="auto"/>
        </w:rPr>
      </w:pPr>
    </w:p>
    <w:p>
      <w:pPr>
        <w:ind w:right="20" w:firstLine="259"/>
        <w:spacing w:after="0" w:line="257" w:lineRule="auto"/>
        <w:rPr>
          <w:sz w:val="20"/>
          <w:szCs w:val="20"/>
          <w:color w:val="auto"/>
        </w:rPr>
      </w:pPr>
      <w:r>
        <w:rPr>
          <w:rFonts w:ascii="Arial" w:cs="Arial" w:eastAsia="Arial" w:hAnsi="Arial"/>
          <w:sz w:val="18"/>
          <w:szCs w:val="18"/>
          <w:color w:val="auto"/>
        </w:rPr>
        <w:t>Loan origination fees, original issue discount and market discount or premium are capitalized, and we accrete or amortize such amounts as interest income using the effective interest method for term instruments and the straight-line method for revolving or delayed draw instruments. Repayments of our debt investments can reduce interest income from period to period. We record prepayment premiums on loans as interest income when earned. We also may generate revenue in the form of commitment, amendment, structuring, syndication or due diligence fees, fees for providing managerial assistance and consulting fees. The frequency or volume of these repayments may fluctuate significantly.</w:t>
      </w:r>
    </w:p>
    <w:p>
      <w:pPr>
        <w:spacing w:after="0" w:line="188" w:lineRule="exact"/>
        <w:rPr>
          <w:sz w:val="20"/>
          <w:szCs w:val="20"/>
          <w:color w:val="auto"/>
        </w:rPr>
      </w:pPr>
    </w:p>
    <w:p>
      <w:pPr>
        <w:ind w:right="320" w:firstLine="259"/>
        <w:spacing w:after="0" w:line="277" w:lineRule="auto"/>
        <w:rPr>
          <w:sz w:val="20"/>
          <w:szCs w:val="20"/>
          <w:color w:val="auto"/>
        </w:rPr>
      </w:pPr>
      <w:r>
        <w:rPr>
          <w:rFonts w:ascii="Arial" w:cs="Arial" w:eastAsia="Arial" w:hAnsi="Arial"/>
          <w:sz w:val="18"/>
          <w:szCs w:val="18"/>
          <w:color w:val="auto"/>
        </w:rPr>
        <w:t>Dividend income on common equity investments is recorded on the record date for private portfolio companies or on the ex-dividend date for publicly traded portfolio companies.</w:t>
      </w:r>
    </w:p>
    <w:p>
      <w:pPr>
        <w:spacing w:after="0" w:line="170" w:lineRule="exact"/>
        <w:rPr>
          <w:sz w:val="20"/>
          <w:szCs w:val="20"/>
          <w:color w:val="auto"/>
        </w:rPr>
      </w:pPr>
    </w:p>
    <w:p>
      <w:pPr>
        <w:ind w:right="20" w:firstLine="259"/>
        <w:spacing w:after="0" w:line="259" w:lineRule="auto"/>
        <w:rPr>
          <w:sz w:val="20"/>
          <w:szCs w:val="20"/>
          <w:color w:val="auto"/>
        </w:rPr>
      </w:pPr>
      <w:r>
        <w:rPr>
          <w:rFonts w:ascii="Arial" w:cs="Arial" w:eastAsia="Arial" w:hAnsi="Arial"/>
          <w:sz w:val="18"/>
          <w:szCs w:val="18"/>
          <w:color w:val="auto"/>
        </w:rPr>
        <w:t>Our portfolio activity also reflects the proceeds of sales of investments. We recognize realized gains or losses on investments based on the difference between the net proceeds from the disposition and the amortized cost basis of the investment without regard to unrealized gains or losses previously recognized. We record current period changes in fair value of investments that are measured at fair value as a component of the net change in unrealized gains (losses) on investments in the consolidated statements of operations.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i w:val="1"/>
          <w:iCs w:val="1"/>
          <w:color w:val="auto"/>
        </w:rPr>
        <w:t>Expenses</w:t>
      </w:r>
    </w:p>
    <w:p>
      <w:pPr>
        <w:spacing w:after="0" w:line="117" w:lineRule="exact"/>
        <w:rPr>
          <w:sz w:val="20"/>
          <w:szCs w:val="20"/>
          <w:color w:val="auto"/>
        </w:rPr>
      </w:pPr>
    </w:p>
    <w:p>
      <w:pPr>
        <w:jc w:val="both"/>
        <w:ind w:right="140" w:firstLine="259"/>
        <w:spacing w:after="0" w:line="264" w:lineRule="auto"/>
        <w:rPr>
          <w:sz w:val="20"/>
          <w:szCs w:val="20"/>
          <w:color w:val="auto"/>
        </w:rPr>
      </w:pPr>
      <w:r>
        <w:rPr>
          <w:rFonts w:ascii="Arial" w:cs="Arial" w:eastAsia="Arial" w:hAnsi="Arial"/>
          <w:sz w:val="18"/>
          <w:szCs w:val="18"/>
          <w:color w:val="auto"/>
        </w:rPr>
        <w:t>Our primary operating expenses include the payment of fees to our Adviser under the Investment Advisory Agreement, expenses reimbursable under the Administration Agreement and other operating costs described below. Additionally, we pay interest expense on our outstanding debt. We bear all other costs and expenses of our operations, administration and transactions, including those relating to:</w:t>
      </w:r>
    </w:p>
    <w:p>
      <w:pPr>
        <w:spacing w:after="0" w:line="73" w:lineRule="exact"/>
        <w:rPr>
          <w:sz w:val="20"/>
          <w:szCs w:val="20"/>
          <w:color w:val="auto"/>
        </w:rPr>
      </w:pPr>
    </w:p>
    <w:p>
      <w:pPr>
        <w:ind w:left="520" w:hanging="255"/>
        <w:spacing w:after="0"/>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calculating individual asset values and our net asset value (including the cost and expenses of any independent valuation firms);</w:t>
      </w:r>
    </w:p>
    <w:p>
      <w:pPr>
        <w:spacing w:after="0" w:line="117" w:lineRule="exact"/>
        <w:rPr>
          <w:rFonts w:ascii="Arial" w:cs="Arial" w:eastAsia="Arial" w:hAnsi="Arial"/>
          <w:sz w:val="18"/>
          <w:szCs w:val="18"/>
          <w:color w:val="auto"/>
        </w:rPr>
      </w:pPr>
    </w:p>
    <w:p>
      <w:pPr>
        <w:ind w:left="520" w:right="460" w:hanging="255"/>
        <w:spacing w:after="0" w:line="264" w:lineRule="auto"/>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expenses, including travel expenses, incurred by the Adviser, or members of our Investment Team, or payable to third parties, in respect of due diligence on prospective portfolio companies and, if necessary, in respect of enforcing our rights with respect to investments in existing portfolio companies;</w:t>
      </w:r>
    </w:p>
    <w:p>
      <w:pPr>
        <w:spacing w:after="0" w:line="73" w:lineRule="exact"/>
        <w:rPr>
          <w:rFonts w:ascii="Arial" w:cs="Arial" w:eastAsia="Arial" w:hAnsi="Arial"/>
          <w:sz w:val="18"/>
          <w:szCs w:val="18"/>
          <w:color w:val="auto"/>
        </w:rPr>
      </w:pPr>
    </w:p>
    <w:p>
      <w:pPr>
        <w:ind w:left="520" w:hanging="255"/>
        <w:spacing w:after="0"/>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costs of any public offerings of our common stock and other securities, including registration and listing fees;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Management Fee and any Incentive Fee;</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certain costs and expenses relating to distributions paid on our shares;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administration fees payable under our Administration Agreement;</w:t>
      </w:r>
    </w:p>
    <w:p>
      <w:pPr>
        <w:spacing w:after="0" w:line="117" w:lineRule="exact"/>
        <w:rPr>
          <w:rFonts w:ascii="Arial" w:cs="Arial" w:eastAsia="Arial" w:hAnsi="Arial"/>
          <w:sz w:val="18"/>
          <w:szCs w:val="18"/>
          <w:color w:val="auto"/>
        </w:rPr>
      </w:pPr>
    </w:p>
    <w:p>
      <w:pPr>
        <w:ind w:left="520" w:hanging="255"/>
        <w:spacing w:after="0" w:line="257" w:lineRule="auto"/>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costs of preparing financial statements and maintaining books and records and filing reports or other documents with the SEC (or other regulatory bodies) and other reporting and compliance costs, and the compensation of professionals responsible for the preparation of the foregoing, including the allocable portion of the compensation of our Chief Compliance Officer, Chief Financial Officer and other professionals who provide operational and administrative services to us pursuant to the Administration Agreement (based on the percentage of time those individuals devote, on an estimated basis, to our business and affairs);</w:t>
      </w:r>
    </w:p>
    <w:p>
      <w:pPr>
        <w:spacing w:after="0" w:line="80" w:lineRule="exact"/>
        <w:rPr>
          <w:rFonts w:ascii="Arial" w:cs="Arial" w:eastAsia="Arial" w:hAnsi="Arial"/>
          <w:sz w:val="18"/>
          <w:szCs w:val="18"/>
          <w:color w:val="auto"/>
        </w:rPr>
      </w:pPr>
    </w:p>
    <w:p>
      <w:pPr>
        <w:ind w:left="520" w:hanging="255"/>
        <w:spacing w:after="0"/>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debt service and other costs of borrowings or other financing arrangements;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Adviser’s allocable share of costs incurred in providing significant managerial assistance to those portfolio companies that request it;</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amounts payable to third parties relating to, or associated with, making or holding investments;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costs of hedging;</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commissions and other compensation payable to brokers or dealers;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taxes;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Independent Director fees and expenses;</w:t>
      </w:r>
    </w:p>
    <w:p>
      <w:pPr>
        <w:spacing w:after="0" w:line="117" w:lineRule="exact"/>
        <w:rPr>
          <w:rFonts w:ascii="Arial" w:cs="Arial" w:eastAsia="Arial" w:hAnsi="Arial"/>
          <w:sz w:val="18"/>
          <w:szCs w:val="18"/>
          <w:color w:val="auto"/>
        </w:rPr>
      </w:pPr>
    </w:p>
    <w:p>
      <w:pPr>
        <w:ind w:left="520" w:right="320" w:hanging="255"/>
        <w:spacing w:after="0" w:line="342" w:lineRule="auto"/>
        <w:tabs>
          <w:tab w:leader="none" w:pos="5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costs of any reports, proxy statements or other notices to our stockholders (including printing and mailing costs), the costs of any stockholders’ meetings and the compensation of investor relations personnel responsible for the preparation of the foregoing and related matters;</w:t>
      </w:r>
    </w:p>
    <w:p>
      <w:pPr>
        <w:spacing w:after="0" w:line="15" w:lineRule="exact"/>
        <w:rPr>
          <w:rFonts w:ascii="Arial" w:cs="Arial" w:eastAsia="Arial" w:hAnsi="Arial"/>
          <w:sz w:val="16"/>
          <w:szCs w:val="16"/>
          <w:color w:val="auto"/>
        </w:rPr>
      </w:pPr>
    </w:p>
    <w:p>
      <w:pPr>
        <w:ind w:left="520" w:hanging="255"/>
        <w:spacing w:after="0"/>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fidelity bond;</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directors and officers/errors and omissions liability insurance, and any other insurance premiums;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indemnification payments;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direct costs and expenses of administration, including audit, accounting, consulting and legal costs; and</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all other expenses reasonably incurred by us in connection with making investments and administering our business.</w:t>
      </w:r>
    </w:p>
    <w:p>
      <w:pPr>
        <w:spacing w:after="0" w:line="225" w:lineRule="exact"/>
        <w:rPr>
          <w:sz w:val="20"/>
          <w:szCs w:val="20"/>
          <w:color w:val="auto"/>
        </w:rPr>
      </w:pPr>
    </w:p>
    <w:p>
      <w:pPr>
        <w:ind w:right="340" w:firstLine="259"/>
        <w:spacing w:after="0" w:line="277" w:lineRule="auto"/>
        <w:rPr>
          <w:sz w:val="20"/>
          <w:szCs w:val="20"/>
          <w:color w:val="auto"/>
        </w:rPr>
      </w:pPr>
      <w:r>
        <w:rPr>
          <w:rFonts w:ascii="Arial" w:cs="Arial" w:eastAsia="Arial" w:hAnsi="Arial"/>
          <w:sz w:val="18"/>
          <w:szCs w:val="18"/>
          <w:color w:val="auto"/>
        </w:rPr>
        <w:t>We expect that during periods of asset growth, our general and administrative expenses will be relatively stable or will decline as a percentage of total assets, and will increase as a percentage of total assets during periods of asset declines.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i w:val="1"/>
          <w:iCs w:val="1"/>
          <w:color w:val="auto"/>
        </w:rPr>
        <w:t>Leverage</w:t>
      </w:r>
    </w:p>
    <w:p>
      <w:pPr>
        <w:spacing w:after="0" w:line="117" w:lineRule="exact"/>
        <w:rPr>
          <w:sz w:val="20"/>
          <w:szCs w:val="20"/>
          <w:color w:val="auto"/>
        </w:rPr>
      </w:pPr>
    </w:p>
    <w:p>
      <w:pPr>
        <w:ind w:right="20" w:firstLine="259"/>
        <w:spacing w:after="0" w:line="255" w:lineRule="auto"/>
        <w:rPr>
          <w:sz w:val="20"/>
          <w:szCs w:val="20"/>
          <w:color w:val="auto"/>
        </w:rPr>
      </w:pPr>
      <w:r>
        <w:rPr>
          <w:rFonts w:ascii="Arial" w:cs="Arial" w:eastAsia="Arial" w:hAnsi="Arial"/>
          <w:sz w:val="18"/>
          <w:szCs w:val="18"/>
          <w:color w:val="auto"/>
        </w:rPr>
        <w:t>While as a BDC the amount of leverage that we are permitted to use is limited in significant respects, we use leverage to increase our ability to make investments. The amount of leverage we use in any period depends on a variety of factors, including cash available for investing, the cost of financing and general economic and market conditions, however, our total borrowings are limited so that our asset coverage ratio cannot fall below 150% immediately after any borrowing, as defined in the 1940 Act. In any period, our interest expense will depend largely on the extent of our borrowing and we expect interest expense will increase as we increase leverage over time within the limits of the 1940 Act. In addition, we may dedicate assets as collateral to financing facilities from time to time.</w:t>
      </w:r>
    </w:p>
    <w:p>
      <w:pPr>
        <w:spacing w:after="0" w:line="193" w:lineRule="exact"/>
        <w:rPr>
          <w:sz w:val="20"/>
          <w:szCs w:val="20"/>
          <w:color w:val="auto"/>
        </w:rPr>
      </w:pPr>
    </w:p>
    <w:p>
      <w:pPr>
        <w:ind w:right="120" w:firstLine="259"/>
        <w:spacing w:after="0" w:line="290" w:lineRule="auto"/>
        <w:rPr>
          <w:sz w:val="20"/>
          <w:szCs w:val="20"/>
          <w:color w:val="auto"/>
        </w:rPr>
      </w:pPr>
      <w:r>
        <w:rPr>
          <w:rFonts w:ascii="Arial" w:cs="Arial" w:eastAsia="Arial" w:hAnsi="Arial"/>
          <w:sz w:val="16"/>
          <w:szCs w:val="16"/>
          <w:color w:val="auto"/>
        </w:rPr>
        <w:t>On October 8, 2018, our stockholders approved the application of the minimum asset coverage ratio of 150% to us, as set forth in Section 61(a)(2) of the 1940 Act, as amended by the SBCAA. As a result and subject to certain additional disclosure requirements, as of October 9, 2018, our minimum asset coverage ratio was reduced from 200% to 150%. In other words, pursuant to Section 61(a) of the 1940 Act, as amended by the SBCAA, we are permitted to potentially increase our maximum debt-to-equity ratio from an effective level of one-to-one to two-to-one. The Adviser intends to waive a portion of the Management Fee payable under the Investment Advisory Agreement by reducing the Management Fee on assets financed using leverage over 200% asset coverage (in other words, over 1.0x debt to equity). Pursuant to the waiver, the Adviser intends to waive the portion of the Management Fee in excess of an annual rate of 1.0% (0.250% per quarter) on the average value of our gross assets as of the end of the two most recently completed calendar quarters that exceeds the product of (i) 200% and (ii) the average value of our net asset value at the end of the two most recently completed calendar quarters.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Trends</w:t>
      </w:r>
    </w:p>
    <w:p>
      <w:pPr>
        <w:spacing w:after="0" w:line="117" w:lineRule="exact"/>
        <w:rPr>
          <w:sz w:val="20"/>
          <w:szCs w:val="20"/>
          <w:color w:val="auto"/>
        </w:rPr>
      </w:pPr>
    </w:p>
    <w:p>
      <w:pPr>
        <w:ind w:right="140" w:firstLine="259"/>
        <w:spacing w:after="0" w:line="277" w:lineRule="auto"/>
        <w:rPr>
          <w:sz w:val="20"/>
          <w:szCs w:val="20"/>
          <w:color w:val="auto"/>
        </w:rPr>
      </w:pPr>
      <w:r>
        <w:rPr>
          <w:rFonts w:ascii="Arial" w:cs="Arial" w:eastAsia="Arial" w:hAnsi="Arial"/>
          <w:sz w:val="18"/>
          <w:szCs w:val="18"/>
          <w:color w:val="auto"/>
        </w:rPr>
        <w:t>We believe trends in the middle-market lending environment, including the limited availability of capital, strong demand for debt capital and specialized lending requirements, are likely to continue to create favorable opportunities for us to invest at attractive risk-adjusted rates.</w:t>
      </w:r>
    </w:p>
    <w:p>
      <w:pPr>
        <w:spacing w:after="0" w:line="170" w:lineRule="exact"/>
        <w:rPr>
          <w:sz w:val="20"/>
          <w:szCs w:val="20"/>
          <w:color w:val="auto"/>
        </w:rPr>
      </w:pPr>
    </w:p>
    <w:p>
      <w:pPr>
        <w:ind w:firstLine="259"/>
        <w:spacing w:after="0" w:line="259" w:lineRule="auto"/>
        <w:rPr>
          <w:sz w:val="20"/>
          <w:szCs w:val="20"/>
          <w:color w:val="auto"/>
        </w:rPr>
      </w:pPr>
      <w:r>
        <w:rPr>
          <w:rFonts w:ascii="Arial" w:cs="Arial" w:eastAsia="Arial" w:hAnsi="Arial"/>
          <w:sz w:val="18"/>
          <w:szCs w:val="18"/>
          <w:color w:val="auto"/>
        </w:rPr>
        <w:t>The limited number of dedicated providers of capital to middle-market companies, combined with increases in required capital levels for regulated financial institutions, reduces the capacity of traditional lenders to serve middle-market companies. We believe that the limited availability of capital creates a significant opportunity for us to directly originate investments. We also believe that the large amount of uninvested capital held by private equity firms will continue to drive deal activity, which may in turn create additional demand for debt capital.</w:t>
      </w:r>
    </w:p>
    <w:p>
      <w:pPr>
        <w:spacing w:after="0" w:line="187" w:lineRule="exact"/>
        <w:rPr>
          <w:sz w:val="20"/>
          <w:szCs w:val="20"/>
          <w:color w:val="auto"/>
        </w:rPr>
      </w:pPr>
    </w:p>
    <w:p>
      <w:pPr>
        <w:ind w:right="60" w:firstLine="259"/>
        <w:spacing w:after="0" w:line="264" w:lineRule="auto"/>
        <w:rPr>
          <w:sz w:val="20"/>
          <w:szCs w:val="20"/>
          <w:color w:val="auto"/>
        </w:rPr>
      </w:pPr>
      <w:r>
        <w:rPr>
          <w:rFonts w:ascii="Arial" w:cs="Arial" w:eastAsia="Arial" w:hAnsi="Arial"/>
          <w:sz w:val="18"/>
          <w:szCs w:val="18"/>
          <w:color w:val="auto"/>
        </w:rPr>
        <w:t>The limited number of providers is further exacerbated by the specialized due diligence and underwriting capabilities, as well as extensive ongoing monitoring, required for middle-market lending. We believe middle-market lending is generally more labor-intensive than lending to larger companies due to smaller investment sizes and the lack of publicly available information on these companies.</w:t>
      </w:r>
    </w:p>
    <w:p>
      <w:pPr>
        <w:spacing w:after="0" w:line="181" w:lineRule="exact"/>
        <w:rPr>
          <w:sz w:val="20"/>
          <w:szCs w:val="20"/>
          <w:color w:val="auto"/>
        </w:rPr>
      </w:pPr>
    </w:p>
    <w:p>
      <w:pPr>
        <w:ind w:right="180" w:firstLine="259"/>
        <w:spacing w:after="0" w:line="302" w:lineRule="auto"/>
        <w:rPr>
          <w:sz w:val="20"/>
          <w:szCs w:val="20"/>
          <w:color w:val="auto"/>
        </w:rPr>
      </w:pPr>
      <w:r>
        <w:rPr>
          <w:rFonts w:ascii="Arial" w:cs="Arial" w:eastAsia="Arial" w:hAnsi="Arial"/>
          <w:sz w:val="16"/>
          <w:szCs w:val="16"/>
          <w:color w:val="auto"/>
        </w:rPr>
        <w:t>An imbalance between the supply of, and demand for, middle-market debt capital creates attractive pricing dynamics for investors such as BDCs. The negotiated nature of middle-market financings also generally provides for more favorable terms to the lenders, including stronger covenant and reporting packages, better call protection and lender-protective change of control provisions. We believe that BDCs have flexibility to develop loans that reflect each borrower’s distinct situation, provide long-term relationships and a potential source for future capital, which renders BDCs, including us, attractive lenders.</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121" w:lineRule="exact"/>
        <w:rPr>
          <w:sz w:val="20"/>
          <w:szCs w:val="20"/>
          <w:color w:val="auto"/>
        </w:rPr>
      </w:pPr>
    </w:p>
    <w:p>
      <w:pPr>
        <w:ind w:firstLine="259"/>
        <w:spacing w:after="0" w:line="286" w:lineRule="auto"/>
        <w:rPr>
          <w:sz w:val="20"/>
          <w:szCs w:val="20"/>
          <w:color w:val="auto"/>
        </w:rPr>
      </w:pPr>
      <w:r>
        <w:rPr>
          <w:rFonts w:ascii="Arial" w:cs="Arial" w:eastAsia="Arial" w:hAnsi="Arial"/>
          <w:sz w:val="17"/>
          <w:szCs w:val="17"/>
          <w:color w:val="auto"/>
        </w:rPr>
        <w:t>As of March 31, 2019, our portfolio based on fair value consisted of 97.4% first-lien debt investments, 0.2% second-lien debt investments, 0.1% mezzanine debt investments, and 2.3% equity and other investments. As of December 31, 2018, our portfolio based on fair value consisted of 96.9% first-lien debt investments, 0.2% second-lien debt investments, 0.2% mezzanine debt investments, and 2.7% equity and other investments.</w:t>
      </w:r>
    </w:p>
    <w:p>
      <w:pPr>
        <w:spacing w:after="0" w:line="166" w:lineRule="exact"/>
        <w:rPr>
          <w:sz w:val="20"/>
          <w:szCs w:val="20"/>
          <w:color w:val="auto"/>
        </w:rPr>
      </w:pPr>
    </w:p>
    <w:p>
      <w:pPr>
        <w:ind w:right="320" w:firstLine="259"/>
        <w:spacing w:after="0" w:line="312" w:lineRule="auto"/>
        <w:rPr>
          <w:sz w:val="20"/>
          <w:szCs w:val="20"/>
          <w:color w:val="auto"/>
        </w:rPr>
      </w:pPr>
      <w:r>
        <w:rPr>
          <w:rFonts w:ascii="Arial" w:cs="Arial" w:eastAsia="Arial" w:hAnsi="Arial"/>
          <w:sz w:val="16"/>
          <w:szCs w:val="16"/>
          <w:color w:val="auto"/>
        </w:rPr>
        <w:t>As of March 31, 2019 and December 31, 2018, our weighted average total yield of debt and income-producing securities at fair value (which includes interest income and amortization of fees and discounts) was 11.4% and 11.6%, respectively, and our weighted average total yield of debt and income-producing securities at amortized cost (which includes interest income and amortization of fees and discounts) was 11.6% and 11.7%, respectively.</w:t>
      </w:r>
    </w:p>
    <w:p>
      <w:pPr>
        <w:spacing w:after="0" w:line="147" w:lineRule="exact"/>
        <w:rPr>
          <w:sz w:val="20"/>
          <w:szCs w:val="20"/>
          <w:color w:val="auto"/>
        </w:rPr>
      </w:pPr>
    </w:p>
    <w:p>
      <w:pPr>
        <w:ind w:right="580" w:firstLine="259"/>
        <w:spacing w:after="0" w:line="277" w:lineRule="auto"/>
        <w:rPr>
          <w:sz w:val="20"/>
          <w:szCs w:val="20"/>
          <w:color w:val="auto"/>
        </w:rPr>
      </w:pPr>
      <w:r>
        <w:rPr>
          <w:rFonts w:ascii="Arial" w:cs="Arial" w:eastAsia="Arial" w:hAnsi="Arial"/>
          <w:sz w:val="18"/>
          <w:szCs w:val="18"/>
          <w:color w:val="auto"/>
        </w:rPr>
        <w:t>As of March 31, 2019 and December 31, 2018, we had investments in 48 and 46 portfolio companies, respectively, with an aggregate fair value of $1,824.9 million and $1,706.0 million, respectively.</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65" w:right="279" w:bottom="1440" w:gutter="0" w:footer="0" w:header="0"/>
        </w:sectPr>
      </w:pPr>
    </w:p>
    <w:bookmarkStart w:id="50" w:name="page51"/>
    <w:bookmarkEnd w:id="50"/>
    <w:p>
      <w:pPr>
        <w:ind w:right="340" w:firstLine="259"/>
        <w:spacing w:after="0" w:line="277" w:lineRule="auto"/>
        <w:rPr>
          <w:sz w:val="20"/>
          <w:szCs w:val="20"/>
          <w:color w:val="auto"/>
        </w:rPr>
      </w:pPr>
      <w:r>
        <w:rPr>
          <w:rFonts w:ascii="Arial" w:cs="Arial" w:eastAsia="Arial" w:hAnsi="Arial"/>
          <w:sz w:val="18"/>
          <w:szCs w:val="18"/>
          <w:color w:val="auto"/>
        </w:rPr>
        <w:t>For the three months ended March 31, 2019, the principal amount of new investments funded was $145.3 million in four new portfolio companies and four existing portfolio companies. For this period, we had $33.1 million aggregate principal amount in exits and repayments.</w:t>
      </w:r>
    </w:p>
    <w:p>
      <w:pPr>
        <w:spacing w:after="0" w:line="170" w:lineRule="exact"/>
        <w:rPr>
          <w:sz w:val="20"/>
          <w:szCs w:val="20"/>
          <w:color w:val="auto"/>
        </w:rPr>
      </w:pPr>
    </w:p>
    <w:p>
      <w:pPr>
        <w:ind w:right="200" w:firstLine="259"/>
        <w:spacing w:after="0" w:line="277" w:lineRule="auto"/>
        <w:rPr>
          <w:sz w:val="20"/>
          <w:szCs w:val="20"/>
          <w:color w:val="auto"/>
        </w:rPr>
      </w:pPr>
      <w:r>
        <w:rPr>
          <w:rFonts w:ascii="Arial" w:cs="Arial" w:eastAsia="Arial" w:hAnsi="Arial"/>
          <w:sz w:val="18"/>
          <w:szCs w:val="18"/>
          <w:color w:val="auto"/>
        </w:rPr>
        <w:t>For the three months ended March 31, 2018, the principal amount of new investments funded was $313.5 million in seven new portfolio companies. For this period, we had $106.0 million aggregate principal amount in exits and repayments.</w:t>
      </w:r>
    </w:p>
    <w:p>
      <w:pPr>
        <w:spacing w:after="0" w:line="170" w:lineRule="exact"/>
        <w:rPr>
          <w:sz w:val="20"/>
          <w:szCs w:val="20"/>
          <w:color w:val="auto"/>
        </w:rPr>
      </w:pPr>
    </w:p>
    <w:p>
      <w:pPr>
        <w:ind w:right="480" w:firstLine="259"/>
        <w:spacing w:after="0" w:line="277" w:lineRule="auto"/>
        <w:rPr>
          <w:sz w:val="20"/>
          <w:szCs w:val="20"/>
          <w:color w:val="auto"/>
        </w:rPr>
      </w:pPr>
      <w:r>
        <w:rPr>
          <w:rFonts w:ascii="Arial" w:cs="Arial" w:eastAsia="Arial" w:hAnsi="Arial"/>
          <w:sz w:val="18"/>
          <w:szCs w:val="18"/>
          <w:color w:val="auto"/>
        </w:rPr>
        <w:t>Our investment activity for the three months ended March 31, 2019 and 2018 is presented below (information presented herein is at par value unless otherwise indicated).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4460" w:type="dxa"/>
            <w:vAlign w:val="bottom"/>
            <w:gridSpan w:val="2"/>
            <w:vMerge w:val="restart"/>
          </w:tcPr>
          <w:p>
            <w:pPr>
              <w:ind w:left="1140"/>
              <w:spacing w:after="0"/>
              <w:rPr>
                <w:sz w:val="20"/>
                <w:szCs w:val="20"/>
                <w:color w:val="auto"/>
              </w:rPr>
            </w:pPr>
            <w:r>
              <w:rPr>
                <w:rFonts w:ascii="Arial" w:cs="Arial" w:eastAsia="Arial" w:hAnsi="Arial"/>
                <w:sz w:val="14"/>
                <w:szCs w:val="14"/>
                <w:color w:val="auto"/>
              </w:rPr>
              <w:t>($ in millions)</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446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80" w:type="dxa"/>
            <w:vAlign w:val="bottom"/>
            <w:gridSpan w:val="5"/>
          </w:tcPr>
          <w:p>
            <w:pPr>
              <w:jc w:val="right"/>
              <w:ind w:right="260"/>
              <w:spacing w:after="0" w:line="155" w:lineRule="exact"/>
              <w:rPr>
                <w:sz w:val="20"/>
                <w:szCs w:val="20"/>
                <w:color w:val="auto"/>
              </w:rPr>
            </w:pPr>
            <w:r>
              <w:rPr>
                <w:rFonts w:ascii="Arial" w:cs="Arial" w:eastAsia="Arial" w:hAnsi="Arial"/>
                <w:sz w:val="14"/>
                <w:szCs w:val="14"/>
                <w:b w:val="1"/>
                <w:bCs w:val="1"/>
                <w:color w:val="auto"/>
              </w:rPr>
              <w:t>March 31, 2019</w:t>
            </w:r>
          </w:p>
        </w:tc>
        <w:tc>
          <w:tcPr>
            <w:tcW w:w="120" w:type="dxa"/>
            <w:vAlign w:val="bottom"/>
          </w:tcPr>
          <w:p>
            <w:pPr>
              <w:spacing w:after="0"/>
              <w:rPr>
                <w:sz w:val="13"/>
                <w:szCs w:val="13"/>
                <w:color w:val="auto"/>
              </w:rPr>
            </w:pPr>
          </w:p>
        </w:tc>
        <w:tc>
          <w:tcPr>
            <w:tcW w:w="1120" w:type="dxa"/>
            <w:vAlign w:val="bottom"/>
            <w:gridSpan w:val="4"/>
          </w:tcPr>
          <w:p>
            <w:pPr>
              <w:jc w:val="right"/>
              <w:spacing w:after="0" w:line="155" w:lineRule="exact"/>
              <w:rPr>
                <w:sz w:val="20"/>
                <w:szCs w:val="20"/>
                <w:color w:val="auto"/>
              </w:rPr>
            </w:pPr>
            <w:r>
              <w:rPr>
                <w:rFonts w:ascii="Arial" w:cs="Arial" w:eastAsia="Arial" w:hAnsi="Arial"/>
                <w:sz w:val="14"/>
                <w:szCs w:val="14"/>
                <w:b w:val="1"/>
                <w:bCs w:val="1"/>
                <w:color w:val="auto"/>
              </w:rPr>
              <w:t>March 31, 2018</w:t>
            </w:r>
          </w:p>
        </w:tc>
        <w:tc>
          <w:tcPr>
            <w:tcW w:w="540" w:type="dxa"/>
            <w:vAlign w:val="bottom"/>
            <w:gridSpan w:val="2"/>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New investment commitments:</w:t>
            </w:r>
          </w:p>
        </w:tc>
        <w:tc>
          <w:tcPr>
            <w:tcW w:w="26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320" w:type="dxa"/>
            <w:vAlign w:val="bottom"/>
          </w:tcPr>
          <w:p>
            <w:pPr>
              <w:ind w:left="240"/>
              <w:spacing w:after="0"/>
              <w:rPr>
                <w:sz w:val="20"/>
                <w:szCs w:val="20"/>
                <w:color w:val="auto"/>
              </w:rPr>
            </w:pPr>
            <w:r>
              <w:rPr>
                <w:rFonts w:ascii="Arial" w:cs="Arial" w:eastAsia="Arial" w:hAnsi="Arial"/>
                <w:sz w:val="18"/>
                <w:szCs w:val="18"/>
                <w:color w:val="auto"/>
              </w:rPr>
              <w:t>Gross originations</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179.4</w:t>
            </w:r>
          </w:p>
        </w:tc>
        <w:tc>
          <w:tcPr>
            <w:tcW w:w="160" w:type="dxa"/>
            <w:vAlign w:val="bottom"/>
          </w:tcPr>
          <w:p>
            <w:pPr>
              <w:spacing w:after="0"/>
              <w:rPr>
                <w:sz w:val="19"/>
                <w:szCs w:val="19"/>
                <w:color w:val="auto"/>
              </w:rPr>
            </w:pPr>
          </w:p>
        </w:tc>
        <w:tc>
          <w:tcPr>
            <w:tcW w:w="680" w:type="dxa"/>
            <w:vAlign w:val="bottom"/>
            <w:gridSpan w:val="2"/>
          </w:tcPr>
          <w:p>
            <w:pPr>
              <w:jc w:val="right"/>
              <w:ind w:right="377"/>
              <w:spacing w:after="0"/>
              <w:rPr>
                <w:sz w:val="20"/>
                <w:szCs w:val="20"/>
                <w:color w:val="auto"/>
              </w:rPr>
            </w:pPr>
            <w:r>
              <w:rPr>
                <w:rFonts w:ascii="Arial" w:cs="Arial" w:eastAsia="Arial" w:hAnsi="Arial"/>
                <w:sz w:val="18"/>
                <w:szCs w:val="18"/>
                <w:color w:val="auto"/>
              </w:rPr>
              <w:t>$</w:t>
            </w: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564.6</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Less: Syndications/sell downs</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91"/>
              </w:rPr>
              <w:t>27.0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232.9</w:t>
            </w:r>
          </w:p>
        </w:tc>
        <w:tc>
          <w:tcPr>
            <w:tcW w:w="180" w:type="dxa"/>
            <w:vAlign w:val="bottom"/>
            <w:shd w:val="clear" w:color="auto" w:fill="CFF0FC"/>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320" w:type="dxa"/>
            <w:vAlign w:val="bottom"/>
          </w:tcPr>
          <w:p>
            <w:pPr>
              <w:ind w:left="500"/>
              <w:spacing w:after="0"/>
              <w:rPr>
                <w:sz w:val="20"/>
                <w:szCs w:val="20"/>
                <w:color w:val="auto"/>
              </w:rPr>
            </w:pPr>
            <w:r>
              <w:rPr>
                <w:rFonts w:ascii="Arial" w:cs="Arial" w:eastAsia="Arial" w:hAnsi="Arial"/>
                <w:sz w:val="18"/>
                <w:szCs w:val="18"/>
                <w:color w:val="auto"/>
                <w:w w:val="99"/>
              </w:rPr>
              <w:t>Total new investment commitments</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152.4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ind w:right="377"/>
              <w:spacing w:after="0"/>
              <w:rPr>
                <w:sz w:val="20"/>
                <w:szCs w:val="20"/>
                <w:color w:val="auto"/>
              </w:rPr>
            </w:pPr>
            <w:r>
              <w:rPr>
                <w:rFonts w:ascii="Arial" w:cs="Arial" w:eastAsia="Arial" w:hAnsi="Arial"/>
                <w:sz w:val="18"/>
                <w:szCs w:val="18"/>
                <w:color w:val="auto"/>
                <w:w w:val="79"/>
              </w:rPr>
              <w:t>$</w:t>
            </w: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331.7</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3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w w:val="94"/>
              </w:rPr>
              <w:t>Principal amount of investments funded:</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320" w:type="dxa"/>
            <w:vAlign w:val="bottom"/>
          </w:tcPr>
          <w:p>
            <w:pPr>
              <w:ind w:left="240"/>
              <w:spacing w:after="0"/>
              <w:rPr>
                <w:sz w:val="20"/>
                <w:szCs w:val="20"/>
                <w:color w:val="auto"/>
              </w:rPr>
            </w:pPr>
            <w:r>
              <w:rPr>
                <w:rFonts w:ascii="Arial" w:cs="Arial" w:eastAsia="Arial" w:hAnsi="Arial"/>
                <w:sz w:val="18"/>
                <w:szCs w:val="18"/>
                <w:color w:val="auto"/>
              </w:rPr>
              <w:t>First-lien</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144.0</w:t>
            </w:r>
          </w:p>
        </w:tc>
        <w:tc>
          <w:tcPr>
            <w:tcW w:w="160" w:type="dxa"/>
            <w:vAlign w:val="bottom"/>
          </w:tcPr>
          <w:p>
            <w:pPr>
              <w:spacing w:after="0"/>
              <w:rPr>
                <w:sz w:val="19"/>
                <w:szCs w:val="19"/>
                <w:color w:val="auto"/>
              </w:rPr>
            </w:pPr>
          </w:p>
        </w:tc>
        <w:tc>
          <w:tcPr>
            <w:tcW w:w="680" w:type="dxa"/>
            <w:vAlign w:val="bottom"/>
            <w:gridSpan w:val="2"/>
          </w:tcPr>
          <w:p>
            <w:pPr>
              <w:jc w:val="right"/>
              <w:ind w:right="377"/>
              <w:spacing w:after="0"/>
              <w:rPr>
                <w:sz w:val="20"/>
                <w:szCs w:val="20"/>
                <w:color w:val="auto"/>
              </w:rPr>
            </w:pPr>
            <w:r>
              <w:rPr>
                <w:rFonts w:ascii="Arial" w:cs="Arial" w:eastAsia="Arial" w:hAnsi="Arial"/>
                <w:sz w:val="18"/>
                <w:szCs w:val="18"/>
                <w:color w:val="auto"/>
              </w:rPr>
              <w:t>$</w:t>
            </w: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311.0</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Second-lien</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52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60" w:type="dxa"/>
            <w:vAlign w:val="bottom"/>
            <w:gridSpan w:val="3"/>
            <w:shd w:val="clear" w:color="auto" w:fill="CFF0FC"/>
          </w:tcPr>
          <w:p>
            <w:pPr>
              <w:jc w:val="right"/>
              <w:ind w:right="108"/>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320" w:type="dxa"/>
            <w:vAlign w:val="bottom"/>
          </w:tcPr>
          <w:p>
            <w:pPr>
              <w:ind w:left="240"/>
              <w:spacing w:after="0"/>
              <w:rPr>
                <w:sz w:val="20"/>
                <w:szCs w:val="20"/>
                <w:color w:val="auto"/>
              </w:rPr>
            </w:pPr>
            <w:r>
              <w:rPr>
                <w:rFonts w:ascii="Arial" w:cs="Arial" w:eastAsia="Arial" w:hAnsi="Arial"/>
                <w:sz w:val="18"/>
                <w:szCs w:val="18"/>
                <w:color w:val="auto"/>
              </w:rPr>
              <w:t>Mezzanine</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gridSpan w:val="3"/>
          </w:tcPr>
          <w:p>
            <w:pPr>
              <w:jc w:val="right"/>
              <w:ind w:right="108"/>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Equity and other</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2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80" w:type="dxa"/>
            <w:vAlign w:val="bottom"/>
            <w:shd w:val="clear" w:color="auto" w:fill="CFF0FC"/>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320" w:type="dxa"/>
            <w:vAlign w:val="bottom"/>
          </w:tcPr>
          <w:p>
            <w:pPr>
              <w:ind w:left="500"/>
              <w:spacing w:after="0"/>
              <w:rPr>
                <w:sz w:val="20"/>
                <w:szCs w:val="20"/>
                <w:color w:val="auto"/>
              </w:rPr>
            </w:pPr>
            <w:r>
              <w:rPr>
                <w:rFonts w:ascii="Arial" w:cs="Arial" w:eastAsia="Arial" w:hAnsi="Arial"/>
                <w:sz w:val="18"/>
                <w:szCs w:val="18"/>
                <w:color w:val="auto"/>
              </w:rPr>
              <w:t>Total</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145.3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ind w:right="377"/>
              <w:spacing w:after="0"/>
              <w:rPr>
                <w:sz w:val="20"/>
                <w:szCs w:val="20"/>
                <w:color w:val="auto"/>
              </w:rPr>
            </w:pPr>
            <w:r>
              <w:rPr>
                <w:rFonts w:ascii="Arial" w:cs="Arial" w:eastAsia="Arial" w:hAnsi="Arial"/>
                <w:sz w:val="18"/>
                <w:szCs w:val="18"/>
                <w:color w:val="auto"/>
                <w:w w:val="79"/>
              </w:rPr>
              <w:t>$</w:t>
            </w: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313.5</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560" w:type="dxa"/>
            <w:vAlign w:val="bottom"/>
            <w:gridSpan w:val="3"/>
            <w:shd w:val="clear" w:color="auto" w:fill="CFF0FC"/>
          </w:tcPr>
          <w:p>
            <w:pPr>
              <w:spacing w:after="0"/>
              <w:rPr>
                <w:sz w:val="20"/>
                <w:szCs w:val="20"/>
                <w:color w:val="auto"/>
              </w:rPr>
            </w:pPr>
            <w:r>
              <w:rPr>
                <w:rFonts w:ascii="Arial" w:cs="Arial" w:eastAsia="Arial" w:hAnsi="Arial"/>
                <w:sz w:val="18"/>
                <w:szCs w:val="18"/>
                <w:b w:val="1"/>
                <w:bCs w:val="1"/>
                <w:color w:val="auto"/>
              </w:rPr>
              <w:t>Principal amount of investments sold or repaid:</w:t>
            </w:r>
          </w:p>
        </w:tc>
        <w:tc>
          <w:tcPr>
            <w:tcW w:w="2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320" w:type="dxa"/>
            <w:vAlign w:val="bottom"/>
          </w:tcPr>
          <w:p>
            <w:pPr>
              <w:ind w:left="240"/>
              <w:spacing w:after="0"/>
              <w:rPr>
                <w:sz w:val="20"/>
                <w:szCs w:val="20"/>
                <w:color w:val="auto"/>
              </w:rPr>
            </w:pPr>
            <w:r>
              <w:rPr>
                <w:rFonts w:ascii="Arial" w:cs="Arial" w:eastAsia="Arial" w:hAnsi="Arial"/>
                <w:sz w:val="18"/>
                <w:szCs w:val="18"/>
                <w:color w:val="auto"/>
              </w:rPr>
              <w:t>First-lien</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w w:val="91"/>
              </w:rPr>
              <w:t>30.4</w:t>
            </w:r>
          </w:p>
        </w:tc>
        <w:tc>
          <w:tcPr>
            <w:tcW w:w="160" w:type="dxa"/>
            <w:vAlign w:val="bottom"/>
          </w:tcPr>
          <w:p>
            <w:pPr>
              <w:spacing w:after="0"/>
              <w:rPr>
                <w:sz w:val="19"/>
                <w:szCs w:val="19"/>
                <w:color w:val="auto"/>
              </w:rPr>
            </w:pPr>
          </w:p>
        </w:tc>
        <w:tc>
          <w:tcPr>
            <w:tcW w:w="680" w:type="dxa"/>
            <w:vAlign w:val="bottom"/>
            <w:gridSpan w:val="2"/>
          </w:tcPr>
          <w:p>
            <w:pPr>
              <w:jc w:val="right"/>
              <w:ind w:right="377"/>
              <w:spacing w:after="0"/>
              <w:rPr>
                <w:sz w:val="20"/>
                <w:szCs w:val="20"/>
                <w:color w:val="auto"/>
              </w:rPr>
            </w:pPr>
            <w:r>
              <w:rPr>
                <w:rFonts w:ascii="Arial" w:cs="Arial" w:eastAsia="Arial" w:hAnsi="Arial"/>
                <w:sz w:val="18"/>
                <w:szCs w:val="18"/>
                <w:color w:val="auto"/>
              </w:rPr>
              <w:t>$</w:t>
            </w: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93.9</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Second-lien</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52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60" w:type="dxa"/>
            <w:vAlign w:val="bottom"/>
            <w:gridSpan w:val="3"/>
            <w:shd w:val="clear" w:color="auto" w:fill="CFF0FC"/>
          </w:tcPr>
          <w:p>
            <w:pPr>
              <w:jc w:val="right"/>
              <w:ind w:right="108"/>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320" w:type="dxa"/>
            <w:vAlign w:val="bottom"/>
          </w:tcPr>
          <w:p>
            <w:pPr>
              <w:ind w:left="240"/>
              <w:spacing w:after="0"/>
              <w:rPr>
                <w:sz w:val="20"/>
                <w:szCs w:val="20"/>
                <w:color w:val="auto"/>
              </w:rPr>
            </w:pPr>
            <w:r>
              <w:rPr>
                <w:rFonts w:ascii="Arial" w:cs="Arial" w:eastAsia="Arial" w:hAnsi="Arial"/>
                <w:sz w:val="18"/>
                <w:szCs w:val="18"/>
                <w:color w:val="auto"/>
              </w:rPr>
              <w:t>Mezzanine</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gridSpan w:val="3"/>
          </w:tcPr>
          <w:p>
            <w:pPr>
              <w:jc w:val="right"/>
              <w:ind w:right="108"/>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Equity and other</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12.1</w:t>
            </w:r>
          </w:p>
        </w:tc>
        <w:tc>
          <w:tcPr>
            <w:tcW w:w="180" w:type="dxa"/>
            <w:vAlign w:val="bottom"/>
            <w:shd w:val="clear" w:color="auto" w:fill="CFF0FC"/>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3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CFF0FC"/>
            </w:tcBorders>
          </w:tcPr>
          <w:p>
            <w:pPr>
              <w:spacing w:after="0"/>
              <w:rPr>
                <w:sz w:val="19"/>
                <w:szCs w:val="19"/>
                <w:color w:val="auto"/>
              </w:rPr>
            </w:pPr>
          </w:p>
        </w:tc>
        <w:tc>
          <w:tcPr>
            <w:tcW w:w="98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4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1"/>
              </w:rPr>
              <w:t>33.1</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jc w:val="right"/>
              <w:ind w:right="377"/>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106.0</w:t>
            </w:r>
          </w:p>
        </w:tc>
        <w:tc>
          <w:tcPr>
            <w:tcW w:w="180" w:type="dxa"/>
            <w:vAlign w:val="bottom"/>
            <w:tcBorders>
              <w:bottom w:val="single" w:sz="8" w:color="CFF0FC"/>
            </w:tcBorders>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580" w:type="dxa"/>
            <w:vAlign w:val="bottom"/>
            <w:gridSpan w:val="2"/>
            <w:shd w:val="clear" w:color="auto" w:fill="CFF0FC"/>
          </w:tcPr>
          <w:p>
            <w:pPr>
              <w:spacing w:after="0" w:line="205" w:lineRule="exact"/>
              <w:rPr>
                <w:sz w:val="20"/>
                <w:szCs w:val="20"/>
                <w:color w:val="auto"/>
              </w:rPr>
            </w:pPr>
            <w:r>
              <w:rPr>
                <w:rFonts w:ascii="Arial" w:cs="Arial" w:eastAsia="Arial" w:hAnsi="Arial"/>
                <w:sz w:val="18"/>
                <w:szCs w:val="18"/>
                <w:b w:val="1"/>
                <w:bCs w:val="1"/>
                <w:color w:val="auto"/>
                <w:w w:val="95"/>
              </w:rPr>
              <w:t>Number of new investment commitments in</w:t>
            </w:r>
          </w:p>
        </w:tc>
        <w:tc>
          <w:tcPr>
            <w:tcW w:w="9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32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new portfolio companies</w:t>
            </w:r>
          </w:p>
        </w:tc>
        <w:tc>
          <w:tcPr>
            <w:tcW w:w="26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80" w:type="dxa"/>
            <w:vAlign w:val="bottom"/>
            <w:shd w:val="clear" w:color="auto" w:fill="CFF0FC"/>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560" w:type="dxa"/>
            <w:vAlign w:val="bottom"/>
            <w:gridSpan w:val="3"/>
          </w:tcPr>
          <w:p>
            <w:pPr>
              <w:spacing w:after="0"/>
              <w:rPr>
                <w:sz w:val="20"/>
                <w:szCs w:val="20"/>
                <w:color w:val="auto"/>
              </w:rPr>
            </w:pPr>
            <w:r>
              <w:rPr>
                <w:rFonts w:ascii="Arial" w:cs="Arial" w:eastAsia="Arial" w:hAnsi="Arial"/>
                <w:sz w:val="18"/>
                <w:szCs w:val="18"/>
                <w:b w:val="1"/>
                <w:bCs w:val="1"/>
                <w:color w:val="auto"/>
              </w:rPr>
              <w:t>Average new investment commitment amount in</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320" w:type="dxa"/>
            <w:vAlign w:val="bottom"/>
          </w:tcPr>
          <w:p>
            <w:pPr>
              <w:ind w:left="140"/>
              <w:spacing w:after="0"/>
              <w:rPr>
                <w:sz w:val="20"/>
                <w:szCs w:val="20"/>
                <w:color w:val="auto"/>
              </w:rPr>
            </w:pPr>
            <w:r>
              <w:rPr>
                <w:rFonts w:ascii="Arial" w:cs="Arial" w:eastAsia="Arial" w:hAnsi="Arial"/>
                <w:sz w:val="18"/>
                <w:szCs w:val="18"/>
                <w:b w:val="1"/>
                <w:bCs w:val="1"/>
                <w:color w:val="auto"/>
              </w:rPr>
              <w:t>new portfolio companies</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0"/>
                <w:szCs w:val="20"/>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w w:val="91"/>
              </w:rPr>
              <w:t>34.8</w:t>
            </w:r>
          </w:p>
        </w:tc>
        <w:tc>
          <w:tcPr>
            <w:tcW w:w="160" w:type="dxa"/>
            <w:vAlign w:val="bottom"/>
          </w:tcPr>
          <w:p>
            <w:pPr>
              <w:spacing w:after="0"/>
              <w:rPr>
                <w:sz w:val="20"/>
                <w:szCs w:val="20"/>
                <w:color w:val="auto"/>
              </w:rPr>
            </w:pPr>
          </w:p>
        </w:tc>
        <w:tc>
          <w:tcPr>
            <w:tcW w:w="680" w:type="dxa"/>
            <w:vAlign w:val="bottom"/>
            <w:gridSpan w:val="2"/>
          </w:tcPr>
          <w:p>
            <w:pPr>
              <w:jc w:val="right"/>
              <w:ind w:right="377"/>
              <w:spacing w:after="0"/>
              <w:rPr>
                <w:sz w:val="20"/>
                <w:szCs w:val="20"/>
                <w:color w:val="auto"/>
              </w:rPr>
            </w:pPr>
            <w:r>
              <w:rPr>
                <w:rFonts w:ascii="Arial" w:cs="Arial" w:eastAsia="Arial" w:hAnsi="Arial"/>
                <w:sz w:val="18"/>
                <w:szCs w:val="18"/>
                <w:color w:val="auto"/>
              </w:rPr>
              <w:t>$</w:t>
            </w: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47.4</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3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w w:val="89"/>
              </w:rPr>
              <w:t>Weighted average term for new investment</w:t>
            </w: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32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w w:val="88"/>
              </w:rPr>
              <w:t>commitments in new portfolio companies</w:t>
            </w: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32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(in years)</w:t>
            </w:r>
          </w:p>
        </w:tc>
        <w:tc>
          <w:tcPr>
            <w:tcW w:w="26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180" w:type="dxa"/>
            <w:vAlign w:val="bottom"/>
            <w:shd w:val="clear" w:color="auto" w:fill="CFF0FC"/>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560" w:type="dxa"/>
            <w:vAlign w:val="bottom"/>
            <w:gridSpan w:val="3"/>
          </w:tcPr>
          <w:p>
            <w:pPr>
              <w:spacing w:after="0"/>
              <w:rPr>
                <w:sz w:val="20"/>
                <w:szCs w:val="20"/>
                <w:color w:val="auto"/>
              </w:rPr>
            </w:pPr>
            <w:r>
              <w:rPr>
                <w:rFonts w:ascii="Arial" w:cs="Arial" w:eastAsia="Arial" w:hAnsi="Arial"/>
                <w:sz w:val="18"/>
                <w:szCs w:val="18"/>
                <w:b w:val="1"/>
                <w:bCs w:val="1"/>
                <w:color w:val="auto"/>
              </w:rPr>
              <w:t>Percentage of new debt investment commitments</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320" w:type="dxa"/>
            <w:vAlign w:val="bottom"/>
          </w:tcPr>
          <w:p>
            <w:pPr>
              <w:ind w:left="140"/>
              <w:spacing w:after="0"/>
              <w:rPr>
                <w:sz w:val="20"/>
                <w:szCs w:val="20"/>
                <w:color w:val="auto"/>
              </w:rPr>
            </w:pPr>
            <w:r>
              <w:rPr>
                <w:rFonts w:ascii="Arial" w:cs="Arial" w:eastAsia="Arial" w:hAnsi="Arial"/>
                <w:sz w:val="18"/>
                <w:szCs w:val="18"/>
                <w:b w:val="1"/>
                <w:bCs w:val="1"/>
                <w:color w:val="auto"/>
              </w:rPr>
              <w:t xml:space="preserve">at floating rates </w:t>
            </w:r>
            <w:r>
              <w:rPr>
                <w:rFonts w:ascii="Arial" w:cs="Arial" w:eastAsia="Arial" w:hAnsi="Arial"/>
                <w:sz w:val="15"/>
                <w:szCs w:val="15"/>
                <w:b w:val="1"/>
                <w:bCs w:val="1"/>
                <w:color w:val="auto"/>
              </w:rPr>
              <w:t>(1)</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4"/>
          </w:tcPr>
          <w:p>
            <w:pPr>
              <w:jc w:val="right"/>
              <w:ind w:right="20"/>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40" w:type="dxa"/>
            <w:vAlign w:val="bottom"/>
            <w:gridSpan w:val="4"/>
          </w:tcPr>
          <w:p>
            <w:pPr>
              <w:jc w:val="right"/>
              <w:spacing w:after="0"/>
              <w:rPr>
                <w:sz w:val="20"/>
                <w:szCs w:val="20"/>
                <w:color w:val="auto"/>
              </w:rPr>
            </w:pPr>
            <w:r>
              <w:rPr>
                <w:rFonts w:ascii="Arial" w:cs="Arial" w:eastAsia="Arial" w:hAnsi="Arial"/>
                <w:sz w:val="18"/>
                <w:szCs w:val="18"/>
                <w:color w:val="auto"/>
              </w:rPr>
              <w:t>100.0%</w:t>
            </w:r>
          </w:p>
        </w:tc>
        <w:tc>
          <w:tcPr>
            <w:tcW w:w="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560" w:type="dxa"/>
            <w:vAlign w:val="bottom"/>
            <w:gridSpan w:val="3"/>
            <w:shd w:val="clear" w:color="auto" w:fill="CFF0FC"/>
          </w:tcPr>
          <w:p>
            <w:pPr>
              <w:spacing w:after="0"/>
              <w:rPr>
                <w:sz w:val="20"/>
                <w:szCs w:val="20"/>
                <w:color w:val="auto"/>
              </w:rPr>
            </w:pPr>
            <w:r>
              <w:rPr>
                <w:rFonts w:ascii="Arial" w:cs="Arial" w:eastAsia="Arial" w:hAnsi="Arial"/>
                <w:sz w:val="18"/>
                <w:szCs w:val="18"/>
                <w:b w:val="1"/>
                <w:bCs w:val="1"/>
                <w:color w:val="auto"/>
              </w:rPr>
              <w:t>Percentage of new debt investment commitments</w:t>
            </w:r>
          </w:p>
        </w:tc>
        <w:tc>
          <w:tcPr>
            <w:tcW w:w="2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32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at fixed rates</w:t>
            </w:r>
          </w:p>
        </w:tc>
        <w:tc>
          <w:tcPr>
            <w:tcW w:w="26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52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460" w:type="dxa"/>
            <w:vAlign w:val="bottom"/>
            <w:gridSpan w:val="3"/>
            <w:shd w:val="clear" w:color="auto" w:fill="CFF0FC"/>
          </w:tcPr>
          <w:p>
            <w:pPr>
              <w:jc w:val="right"/>
              <w:ind w:right="108"/>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b w:val="1"/>
                <w:bCs w:val="1"/>
                <w:color w:val="auto"/>
              </w:rPr>
              <w:t>Weighted average interest rate of new</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320" w:type="dxa"/>
            <w:vAlign w:val="bottom"/>
          </w:tcPr>
          <w:p>
            <w:pPr>
              <w:ind w:left="140"/>
              <w:spacing w:after="0"/>
              <w:rPr>
                <w:sz w:val="20"/>
                <w:szCs w:val="20"/>
                <w:color w:val="auto"/>
              </w:rPr>
            </w:pPr>
            <w:r>
              <w:rPr>
                <w:rFonts w:ascii="Arial" w:cs="Arial" w:eastAsia="Arial" w:hAnsi="Arial"/>
                <w:sz w:val="18"/>
                <w:szCs w:val="18"/>
                <w:b w:val="1"/>
                <w:bCs w:val="1"/>
                <w:color w:val="auto"/>
              </w:rPr>
              <w:t>investment commitments</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w w:val="93"/>
              </w:rPr>
              <w:t>10.0%</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40" w:type="dxa"/>
            <w:vAlign w:val="bottom"/>
            <w:gridSpan w:val="4"/>
          </w:tcPr>
          <w:p>
            <w:pPr>
              <w:jc w:val="right"/>
              <w:spacing w:after="0"/>
              <w:rPr>
                <w:sz w:val="20"/>
                <w:szCs w:val="20"/>
                <w:color w:val="auto"/>
              </w:rPr>
            </w:pPr>
            <w:r>
              <w:rPr>
                <w:rFonts w:ascii="Arial" w:cs="Arial" w:eastAsia="Arial" w:hAnsi="Arial"/>
                <w:sz w:val="18"/>
                <w:szCs w:val="18"/>
                <w:color w:val="auto"/>
              </w:rPr>
              <w:t>10.0%</w:t>
            </w:r>
          </w:p>
        </w:tc>
        <w:tc>
          <w:tcPr>
            <w:tcW w:w="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58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w w:val="92"/>
              </w:rPr>
              <w:t>Weighted average spread over LIBOR of new</w:t>
            </w: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32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w w:val="97"/>
              </w:rPr>
              <w:t>floating rate investment commitments</w:t>
            </w:r>
          </w:p>
        </w:tc>
        <w:tc>
          <w:tcPr>
            <w:tcW w:w="26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5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7.4%</w:t>
            </w:r>
          </w:p>
        </w:tc>
        <w:tc>
          <w:tcPr>
            <w:tcW w:w="12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4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Arial" w:cs="Arial" w:eastAsia="Arial" w:hAnsi="Arial"/>
                <w:sz w:val="18"/>
                <w:szCs w:val="18"/>
                <w:b w:val="1"/>
                <w:bCs w:val="1"/>
                <w:color w:val="auto"/>
                <w:w w:val="89"/>
              </w:rPr>
              <w:t>Weighted average interest rate on investments</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320" w:type="dxa"/>
            <w:vAlign w:val="bottom"/>
          </w:tcPr>
          <w:p>
            <w:pPr>
              <w:ind w:left="140"/>
              <w:spacing w:after="0"/>
              <w:rPr>
                <w:sz w:val="20"/>
                <w:szCs w:val="20"/>
                <w:color w:val="auto"/>
              </w:rPr>
            </w:pPr>
            <w:r>
              <w:rPr>
                <w:rFonts w:ascii="Arial" w:cs="Arial" w:eastAsia="Arial" w:hAnsi="Arial"/>
                <w:sz w:val="18"/>
                <w:szCs w:val="18"/>
                <w:b w:val="1"/>
                <w:bCs w:val="1"/>
                <w:color w:val="auto"/>
              </w:rPr>
              <w:t>sold or paid down</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w w:val="93"/>
              </w:rPr>
              <w:t>10.6%</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40" w:type="dxa"/>
            <w:vAlign w:val="bottom"/>
            <w:gridSpan w:val="4"/>
          </w:tcPr>
          <w:p>
            <w:pPr>
              <w:jc w:val="right"/>
              <w:spacing w:after="0"/>
              <w:rPr>
                <w:sz w:val="20"/>
                <w:szCs w:val="20"/>
                <w:color w:val="auto"/>
              </w:rPr>
            </w:pPr>
            <w:r>
              <w:rPr>
                <w:rFonts w:ascii="Arial" w:cs="Arial" w:eastAsia="Arial" w:hAnsi="Arial"/>
                <w:sz w:val="18"/>
                <w:szCs w:val="18"/>
                <w:color w:val="auto"/>
              </w:rPr>
              <w:t>11.4%</w:t>
            </w:r>
          </w:p>
        </w:tc>
        <w:tc>
          <w:tcPr>
            <w:tcW w:w="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7140" w:type="dxa"/>
            <w:vAlign w:val="bottom"/>
            <w:gridSpan w:val="8"/>
          </w:tcPr>
          <w:p>
            <w:pPr>
              <w:jc w:val="right"/>
              <w:ind w:right="246"/>
              <w:spacing w:after="0"/>
              <w:rPr>
                <w:sz w:val="20"/>
                <w:szCs w:val="20"/>
                <w:color w:val="auto"/>
              </w:rPr>
            </w:pPr>
            <w:r>
              <w:rPr>
                <w:rFonts w:ascii="Arial" w:cs="Arial" w:eastAsia="Arial" w:hAnsi="Arial"/>
                <w:sz w:val="18"/>
                <w:szCs w:val="18"/>
                <w:color w:val="auto"/>
                <w:w w:val="94"/>
              </w:rPr>
              <w:t>As of March 31, 2019 and December 31, 2018, our investments consisted of the following:</w:t>
            </w: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5040" w:type="dxa"/>
            <w:vAlign w:val="bottom"/>
            <w:gridSpan w:val="3"/>
            <w:vMerge w:val="restart"/>
          </w:tcPr>
          <w:p>
            <w:pPr>
              <w:ind w:left="580"/>
              <w:spacing w:after="0"/>
              <w:rPr>
                <w:sz w:val="20"/>
                <w:szCs w:val="20"/>
                <w:color w:val="auto"/>
              </w:rPr>
            </w:pPr>
            <w:r>
              <w:rPr>
                <w:rFonts w:ascii="Arial" w:cs="Arial" w:eastAsia="Arial" w:hAnsi="Arial"/>
                <w:sz w:val="14"/>
                <w:szCs w:val="14"/>
                <w:color w:val="auto"/>
              </w:rPr>
              <w:t>($ in millions)</w:t>
            </w:r>
          </w:p>
        </w:tc>
        <w:tc>
          <w:tcPr>
            <w:tcW w:w="26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4"/>
          </w:tcPr>
          <w:p>
            <w:pPr>
              <w:jc w:val="right"/>
              <w:ind w:right="206"/>
              <w:spacing w:after="0"/>
              <w:rPr>
                <w:sz w:val="20"/>
                <w:szCs w:val="20"/>
                <w:color w:val="auto"/>
              </w:rPr>
            </w:pPr>
            <w:r>
              <w:rPr>
                <w:rFonts w:ascii="Arial" w:cs="Arial" w:eastAsia="Arial" w:hAnsi="Arial"/>
                <w:sz w:val="14"/>
                <w:szCs w:val="14"/>
                <w:b w:val="1"/>
                <w:bCs w:val="1"/>
                <w:color w:val="auto"/>
              </w:rPr>
              <w:t>March 31, 2019</w:t>
            </w:r>
          </w:p>
        </w:tc>
        <w:tc>
          <w:tcPr>
            <w:tcW w:w="62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6"/>
          </w:tcPr>
          <w:p>
            <w:pPr>
              <w:ind w:left="380"/>
              <w:spacing w:after="0"/>
              <w:rPr>
                <w:sz w:val="20"/>
                <w:szCs w:val="20"/>
                <w:color w:val="auto"/>
              </w:rPr>
            </w:pPr>
            <w:r>
              <w:rPr>
                <w:rFonts w:ascii="Arial" w:cs="Arial" w:eastAsia="Arial" w:hAnsi="Arial"/>
                <w:sz w:val="14"/>
                <w:szCs w:val="14"/>
                <w:b w:val="1"/>
                <w:bCs w:val="1"/>
                <w:color w:val="auto"/>
                <w:w w:val="99"/>
              </w:rPr>
              <w:t>December 31, 2018</w:t>
            </w:r>
          </w:p>
        </w:tc>
        <w:tc>
          <w:tcPr>
            <w:tcW w:w="6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5040" w:type="dxa"/>
            <w:vAlign w:val="bottom"/>
            <w:gridSpan w:val="3"/>
            <w:vMerge w:val="continue"/>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jc w:val="right"/>
              <w:ind w:right="234"/>
              <w:spacing w:after="0" w:line="155" w:lineRule="exact"/>
              <w:rPr>
                <w:sz w:val="20"/>
                <w:szCs w:val="20"/>
                <w:color w:val="auto"/>
              </w:rPr>
            </w:pPr>
            <w:r>
              <w:rPr>
                <w:rFonts w:ascii="Arial" w:cs="Arial" w:eastAsia="Arial" w:hAnsi="Arial"/>
                <w:sz w:val="14"/>
                <w:szCs w:val="14"/>
                <w:b w:val="1"/>
                <w:bCs w:val="1"/>
                <w:color w:val="auto"/>
                <w:w w:val="95"/>
              </w:rPr>
              <w:t>Fair Value</w:t>
            </w:r>
          </w:p>
        </w:tc>
        <w:tc>
          <w:tcPr>
            <w:tcW w:w="240" w:type="dxa"/>
            <w:vAlign w:val="bottom"/>
          </w:tcPr>
          <w:p>
            <w:pPr>
              <w:spacing w:after="0"/>
              <w:rPr>
                <w:sz w:val="13"/>
                <w:szCs w:val="13"/>
                <w:color w:val="auto"/>
              </w:rPr>
            </w:pPr>
          </w:p>
        </w:tc>
        <w:tc>
          <w:tcPr>
            <w:tcW w:w="1240" w:type="dxa"/>
            <w:vAlign w:val="bottom"/>
            <w:gridSpan w:val="3"/>
          </w:tcPr>
          <w:p>
            <w:pPr>
              <w:jc w:val="right"/>
              <w:ind w:right="52"/>
              <w:spacing w:after="0" w:line="155" w:lineRule="exact"/>
              <w:rPr>
                <w:sz w:val="20"/>
                <w:szCs w:val="20"/>
                <w:color w:val="auto"/>
              </w:rPr>
            </w:pPr>
            <w:r>
              <w:rPr>
                <w:rFonts w:ascii="Arial" w:cs="Arial" w:eastAsia="Arial" w:hAnsi="Arial"/>
                <w:sz w:val="14"/>
                <w:szCs w:val="14"/>
                <w:b w:val="1"/>
                <w:bCs w:val="1"/>
                <w:color w:val="auto"/>
              </w:rPr>
              <w:t>Amortized Cost</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w w:val="95"/>
              </w:rPr>
              <w:t>Fair Value</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20" w:type="dxa"/>
            <w:vAlign w:val="bottom"/>
            <w:gridSpan w:val="3"/>
          </w:tcPr>
          <w:p>
            <w:pPr>
              <w:jc w:val="right"/>
              <w:ind w:right="70"/>
              <w:spacing w:after="0" w:line="155" w:lineRule="exact"/>
              <w:rPr>
                <w:sz w:val="20"/>
                <w:szCs w:val="20"/>
                <w:color w:val="auto"/>
              </w:rPr>
            </w:pPr>
            <w:r>
              <w:rPr>
                <w:rFonts w:ascii="Arial" w:cs="Arial" w:eastAsia="Arial" w:hAnsi="Arial"/>
                <w:sz w:val="14"/>
                <w:szCs w:val="14"/>
                <w:b w:val="1"/>
                <w:bCs w:val="1"/>
                <w:color w:val="auto"/>
              </w:rPr>
              <w:t>Amortized Cost</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4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First-lien debt investments</w:t>
            </w: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1,776.8</w:t>
            </w:r>
          </w:p>
        </w:tc>
        <w:tc>
          <w:tcPr>
            <w:tcW w:w="24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jc w:val="right"/>
              <w:ind w:right="326"/>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6"/>
              </w:rPr>
              <w:t>1,752.9</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1,653.9</w:t>
            </w: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gridSpan w:val="2"/>
            <w:shd w:val="clear" w:color="auto" w:fill="CFF0FC"/>
          </w:tcPr>
          <w:p>
            <w:pPr>
              <w:jc w:val="right"/>
              <w:ind w:right="48"/>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1,642.0</w:t>
            </w:r>
          </w:p>
        </w:tc>
        <w:tc>
          <w:tcPr>
            <w:tcW w:w="12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Second-lien debt investments</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95"/>
              </w:rPr>
              <w:t>4.1</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Mezzanine debt investments</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2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2.5</w:t>
            </w:r>
          </w:p>
        </w:tc>
        <w:tc>
          <w:tcPr>
            <w:tcW w:w="2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6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Equity and other investments</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w:t>
            </w:r>
          </w:p>
        </w:tc>
        <w:tc>
          <w:tcPr>
            <w:tcW w:w="24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45.5</w:t>
            </w:r>
          </w:p>
        </w:tc>
        <w:tc>
          <w:tcPr>
            <w:tcW w:w="240" w:type="dxa"/>
            <w:vAlign w:val="bottom"/>
            <w:tcBorders>
              <w:bottom w:val="single" w:sz="8" w:color="CFF0FC"/>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w:t>
            </w:r>
          </w:p>
        </w:tc>
        <w:tc>
          <w:tcPr>
            <w:tcW w:w="12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460" w:type="dxa"/>
            <w:vAlign w:val="bottom"/>
            <w:tcBorders>
              <w:bottom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b w:val="1"/>
                <w:bCs w:val="1"/>
                <w:color w:val="auto"/>
              </w:rPr>
              <w:t>Total</w:t>
            </w: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1,824.9</w:t>
            </w:r>
          </w:p>
        </w:tc>
        <w:tc>
          <w:tcPr>
            <w:tcW w:w="24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ind w:right="326"/>
              <w:spacing w:after="0"/>
              <w:rPr>
                <w:sz w:val="20"/>
                <w:szCs w:val="20"/>
                <w:color w:val="auto"/>
              </w:rPr>
            </w:pPr>
            <w:r>
              <w:rPr>
                <w:rFonts w:ascii="Arial" w:cs="Arial" w:eastAsia="Arial" w:hAnsi="Arial"/>
                <w:sz w:val="15"/>
                <w:szCs w:val="15"/>
                <w:color w:val="auto"/>
                <w:w w:val="71"/>
              </w:rPr>
              <w:t>$</w:t>
            </w:r>
          </w:p>
        </w:tc>
        <w:tc>
          <w:tcPr>
            <w:tcW w:w="1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6"/>
              </w:rPr>
              <w:t>1,825.8</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1,706.0</w:t>
            </w:r>
          </w:p>
        </w:tc>
        <w:tc>
          <w:tcPr>
            <w:tcW w:w="2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gridSpan w:val="2"/>
            <w:shd w:val="clear" w:color="auto" w:fill="CFF0FC"/>
          </w:tcPr>
          <w:p>
            <w:pPr>
              <w:jc w:val="right"/>
              <w:ind w:right="48"/>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1,716.4</w:t>
            </w:r>
          </w:p>
        </w:tc>
        <w:tc>
          <w:tcPr>
            <w:tcW w:w="120" w:type="dxa"/>
            <w:vAlign w:val="bottom"/>
            <w:tcBorders>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ind w:right="394"/>
              <w:spacing w:after="0"/>
              <w:rPr>
                <w:sz w:val="20"/>
                <w:szCs w:val="20"/>
                <w:color w:val="auto"/>
              </w:rPr>
            </w:pPr>
            <w:r>
              <w:rPr>
                <w:rFonts w:ascii="Arial" w:cs="Arial" w:eastAsia="Arial" w:hAnsi="Arial"/>
                <w:sz w:val="18"/>
                <w:szCs w:val="18"/>
                <w:color w:val="auto"/>
              </w:rPr>
              <w:t>51</w:t>
            </w: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33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51" w:name="page52"/>
    <w:bookmarkEnd w:id="51"/>
    <w:p>
      <w:pPr>
        <w:ind w:left="260"/>
        <w:spacing w:after="0"/>
        <w:rPr>
          <w:sz w:val="20"/>
          <w:szCs w:val="20"/>
          <w:color w:val="auto"/>
        </w:rPr>
      </w:pPr>
      <w:r>
        <w:rPr>
          <w:rFonts w:ascii="Arial" w:cs="Arial" w:eastAsia="Arial" w:hAnsi="Arial"/>
          <w:sz w:val="16"/>
          <w:szCs w:val="16"/>
          <w:color w:val="auto"/>
        </w:rPr>
        <w:t>The following tables show the fair value and amortized cost of our performing and non-accrual investments as of March 31, 2019 and December 31, 2018:</w:t>
      </w:r>
    </w:p>
    <w:p>
      <w:pPr>
        <w:spacing w:after="0" w:line="321"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270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1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60" w:type="dxa"/>
            <w:vAlign w:val="bottom"/>
            <w:gridSpan w:val="5"/>
          </w:tcPr>
          <w:p>
            <w:pPr>
              <w:jc w:val="right"/>
              <w:ind w:right="1050"/>
              <w:spacing w:after="0"/>
              <w:rPr>
                <w:sz w:val="20"/>
                <w:szCs w:val="20"/>
                <w:color w:val="auto"/>
              </w:rPr>
            </w:pPr>
            <w:r>
              <w:rPr>
                <w:rFonts w:ascii="Arial" w:cs="Arial" w:eastAsia="Arial" w:hAnsi="Arial"/>
                <w:sz w:val="14"/>
                <w:szCs w:val="14"/>
                <w:b w:val="1"/>
                <w:bCs w:val="1"/>
                <w:color w:val="auto"/>
              </w:rPr>
              <w:t>March 31, 2019</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0" w:type="dxa"/>
            <w:vAlign w:val="bottom"/>
            <w:gridSpan w:val="4"/>
          </w:tcPr>
          <w:p>
            <w:pPr>
              <w:jc w:val="right"/>
              <w:ind w:right="960"/>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156"/>
        </w:trPr>
        <w:tc>
          <w:tcPr>
            <w:tcW w:w="2700" w:type="dxa"/>
            <w:vAlign w:val="bottom"/>
            <w:tcBorders>
              <w:bottom w:val="single" w:sz="8" w:color="CFF0FC"/>
            </w:tcBorders>
            <w:vMerge w:val="continue"/>
          </w:tcPr>
          <w:p>
            <w:pPr>
              <w:spacing w:after="0"/>
              <w:rPr>
                <w:sz w:val="13"/>
                <w:szCs w:val="13"/>
                <w:color w:val="auto"/>
              </w:rPr>
            </w:pPr>
          </w:p>
        </w:tc>
        <w:tc>
          <w:tcPr>
            <w:tcW w:w="1600" w:type="dxa"/>
            <w:vAlign w:val="bottom"/>
            <w:tcBorders>
              <w:bottom w:val="single" w:sz="8" w:color="CFF0FC"/>
            </w:tcBorders>
          </w:tcPr>
          <w:p>
            <w:pPr>
              <w:spacing w:after="0"/>
              <w:rPr>
                <w:sz w:val="13"/>
                <w:szCs w:val="13"/>
                <w:color w:val="auto"/>
              </w:rPr>
            </w:pPr>
          </w:p>
        </w:tc>
        <w:tc>
          <w:tcPr>
            <w:tcW w:w="40" w:type="dxa"/>
            <w:vAlign w:val="bottom"/>
            <w:tcBorders>
              <w:bottom w:val="single" w:sz="8" w:color="CFF0FC"/>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217"/>
              <w:spacing w:after="0" w:line="155" w:lineRule="exact"/>
              <w:rPr>
                <w:sz w:val="20"/>
                <w:szCs w:val="20"/>
                <w:color w:val="auto"/>
              </w:rPr>
            </w:pPr>
            <w:r>
              <w:rPr>
                <w:rFonts w:ascii="Arial" w:cs="Arial" w:eastAsia="Arial" w:hAnsi="Arial"/>
                <w:sz w:val="14"/>
                <w:szCs w:val="14"/>
                <w:b w:val="1"/>
                <w:bCs w:val="1"/>
                <w:color w:val="auto"/>
              </w:rPr>
              <w:t>Fair Value</w:t>
            </w:r>
          </w:p>
        </w:tc>
        <w:tc>
          <w:tcPr>
            <w:tcW w:w="280" w:type="dxa"/>
            <w:vAlign w:val="bottom"/>
            <w:tcBorders>
              <w:top w:val="single" w:sz="8" w:color="auto"/>
              <w:bottom w:val="single" w:sz="8" w:color="CFF0FC"/>
            </w:tcBorders>
          </w:tcPr>
          <w:p>
            <w:pPr>
              <w:spacing w:after="0"/>
              <w:rPr>
                <w:sz w:val="13"/>
                <w:szCs w:val="13"/>
                <w:color w:val="auto"/>
              </w:rPr>
            </w:pPr>
          </w:p>
        </w:tc>
        <w:tc>
          <w:tcPr>
            <w:tcW w:w="1220" w:type="dxa"/>
            <w:vAlign w:val="bottom"/>
            <w:tcBorders>
              <w:top w:val="single" w:sz="8" w:color="auto"/>
              <w:bottom w:val="single" w:sz="8" w:color="auto"/>
            </w:tcBorders>
            <w:gridSpan w:val="2"/>
          </w:tcPr>
          <w:p>
            <w:pPr>
              <w:ind w:left="260"/>
              <w:spacing w:after="0" w:line="155" w:lineRule="exact"/>
              <w:rPr>
                <w:sz w:val="20"/>
                <w:szCs w:val="20"/>
                <w:color w:val="auto"/>
              </w:rPr>
            </w:pPr>
            <w:r>
              <w:rPr>
                <w:rFonts w:ascii="Arial" w:cs="Arial" w:eastAsia="Arial" w:hAnsi="Arial"/>
                <w:sz w:val="14"/>
                <w:szCs w:val="14"/>
                <w:b w:val="1"/>
                <w:bCs w:val="1"/>
                <w:color w:val="auto"/>
              </w:rPr>
              <w:t>Percentage</w:t>
            </w:r>
          </w:p>
        </w:tc>
        <w:tc>
          <w:tcPr>
            <w:tcW w:w="2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217"/>
              <w:spacing w:after="0" w:line="155" w:lineRule="exact"/>
              <w:rPr>
                <w:sz w:val="20"/>
                <w:szCs w:val="20"/>
                <w:color w:val="auto"/>
              </w:rPr>
            </w:pPr>
            <w:r>
              <w:rPr>
                <w:rFonts w:ascii="Arial" w:cs="Arial" w:eastAsia="Arial" w:hAnsi="Arial"/>
                <w:sz w:val="14"/>
                <w:szCs w:val="14"/>
                <w:b w:val="1"/>
                <w:bCs w:val="1"/>
                <w:color w:val="auto"/>
              </w:rPr>
              <w:t>Fair Value</w:t>
            </w:r>
          </w:p>
        </w:tc>
        <w:tc>
          <w:tcPr>
            <w:tcW w:w="280" w:type="dxa"/>
            <w:vAlign w:val="bottom"/>
            <w:tcBorders>
              <w:top w:val="single" w:sz="8" w:color="auto"/>
              <w:bottom w:val="single" w:sz="8" w:color="CFF0FC"/>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194"/>
              <w:spacing w:after="0" w:line="155" w:lineRule="exact"/>
              <w:rPr>
                <w:sz w:val="20"/>
                <w:szCs w:val="20"/>
                <w:color w:val="auto"/>
              </w:rPr>
            </w:pPr>
            <w:r>
              <w:rPr>
                <w:rFonts w:ascii="Arial" w:cs="Arial" w:eastAsia="Arial" w:hAnsi="Arial"/>
                <w:sz w:val="14"/>
                <w:szCs w:val="14"/>
                <w:b w:val="1"/>
                <w:bCs w:val="1"/>
                <w:color w:val="auto"/>
              </w:rPr>
              <w:t>Percentage</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700" w:type="dxa"/>
            <w:vAlign w:val="bottom"/>
            <w:shd w:val="clear" w:color="auto" w:fill="CFF0FC"/>
          </w:tcPr>
          <w:p>
            <w:pPr>
              <w:spacing w:after="0"/>
              <w:rPr>
                <w:sz w:val="20"/>
                <w:szCs w:val="20"/>
                <w:color w:val="auto"/>
              </w:rPr>
            </w:pPr>
            <w:r>
              <w:rPr>
                <w:rFonts w:ascii="Arial" w:cs="Arial" w:eastAsia="Arial" w:hAnsi="Arial"/>
                <w:sz w:val="18"/>
                <w:szCs w:val="18"/>
                <w:color w:val="auto"/>
              </w:rPr>
              <w:t>Performing</w:t>
            </w:r>
          </w:p>
        </w:tc>
        <w:tc>
          <w:tcPr>
            <w:tcW w:w="16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1,824.9</w:t>
            </w:r>
          </w:p>
        </w:tc>
        <w:tc>
          <w:tcPr>
            <w:tcW w:w="2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4"/>
              </w:rPr>
              <w:t>%</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1,706.0</w:t>
            </w:r>
          </w:p>
        </w:tc>
        <w:tc>
          <w:tcPr>
            <w:tcW w:w="2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2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 xml:space="preserve">Non-accrual </w:t>
            </w:r>
            <w:r>
              <w:rPr>
                <w:rFonts w:ascii="Arial" w:cs="Arial" w:eastAsia="Arial" w:hAnsi="Arial"/>
                <w:sz w:val="15"/>
                <w:szCs w:val="15"/>
                <w:color w:val="auto"/>
              </w:rPr>
              <w:t>(1)</w:t>
            </w:r>
          </w:p>
        </w:tc>
        <w:tc>
          <w:tcPr>
            <w:tcW w:w="160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tcPr>
          <w:p>
            <w:pPr>
              <w:spacing w:after="0"/>
              <w:rPr>
                <w:sz w:val="19"/>
                <w:szCs w:val="19"/>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00" w:type="dxa"/>
            <w:vAlign w:val="bottom"/>
            <w:shd w:val="clear" w:color="auto" w:fill="CFF0FC"/>
          </w:tcPr>
          <w:p>
            <w:pPr>
              <w:ind w:left="240"/>
              <w:spacing w:after="0"/>
              <w:rPr>
                <w:sz w:val="20"/>
                <w:szCs w:val="20"/>
                <w:color w:val="auto"/>
              </w:rPr>
            </w:pPr>
            <w:r>
              <w:rPr>
                <w:rFonts w:ascii="Arial" w:cs="Arial" w:eastAsia="Arial" w:hAnsi="Arial"/>
                <w:sz w:val="18"/>
                <w:szCs w:val="18"/>
                <w:b w:val="1"/>
                <w:bCs w:val="1"/>
                <w:color w:val="auto"/>
              </w:rPr>
              <w:t>Total</w:t>
            </w:r>
          </w:p>
        </w:tc>
        <w:tc>
          <w:tcPr>
            <w:tcW w:w="16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1,824.9</w:t>
            </w:r>
          </w:p>
        </w:tc>
        <w:tc>
          <w:tcPr>
            <w:tcW w:w="2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4"/>
              </w:rPr>
              <w:t>%</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1,706.0</w:t>
            </w:r>
          </w:p>
        </w:tc>
        <w:tc>
          <w:tcPr>
            <w:tcW w:w="2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700" w:type="dxa"/>
            <w:vAlign w:val="bottom"/>
            <w:tcBorders>
              <w:top w:val="single" w:sz="8" w:color="CFF0FC"/>
            </w:tcBorders>
          </w:tcPr>
          <w:p>
            <w:pPr>
              <w:spacing w:after="0" w:line="20" w:lineRule="exact"/>
              <w:rPr>
                <w:sz w:val="1"/>
                <w:szCs w:val="1"/>
                <w:color w:val="auto"/>
              </w:rPr>
            </w:pPr>
          </w:p>
        </w:tc>
        <w:tc>
          <w:tcPr>
            <w:tcW w:w="160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70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1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60" w:type="dxa"/>
            <w:vAlign w:val="bottom"/>
            <w:gridSpan w:val="5"/>
          </w:tcPr>
          <w:p>
            <w:pPr>
              <w:jc w:val="right"/>
              <w:ind w:right="1070"/>
              <w:spacing w:after="0"/>
              <w:rPr>
                <w:sz w:val="20"/>
                <w:szCs w:val="20"/>
                <w:color w:val="auto"/>
              </w:rPr>
            </w:pPr>
            <w:r>
              <w:rPr>
                <w:rFonts w:ascii="Arial" w:cs="Arial" w:eastAsia="Arial" w:hAnsi="Arial"/>
                <w:sz w:val="14"/>
                <w:szCs w:val="14"/>
                <w:b w:val="1"/>
                <w:bCs w:val="1"/>
                <w:color w:val="auto"/>
              </w:rPr>
              <w:t>March 31, 2019</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0" w:type="dxa"/>
            <w:vAlign w:val="bottom"/>
            <w:gridSpan w:val="4"/>
          </w:tcPr>
          <w:p>
            <w:pPr>
              <w:jc w:val="right"/>
              <w:ind w:right="980"/>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156"/>
        </w:trPr>
        <w:tc>
          <w:tcPr>
            <w:tcW w:w="2700" w:type="dxa"/>
            <w:vAlign w:val="bottom"/>
            <w:tcBorders>
              <w:bottom w:val="single" w:sz="8" w:color="CFF0FC"/>
            </w:tcBorders>
            <w:vMerge w:val="continue"/>
          </w:tcPr>
          <w:p>
            <w:pPr>
              <w:spacing w:after="0"/>
              <w:rPr>
                <w:sz w:val="13"/>
                <w:szCs w:val="13"/>
                <w:color w:val="auto"/>
              </w:rPr>
            </w:pPr>
          </w:p>
        </w:tc>
        <w:tc>
          <w:tcPr>
            <w:tcW w:w="1600" w:type="dxa"/>
            <w:vAlign w:val="bottom"/>
            <w:tcBorders>
              <w:bottom w:val="single" w:sz="8" w:color="CFF0FC"/>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57"/>
              <w:spacing w:after="0" w:line="155" w:lineRule="exact"/>
              <w:rPr>
                <w:sz w:val="20"/>
                <w:szCs w:val="20"/>
                <w:color w:val="auto"/>
              </w:rPr>
            </w:pPr>
            <w:r>
              <w:rPr>
                <w:rFonts w:ascii="Arial" w:cs="Arial" w:eastAsia="Arial" w:hAnsi="Arial"/>
                <w:sz w:val="14"/>
                <w:szCs w:val="14"/>
                <w:b w:val="1"/>
                <w:bCs w:val="1"/>
                <w:color w:val="auto"/>
                <w:w w:val="92"/>
              </w:rPr>
              <w:t>Amortized Cost</w:t>
            </w:r>
          </w:p>
        </w:tc>
        <w:tc>
          <w:tcPr>
            <w:tcW w:w="280" w:type="dxa"/>
            <w:vAlign w:val="bottom"/>
            <w:tcBorders>
              <w:top w:val="single" w:sz="8" w:color="auto"/>
              <w:bottom w:val="single" w:sz="8" w:color="CFF0FC"/>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194"/>
              <w:spacing w:after="0" w:line="155" w:lineRule="exact"/>
              <w:rPr>
                <w:sz w:val="20"/>
                <w:szCs w:val="20"/>
                <w:color w:val="auto"/>
              </w:rPr>
            </w:pPr>
            <w:r>
              <w:rPr>
                <w:rFonts w:ascii="Arial" w:cs="Arial" w:eastAsia="Arial" w:hAnsi="Arial"/>
                <w:sz w:val="14"/>
                <w:szCs w:val="14"/>
                <w:b w:val="1"/>
                <w:bCs w:val="1"/>
                <w:color w:val="auto"/>
              </w:rPr>
              <w:t>Percentage</w:t>
            </w:r>
          </w:p>
        </w:tc>
        <w:tc>
          <w:tcPr>
            <w:tcW w:w="260" w:type="dxa"/>
            <w:vAlign w:val="bottom"/>
            <w:tcBorders>
              <w:bottom w:val="single" w:sz="8" w:color="CFF0FC"/>
            </w:tcBorders>
            <w:gridSpan w:val="2"/>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77"/>
              <w:spacing w:after="0" w:line="155" w:lineRule="exact"/>
              <w:rPr>
                <w:sz w:val="20"/>
                <w:szCs w:val="20"/>
                <w:color w:val="auto"/>
              </w:rPr>
            </w:pPr>
            <w:r>
              <w:rPr>
                <w:rFonts w:ascii="Arial" w:cs="Arial" w:eastAsia="Arial" w:hAnsi="Arial"/>
                <w:sz w:val="14"/>
                <w:szCs w:val="14"/>
                <w:b w:val="1"/>
                <w:bCs w:val="1"/>
                <w:color w:val="auto"/>
                <w:w w:val="92"/>
              </w:rPr>
              <w:t>Amortized Cost</w:t>
            </w:r>
          </w:p>
        </w:tc>
        <w:tc>
          <w:tcPr>
            <w:tcW w:w="280" w:type="dxa"/>
            <w:vAlign w:val="bottom"/>
            <w:tcBorders>
              <w:top w:val="single" w:sz="8" w:color="auto"/>
              <w:bottom w:val="single" w:sz="8" w:color="CFF0FC"/>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194"/>
              <w:spacing w:after="0" w:line="155" w:lineRule="exact"/>
              <w:rPr>
                <w:sz w:val="20"/>
                <w:szCs w:val="20"/>
                <w:color w:val="auto"/>
              </w:rPr>
            </w:pPr>
            <w:r>
              <w:rPr>
                <w:rFonts w:ascii="Arial" w:cs="Arial" w:eastAsia="Arial" w:hAnsi="Arial"/>
                <w:sz w:val="14"/>
                <w:szCs w:val="14"/>
                <w:b w:val="1"/>
                <w:bCs w:val="1"/>
                <w:color w:val="auto"/>
              </w:rPr>
              <w:t>Percentage</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700" w:type="dxa"/>
            <w:vAlign w:val="bottom"/>
            <w:shd w:val="clear" w:color="auto" w:fill="CFF0FC"/>
          </w:tcPr>
          <w:p>
            <w:pPr>
              <w:spacing w:after="0"/>
              <w:rPr>
                <w:sz w:val="20"/>
                <w:szCs w:val="20"/>
                <w:color w:val="auto"/>
              </w:rPr>
            </w:pPr>
            <w:r>
              <w:rPr>
                <w:rFonts w:ascii="Arial" w:cs="Arial" w:eastAsia="Arial" w:hAnsi="Arial"/>
                <w:sz w:val="18"/>
                <w:szCs w:val="18"/>
                <w:color w:val="auto"/>
              </w:rPr>
              <w:t>Performing</w:t>
            </w:r>
          </w:p>
        </w:tc>
        <w:tc>
          <w:tcPr>
            <w:tcW w:w="1600" w:type="dxa"/>
            <w:vAlign w:val="bottom"/>
            <w:shd w:val="clear" w:color="auto" w:fill="CFF0FC"/>
          </w:tcPr>
          <w:p>
            <w:pPr>
              <w:spacing w:after="0"/>
              <w:rPr>
                <w:sz w:val="19"/>
                <w:szCs w:val="19"/>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1,825.8</w:t>
            </w:r>
          </w:p>
        </w:tc>
        <w:tc>
          <w:tcPr>
            <w:tcW w:w="2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6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w w:val="74"/>
              </w:rPr>
              <w:t>%</w:t>
            </w:r>
          </w:p>
        </w:tc>
        <w:tc>
          <w:tcPr>
            <w:tcW w:w="100" w:type="dxa"/>
            <w:vAlign w:val="bottom"/>
            <w:shd w:val="clear" w:color="auto" w:fill="CFF0FC"/>
          </w:tcPr>
          <w:p>
            <w:pPr>
              <w:spacing w:after="0"/>
              <w:rPr>
                <w:sz w:val="19"/>
                <w:szCs w:val="19"/>
                <w:color w:val="auto"/>
              </w:rPr>
            </w:pP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1,716.4</w:t>
            </w:r>
          </w:p>
        </w:tc>
        <w:tc>
          <w:tcPr>
            <w:tcW w:w="2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2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 xml:space="preserve">Non-accrual </w:t>
            </w:r>
            <w:r>
              <w:rPr>
                <w:rFonts w:ascii="Arial" w:cs="Arial" w:eastAsia="Arial" w:hAnsi="Arial"/>
                <w:sz w:val="15"/>
                <w:szCs w:val="15"/>
                <w:color w:val="auto"/>
              </w:rPr>
              <w:t>(1)</w:t>
            </w:r>
          </w:p>
        </w:tc>
        <w:tc>
          <w:tcPr>
            <w:tcW w:w="1600" w:type="dxa"/>
            <w:vAlign w:val="bottom"/>
            <w:tcBorders>
              <w:bottom w:val="single" w:sz="8" w:color="CFF0FC"/>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gridSpan w:val="2"/>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00" w:type="dxa"/>
            <w:vAlign w:val="bottom"/>
            <w:shd w:val="clear" w:color="auto" w:fill="CFF0FC"/>
          </w:tcPr>
          <w:p>
            <w:pPr>
              <w:ind w:left="240"/>
              <w:spacing w:after="0"/>
              <w:rPr>
                <w:sz w:val="20"/>
                <w:szCs w:val="20"/>
                <w:color w:val="auto"/>
              </w:rPr>
            </w:pPr>
            <w:r>
              <w:rPr>
                <w:rFonts w:ascii="Arial" w:cs="Arial" w:eastAsia="Arial" w:hAnsi="Arial"/>
                <w:sz w:val="18"/>
                <w:szCs w:val="18"/>
                <w:b w:val="1"/>
                <w:bCs w:val="1"/>
                <w:color w:val="auto"/>
              </w:rPr>
              <w:t>Total</w:t>
            </w:r>
          </w:p>
        </w:tc>
        <w:tc>
          <w:tcPr>
            <w:tcW w:w="1600" w:type="dxa"/>
            <w:vAlign w:val="bottom"/>
            <w:shd w:val="clear" w:color="auto" w:fill="CFF0FC"/>
          </w:tcPr>
          <w:p>
            <w:pPr>
              <w:spacing w:after="0"/>
              <w:rPr>
                <w:sz w:val="19"/>
                <w:szCs w:val="19"/>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1,825.8</w:t>
            </w:r>
          </w:p>
        </w:tc>
        <w:tc>
          <w:tcPr>
            <w:tcW w:w="2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6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w w:val="74"/>
              </w:rPr>
              <w:t>%</w:t>
            </w:r>
          </w:p>
        </w:tc>
        <w:tc>
          <w:tcPr>
            <w:tcW w:w="100" w:type="dxa"/>
            <w:vAlign w:val="bottom"/>
            <w:shd w:val="clear" w:color="auto" w:fill="CFF0FC"/>
          </w:tcPr>
          <w:p>
            <w:pPr>
              <w:spacing w:after="0"/>
              <w:rPr>
                <w:sz w:val="19"/>
                <w:szCs w:val="19"/>
                <w:color w:val="auto"/>
              </w:rPr>
            </w:pP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1,716.4</w:t>
            </w:r>
          </w:p>
        </w:tc>
        <w:tc>
          <w:tcPr>
            <w:tcW w:w="2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700" w:type="dxa"/>
            <w:vAlign w:val="bottom"/>
            <w:tcBorders>
              <w:top w:val="single" w:sz="8" w:color="CFF0FC"/>
            </w:tcBorders>
          </w:tcPr>
          <w:p>
            <w:pPr>
              <w:spacing w:after="0" w:line="20" w:lineRule="exact"/>
              <w:rPr>
                <w:sz w:val="1"/>
                <w:szCs w:val="1"/>
                <w:color w:val="auto"/>
              </w:rPr>
            </w:pPr>
          </w:p>
        </w:tc>
        <w:tc>
          <w:tcPr>
            <w:tcW w:w="160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20" w:right="40" w:hanging="512"/>
        <w:spacing w:after="0" w:line="276" w:lineRule="auto"/>
        <w:tabs>
          <w:tab w:leader="none" w:pos="5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Loans are generally placed on non-accrual status when principal or interest payments are past due 30 days or more or when management has reasonable doubt that the borrower will pay principal or interest in full. Accrued and unpaid interest is generally reversed when a loan is placed on non-accrual status. Non-accrual loans are restored to accrual status when past due principal and interest has been paid and, in management’s judgment, the borrower is likely to make principal and interest payments in the future. Management may determine to not place a loan on non-accrual status if, notwithstanding any failure to pay, the loan has sufficient collateral value and is in the process of collection.</w:t>
      </w:r>
    </w:p>
    <w:p>
      <w:pPr>
        <w:spacing w:after="0" w:line="186" w:lineRule="exact"/>
        <w:rPr>
          <w:sz w:val="20"/>
          <w:szCs w:val="20"/>
          <w:color w:val="auto"/>
        </w:rPr>
      </w:pPr>
    </w:p>
    <w:p>
      <w:pPr>
        <w:ind w:right="400" w:firstLine="259"/>
        <w:spacing w:after="0" w:line="277" w:lineRule="auto"/>
        <w:rPr>
          <w:sz w:val="20"/>
          <w:szCs w:val="20"/>
          <w:color w:val="auto"/>
        </w:rPr>
      </w:pPr>
      <w:r>
        <w:rPr>
          <w:rFonts w:ascii="Arial" w:cs="Arial" w:eastAsia="Arial" w:hAnsi="Arial"/>
          <w:sz w:val="18"/>
          <w:szCs w:val="18"/>
          <w:color w:val="auto"/>
        </w:rPr>
        <w:t>The weighted average yields and interest rates of our performing debt investments at fair value as of March 31, 2019 and December 31, 2018 were as follows:</w:t>
      </w:r>
    </w:p>
    <w:p>
      <w:pPr>
        <w:spacing w:after="0" w:line="243"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4780" w:type="dxa"/>
            <w:vAlign w:val="bottom"/>
          </w:tcPr>
          <w:p>
            <w:pPr>
              <w:spacing w:after="0"/>
              <w:rPr>
                <w:sz w:val="14"/>
                <w:szCs w:val="14"/>
                <w:color w:val="auto"/>
              </w:rPr>
            </w:pPr>
          </w:p>
        </w:tc>
        <w:tc>
          <w:tcPr>
            <w:tcW w:w="16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March 31, 2019</w:t>
            </w:r>
          </w:p>
        </w:tc>
        <w:tc>
          <w:tcPr>
            <w:tcW w:w="15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8"/>
              </w:rPr>
              <w:t>December 31, 2018</w:t>
            </w:r>
          </w:p>
        </w:tc>
      </w:tr>
      <w:tr>
        <w:trPr>
          <w:trHeight w:val="209"/>
        </w:trPr>
        <w:tc>
          <w:tcPr>
            <w:tcW w:w="4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 average total yield of debt and income</w:t>
            </w:r>
          </w:p>
        </w:tc>
        <w:tc>
          <w:tcPr>
            <w:tcW w:w="134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r>
      <w:tr>
        <w:trPr>
          <w:trHeight w:val="230"/>
        </w:trPr>
        <w:tc>
          <w:tcPr>
            <w:tcW w:w="47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 xml:space="preserve">producing securities </w:t>
            </w:r>
            <w:r>
              <w:rPr>
                <w:rFonts w:ascii="Arial" w:cs="Arial" w:eastAsia="Arial" w:hAnsi="Arial"/>
                <w:sz w:val="15"/>
                <w:szCs w:val="15"/>
                <w:color w:val="auto"/>
              </w:rPr>
              <w:t>(1)</w:t>
            </w:r>
          </w:p>
        </w:tc>
        <w:tc>
          <w:tcPr>
            <w:tcW w:w="16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11.4%</w:t>
            </w:r>
          </w:p>
        </w:tc>
        <w:tc>
          <w:tcPr>
            <w:tcW w:w="15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11.6%</w:t>
            </w:r>
          </w:p>
        </w:tc>
      </w:tr>
      <w:tr>
        <w:trPr>
          <w:trHeight w:val="215"/>
        </w:trPr>
        <w:tc>
          <w:tcPr>
            <w:tcW w:w="4780" w:type="dxa"/>
            <w:vAlign w:val="bottom"/>
          </w:tcPr>
          <w:p>
            <w:pPr>
              <w:spacing w:after="0"/>
              <w:rPr>
                <w:sz w:val="20"/>
                <w:szCs w:val="20"/>
                <w:color w:val="auto"/>
              </w:rPr>
            </w:pPr>
            <w:r>
              <w:rPr>
                <w:rFonts w:ascii="Arial" w:cs="Arial" w:eastAsia="Arial" w:hAnsi="Arial"/>
                <w:sz w:val="18"/>
                <w:szCs w:val="18"/>
                <w:color w:val="auto"/>
              </w:rPr>
              <w:t>Weighted average interest rate of debt and income</w:t>
            </w: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4780" w:type="dxa"/>
            <w:vAlign w:val="bottom"/>
          </w:tcPr>
          <w:p>
            <w:pPr>
              <w:ind w:left="140"/>
              <w:spacing w:after="0"/>
              <w:rPr>
                <w:sz w:val="20"/>
                <w:szCs w:val="20"/>
                <w:color w:val="auto"/>
              </w:rPr>
            </w:pPr>
            <w:r>
              <w:rPr>
                <w:rFonts w:ascii="Arial" w:cs="Arial" w:eastAsia="Arial" w:hAnsi="Arial"/>
                <w:sz w:val="18"/>
                <w:szCs w:val="18"/>
                <w:color w:val="auto"/>
              </w:rPr>
              <w:t>producing securities</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10.9%</w:t>
            </w: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11.1%</w:t>
            </w:r>
          </w:p>
        </w:tc>
      </w:tr>
      <w:tr>
        <w:trPr>
          <w:trHeight w:val="215"/>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spread over LIBOR of all floating</w:t>
            </w:r>
          </w:p>
        </w:tc>
        <w:tc>
          <w:tcPr>
            <w:tcW w:w="13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0"/>
        </w:trPr>
        <w:tc>
          <w:tcPr>
            <w:tcW w:w="47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 xml:space="preserve">rate investments </w:t>
            </w:r>
            <w:r>
              <w:rPr>
                <w:rFonts w:ascii="Arial" w:cs="Arial" w:eastAsia="Arial" w:hAnsi="Arial"/>
                <w:sz w:val="15"/>
                <w:szCs w:val="15"/>
                <w:color w:val="auto"/>
              </w:rPr>
              <w:t>(2)</w:t>
            </w:r>
          </w:p>
        </w:tc>
        <w:tc>
          <w:tcPr>
            <w:tcW w:w="16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8.5%</w:t>
            </w:r>
          </w:p>
        </w:tc>
        <w:tc>
          <w:tcPr>
            <w:tcW w:w="15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8.6%</w:t>
            </w:r>
          </w:p>
        </w:tc>
      </w:tr>
    </w:tbl>
    <w:p>
      <w:pPr>
        <w:spacing w:after="0" w:line="229" w:lineRule="exact"/>
        <w:rPr>
          <w:sz w:val="20"/>
          <w:szCs w:val="20"/>
          <w:color w:val="auto"/>
        </w:rPr>
      </w:pPr>
    </w:p>
    <w:p>
      <w:pPr>
        <w:ind w:left="520" w:hanging="512"/>
        <w:spacing w:after="0"/>
        <w:tabs>
          <w:tab w:leader="none" w:pos="5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Weighted average total portfolio yield at fair value was 11.2% at March 31, 2019 and 11.3% at December 31, 2018.</w:t>
      </w:r>
    </w:p>
    <w:p>
      <w:pPr>
        <w:spacing w:after="0" w:line="49" w:lineRule="exact"/>
        <w:rPr>
          <w:rFonts w:ascii="Arial" w:cs="Arial" w:eastAsia="Arial" w:hAnsi="Arial"/>
          <w:sz w:val="18"/>
          <w:szCs w:val="18"/>
          <w:color w:val="auto"/>
        </w:rPr>
      </w:pPr>
    </w:p>
    <w:p>
      <w:pPr>
        <w:ind w:left="520" w:hanging="512"/>
        <w:spacing w:after="0"/>
        <w:tabs>
          <w:tab w:leader="none" w:pos="5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Includes fixed rate investments for which we entered into interest rate swap agreements to swap to floating rates.</w:t>
      </w:r>
    </w:p>
    <w:p>
      <w:pPr>
        <w:spacing w:after="0" w:line="239" w:lineRule="exact"/>
        <w:rPr>
          <w:sz w:val="20"/>
          <w:szCs w:val="20"/>
          <w:color w:val="auto"/>
        </w:rPr>
      </w:pPr>
    </w:p>
    <w:p>
      <w:pPr>
        <w:ind w:right="20" w:firstLine="259"/>
        <w:spacing w:after="0" w:line="264" w:lineRule="auto"/>
        <w:rPr>
          <w:sz w:val="20"/>
          <w:szCs w:val="20"/>
          <w:color w:val="auto"/>
        </w:rPr>
      </w:pPr>
      <w:r>
        <w:rPr>
          <w:rFonts w:ascii="Arial" w:cs="Arial" w:eastAsia="Arial" w:hAnsi="Arial"/>
          <w:sz w:val="18"/>
          <w:szCs w:val="18"/>
          <w:color w:val="auto"/>
        </w:rPr>
        <w:t>The Adviser monitors our portfolio companies on an ongoing basis. The Adviser monitors the financial trends of each portfolio company to determine if it is meeting its business plans and to assess the appropriate course of action for each company. The Adviser has a number of methods of evaluating and monitoring the performance and fair value of our investments, which may include the following:</w:t>
      </w:r>
    </w:p>
    <w:p>
      <w:pPr>
        <w:spacing w:after="0" w:line="73" w:lineRule="exact"/>
        <w:rPr>
          <w:sz w:val="20"/>
          <w:szCs w:val="20"/>
          <w:color w:val="auto"/>
        </w:rPr>
      </w:pPr>
    </w:p>
    <w:p>
      <w:pPr>
        <w:ind w:left="520" w:hanging="255"/>
        <w:spacing w:after="0"/>
        <w:tabs>
          <w:tab w:leader="none" w:pos="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assessment of success of the portfolio company in adhering to its business plan and compliance with covenants;</w:t>
      </w:r>
    </w:p>
    <w:p>
      <w:pPr>
        <w:spacing w:after="0" w:line="117" w:lineRule="exact"/>
        <w:rPr>
          <w:rFonts w:ascii="Arial" w:cs="Arial" w:eastAsia="Arial" w:hAnsi="Arial"/>
          <w:sz w:val="18"/>
          <w:szCs w:val="18"/>
          <w:color w:val="auto"/>
        </w:rPr>
      </w:pPr>
    </w:p>
    <w:p>
      <w:pPr>
        <w:ind w:left="520" w:right="240" w:hanging="255"/>
        <w:spacing w:after="0" w:line="277" w:lineRule="auto"/>
        <w:tabs>
          <w:tab w:leader="none" w:pos="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periodic and regular contact with portfolio company management and, if appropriate, the financial or strategic sponsor, to discuss financial position, requirements and accomplishments;</w:t>
      </w:r>
    </w:p>
    <w:p>
      <w:pPr>
        <w:spacing w:after="0" w:line="62" w:lineRule="exact"/>
        <w:rPr>
          <w:rFonts w:ascii="Arial" w:cs="Arial" w:eastAsia="Arial" w:hAnsi="Arial"/>
          <w:sz w:val="18"/>
          <w:szCs w:val="18"/>
          <w:color w:val="auto"/>
        </w:rPr>
      </w:pPr>
    </w:p>
    <w:p>
      <w:pPr>
        <w:ind w:left="520" w:hanging="255"/>
        <w:spacing w:after="0"/>
        <w:tabs>
          <w:tab w:leader="none" w:pos="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comparisons to other companies in the industry;</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attendance at, and participation in, board meetings; and</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review of monthly and quarterly financial statements and financial projections for portfolio companies.</w:t>
      </w:r>
    </w:p>
    <w:p>
      <w:pPr>
        <w:spacing w:after="0" w:line="225" w:lineRule="exact"/>
        <w:rPr>
          <w:sz w:val="20"/>
          <w:szCs w:val="20"/>
          <w:color w:val="auto"/>
        </w:rPr>
      </w:pPr>
    </w:p>
    <w:p>
      <w:pPr>
        <w:ind w:right="220" w:firstLine="259"/>
        <w:spacing w:after="0" w:line="264" w:lineRule="auto"/>
        <w:rPr>
          <w:sz w:val="20"/>
          <w:szCs w:val="20"/>
          <w:color w:val="auto"/>
        </w:rPr>
      </w:pPr>
      <w:r>
        <w:rPr>
          <w:rFonts w:ascii="Arial" w:cs="Arial" w:eastAsia="Arial" w:hAnsi="Arial"/>
          <w:sz w:val="18"/>
          <w:szCs w:val="18"/>
          <w:color w:val="auto"/>
        </w:rPr>
        <w:t>As part of the monitoring process, the Adviser regularly assesses the risk profile of each of our investments and, on a quarterly basis, grades each investment on a risk scale of 1 to 5. Risk assessment is not standardized in our industry and our risk assessment may not be comparable to ones used by our competitors. Our assessment is based on the following categories:</w:t>
      </w:r>
    </w:p>
    <w:p>
      <w:pPr>
        <w:spacing w:after="0" w:line="73" w:lineRule="exact"/>
        <w:rPr>
          <w:sz w:val="20"/>
          <w:szCs w:val="20"/>
          <w:color w:val="auto"/>
        </w:rPr>
      </w:pPr>
    </w:p>
    <w:p>
      <w:pPr>
        <w:jc w:val="both"/>
        <w:ind w:left="520" w:right="800" w:hanging="255"/>
        <w:spacing w:after="0" w:line="264" w:lineRule="auto"/>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 investment is rated 1 if, in the opinion of the Adviser, it is performing as agreed and there are no concerns about the portfolio company’s performance or ability to meet covenant requirements. For these investments, the Adviser generally prepares monthly reports on investment performance and intensive quarterly asset reviews.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52" w:name="page53"/>
    <w:bookmarkEnd w:id="52"/>
    <w:p>
      <w:pPr>
        <w:ind w:left="520" w:right="300" w:hanging="255"/>
        <w:spacing w:after="0" w:line="264" w:lineRule="auto"/>
        <w:tabs>
          <w:tab w:leader="none" w:pos="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 investment is rated 2 if it is performing as agreed, but, in the opinion of the Adviser, there may be concerns about the company’s operating performance or trends in the industry. For these investments, in addition to monthly reports and quarterly asset reviews, the Adviser also researches any areas of concern with the objective of early intervention with the portfolio company.</w:t>
      </w:r>
    </w:p>
    <w:p>
      <w:pPr>
        <w:spacing w:after="0" w:line="73" w:lineRule="exact"/>
        <w:rPr>
          <w:rFonts w:ascii="Arial" w:cs="Arial" w:eastAsia="Arial" w:hAnsi="Arial"/>
          <w:sz w:val="18"/>
          <w:szCs w:val="18"/>
          <w:color w:val="auto"/>
        </w:rPr>
      </w:pPr>
    </w:p>
    <w:p>
      <w:pPr>
        <w:ind w:left="520" w:right="380" w:hanging="255"/>
        <w:spacing w:after="0" w:line="264" w:lineRule="auto"/>
        <w:tabs>
          <w:tab w:leader="none" w:pos="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 investment will be assigned a rating of 3 if it is paying its obligations to us as agreed but a material covenant violation is expected. For these investments, in addition to monthly reports and quarterly asset reviews, the Adviser also adds the investment to its “watch list” and researches any areas of concern with the objective of early intervention with the portfolio company.</w:t>
      </w:r>
    </w:p>
    <w:p>
      <w:pPr>
        <w:spacing w:after="0" w:line="73" w:lineRule="exact"/>
        <w:rPr>
          <w:rFonts w:ascii="Arial" w:cs="Arial" w:eastAsia="Arial" w:hAnsi="Arial"/>
          <w:sz w:val="18"/>
          <w:szCs w:val="18"/>
          <w:color w:val="auto"/>
        </w:rPr>
      </w:pPr>
    </w:p>
    <w:p>
      <w:pPr>
        <w:ind w:left="520" w:right="160" w:hanging="255"/>
        <w:spacing w:after="0" w:line="255" w:lineRule="auto"/>
        <w:tabs>
          <w:tab w:leader="none" w:pos="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 investment will be assigned a rating of 4 if a material covenant has been violated, but the company is making its scheduled payments on its obligations to us. For these investments, the Adviser generally prepares a bi-monthly asset review email and generally has monthly meetings with the portfolio company’s senior management. For investments where there have been material defaults, including bankruptcy filings, failures to achieve financial performance requirements or failure to maintain liquidity or loan-to-value requirements, the Adviser often will take immediate action to protect its position. These remedies may include negotiating for additional collateral, modifying investment terms or structure, or payment of amendment and waiver fees.</w:t>
      </w:r>
    </w:p>
    <w:p>
      <w:pPr>
        <w:spacing w:after="0" w:line="85" w:lineRule="exact"/>
        <w:rPr>
          <w:rFonts w:ascii="Arial" w:cs="Arial" w:eastAsia="Arial" w:hAnsi="Arial"/>
          <w:sz w:val="18"/>
          <w:szCs w:val="18"/>
          <w:color w:val="auto"/>
        </w:rPr>
      </w:pPr>
    </w:p>
    <w:p>
      <w:pPr>
        <w:ind w:left="520" w:right="40" w:hanging="255"/>
        <w:spacing w:after="0" w:line="279" w:lineRule="auto"/>
        <w:tabs>
          <w:tab w:leader="none" w:pos="5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 rating of 5 indicates an investment is in default on its interest and/or principal payments. For these investments, our Adviser reviews the investments on a bi-monthly basis and, where possible, pursues workouts that achieve an early resolution to avoid further deterioration of our investment. The Adviser retains legal counsel and takes actions to preserve our rights, which may include working with the portfolio company to have the default cured, to have the investment restructured or to have the investment repaid through a consensual workout.</w:t>
      </w:r>
    </w:p>
    <w:p>
      <w:pPr>
        <w:spacing w:after="0" w:line="171" w:lineRule="exact"/>
        <w:rPr>
          <w:sz w:val="20"/>
          <w:szCs w:val="20"/>
          <w:color w:val="auto"/>
        </w:rPr>
      </w:pPr>
    </w:p>
    <w:p>
      <w:pPr>
        <w:ind w:right="340" w:firstLine="259"/>
        <w:spacing w:after="0" w:line="264" w:lineRule="auto"/>
        <w:rPr>
          <w:sz w:val="20"/>
          <w:szCs w:val="20"/>
          <w:color w:val="auto"/>
        </w:rPr>
      </w:pPr>
      <w:r>
        <w:rPr>
          <w:rFonts w:ascii="Arial" w:cs="Arial" w:eastAsia="Arial" w:hAnsi="Arial"/>
          <w:sz w:val="18"/>
          <w:szCs w:val="18"/>
          <w:color w:val="auto"/>
        </w:rPr>
        <w:t>The following table shows the distribution of our investments on the 1 to 5 investment performance rating scale at fair value as of March 31, 2019 and December 31, 2018. Investment performance ratings are accurate only as of those dates and may change due to subsequent developments relating to a portfolio company’s business or financial condition, market conditions or developments, and other factors.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3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1"/>
              </w:rPr>
              <w:t>Investment</w:t>
            </w:r>
          </w:p>
        </w:tc>
        <w:tc>
          <w:tcPr>
            <w:tcW w:w="140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rPr>
              <w:t>March 31, 2019</w:t>
            </w:r>
          </w:p>
        </w:tc>
        <w:tc>
          <w:tcPr>
            <w:tcW w:w="4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3"/>
          </w:tcPr>
          <w:p>
            <w:pPr>
              <w:ind w:left="880"/>
              <w:spacing w:after="0"/>
              <w:rPr>
                <w:sz w:val="20"/>
                <w:szCs w:val="20"/>
                <w:color w:val="auto"/>
              </w:rPr>
            </w:pPr>
            <w:r>
              <w:rPr>
                <w:rFonts w:ascii="Arial" w:cs="Arial" w:eastAsia="Arial" w:hAnsi="Arial"/>
                <w:sz w:val="14"/>
                <w:szCs w:val="14"/>
                <w:b w:val="1"/>
                <w:bCs w:val="1"/>
                <w:color w:val="auto"/>
                <w:w w:val="95"/>
              </w:rPr>
              <w:t>December 31, 2018</w:t>
            </w:r>
          </w:p>
        </w:tc>
        <w:tc>
          <w:tcPr>
            <w:tcW w:w="15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300" w:type="dxa"/>
            <w:vAlign w:val="bottom"/>
            <w:gridSpan w:val="2"/>
            <w:vMerge w:val="continue"/>
          </w:tcPr>
          <w:p>
            <w:pPr>
              <w:spacing w:after="0"/>
              <w:rPr>
                <w:sz w:val="12"/>
                <w:szCs w:val="12"/>
                <w:color w:val="auto"/>
              </w:rPr>
            </w:pPr>
          </w:p>
        </w:tc>
        <w:tc>
          <w:tcPr>
            <w:tcW w:w="3780" w:type="dxa"/>
            <w:vAlign w:val="bottom"/>
            <w:gridSpan w:val="4"/>
          </w:tcPr>
          <w:p>
            <w:pPr>
              <w:jc w:val="center"/>
              <w:ind w:right="1768"/>
              <w:spacing w:after="0" w:line="147" w:lineRule="exact"/>
              <w:rPr>
                <w:sz w:val="20"/>
                <w:szCs w:val="20"/>
                <w:color w:val="auto"/>
              </w:rPr>
            </w:pPr>
            <w:r>
              <w:rPr>
                <w:rFonts w:ascii="Arial" w:cs="Arial" w:eastAsia="Arial" w:hAnsi="Arial"/>
                <w:sz w:val="14"/>
                <w:szCs w:val="14"/>
                <w:b w:val="1"/>
                <w:bCs w:val="1"/>
                <w:color w:val="auto"/>
                <w:w w:val="91"/>
              </w:rPr>
              <w:t>Investments at</w:t>
            </w: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80" w:type="dxa"/>
            <w:vAlign w:val="bottom"/>
            <w:gridSpan w:val="4"/>
          </w:tcPr>
          <w:p>
            <w:pPr>
              <w:jc w:val="center"/>
              <w:ind w:right="840"/>
              <w:spacing w:after="0" w:line="147" w:lineRule="exact"/>
              <w:rPr>
                <w:sz w:val="20"/>
                <w:szCs w:val="20"/>
                <w:color w:val="auto"/>
              </w:rPr>
            </w:pPr>
            <w:r>
              <w:rPr>
                <w:rFonts w:ascii="Arial" w:cs="Arial" w:eastAsia="Arial" w:hAnsi="Arial"/>
                <w:sz w:val="14"/>
                <w:szCs w:val="14"/>
                <w:b w:val="1"/>
                <w:bCs w:val="1"/>
                <w:color w:val="auto"/>
                <w:w w:val="91"/>
              </w:rPr>
              <w:t>Investments at</w:t>
            </w:r>
          </w:p>
        </w:tc>
        <w:tc>
          <w:tcPr>
            <w:tcW w:w="1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Performance</w:t>
            </w:r>
          </w:p>
        </w:tc>
        <w:tc>
          <w:tcPr>
            <w:tcW w:w="1400" w:type="dxa"/>
            <w:vAlign w:val="bottom"/>
          </w:tcPr>
          <w:p>
            <w:pPr>
              <w:jc w:val="center"/>
              <w:ind w:left="481"/>
              <w:spacing w:after="0"/>
              <w:rPr>
                <w:sz w:val="20"/>
                <w:szCs w:val="20"/>
                <w:color w:val="auto"/>
              </w:rPr>
            </w:pPr>
            <w:r>
              <w:rPr>
                <w:rFonts w:ascii="Arial" w:cs="Arial" w:eastAsia="Arial" w:hAnsi="Arial"/>
                <w:sz w:val="14"/>
                <w:szCs w:val="14"/>
                <w:b w:val="1"/>
                <w:bCs w:val="1"/>
                <w:color w:val="auto"/>
                <w:w w:val="95"/>
              </w:rPr>
              <w:t>Fair Value</w:t>
            </w: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80" w:type="dxa"/>
            <w:vAlign w:val="bottom"/>
          </w:tcPr>
          <w:p>
            <w:pPr>
              <w:jc w:val="center"/>
              <w:ind w:left="388"/>
              <w:spacing w:after="0"/>
              <w:rPr>
                <w:sz w:val="20"/>
                <w:szCs w:val="20"/>
                <w:color w:val="auto"/>
              </w:rPr>
            </w:pPr>
            <w:r>
              <w:rPr>
                <w:rFonts w:ascii="Arial" w:cs="Arial" w:eastAsia="Arial" w:hAnsi="Arial"/>
                <w:sz w:val="14"/>
                <w:szCs w:val="14"/>
                <w:b w:val="1"/>
                <w:bCs w:val="1"/>
                <w:color w:val="auto"/>
                <w:w w:val="88"/>
              </w:rPr>
              <w:t>Percentage of</w:t>
            </w: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80" w:type="dxa"/>
            <w:vAlign w:val="bottom"/>
            <w:gridSpan w:val="4"/>
          </w:tcPr>
          <w:p>
            <w:pPr>
              <w:jc w:val="center"/>
              <w:ind w:right="820"/>
              <w:spacing w:after="0"/>
              <w:rPr>
                <w:sz w:val="20"/>
                <w:szCs w:val="20"/>
                <w:color w:val="auto"/>
              </w:rPr>
            </w:pPr>
            <w:r>
              <w:rPr>
                <w:rFonts w:ascii="Arial" w:cs="Arial" w:eastAsia="Arial" w:hAnsi="Arial"/>
                <w:sz w:val="14"/>
                <w:szCs w:val="14"/>
                <w:b w:val="1"/>
                <w:bCs w:val="1"/>
                <w:color w:val="auto"/>
                <w:w w:val="95"/>
              </w:rPr>
              <w:t>Fair Value</w:t>
            </w:r>
          </w:p>
        </w:tc>
        <w:tc>
          <w:tcPr>
            <w:tcW w:w="168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97"/>
              </w:rPr>
              <w:t>Percentage of</w:t>
            </w:r>
          </w:p>
        </w:tc>
        <w:tc>
          <w:tcPr>
            <w:tcW w:w="0" w:type="dxa"/>
            <w:vAlign w:val="bottom"/>
          </w:tcPr>
          <w:p>
            <w:pPr>
              <w:spacing w:after="0"/>
              <w:rPr>
                <w:sz w:val="1"/>
                <w:szCs w:val="1"/>
                <w:color w:val="auto"/>
              </w:rPr>
            </w:pPr>
          </w:p>
        </w:tc>
      </w:tr>
      <w:tr>
        <w:trPr>
          <w:trHeight w:val="171"/>
        </w:trPr>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Rating</w:t>
            </w:r>
          </w:p>
        </w:tc>
        <w:tc>
          <w:tcPr>
            <w:tcW w:w="340" w:type="dxa"/>
            <w:vAlign w:val="bottom"/>
            <w:tcBorders>
              <w:bottom w:val="single" w:sz="8" w:color="CFF0FC"/>
            </w:tcBorders>
          </w:tcPr>
          <w:p>
            <w:pPr>
              <w:spacing w:after="0"/>
              <w:rPr>
                <w:sz w:val="14"/>
                <w:szCs w:val="14"/>
                <w:color w:val="auto"/>
              </w:rPr>
            </w:pPr>
          </w:p>
        </w:tc>
        <w:tc>
          <w:tcPr>
            <w:tcW w:w="1400" w:type="dxa"/>
            <w:vAlign w:val="bottom"/>
            <w:tcBorders>
              <w:bottom w:val="single" w:sz="8" w:color="auto"/>
            </w:tcBorders>
          </w:tcPr>
          <w:p>
            <w:pPr>
              <w:jc w:val="center"/>
              <w:ind w:left="481"/>
              <w:spacing w:after="0"/>
              <w:rPr>
                <w:sz w:val="20"/>
                <w:szCs w:val="20"/>
                <w:color w:val="auto"/>
              </w:rPr>
            </w:pPr>
            <w:r>
              <w:rPr>
                <w:rFonts w:ascii="Arial" w:cs="Arial" w:eastAsia="Arial" w:hAnsi="Arial"/>
                <w:sz w:val="14"/>
                <w:szCs w:val="14"/>
                <w:b w:val="1"/>
                <w:bCs w:val="1"/>
                <w:color w:val="auto"/>
                <w:w w:val="93"/>
              </w:rPr>
              <w:t>($ in millions)</w:t>
            </w:r>
          </w:p>
        </w:tc>
        <w:tc>
          <w:tcPr>
            <w:tcW w:w="560" w:type="dxa"/>
            <w:vAlign w:val="bottom"/>
            <w:tcBorders>
              <w:bottom w:val="single" w:sz="8" w:color="auto"/>
            </w:tcBorders>
          </w:tcPr>
          <w:p>
            <w:pPr>
              <w:spacing w:after="0"/>
              <w:rPr>
                <w:sz w:val="14"/>
                <w:szCs w:val="14"/>
                <w:color w:val="auto"/>
              </w:rPr>
            </w:pPr>
          </w:p>
        </w:tc>
        <w:tc>
          <w:tcPr>
            <w:tcW w:w="340" w:type="dxa"/>
            <w:vAlign w:val="bottom"/>
            <w:tcBorders>
              <w:bottom w:val="single" w:sz="8" w:color="CFF0FC"/>
            </w:tcBorders>
          </w:tcPr>
          <w:p>
            <w:pPr>
              <w:spacing w:after="0"/>
              <w:rPr>
                <w:sz w:val="14"/>
                <w:szCs w:val="14"/>
                <w:color w:val="auto"/>
              </w:rPr>
            </w:pPr>
          </w:p>
        </w:tc>
        <w:tc>
          <w:tcPr>
            <w:tcW w:w="1480" w:type="dxa"/>
            <w:vAlign w:val="bottom"/>
            <w:tcBorders>
              <w:bottom w:val="single" w:sz="8" w:color="auto"/>
            </w:tcBorders>
          </w:tcPr>
          <w:p>
            <w:pPr>
              <w:jc w:val="center"/>
              <w:ind w:left="388"/>
              <w:spacing w:after="0"/>
              <w:rPr>
                <w:sz w:val="20"/>
                <w:szCs w:val="20"/>
                <w:color w:val="auto"/>
              </w:rPr>
            </w:pPr>
            <w:r>
              <w:rPr>
                <w:rFonts w:ascii="Arial" w:cs="Arial" w:eastAsia="Arial" w:hAnsi="Arial"/>
                <w:sz w:val="14"/>
                <w:szCs w:val="14"/>
                <w:b w:val="1"/>
                <w:bCs w:val="1"/>
                <w:color w:val="auto"/>
                <w:w w:val="94"/>
              </w:rPr>
              <w:t>Total Portfolio</w:t>
            </w:r>
          </w:p>
        </w:tc>
        <w:tc>
          <w:tcPr>
            <w:tcW w:w="480" w:type="dxa"/>
            <w:vAlign w:val="bottom"/>
            <w:tcBorders>
              <w:bottom w:val="single" w:sz="8" w:color="auto"/>
            </w:tcBorders>
          </w:tcPr>
          <w:p>
            <w:pPr>
              <w:spacing w:after="0"/>
              <w:rPr>
                <w:sz w:val="14"/>
                <w:szCs w:val="14"/>
                <w:color w:val="auto"/>
              </w:rPr>
            </w:pPr>
          </w:p>
        </w:tc>
        <w:tc>
          <w:tcPr>
            <w:tcW w:w="28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w w:val="94"/>
              </w:rPr>
              <w:t>in millions)</w:t>
            </w:r>
          </w:p>
        </w:tc>
        <w:tc>
          <w:tcPr>
            <w:tcW w:w="340" w:type="dxa"/>
            <w:vAlign w:val="bottom"/>
            <w:tcBorders>
              <w:bottom w:val="single" w:sz="8" w:color="CFF0FC"/>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w w:val="96"/>
              </w:rPr>
              <w:t>Total Portfolio</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960" w:type="dxa"/>
            <w:vAlign w:val="bottom"/>
            <w:shd w:val="clear" w:color="auto" w:fill="CFF0FC"/>
          </w:tcPr>
          <w:p>
            <w:pPr>
              <w:jc w:val="right"/>
              <w:ind w:right="796"/>
              <w:spacing w:after="0"/>
              <w:rPr>
                <w:sz w:val="20"/>
                <w:szCs w:val="20"/>
                <w:color w:val="auto"/>
              </w:rPr>
            </w:pPr>
            <w:r>
              <w:rPr>
                <w:rFonts w:ascii="Arial" w:cs="Arial" w:eastAsia="Arial" w:hAnsi="Arial"/>
                <w:sz w:val="18"/>
                <w:szCs w:val="18"/>
                <w:color w:val="auto"/>
              </w:rPr>
              <w:t>1</w:t>
            </w:r>
          </w:p>
        </w:tc>
        <w:tc>
          <w:tcPr>
            <w:tcW w:w="34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1221"/>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1,654.1</w:t>
            </w:r>
          </w:p>
        </w:tc>
        <w:tc>
          <w:tcPr>
            <w:tcW w:w="34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90.6%</w:t>
            </w: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501"/>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1,531.4</w:t>
            </w:r>
          </w:p>
        </w:tc>
        <w:tc>
          <w:tcPr>
            <w:tcW w:w="3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89.8%</w:t>
            </w:r>
          </w:p>
        </w:tc>
        <w:tc>
          <w:tcPr>
            <w:tcW w:w="0" w:type="dxa"/>
            <w:vAlign w:val="bottom"/>
          </w:tcPr>
          <w:p>
            <w:pPr>
              <w:spacing w:after="0"/>
              <w:rPr>
                <w:sz w:val="1"/>
                <w:szCs w:val="1"/>
                <w:color w:val="auto"/>
              </w:rPr>
            </w:pPr>
          </w:p>
        </w:tc>
      </w:tr>
      <w:tr>
        <w:trPr>
          <w:trHeight w:val="230"/>
        </w:trPr>
        <w:tc>
          <w:tcPr>
            <w:tcW w:w="1960" w:type="dxa"/>
            <w:vAlign w:val="bottom"/>
          </w:tcPr>
          <w:p>
            <w:pPr>
              <w:jc w:val="right"/>
              <w:ind w:right="796"/>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116.7</w:t>
            </w:r>
          </w:p>
        </w:tc>
        <w:tc>
          <w:tcPr>
            <w:tcW w:w="3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6.4</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118.1</w:t>
            </w: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60" w:type="dxa"/>
            <w:vAlign w:val="bottom"/>
            <w:shd w:val="clear" w:color="auto" w:fill="CFF0FC"/>
          </w:tcPr>
          <w:p>
            <w:pPr>
              <w:jc w:val="right"/>
              <w:ind w:right="796"/>
              <w:spacing w:after="0"/>
              <w:rPr>
                <w:sz w:val="20"/>
                <w:szCs w:val="20"/>
                <w:color w:val="auto"/>
              </w:rPr>
            </w:pPr>
            <w:r>
              <w:rPr>
                <w:rFonts w:ascii="Arial" w:cs="Arial" w:eastAsia="Arial" w:hAnsi="Arial"/>
                <w:sz w:val="18"/>
                <w:szCs w:val="18"/>
                <w:color w:val="auto"/>
              </w:rPr>
              <w:t>3</w:t>
            </w:r>
          </w:p>
        </w:tc>
        <w:tc>
          <w:tcPr>
            <w:tcW w:w="3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54.1</w:t>
            </w:r>
          </w:p>
        </w:tc>
        <w:tc>
          <w:tcPr>
            <w:tcW w:w="34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56.5</w:t>
            </w:r>
          </w:p>
        </w:tc>
        <w:tc>
          <w:tcPr>
            <w:tcW w:w="3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60" w:type="dxa"/>
            <w:vAlign w:val="bottom"/>
          </w:tcPr>
          <w:p>
            <w:pPr>
              <w:jc w:val="right"/>
              <w:ind w:right="796"/>
              <w:spacing w:after="0"/>
              <w:rPr>
                <w:sz w:val="20"/>
                <w:szCs w:val="20"/>
                <w:color w:val="auto"/>
              </w:rPr>
            </w:pPr>
            <w:r>
              <w:rPr>
                <w:rFonts w:ascii="Arial" w:cs="Arial" w:eastAsia="Arial" w:hAnsi="Arial"/>
                <w:sz w:val="18"/>
                <w:szCs w:val="18"/>
                <w:color w:val="auto"/>
              </w:rPr>
              <w:t>4</w:t>
            </w:r>
          </w:p>
        </w:tc>
        <w:tc>
          <w:tcPr>
            <w:tcW w:w="3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380" w:type="dxa"/>
            <w:vAlign w:val="bottom"/>
            <w:gridSpan w:val="3"/>
          </w:tcPr>
          <w:p>
            <w:pPr>
              <w:jc w:val="right"/>
              <w:ind w:right="1768"/>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100" w:type="dxa"/>
            <w:vAlign w:val="bottom"/>
            <w:gridSpan w:val="3"/>
          </w:tcPr>
          <w:p>
            <w:pPr>
              <w:jc w:val="right"/>
              <w:ind w:right="84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960" w:type="dxa"/>
            <w:vAlign w:val="bottom"/>
            <w:shd w:val="clear" w:color="auto" w:fill="CFF0FC"/>
          </w:tcPr>
          <w:p>
            <w:pPr>
              <w:jc w:val="right"/>
              <w:ind w:right="796"/>
              <w:spacing w:after="0"/>
              <w:rPr>
                <w:sz w:val="20"/>
                <w:szCs w:val="20"/>
                <w:color w:val="auto"/>
              </w:rPr>
            </w:pPr>
            <w:r>
              <w:rPr>
                <w:rFonts w:ascii="Arial" w:cs="Arial" w:eastAsia="Arial" w:hAnsi="Arial"/>
                <w:sz w:val="18"/>
                <w:szCs w:val="18"/>
                <w:color w:val="auto"/>
              </w:rPr>
              <w:t>5</w:t>
            </w:r>
          </w:p>
        </w:tc>
        <w:tc>
          <w:tcPr>
            <w:tcW w:w="340" w:type="dxa"/>
            <w:vAlign w:val="bottom"/>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0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Total</w:t>
            </w:r>
          </w:p>
        </w:tc>
        <w:tc>
          <w:tcPr>
            <w:tcW w:w="1400" w:type="dxa"/>
            <w:vAlign w:val="bottom"/>
          </w:tcPr>
          <w:p>
            <w:pPr>
              <w:jc w:val="right"/>
              <w:ind w:right="1221"/>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6"/>
              </w:rPr>
              <w:t>1,824.9</w:t>
            </w:r>
          </w:p>
        </w:tc>
        <w:tc>
          <w:tcPr>
            <w:tcW w:w="3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100.0%</w:t>
            </w:r>
          </w:p>
        </w:tc>
        <w:tc>
          <w:tcPr>
            <w:tcW w:w="120" w:type="dxa"/>
            <w:vAlign w:val="bottom"/>
          </w:tcPr>
          <w:p>
            <w:pPr>
              <w:spacing w:after="0"/>
              <w:rPr>
                <w:sz w:val="19"/>
                <w:szCs w:val="19"/>
                <w:color w:val="auto"/>
              </w:rPr>
            </w:pPr>
          </w:p>
        </w:tc>
        <w:tc>
          <w:tcPr>
            <w:tcW w:w="680" w:type="dxa"/>
            <w:vAlign w:val="bottom"/>
          </w:tcPr>
          <w:p>
            <w:pPr>
              <w:jc w:val="right"/>
              <w:ind w:right="501"/>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1,706.0</w:t>
            </w: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80" w:type="dxa"/>
            <w:vAlign w:val="bottom"/>
            <w:gridSpan w:val="2"/>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Operating results for the three months ended March 31, 2019 and 2018 were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00" w:type="dxa"/>
            <w:vAlign w:val="bottom"/>
            <w:gridSpan w:val="3"/>
          </w:tcPr>
          <w:p>
            <w:pPr>
              <w:jc w:val="right"/>
              <w:ind w:right="56"/>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60" w:type="dxa"/>
            <w:vAlign w:val="bottom"/>
          </w:tcPr>
          <w:p>
            <w:pPr>
              <w:spacing w:after="0"/>
              <w:rPr>
                <w:sz w:val="2"/>
                <w:szCs w:val="2"/>
                <w:color w:val="auto"/>
              </w:rPr>
            </w:pPr>
          </w:p>
        </w:tc>
        <w:tc>
          <w:tcPr>
            <w:tcW w:w="6060" w:type="dxa"/>
            <w:vAlign w:val="bottom"/>
            <w:gridSpan w:val="2"/>
            <w:vMerge w:val="restart"/>
          </w:tcPr>
          <w:p>
            <w:pPr>
              <w:ind w:left="1360"/>
              <w:spacing w:after="0"/>
              <w:rPr>
                <w:sz w:val="20"/>
                <w:szCs w:val="20"/>
                <w:color w:val="auto"/>
              </w:rPr>
            </w:pPr>
            <w:r>
              <w:rPr>
                <w:rFonts w:ascii="Arial" w:cs="Arial" w:eastAsia="Arial" w:hAnsi="Arial"/>
                <w:sz w:val="14"/>
                <w:szCs w:val="14"/>
                <w:color w:val="auto"/>
              </w:rPr>
              <w:t>($ in millions)</w:t>
            </w:r>
          </w:p>
        </w:tc>
        <w:tc>
          <w:tcPr>
            <w:tcW w:w="540" w:type="dxa"/>
            <w:vAlign w:val="bottom"/>
          </w:tcPr>
          <w:p>
            <w:pPr>
              <w:spacing w:after="0"/>
              <w:rPr>
                <w:sz w:val="2"/>
                <w:szCs w:val="2"/>
                <w:color w:val="auto"/>
              </w:rPr>
            </w:pPr>
          </w:p>
        </w:tc>
        <w:tc>
          <w:tcPr>
            <w:tcW w:w="1460" w:type="dxa"/>
            <w:vAlign w:val="bottom"/>
            <w:gridSpan w:val="3"/>
          </w:tcPr>
          <w:p>
            <w:pPr>
              <w:spacing w:after="0"/>
              <w:rPr>
                <w:sz w:val="2"/>
                <w:szCs w:val="2"/>
                <w:color w:val="auto"/>
              </w:rPr>
            </w:pPr>
          </w:p>
        </w:tc>
        <w:tc>
          <w:tcPr>
            <w:tcW w:w="1280" w:type="dxa"/>
            <w:vAlign w:val="bottom"/>
            <w:gridSpan w:val="3"/>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6060" w:type="dxa"/>
            <w:vAlign w:val="bottom"/>
            <w:gridSpan w:val="2"/>
            <w:vMerge w:val="continue"/>
          </w:tcPr>
          <w:p>
            <w:pPr>
              <w:spacing w:after="0"/>
              <w:rPr>
                <w:sz w:val="13"/>
                <w:szCs w:val="13"/>
                <w:color w:val="auto"/>
              </w:rPr>
            </w:pPr>
          </w:p>
        </w:tc>
        <w:tc>
          <w:tcPr>
            <w:tcW w:w="540" w:type="dxa"/>
            <w:vAlign w:val="bottom"/>
          </w:tcPr>
          <w:p>
            <w:pPr>
              <w:spacing w:after="0"/>
              <w:rPr>
                <w:sz w:val="13"/>
                <w:szCs w:val="13"/>
                <w:color w:val="auto"/>
              </w:rPr>
            </w:pPr>
          </w:p>
        </w:tc>
        <w:tc>
          <w:tcPr>
            <w:tcW w:w="1460" w:type="dxa"/>
            <w:vAlign w:val="bottom"/>
            <w:tcBorders>
              <w:top w:val="single" w:sz="8" w:color="auto"/>
            </w:tcBorders>
            <w:gridSpan w:val="3"/>
          </w:tcPr>
          <w:p>
            <w:pPr>
              <w:ind w:left="60"/>
              <w:spacing w:after="0" w:line="155" w:lineRule="exact"/>
              <w:rPr>
                <w:sz w:val="20"/>
                <w:szCs w:val="20"/>
                <w:color w:val="auto"/>
              </w:rPr>
            </w:pPr>
            <w:r>
              <w:rPr>
                <w:rFonts w:ascii="Arial" w:cs="Arial" w:eastAsia="Arial" w:hAnsi="Arial"/>
                <w:sz w:val="14"/>
                <w:szCs w:val="14"/>
                <w:b w:val="1"/>
                <w:bCs w:val="1"/>
                <w:color w:val="auto"/>
              </w:rPr>
              <w:t>March 31, 2019</w:t>
            </w:r>
          </w:p>
        </w:tc>
        <w:tc>
          <w:tcPr>
            <w:tcW w:w="108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March 31, 2018</w:t>
            </w:r>
          </w:p>
        </w:tc>
        <w:tc>
          <w:tcPr>
            <w:tcW w:w="2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investment income</w:t>
            </w:r>
          </w:p>
        </w:tc>
        <w:tc>
          <w:tcPr>
            <w:tcW w:w="54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176"/>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52.4</w:t>
            </w:r>
          </w:p>
        </w:tc>
        <w:tc>
          <w:tcPr>
            <w:tcW w:w="380" w:type="dxa"/>
            <w:vAlign w:val="bottom"/>
            <w:tcBorders>
              <w:top w:val="single" w:sz="8" w:color="CFF0FC"/>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jc w:val="right"/>
              <w:ind w:right="416"/>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57.8</w:t>
            </w:r>
          </w:p>
        </w:tc>
        <w:tc>
          <w:tcPr>
            <w:tcW w:w="200" w:type="dxa"/>
            <w:vAlign w:val="bottom"/>
            <w:tcBorders>
              <w:top w:val="single" w:sz="8" w:color="CFF0FC"/>
            </w:tcBorders>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Net expenses</w:t>
            </w:r>
          </w:p>
        </w:tc>
        <w:tc>
          <w:tcPr>
            <w:tcW w:w="5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380" w:type="dxa"/>
            <w:vAlign w:val="bottom"/>
            <w:tcBorders>
              <w:bottom w:val="single" w:sz="8" w:color="CFF0FC"/>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w:t>
            </w:r>
          </w:p>
        </w:tc>
        <w:tc>
          <w:tcPr>
            <w:tcW w:w="200" w:type="dxa"/>
            <w:vAlign w:val="bottom"/>
            <w:tcBorders>
              <w:bottom w:val="single" w:sz="8" w:color="CFF0FC"/>
            </w:tcBorders>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7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investment income before income taxes</w:t>
            </w:r>
          </w:p>
        </w:tc>
        <w:tc>
          <w:tcPr>
            <w:tcW w:w="5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w:t>
            </w:r>
          </w:p>
        </w:tc>
        <w:tc>
          <w:tcPr>
            <w:tcW w:w="3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w:t>
            </w:r>
          </w:p>
        </w:tc>
        <w:tc>
          <w:tcPr>
            <w:tcW w:w="20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7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Less: Income taxes, including excise taxes</w:t>
            </w:r>
          </w:p>
        </w:tc>
        <w:tc>
          <w:tcPr>
            <w:tcW w:w="5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380" w:type="dxa"/>
            <w:vAlign w:val="bottom"/>
            <w:tcBorders>
              <w:bottom w:val="single" w:sz="8" w:color="CFF0FC"/>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200" w:type="dxa"/>
            <w:vAlign w:val="bottom"/>
            <w:tcBorders>
              <w:bottom w:val="single" w:sz="8" w:color="CFF0FC"/>
            </w:tcBorders>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7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investment income</w:t>
            </w:r>
          </w:p>
        </w:tc>
        <w:tc>
          <w:tcPr>
            <w:tcW w:w="5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w:t>
            </w:r>
          </w:p>
        </w:tc>
        <w:tc>
          <w:tcPr>
            <w:tcW w:w="3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w:t>
            </w:r>
          </w:p>
        </w:tc>
        <w:tc>
          <w:tcPr>
            <w:tcW w:w="20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 xml:space="preserve">Net realized gains </w:t>
            </w:r>
            <w:r>
              <w:rPr>
                <w:rFonts w:ascii="Arial" w:cs="Arial" w:eastAsia="Arial" w:hAnsi="Arial"/>
                <w:sz w:val="15"/>
                <w:szCs w:val="15"/>
                <w:color w:val="auto"/>
              </w:rPr>
              <w:t>(1)</w:t>
            </w: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0.6</w:t>
            </w:r>
          </w:p>
        </w:tc>
        <w:tc>
          <w:tcPr>
            <w:tcW w:w="3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Net change in unrealized gains (losses) </w:t>
            </w:r>
            <w:r>
              <w:rPr>
                <w:rFonts w:ascii="Arial" w:cs="Arial" w:eastAsia="Arial" w:hAnsi="Arial"/>
                <w:sz w:val="15"/>
                <w:szCs w:val="15"/>
                <w:color w:val="auto"/>
              </w:rPr>
              <w:t>(1)</w:t>
            </w:r>
          </w:p>
        </w:tc>
        <w:tc>
          <w:tcPr>
            <w:tcW w:w="5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w:t>
            </w:r>
          </w:p>
        </w:tc>
        <w:tc>
          <w:tcPr>
            <w:tcW w:w="3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(0.2)</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700" w:type="dxa"/>
            <w:vAlign w:val="bottom"/>
          </w:tcPr>
          <w:p>
            <w:pPr>
              <w:ind w:left="240"/>
              <w:spacing w:after="0"/>
              <w:rPr>
                <w:sz w:val="20"/>
                <w:szCs w:val="20"/>
                <w:color w:val="auto"/>
              </w:rPr>
            </w:pPr>
            <w:r>
              <w:rPr>
                <w:rFonts w:ascii="Arial" w:cs="Arial" w:eastAsia="Arial" w:hAnsi="Arial"/>
                <w:sz w:val="18"/>
                <w:szCs w:val="18"/>
                <w:b w:val="1"/>
                <w:bCs w:val="1"/>
                <w:color w:val="auto"/>
                <w:w w:val="99"/>
              </w:rPr>
              <w:t>Net increase in net assets resulting from operations</w:t>
            </w:r>
          </w:p>
        </w:tc>
        <w:tc>
          <w:tcPr>
            <w:tcW w:w="5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6"/>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38.7</w:t>
            </w:r>
          </w:p>
        </w:tc>
        <w:tc>
          <w:tcPr>
            <w:tcW w:w="38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33.8</w:t>
            </w:r>
          </w:p>
        </w:tc>
        <w:tc>
          <w:tcPr>
            <w:tcW w:w="2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0" w:type="dxa"/>
            <w:vAlign w:val="bottom"/>
            <w:vMerge w:val="restart"/>
          </w:tcPr>
          <w:p>
            <w:pPr>
              <w:jc w:val="right"/>
              <w:ind w:right="50"/>
              <w:spacing w:after="0"/>
              <w:rPr>
                <w:sz w:val="20"/>
                <w:szCs w:val="20"/>
                <w:color w:val="auto"/>
              </w:rPr>
            </w:pPr>
            <w:r>
              <w:rPr>
                <w:rFonts w:ascii="Arial" w:cs="Arial" w:eastAsia="Arial" w:hAnsi="Arial"/>
                <w:sz w:val="18"/>
                <w:szCs w:val="18"/>
                <w:color w:val="auto"/>
                <w:w w:val="90"/>
              </w:rPr>
              <w:t>(1)</w:t>
            </w:r>
          </w:p>
        </w:tc>
        <w:tc>
          <w:tcPr>
            <w:tcW w:w="6060" w:type="dxa"/>
            <w:vAlign w:val="bottom"/>
            <w:gridSpan w:val="2"/>
            <w:vMerge w:val="restart"/>
          </w:tcPr>
          <w:p>
            <w:pPr>
              <w:jc w:val="right"/>
              <w:ind w:right="2670"/>
              <w:spacing w:after="0"/>
              <w:rPr>
                <w:sz w:val="20"/>
                <w:szCs w:val="20"/>
                <w:color w:val="auto"/>
              </w:rPr>
            </w:pPr>
            <w:r>
              <w:rPr>
                <w:rFonts w:ascii="Arial" w:cs="Arial" w:eastAsia="Arial" w:hAnsi="Arial"/>
                <w:sz w:val="18"/>
                <w:szCs w:val="18"/>
                <w:color w:val="auto"/>
                <w:w w:val="95"/>
              </w:rPr>
              <w:t>Includes foreign exchange hedging activity.</w:t>
            </w:r>
          </w:p>
        </w:tc>
        <w:tc>
          <w:tcPr>
            <w:tcW w:w="5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360" w:type="dxa"/>
            <w:vAlign w:val="bottom"/>
            <w:vMerge w:val="continue"/>
          </w:tcPr>
          <w:p>
            <w:pPr>
              <w:spacing w:after="0"/>
              <w:rPr>
                <w:sz w:val="24"/>
                <w:szCs w:val="24"/>
                <w:color w:val="auto"/>
              </w:rPr>
            </w:pPr>
          </w:p>
        </w:tc>
        <w:tc>
          <w:tcPr>
            <w:tcW w:w="6060" w:type="dxa"/>
            <w:vAlign w:val="bottom"/>
            <w:gridSpan w:val="2"/>
            <w:vMerge w:val="continue"/>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360" w:type="dxa"/>
            <w:vAlign w:val="bottom"/>
          </w:tcPr>
          <w:p>
            <w:pPr>
              <w:spacing w:after="0"/>
              <w:rPr>
                <w:sz w:val="24"/>
                <w:szCs w:val="24"/>
                <w:color w:val="auto"/>
              </w:rPr>
            </w:pPr>
          </w:p>
        </w:tc>
        <w:tc>
          <w:tcPr>
            <w:tcW w:w="6060" w:type="dxa"/>
            <w:vAlign w:val="bottom"/>
            <w:gridSpan w:val="2"/>
          </w:tcPr>
          <w:p>
            <w:pPr>
              <w:jc w:val="right"/>
              <w:ind w:right="530"/>
              <w:spacing w:after="0"/>
              <w:rPr>
                <w:sz w:val="20"/>
                <w:szCs w:val="20"/>
                <w:color w:val="auto"/>
              </w:rPr>
            </w:pPr>
            <w:r>
              <w:rPr>
                <w:rFonts w:ascii="Arial" w:cs="Arial" w:eastAsia="Arial" w:hAnsi="Arial"/>
                <w:sz w:val="18"/>
                <w:szCs w:val="18"/>
                <w:color w:val="auto"/>
              </w:rPr>
              <w:t>53</w:t>
            </w: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6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470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9" w:right="21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257" w:lineRule="exact"/>
        <w:rPr>
          <w:sz w:val="20"/>
          <w:szCs w:val="20"/>
          <w:color w:val="auto"/>
        </w:rPr>
      </w:pPr>
    </w:p>
    <w:tbl>
      <w:tblPr>
        <w:tblLayout w:type="fixed"/>
        <w:tblInd w:w="1720" w:type="dxa"/>
        <w:tblCellMar>
          <w:top w:w="0" w:type="dxa"/>
          <w:left w:w="0" w:type="dxa"/>
          <w:bottom w:w="0" w:type="dxa"/>
          <w:right w:w="0" w:type="dxa"/>
        </w:tblCellMar>
      </w:tblPr>
      <w:tr>
        <w:trPr>
          <w:trHeight w:val="186"/>
        </w:trPr>
        <w:tc>
          <w:tcPr>
            <w:tcW w:w="37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40" w:type="dxa"/>
            <w:vAlign w:val="bottom"/>
            <w:gridSpan w:val="4"/>
          </w:tcPr>
          <w:p>
            <w:pPr>
              <w:jc w:val="right"/>
              <w:ind w:right="86"/>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72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1600" w:type="dxa"/>
            <w:vAlign w:val="bottom"/>
          </w:tcPr>
          <w:p>
            <w:pPr>
              <w:spacing w:after="0"/>
              <w:rPr>
                <w:sz w:val="2"/>
                <w:szCs w:val="2"/>
                <w:color w:val="auto"/>
              </w:rPr>
            </w:pPr>
          </w:p>
        </w:tc>
        <w:tc>
          <w:tcPr>
            <w:tcW w:w="148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116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3720" w:type="dxa"/>
            <w:vAlign w:val="bottom"/>
            <w:vMerge w:val="continue"/>
          </w:tcPr>
          <w:p>
            <w:pPr>
              <w:spacing w:after="0"/>
              <w:rPr>
                <w:sz w:val="13"/>
                <w:szCs w:val="13"/>
                <w:color w:val="auto"/>
              </w:rPr>
            </w:pPr>
          </w:p>
        </w:tc>
        <w:tc>
          <w:tcPr>
            <w:tcW w:w="1600" w:type="dxa"/>
            <w:vAlign w:val="bottom"/>
          </w:tcPr>
          <w:p>
            <w:pPr>
              <w:spacing w:after="0"/>
              <w:rPr>
                <w:sz w:val="13"/>
                <w:szCs w:val="13"/>
                <w:color w:val="auto"/>
              </w:rPr>
            </w:pPr>
          </w:p>
        </w:tc>
        <w:tc>
          <w:tcPr>
            <w:tcW w:w="1480" w:type="dxa"/>
            <w:vAlign w:val="bottom"/>
            <w:tcBorders>
              <w:top w:val="single" w:sz="8" w:color="auto"/>
            </w:tcBorders>
            <w:gridSpan w:val="3"/>
          </w:tcPr>
          <w:p>
            <w:pPr>
              <w:ind w:left="80"/>
              <w:spacing w:after="0" w:line="155" w:lineRule="exact"/>
              <w:rPr>
                <w:sz w:val="20"/>
                <w:szCs w:val="20"/>
                <w:color w:val="auto"/>
              </w:rPr>
            </w:pPr>
            <w:r>
              <w:rPr>
                <w:rFonts w:ascii="Arial" w:cs="Arial" w:eastAsia="Arial" w:hAnsi="Arial"/>
                <w:sz w:val="14"/>
                <w:szCs w:val="14"/>
                <w:b w:val="1"/>
                <w:bCs w:val="1"/>
                <w:color w:val="auto"/>
              </w:rPr>
              <w:t>March 31, 2019</w:t>
            </w:r>
          </w:p>
        </w:tc>
        <w:tc>
          <w:tcPr>
            <w:tcW w:w="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March 31, 2018</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Interest from investments</w:t>
            </w:r>
          </w:p>
        </w:tc>
        <w:tc>
          <w:tcPr>
            <w:tcW w:w="16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176"/>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50.4</w:t>
            </w:r>
          </w:p>
        </w:tc>
        <w:tc>
          <w:tcPr>
            <w:tcW w:w="3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jc w:val="right"/>
              <w:ind w:right="446"/>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51.7</w:t>
            </w: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Dividend income</w:t>
            </w:r>
          </w:p>
        </w:tc>
        <w:tc>
          <w:tcPr>
            <w:tcW w:w="1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0.0</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Other income</w:t>
            </w:r>
          </w:p>
        </w:tc>
        <w:tc>
          <w:tcPr>
            <w:tcW w:w="16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3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20" w:type="dxa"/>
            <w:vAlign w:val="bottom"/>
          </w:tcPr>
          <w:p>
            <w:pPr>
              <w:ind w:left="240"/>
              <w:spacing w:after="0"/>
              <w:rPr>
                <w:sz w:val="20"/>
                <w:szCs w:val="20"/>
                <w:color w:val="auto"/>
              </w:rPr>
            </w:pPr>
            <w:r>
              <w:rPr>
                <w:rFonts w:ascii="Arial" w:cs="Arial" w:eastAsia="Arial" w:hAnsi="Arial"/>
                <w:sz w:val="18"/>
                <w:szCs w:val="18"/>
                <w:b w:val="1"/>
                <w:bCs w:val="1"/>
                <w:color w:val="auto"/>
              </w:rPr>
              <w:t>Total investment income</w:t>
            </w:r>
          </w:p>
        </w:tc>
        <w:tc>
          <w:tcPr>
            <w:tcW w:w="1600" w:type="dxa"/>
            <w:vAlign w:val="bottom"/>
          </w:tcPr>
          <w:p>
            <w:pPr>
              <w:spacing w:after="0"/>
              <w:rPr>
                <w:sz w:val="19"/>
                <w:szCs w:val="19"/>
                <w:color w:val="auto"/>
              </w:rPr>
            </w:pPr>
          </w:p>
        </w:tc>
        <w:tc>
          <w:tcPr>
            <w:tcW w:w="360" w:type="dxa"/>
            <w:vAlign w:val="bottom"/>
            <w:tcBorders>
              <w:bottom w:val="single" w:sz="8" w:color="auto"/>
            </w:tcBorders>
          </w:tcPr>
          <w:p>
            <w:pPr>
              <w:jc w:val="right"/>
              <w:ind w:right="176"/>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w:t>
            </w:r>
          </w:p>
        </w:tc>
        <w:tc>
          <w:tcPr>
            <w:tcW w:w="3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446"/>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40" w:firstLine="259"/>
        <w:spacing w:after="0" w:line="269" w:lineRule="auto"/>
        <w:rPr>
          <w:sz w:val="20"/>
          <w:szCs w:val="20"/>
          <w:color w:val="auto"/>
        </w:rPr>
      </w:pPr>
      <w:r>
        <w:rPr>
          <w:rFonts w:ascii="Arial" w:cs="Arial" w:eastAsia="Arial" w:hAnsi="Arial"/>
          <w:sz w:val="17"/>
          <w:szCs w:val="17"/>
          <w:color w:val="auto"/>
        </w:rPr>
        <w:t>Interest from investments, which includes amortization of upfront fees and prepayment fees, decreased from $51.7 million for the three months ended March 31, 2018 to $50.4 million for the three months ended March 31, 2019. The average size of our investment portfolio was $1.8 billion for both the three months ended March 31, 2018 and the three months ended March 31, 2019. Accelerated amortization of upfront fees primarily from unscheduled paydowns decreased from $1.4 million for the three months ended March 31, 2018 to $0.3 million for the three months ended March 31, 2019. Prepayment fees decreased from $1.1 million for the three months ended March 31, 2018 to $0.5 million for the three months ended March 31, 2019. The accelerated amortization and prepayment fees primarily resulted from full paydowns on three portfolio investments, a partial paydown on one portfolio investment and earning prepayment fees on five portfolio investments during the three months ended March 31, 2018. The accelerated amortization and prepayment fees primarily resulted from full paydowns on one portfolio investment and earning prepayment fees on one portfolio investment during the three months ended March 31, 2019. Dividend income decreased from $0.2 million for the three months ended March 31, 2018 to less than $0.1 million for the three months ended March 31, 2019 following the sale of a portion of our TCAP shares during the three months ended March 31, 2018. Other income decreased from $5.9 million for the three months ended March 31, 2018 to $2.0 million for the three months ended March 31, 2019, primarily due to lower syndication and other fees during the first quarter of 2019 compared to the same period in 2018.</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Operating expenses for the three months ended March 31, 2019 and 2018 were as follows:</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48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3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right"/>
              <w:ind w:right="46"/>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480" w:type="dxa"/>
            <w:vAlign w:val="bottom"/>
            <w:vMerge w:val="continue"/>
          </w:tcPr>
          <w:p>
            <w:pPr>
              <w:spacing w:after="0"/>
              <w:rPr>
                <w:sz w:val="13"/>
                <w:szCs w:val="13"/>
                <w:color w:val="auto"/>
              </w:rPr>
            </w:pPr>
          </w:p>
        </w:tc>
        <w:tc>
          <w:tcPr>
            <w:tcW w:w="1320" w:type="dxa"/>
            <w:vAlign w:val="bottom"/>
            <w:gridSpan w:val="3"/>
          </w:tcPr>
          <w:p>
            <w:pPr>
              <w:ind w:left="80"/>
              <w:spacing w:after="0" w:line="155" w:lineRule="exact"/>
              <w:rPr>
                <w:sz w:val="20"/>
                <w:szCs w:val="20"/>
                <w:color w:val="auto"/>
              </w:rPr>
            </w:pPr>
            <w:r>
              <w:rPr>
                <w:rFonts w:ascii="Arial" w:cs="Arial" w:eastAsia="Arial" w:hAnsi="Arial"/>
                <w:sz w:val="14"/>
                <w:szCs w:val="14"/>
                <w:b w:val="1"/>
                <w:bCs w:val="1"/>
                <w:color w:val="auto"/>
              </w:rPr>
              <w:t>March 31, 2019</w:t>
            </w:r>
          </w:p>
        </w:tc>
        <w:tc>
          <w:tcPr>
            <w:tcW w:w="1120" w:type="dxa"/>
            <w:vAlign w:val="bottom"/>
            <w:gridSpan w:val="2"/>
          </w:tcPr>
          <w:p>
            <w:pPr>
              <w:jc w:val="right"/>
              <w:ind w:right="10"/>
              <w:spacing w:after="0" w:line="155" w:lineRule="exact"/>
              <w:rPr>
                <w:sz w:val="20"/>
                <w:szCs w:val="20"/>
                <w:color w:val="auto"/>
              </w:rPr>
            </w:pPr>
            <w:r>
              <w:rPr>
                <w:rFonts w:ascii="Arial" w:cs="Arial" w:eastAsia="Arial" w:hAnsi="Arial"/>
                <w:sz w:val="14"/>
                <w:szCs w:val="14"/>
                <w:b w:val="1"/>
                <w:bCs w:val="1"/>
                <w:color w:val="auto"/>
              </w:rPr>
              <w:t>March 31, 2018</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Interest</w:t>
            </w:r>
          </w:p>
        </w:tc>
        <w:tc>
          <w:tcPr>
            <w:tcW w:w="320" w:type="dxa"/>
            <w:vAlign w:val="bottom"/>
            <w:tcBorders>
              <w:top w:val="single" w:sz="8" w:color="auto"/>
            </w:tcBorders>
            <w:shd w:val="clear" w:color="auto" w:fill="CFF0FC"/>
          </w:tcPr>
          <w:p>
            <w:pPr>
              <w:jc w:val="right"/>
              <w:ind w:right="136"/>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w:t>
            </w:r>
          </w:p>
        </w:tc>
        <w:tc>
          <w:tcPr>
            <w:tcW w:w="200" w:type="dxa"/>
            <w:vAlign w:val="bottom"/>
            <w:tcBorders>
              <w:top w:val="single" w:sz="8" w:color="CFF0FC"/>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jc w:val="right"/>
              <w:ind w:right="506"/>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w:t>
            </w: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spacing w:after="0"/>
              <w:rPr>
                <w:sz w:val="20"/>
                <w:szCs w:val="20"/>
                <w:color w:val="auto"/>
              </w:rPr>
            </w:pPr>
            <w:r>
              <w:rPr>
                <w:rFonts w:ascii="Arial" w:cs="Arial" w:eastAsia="Arial" w:hAnsi="Arial"/>
                <w:sz w:val="18"/>
                <w:szCs w:val="18"/>
                <w:color w:val="auto"/>
              </w:rPr>
              <w:t>Management fees (net of waivers)</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6.6</w:t>
            </w: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Incentive fees related to pre-incentive fee net investment</w:t>
            </w:r>
          </w:p>
        </w:tc>
        <w:tc>
          <w:tcPr>
            <w:tcW w:w="3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income (net of waivers)</w:t>
            </w:r>
          </w:p>
        </w:tc>
        <w:tc>
          <w:tcPr>
            <w:tcW w:w="32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20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480" w:type="dxa"/>
            <w:vAlign w:val="bottom"/>
          </w:tcPr>
          <w:p>
            <w:pPr>
              <w:spacing w:after="0"/>
              <w:rPr>
                <w:sz w:val="20"/>
                <w:szCs w:val="20"/>
                <w:color w:val="auto"/>
              </w:rPr>
            </w:pPr>
            <w:r>
              <w:rPr>
                <w:rFonts w:ascii="Arial" w:cs="Arial" w:eastAsia="Arial" w:hAnsi="Arial"/>
                <w:sz w:val="18"/>
                <w:szCs w:val="18"/>
                <w:color w:val="auto"/>
              </w:rPr>
              <w:t>Incentive fees related to realized/unrealized capital gains</w:t>
            </w:r>
          </w:p>
        </w:tc>
        <w:tc>
          <w:tcPr>
            <w:tcW w:w="32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Professional fees</w:t>
            </w:r>
          </w:p>
        </w:tc>
        <w:tc>
          <w:tcPr>
            <w:tcW w:w="3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spacing w:after="0"/>
              <w:rPr>
                <w:sz w:val="20"/>
                <w:szCs w:val="20"/>
                <w:color w:val="auto"/>
              </w:rPr>
            </w:pPr>
            <w:r>
              <w:rPr>
                <w:rFonts w:ascii="Arial" w:cs="Arial" w:eastAsia="Arial" w:hAnsi="Arial"/>
                <w:sz w:val="18"/>
                <w:szCs w:val="18"/>
                <w:color w:val="auto"/>
              </w:rPr>
              <w:t>Directors fees</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Other general and administrative</w:t>
            </w:r>
          </w:p>
        </w:tc>
        <w:tc>
          <w:tcPr>
            <w:tcW w:w="3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Pr>
          <w:p>
            <w:pPr>
              <w:spacing w:after="0"/>
              <w:rPr>
                <w:sz w:val="20"/>
                <w:szCs w:val="20"/>
                <w:color w:val="auto"/>
              </w:rPr>
            </w:pPr>
            <w:r>
              <w:rPr>
                <w:rFonts w:ascii="Arial" w:cs="Arial" w:eastAsia="Arial" w:hAnsi="Arial"/>
                <w:sz w:val="18"/>
                <w:szCs w:val="18"/>
                <w:b w:val="1"/>
                <w:bCs w:val="1"/>
                <w:color w:val="auto"/>
              </w:rPr>
              <w:t>Net Expenses</w:t>
            </w:r>
          </w:p>
        </w:tc>
        <w:tc>
          <w:tcPr>
            <w:tcW w:w="32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200" w:type="dxa"/>
            <w:vAlign w:val="bottom"/>
          </w:tcPr>
          <w:p>
            <w:pPr>
              <w:spacing w:after="0"/>
              <w:rPr>
                <w:sz w:val="19"/>
                <w:szCs w:val="19"/>
                <w:color w:val="auto"/>
              </w:rPr>
            </w:pPr>
          </w:p>
        </w:tc>
        <w:tc>
          <w:tcPr>
            <w:tcW w:w="660" w:type="dxa"/>
            <w:vAlign w:val="bottom"/>
            <w:tcBorders>
              <w:bottom w:val="single" w:sz="8" w:color="auto"/>
            </w:tcBorders>
          </w:tcPr>
          <w:p>
            <w:pPr>
              <w:jc w:val="right"/>
              <w:ind w:right="506"/>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Interest</w:t>
      </w:r>
    </w:p>
    <w:p>
      <w:pPr>
        <w:spacing w:after="0" w:line="117" w:lineRule="exact"/>
        <w:rPr>
          <w:sz w:val="20"/>
          <w:szCs w:val="20"/>
          <w:color w:val="auto"/>
        </w:rPr>
      </w:pPr>
    </w:p>
    <w:p>
      <w:pPr>
        <w:ind w:firstLine="259"/>
        <w:spacing w:after="0" w:line="259" w:lineRule="auto"/>
        <w:rPr>
          <w:sz w:val="20"/>
          <w:szCs w:val="20"/>
          <w:color w:val="auto"/>
        </w:rPr>
      </w:pPr>
      <w:r>
        <w:rPr>
          <w:rFonts w:ascii="Arial" w:cs="Arial" w:eastAsia="Arial" w:hAnsi="Arial"/>
          <w:sz w:val="18"/>
          <w:szCs w:val="18"/>
          <w:color w:val="auto"/>
        </w:rPr>
        <w:t>Interest expense, including other debt financing expenses, increased from $9.1 million for three months ended March 31, 2018 to $10.4 million for three months ended March 31, 2019. This increase was primarily due an increase in the average LIBOR from the three months ended March 31, 2018 to the three months ended March 31, 2019. The average interest rate on our debt outstanding increased from 3.7% for three months ended March 31, 2018 to 4.7% for the three months ended March 31, 2019.</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Management Fees</w:t>
      </w:r>
    </w:p>
    <w:p>
      <w:pPr>
        <w:spacing w:after="0" w:line="117" w:lineRule="exact"/>
        <w:rPr>
          <w:sz w:val="20"/>
          <w:szCs w:val="20"/>
          <w:color w:val="auto"/>
        </w:rPr>
      </w:pPr>
    </w:p>
    <w:p>
      <w:pPr>
        <w:ind w:right="60" w:firstLine="259"/>
        <w:spacing w:after="0" w:line="302" w:lineRule="auto"/>
        <w:rPr>
          <w:sz w:val="20"/>
          <w:szCs w:val="20"/>
          <w:color w:val="auto"/>
        </w:rPr>
      </w:pPr>
      <w:r>
        <w:rPr>
          <w:rFonts w:ascii="Arial" w:cs="Arial" w:eastAsia="Arial" w:hAnsi="Arial"/>
          <w:sz w:val="16"/>
          <w:szCs w:val="16"/>
          <w:color w:val="auto"/>
        </w:rPr>
        <w:t>Management Fees (net of waivers) were $6.6 million for both the three months ended March 31, 2018 and the three months ended March 31, 2019 due to assets remaining relatively flat for the three months ended March 31, 2019 compared to the same period in 2018. Management Fees waived were less than $0.1 million for the three months ended March 31, 2018, consisting solely of Management Fees attributable to our ownership of shares of common stock in Triangle Capital Corp. (the “TCAP” Shares). The Adviser did not waive any Management Fees for the three months ended March 31, 2019.</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90" w:right="279" w:bottom="1440" w:gutter="0" w:footer="0" w:header="0"/>
        </w:sectPr>
      </w:pPr>
    </w:p>
    <w:bookmarkStart w:id="54" w:name="page55"/>
    <w:bookmarkEnd w:id="54"/>
    <w:p>
      <w:pPr>
        <w:ind w:left="260"/>
        <w:spacing w:after="0"/>
        <w:rPr>
          <w:sz w:val="20"/>
          <w:szCs w:val="20"/>
          <w:color w:val="auto"/>
        </w:rPr>
      </w:pPr>
      <w:r>
        <w:rPr>
          <w:rFonts w:ascii="Arial" w:cs="Arial" w:eastAsia="Arial" w:hAnsi="Arial"/>
          <w:sz w:val="18"/>
          <w:szCs w:val="18"/>
          <w:color w:val="auto"/>
        </w:rPr>
        <w:t>Any waived Management Fees are not subject to recoupment by the Adviser.</w:t>
      </w:r>
    </w:p>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Incentive Fees</w:t>
      </w:r>
    </w:p>
    <w:p>
      <w:pPr>
        <w:spacing w:after="0" w:line="117" w:lineRule="exact"/>
        <w:rPr>
          <w:sz w:val="20"/>
          <w:szCs w:val="20"/>
          <w:color w:val="auto"/>
        </w:rPr>
      </w:pPr>
    </w:p>
    <w:p>
      <w:pPr>
        <w:ind w:firstLine="259"/>
        <w:spacing w:after="0" w:line="293" w:lineRule="auto"/>
        <w:rPr>
          <w:sz w:val="20"/>
          <w:szCs w:val="20"/>
          <w:color w:val="auto"/>
        </w:rPr>
      </w:pPr>
      <w:r>
        <w:rPr>
          <w:rFonts w:ascii="Arial" w:cs="Arial" w:eastAsia="Arial" w:hAnsi="Arial"/>
          <w:sz w:val="16"/>
          <w:szCs w:val="16"/>
          <w:color w:val="auto"/>
        </w:rPr>
        <w:t>Incentive Fees (net of waivers) related to pre-Incentive Fee net investment income decreased from $6.6 million for three months ended March 31, 2018 to $5.7 million for the three months ended March 31, 2019. This decrease resulted from a decrease in investment income resulting from lower investment and other income for the three months ended March 31, 2019. For the three months ended March 31, 2018, Incentive Fees related to pre-Incentive Fee net investment income of less than $0.1 million were waived, consisting solely of Incentive Fees attributable to our ownership of the TCAP Shares. The Adviser did not waive any Incentive Fees related to pre-Incentive Fee net investment income for the three months ended March 31, 2019. There were no Incentive Fees related to capital gains and losses for each of the three months ended March 31, 2019 and 2018 due to unrealized losses on our investments.</w:t>
      </w:r>
    </w:p>
    <w:p>
      <w:pPr>
        <w:spacing w:after="0" w:line="16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Any waived Incentive Fees are not subject to recoupment by the Adviser.</w:t>
      </w:r>
    </w:p>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Professional Fees and Other General and Administrative Expenses</w:t>
      </w:r>
    </w:p>
    <w:p>
      <w:pPr>
        <w:spacing w:after="0" w:line="117" w:lineRule="exact"/>
        <w:rPr>
          <w:sz w:val="20"/>
          <w:szCs w:val="20"/>
          <w:color w:val="auto"/>
        </w:rPr>
      </w:pPr>
    </w:p>
    <w:p>
      <w:pPr>
        <w:ind w:right="100" w:firstLine="259"/>
        <w:spacing w:after="0" w:line="259" w:lineRule="auto"/>
        <w:rPr>
          <w:sz w:val="20"/>
          <w:szCs w:val="20"/>
          <w:color w:val="auto"/>
        </w:rPr>
      </w:pPr>
      <w:r>
        <w:rPr>
          <w:rFonts w:ascii="Arial" w:cs="Arial" w:eastAsia="Arial" w:hAnsi="Arial"/>
          <w:sz w:val="18"/>
          <w:szCs w:val="18"/>
          <w:color w:val="auto"/>
        </w:rPr>
        <w:t>Professional fees decreased from $2.1 million for the three months ended March 31, 2018 to $1.3 million for the three months ended March 31, 2019 primarily due to the recognition of remaining expenses associated with the initial shelf registration statement that were previously recorded as a deferred financing cost during the three months ended March 31, 2018. Other general and administrative fees increased from $1.2 million for the three months ended March 31, 2018 to $1.4 million for the three months ended March 31, 2019.</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 Including Excise Taxes</w:t>
      </w:r>
    </w:p>
    <w:p>
      <w:pPr>
        <w:spacing w:after="0" w:line="117" w:lineRule="exact"/>
        <w:rPr>
          <w:sz w:val="20"/>
          <w:szCs w:val="20"/>
          <w:color w:val="auto"/>
        </w:rPr>
      </w:pPr>
    </w:p>
    <w:p>
      <w:pPr>
        <w:ind w:right="100" w:firstLine="259"/>
        <w:spacing w:after="0" w:line="257" w:lineRule="auto"/>
        <w:rPr>
          <w:sz w:val="20"/>
          <w:szCs w:val="20"/>
          <w:color w:val="auto"/>
        </w:rPr>
      </w:pPr>
      <w:r>
        <w:rPr>
          <w:rFonts w:ascii="Arial" w:cs="Arial" w:eastAsia="Arial" w:hAnsi="Arial"/>
          <w:sz w:val="18"/>
          <w:szCs w:val="18"/>
          <w:color w:val="auto"/>
        </w:rPr>
        <w:t>We have elected to be treated as a RIC under Subchapter M of the Code, and we intend to operate in a manner so as to continue to qualify for the tax treatment applicable to RICs. To qualify as a RIC, we must, among other things, distribute to our stockholders in each taxable year generally at least 90% of our investment company taxable income, as defined by the Code, and net tax-exempt income for that taxable year. To maintain our RIC status, we, among other things, have made and intend to continue to make the requisite distributions to our stockholders, which generally relieve us from corporate-level U.S. federal income taxes.</w:t>
      </w:r>
    </w:p>
    <w:p>
      <w:pPr>
        <w:spacing w:after="0" w:line="188" w:lineRule="exact"/>
        <w:rPr>
          <w:sz w:val="20"/>
          <w:szCs w:val="20"/>
          <w:color w:val="auto"/>
        </w:rPr>
      </w:pPr>
    </w:p>
    <w:p>
      <w:pPr>
        <w:ind w:right="20" w:firstLine="259"/>
        <w:spacing w:after="0" w:line="259" w:lineRule="auto"/>
        <w:rPr>
          <w:sz w:val="20"/>
          <w:szCs w:val="20"/>
          <w:color w:val="auto"/>
        </w:rPr>
      </w:pPr>
      <w:r>
        <w:rPr>
          <w:rFonts w:ascii="Arial" w:cs="Arial" w:eastAsia="Arial" w:hAnsi="Arial"/>
          <w:sz w:val="18"/>
          <w:szCs w:val="18"/>
          <w:color w:val="auto"/>
        </w:rPr>
        <w:t>Depending on the level of taxable income earned in a tax year, we can be expected to carry forward taxable income (including net capital gains, if any) in excess of current year dividend distributions from the current tax year into the next tax year and pay a nondeductible 4% U.S. federal excise tax on such taxable income, as required. To the extent that we determine that our estimated current year annual taxable income will be in excess of estimated current year dividend distributions from such income, we accrue excise tax on estimated excess taxable income.</w:t>
      </w:r>
    </w:p>
    <w:p>
      <w:pPr>
        <w:spacing w:after="0" w:line="187" w:lineRule="exact"/>
        <w:rPr>
          <w:sz w:val="20"/>
          <w:szCs w:val="20"/>
          <w:color w:val="auto"/>
        </w:rPr>
      </w:pPr>
    </w:p>
    <w:p>
      <w:pPr>
        <w:ind w:right="240" w:firstLine="259"/>
        <w:spacing w:after="0" w:line="277" w:lineRule="auto"/>
        <w:rPr>
          <w:sz w:val="20"/>
          <w:szCs w:val="20"/>
          <w:color w:val="auto"/>
        </w:rPr>
      </w:pPr>
      <w:r>
        <w:rPr>
          <w:rFonts w:ascii="Arial" w:cs="Arial" w:eastAsia="Arial" w:hAnsi="Arial"/>
          <w:sz w:val="18"/>
          <w:szCs w:val="18"/>
          <w:color w:val="auto"/>
        </w:rPr>
        <w:t>For the three months ended March 31, 2019 and 2018, we recorded a net expense of $0.3 million and $0.9 million, respectively, for U.S. federal excise tax.</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57" w:right="29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i w:val="1"/>
          <w:iCs w:val="1"/>
          <w:color w:val="auto"/>
        </w:rPr>
        <w:t>Net Realized and Unrealized Gains and Losses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summarizes our net realized and unrealized gains (losses) for the three months ended March 31, 2019 and 2018:</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440" w:type="dxa"/>
            <w:vAlign w:val="bottom"/>
            <w:gridSpan w:val="2"/>
            <w:vMerge w:val="restart"/>
          </w:tcPr>
          <w:p>
            <w:pPr>
              <w:spacing w:after="0"/>
              <w:rPr>
                <w:sz w:val="20"/>
                <w:szCs w:val="20"/>
                <w:color w:val="auto"/>
              </w:rPr>
            </w:pPr>
            <w:r>
              <w:rPr>
                <w:rFonts w:ascii="Arial" w:cs="Arial" w:eastAsia="Arial" w:hAnsi="Arial"/>
                <w:sz w:val="14"/>
                <w:szCs w:val="14"/>
                <w:color w:val="auto"/>
              </w:rPr>
              <w:t>($ in millions)</w:t>
            </w:r>
          </w:p>
        </w:tc>
        <w:tc>
          <w:tcPr>
            <w:tcW w:w="3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right"/>
              <w:ind w:right="13"/>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440" w:type="dxa"/>
            <w:vAlign w:val="bottom"/>
            <w:gridSpan w:val="2"/>
            <w:vMerge w:val="continue"/>
          </w:tcPr>
          <w:p>
            <w:pPr>
              <w:spacing w:after="0"/>
              <w:rPr>
                <w:sz w:val="13"/>
                <w:szCs w:val="13"/>
                <w:color w:val="auto"/>
              </w:rPr>
            </w:pPr>
          </w:p>
        </w:tc>
        <w:tc>
          <w:tcPr>
            <w:tcW w:w="1320" w:type="dxa"/>
            <w:vAlign w:val="bottom"/>
            <w:gridSpan w:val="3"/>
          </w:tcPr>
          <w:p>
            <w:pPr>
              <w:jc w:val="right"/>
              <w:ind w:right="300"/>
              <w:spacing w:after="0" w:line="155" w:lineRule="exact"/>
              <w:rPr>
                <w:sz w:val="20"/>
                <w:szCs w:val="20"/>
                <w:color w:val="auto"/>
              </w:rPr>
            </w:pPr>
            <w:r>
              <w:rPr>
                <w:rFonts w:ascii="Arial" w:cs="Arial" w:eastAsia="Arial" w:hAnsi="Arial"/>
                <w:sz w:val="14"/>
                <w:szCs w:val="14"/>
                <w:b w:val="1"/>
                <w:bCs w:val="1"/>
                <w:color w:val="auto"/>
              </w:rPr>
              <w:t>March 31, 2019</w:t>
            </w:r>
          </w:p>
        </w:tc>
        <w:tc>
          <w:tcPr>
            <w:tcW w:w="1140" w:type="dxa"/>
            <w:vAlign w:val="bottom"/>
            <w:gridSpan w:val="2"/>
          </w:tcPr>
          <w:p>
            <w:pPr>
              <w:jc w:val="right"/>
              <w:ind w:right="10"/>
              <w:spacing w:after="0" w:line="155" w:lineRule="exact"/>
              <w:rPr>
                <w:sz w:val="20"/>
                <w:szCs w:val="20"/>
                <w:color w:val="auto"/>
              </w:rPr>
            </w:pPr>
            <w:r>
              <w:rPr>
                <w:rFonts w:ascii="Arial" w:cs="Arial" w:eastAsia="Arial" w:hAnsi="Arial"/>
                <w:sz w:val="14"/>
                <w:szCs w:val="14"/>
                <w:b w:val="1"/>
                <w:bCs w:val="1"/>
                <w:color w:val="auto"/>
              </w:rPr>
              <w:t>March 31, 2018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realized gains on investments</w:t>
            </w:r>
          </w:p>
        </w:tc>
        <w:tc>
          <w:tcPr>
            <w:tcW w:w="320" w:type="dxa"/>
            <w:vAlign w:val="bottom"/>
            <w:tcBorders>
              <w:top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0.7</w:t>
            </w:r>
          </w:p>
        </w:tc>
        <w:tc>
          <w:tcPr>
            <w:tcW w:w="200" w:type="dxa"/>
            <w:vAlign w:val="bottom"/>
            <w:tcBorders>
              <w:top w:val="single" w:sz="8" w:color="CFF0FC"/>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jc w:val="right"/>
              <w:ind w:right="473"/>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Net realized gains (losses) on foreign currency transactions</w:t>
            </w:r>
          </w:p>
        </w:tc>
        <w:tc>
          <w:tcPr>
            <w:tcW w:w="32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(0.1)</w:t>
            </w:r>
          </w:p>
        </w:tc>
        <w:tc>
          <w:tcPr>
            <w:tcW w:w="6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Net realized gains (losses) on foreign currency investments</w:t>
            </w:r>
          </w:p>
        </w:tc>
        <w:tc>
          <w:tcPr>
            <w:tcW w:w="3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(0.1)</w:t>
            </w:r>
          </w:p>
        </w:tc>
        <w:tc>
          <w:tcPr>
            <w:tcW w:w="66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realized gains on foreign currency borrowings</w:t>
            </w: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200" w:type="dxa"/>
            <w:vAlign w:val="bottom"/>
            <w:tcBorders>
              <w:bottom w:val="single" w:sz="8" w:color="CFF0FC"/>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realized gains</w:t>
            </w:r>
          </w:p>
        </w:tc>
        <w:tc>
          <w:tcPr>
            <w:tcW w:w="320" w:type="dxa"/>
            <w:vAlign w:val="bottom"/>
            <w:tcBorders>
              <w:bottom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0.6</w:t>
            </w:r>
          </w:p>
        </w:tc>
        <w:tc>
          <w:tcPr>
            <w:tcW w:w="200" w:type="dxa"/>
            <w:vAlign w:val="bottom"/>
            <w:tcBorders>
              <w:bottom w:val="single" w:sz="8" w:color="CFF0FC"/>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ind w:right="473"/>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Change in unrealized gains on investments</w:t>
            </w:r>
          </w:p>
        </w:tc>
        <w:tc>
          <w:tcPr>
            <w:tcW w:w="320" w:type="dxa"/>
            <w:vAlign w:val="bottom"/>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w:t>
            </w:r>
          </w:p>
        </w:tc>
        <w:tc>
          <w:tcPr>
            <w:tcW w:w="20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473"/>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Change in unrealized losses on investments</w:t>
            </w:r>
          </w:p>
        </w:tc>
        <w:tc>
          <w:tcPr>
            <w:tcW w:w="32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(4.8)</w:t>
            </w:r>
          </w:p>
        </w:tc>
        <w:tc>
          <w:tcPr>
            <w:tcW w:w="66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Change in Unrealized Gains (Losses) on Investments</w:t>
            </w:r>
          </w:p>
        </w:tc>
        <w:tc>
          <w:tcPr>
            <w:tcW w:w="320" w:type="dxa"/>
            <w:vAlign w:val="bottom"/>
            <w:tcBorders>
              <w:top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w:t>
            </w:r>
          </w:p>
        </w:tc>
        <w:tc>
          <w:tcPr>
            <w:tcW w:w="200" w:type="dxa"/>
            <w:vAlign w:val="bottom"/>
            <w:tcBorders>
              <w:top w:val="single" w:sz="8" w:color="CFF0FC"/>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jc w:val="right"/>
              <w:ind w:right="473"/>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Unrealized depreciation on foreign currency</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20" w:type="dxa"/>
            <w:vAlign w:val="bottom"/>
          </w:tcPr>
          <w:p>
            <w:pPr>
              <w:ind w:left="120"/>
              <w:spacing w:after="0"/>
              <w:rPr>
                <w:sz w:val="20"/>
                <w:szCs w:val="20"/>
                <w:color w:val="auto"/>
              </w:rPr>
            </w:pPr>
            <w:r>
              <w:rPr>
                <w:rFonts w:ascii="Arial" w:cs="Arial" w:eastAsia="Arial" w:hAnsi="Arial"/>
                <w:sz w:val="18"/>
                <w:szCs w:val="18"/>
                <w:color w:val="auto"/>
              </w:rPr>
              <w:t>borrowings</w:t>
            </w:r>
          </w:p>
        </w:tc>
        <w:tc>
          <w:tcPr>
            <w:tcW w:w="32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(1.4)</w:t>
            </w:r>
          </w:p>
        </w:tc>
        <w:tc>
          <w:tcPr>
            <w:tcW w:w="660" w:type="dxa"/>
            <w:vAlign w:val="bottom"/>
          </w:tcPr>
          <w:p>
            <w:pPr>
              <w:spacing w:after="0"/>
              <w:rPr>
                <w:sz w:val="20"/>
                <w:szCs w:val="20"/>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Unrealized appreciation (depreciation) on foreign</w:t>
            </w:r>
          </w:p>
        </w:tc>
        <w:tc>
          <w:tcPr>
            <w:tcW w:w="3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currency cash and forward contracts</w:t>
            </w:r>
          </w:p>
        </w:tc>
        <w:tc>
          <w:tcPr>
            <w:tcW w:w="32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20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5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Unrealized appreciation (depreciation) on interest rate swaps</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w:t>
            </w: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420" w:type="dxa"/>
            <w:vAlign w:val="bottom"/>
            <w:tcBorders>
              <w:top w:val="single" w:sz="8" w:color="CFF0FC"/>
            </w:tcBorders>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Net Change in Unrealized Gains (Losses) on Foreign</w:t>
            </w:r>
          </w:p>
        </w:tc>
        <w:tc>
          <w:tcPr>
            <w:tcW w:w="32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48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420" w:type="dxa"/>
            <w:vAlign w:val="bottom"/>
            <w:shd w:val="clear" w:color="auto" w:fill="CFF0FC"/>
          </w:tcPr>
          <w:p>
            <w:pPr>
              <w:ind w:left="120"/>
              <w:spacing w:after="0"/>
              <w:rPr>
                <w:sz w:val="20"/>
                <w:szCs w:val="20"/>
                <w:color w:val="auto"/>
              </w:rPr>
            </w:pPr>
            <w:r>
              <w:rPr>
                <w:rFonts w:ascii="Arial" w:cs="Arial" w:eastAsia="Arial" w:hAnsi="Arial"/>
                <w:sz w:val="18"/>
                <w:szCs w:val="18"/>
                <w:b w:val="1"/>
                <w:bCs w:val="1"/>
                <w:color w:val="auto"/>
              </w:rPr>
              <w:t>Currency Transactions and Interest Rate Swaps</w:t>
            </w:r>
          </w:p>
        </w:tc>
        <w:tc>
          <w:tcPr>
            <w:tcW w:w="320" w:type="dxa"/>
            <w:vAlign w:val="bottom"/>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200" w:type="dxa"/>
            <w:vAlign w:val="bottom"/>
            <w:shd w:val="clear" w:color="auto" w:fill="CFF0FC"/>
          </w:tcPr>
          <w:p>
            <w:pPr>
              <w:spacing w:after="0"/>
              <w:rPr>
                <w:sz w:val="20"/>
                <w:szCs w:val="20"/>
                <w:color w:val="auto"/>
              </w:rPr>
            </w:pPr>
          </w:p>
        </w:tc>
        <w:tc>
          <w:tcPr>
            <w:tcW w:w="660" w:type="dxa"/>
            <w:vAlign w:val="bottom"/>
            <w:shd w:val="clear" w:color="auto" w:fill="CFF0FC"/>
          </w:tcPr>
          <w:p>
            <w:pPr>
              <w:jc w:val="right"/>
              <w:ind w:right="473"/>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Change in Unrealized Gains (Losses)</w:t>
            </w:r>
          </w:p>
        </w:tc>
        <w:tc>
          <w:tcPr>
            <w:tcW w:w="320" w:type="dxa"/>
            <w:vAlign w:val="bottom"/>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w:t>
            </w:r>
          </w:p>
        </w:tc>
        <w:tc>
          <w:tcPr>
            <w:tcW w:w="20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473"/>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40" w:firstLine="259"/>
        <w:spacing w:after="0" w:line="270" w:lineRule="auto"/>
        <w:rPr>
          <w:sz w:val="20"/>
          <w:szCs w:val="20"/>
          <w:color w:val="auto"/>
        </w:rPr>
      </w:pPr>
      <w:r>
        <w:rPr>
          <w:rFonts w:ascii="Arial" w:cs="Arial" w:eastAsia="Arial" w:hAnsi="Arial"/>
          <w:sz w:val="17"/>
          <w:szCs w:val="17"/>
          <w:color w:val="auto"/>
        </w:rPr>
        <w:t>For the three months ended March 31, 2019 and 2018 we had net realized gains on investments of $0.7 million and $2.7 million, respectively. For the three months ended March 31, 2019 and 2018, we had net realized losses of $0.1 million and net realized gains of $0.1 million, respectively, on foreign currency transactions, primarily as a result of translating foreign currency related to our non-USD denominated investments. For the three months ended March 31, 2019 and 2018, we had net realized losses of $0.1 million and net realized gains of less than $0.1 million, respectively, on foreign currency investments. For the three months ended March 31, 2019 and 2018, we had net realized gains of $0.1 million and less than $0.1 million, respectively, on foreign currency borrowings. The net realized gains on foreign currency borrowings and net realized losses on foreign currency investments for the three months ended March 31, 2019 were a result of payments on our revolving credit facility and paydowns on our AUD revolver investment. The net realized gains on foreign currency borrowings and net realized losses on foreign currency investments for the three months ended March 31, 2018 were a result of a partial realization on one investment.</w:t>
      </w:r>
    </w:p>
    <w:p>
      <w:pPr>
        <w:spacing w:after="0" w:line="182" w:lineRule="exact"/>
        <w:rPr>
          <w:sz w:val="20"/>
          <w:szCs w:val="20"/>
          <w:color w:val="auto"/>
        </w:rPr>
      </w:pPr>
    </w:p>
    <w:p>
      <w:pPr>
        <w:jc w:val="both"/>
        <w:ind w:right="80" w:firstLine="259"/>
        <w:spacing w:after="0" w:line="288" w:lineRule="auto"/>
        <w:rPr>
          <w:sz w:val="20"/>
          <w:szCs w:val="20"/>
          <w:color w:val="auto"/>
        </w:rPr>
      </w:pPr>
      <w:r>
        <w:rPr>
          <w:rFonts w:ascii="Arial" w:cs="Arial" w:eastAsia="Arial" w:hAnsi="Arial"/>
          <w:sz w:val="16"/>
          <w:szCs w:val="16"/>
          <w:color w:val="auto"/>
        </w:rPr>
        <w:t>For the three months ended March 31, 2019 we had $14.4 million in unrealized appreciation on 41 portfolio company investments, which was offset by $4.8 million in unrealized depreciation on 9 portfolio company investments. For the three months ended March 31, 2018 we had $15.8 million in unrealized appreciation on 34 portfolio company investments, which was offset by $10.8 million in unrealized depreciation on 18 portfolio company</w:t>
      </w:r>
    </w:p>
    <w:p>
      <w:pPr>
        <w:ind w:right="300"/>
        <w:spacing w:after="0" w:line="261" w:lineRule="auto"/>
        <w:rPr>
          <w:sz w:val="20"/>
          <w:szCs w:val="20"/>
          <w:color w:val="auto"/>
        </w:rPr>
      </w:pPr>
      <w:r>
        <w:rPr>
          <w:rFonts w:ascii="Arial" w:cs="Arial" w:eastAsia="Arial" w:hAnsi="Arial"/>
          <w:sz w:val="18"/>
          <w:szCs w:val="18"/>
          <w:color w:val="auto"/>
        </w:rPr>
        <w:t>investments. Unrealized appreciation resulted from an increase in fair value, primarily due to a tightening spread environment and positive credit-related adjustments. Unrealized depreciation primarily resulted from some instances of negative credit-related adjustments.</w:t>
      </w:r>
    </w:p>
    <w:p>
      <w:pPr>
        <w:spacing w:after="0" w:line="184" w:lineRule="exact"/>
        <w:rPr>
          <w:sz w:val="20"/>
          <w:szCs w:val="20"/>
          <w:color w:val="auto"/>
        </w:rPr>
      </w:pPr>
    </w:p>
    <w:p>
      <w:pPr>
        <w:ind w:right="100" w:firstLine="259"/>
        <w:spacing w:after="0" w:line="273" w:lineRule="auto"/>
        <w:rPr>
          <w:sz w:val="20"/>
          <w:szCs w:val="20"/>
          <w:color w:val="auto"/>
        </w:rPr>
      </w:pPr>
      <w:r>
        <w:rPr>
          <w:rFonts w:ascii="Arial" w:cs="Arial" w:eastAsia="Arial" w:hAnsi="Arial"/>
          <w:sz w:val="17"/>
          <w:szCs w:val="17"/>
          <w:color w:val="auto"/>
        </w:rPr>
        <w:t>For the three months ended March 31, 2019 and 2018, we had unrealized depreciation on foreign currency borrowings of $1.4 million and $1.0 million, respectively, as a result of fluctuations in the CAD and AUD exchange rates for the three months ended March 31, 2019 and EUR and AUD for the three months ended March 31, 2018. For the three months ended March 31, 2019 and 2018, we had unrealized appreciation on foreign currency cash and forward contracts of less than $0.1 million and unrealized depreciation of $0.1 million, respectively. For the three months ended March 31, 2019 and 2018, we had unrealized appreciation on interest rate swaps of $3.3 million and unrealized depreciation of $4.2 million, respectively, on interest rate swaps due to fluctuations in interest rates and the periodic settlement of interest rate swaps.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Realized Gross Internal Rate of Return</w:t>
      </w:r>
    </w:p>
    <w:p>
      <w:pPr>
        <w:spacing w:after="0" w:line="117" w:lineRule="exact"/>
        <w:rPr>
          <w:sz w:val="20"/>
          <w:szCs w:val="20"/>
          <w:color w:val="auto"/>
        </w:rPr>
      </w:pPr>
    </w:p>
    <w:p>
      <w:pPr>
        <w:ind w:firstLine="259"/>
        <w:spacing w:after="0" w:line="286" w:lineRule="auto"/>
        <w:rPr>
          <w:sz w:val="20"/>
          <w:szCs w:val="20"/>
          <w:color w:val="auto"/>
        </w:rPr>
      </w:pPr>
      <w:r>
        <w:rPr>
          <w:rFonts w:ascii="Arial" w:cs="Arial" w:eastAsia="Arial" w:hAnsi="Arial"/>
          <w:sz w:val="17"/>
          <w:szCs w:val="17"/>
          <w:color w:val="auto"/>
        </w:rPr>
        <w:t>Since we began investing in 2011 through March 31, 2019, weighted by capital invested, our exited investments have generated an average realized gross internal rate of return to us of 18.7% (based on total capital invested of $3.4 billion and total proceeds from these exited investments of $4.3 billion). Eighty nine percent of these exited investments resulted in a realized gross internal rate of return to us of 10% or greater.</w:t>
      </w:r>
    </w:p>
    <w:p>
      <w:pPr>
        <w:spacing w:after="0" w:line="16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665" w:right="319" w:bottom="1440" w:gutter="0" w:footer="0" w:header="0"/>
        </w:sectPr>
      </w:pPr>
    </w:p>
    <w:bookmarkStart w:id="56" w:name="page57"/>
    <w:bookmarkEnd w:id="56"/>
    <w:p>
      <w:pPr>
        <w:ind w:right="80" w:firstLine="259"/>
        <w:spacing w:after="0" w:line="264" w:lineRule="auto"/>
        <w:rPr>
          <w:sz w:val="20"/>
          <w:szCs w:val="20"/>
          <w:color w:val="auto"/>
        </w:rPr>
      </w:pPr>
      <w:r>
        <w:rPr>
          <w:rFonts w:ascii="Arial" w:cs="Arial" w:eastAsia="Arial" w:hAnsi="Arial"/>
          <w:sz w:val="18"/>
          <w:szCs w:val="18"/>
          <w:color w:val="auto"/>
        </w:rPr>
        <w:t>Gross IRR, with respect to an investment, is calculated based on the dates that we invested capital and dates we received distributions, regardless of when we made distributions to our stockholders. Initial investments are assumed to occur at time zero, and all cash flows are deemed to occur on the fifteenth of each month in which they occur.</w:t>
      </w:r>
    </w:p>
    <w:p>
      <w:pPr>
        <w:spacing w:after="0" w:line="181" w:lineRule="exact"/>
        <w:rPr>
          <w:sz w:val="20"/>
          <w:szCs w:val="20"/>
          <w:color w:val="auto"/>
        </w:rPr>
      </w:pPr>
    </w:p>
    <w:p>
      <w:pPr>
        <w:ind w:right="80" w:firstLine="259"/>
        <w:spacing w:after="0" w:line="342" w:lineRule="auto"/>
        <w:rPr>
          <w:sz w:val="20"/>
          <w:szCs w:val="20"/>
          <w:color w:val="auto"/>
        </w:rPr>
      </w:pPr>
      <w:r>
        <w:rPr>
          <w:rFonts w:ascii="Arial" w:cs="Arial" w:eastAsia="Arial" w:hAnsi="Arial"/>
          <w:sz w:val="16"/>
          <w:szCs w:val="16"/>
          <w:color w:val="auto"/>
        </w:rPr>
        <w:t>Gross IRR reflects historical results relating to our past performance and is not necessarily indicative of our future results. In addition, gross IRR does not reflect the effect of Management Fees, expenses, Incentive Fees or taxes borne, or to be borne, by us or our stockholders, and would be lower if it did.</w:t>
      </w:r>
    </w:p>
    <w:p>
      <w:pPr>
        <w:spacing w:after="0" w:line="124" w:lineRule="exact"/>
        <w:rPr>
          <w:sz w:val="20"/>
          <w:szCs w:val="20"/>
          <w:color w:val="auto"/>
        </w:rPr>
      </w:pPr>
    </w:p>
    <w:p>
      <w:pPr>
        <w:ind w:right="220" w:firstLine="259"/>
        <w:spacing w:after="0" w:line="277" w:lineRule="auto"/>
        <w:rPr>
          <w:sz w:val="20"/>
          <w:szCs w:val="20"/>
          <w:color w:val="auto"/>
        </w:rPr>
      </w:pPr>
      <w:r>
        <w:rPr>
          <w:rFonts w:ascii="Arial" w:cs="Arial" w:eastAsia="Arial" w:hAnsi="Arial"/>
          <w:sz w:val="18"/>
          <w:szCs w:val="18"/>
          <w:color w:val="auto"/>
        </w:rPr>
        <w:t>Average gross IRR is the average of the gross IRR for each of our exited investments (each calculated as described above), weighted by the total capital invested for each of those investments.</w:t>
      </w:r>
    </w:p>
    <w:p>
      <w:pPr>
        <w:spacing w:after="0" w:line="170" w:lineRule="exact"/>
        <w:rPr>
          <w:sz w:val="20"/>
          <w:szCs w:val="20"/>
          <w:color w:val="auto"/>
        </w:rPr>
      </w:pPr>
    </w:p>
    <w:p>
      <w:pPr>
        <w:ind w:right="360" w:firstLine="259"/>
        <w:spacing w:after="0" w:line="277" w:lineRule="auto"/>
        <w:rPr>
          <w:sz w:val="20"/>
          <w:szCs w:val="20"/>
          <w:color w:val="auto"/>
        </w:rPr>
      </w:pPr>
      <w:r>
        <w:rPr>
          <w:rFonts w:ascii="Arial" w:cs="Arial" w:eastAsia="Arial" w:hAnsi="Arial"/>
          <w:sz w:val="18"/>
          <w:szCs w:val="18"/>
          <w:color w:val="auto"/>
        </w:rPr>
        <w:t>Average gross IRR on our exited investments reflects only invested and realized cash amounts as described above, and does not reflect any unrealized gains or losses in our portfolio.</w:t>
      </w:r>
    </w:p>
    <w:p>
      <w:pPr>
        <w:spacing w:after="0" w:line="170" w:lineRule="exact"/>
        <w:rPr>
          <w:sz w:val="20"/>
          <w:szCs w:val="20"/>
          <w:color w:val="auto"/>
        </w:rPr>
      </w:pPr>
    </w:p>
    <w:p>
      <w:pPr>
        <w:ind w:right="120" w:firstLine="259"/>
        <w:spacing w:after="0" w:line="286" w:lineRule="auto"/>
        <w:rPr>
          <w:sz w:val="20"/>
          <w:szCs w:val="20"/>
          <w:color w:val="auto"/>
        </w:rPr>
      </w:pPr>
      <w:r>
        <w:rPr>
          <w:rFonts w:ascii="Arial" w:cs="Arial" w:eastAsia="Arial" w:hAnsi="Arial"/>
          <w:sz w:val="17"/>
          <w:szCs w:val="17"/>
          <w:color w:val="auto"/>
        </w:rPr>
        <w:t>Internal rate of return, or IRR, is a measure of our discounted cash flows (inflows and outflows). Specifically, IRR is the discount rate at which the net present value of all cash flows is equal to zero. That is, IRR is the discount rate at which the present value of total capital invested in each of our investments is equal to the present value of all realized returns from that investment. Our IRR calculations are unaudited.</w:t>
      </w:r>
    </w:p>
    <w:p>
      <w:pPr>
        <w:spacing w:after="0" w:line="166" w:lineRule="exact"/>
        <w:rPr>
          <w:sz w:val="20"/>
          <w:szCs w:val="20"/>
          <w:color w:val="auto"/>
        </w:rPr>
      </w:pPr>
    </w:p>
    <w:p>
      <w:pPr>
        <w:jc w:val="both"/>
        <w:ind w:right="100" w:firstLine="259"/>
        <w:spacing w:after="0" w:line="312" w:lineRule="auto"/>
        <w:rPr>
          <w:sz w:val="20"/>
          <w:szCs w:val="20"/>
          <w:color w:val="auto"/>
        </w:rPr>
      </w:pPr>
      <w:r>
        <w:rPr>
          <w:rFonts w:ascii="Arial" w:cs="Arial" w:eastAsia="Arial" w:hAnsi="Arial"/>
          <w:sz w:val="16"/>
          <w:szCs w:val="16"/>
          <w:color w:val="auto"/>
        </w:rPr>
        <w:t>Capital invested, with respect to an investment, represents the aggregate cost basis allocable to the realized or unrealized portion of the investment, net of any upfront fees paid at closing for the term loan portion of the investment. Capital invested also includes realized losses on hedging activity, with respect to an investment, which represents any inception-to-date realized losses on foreign currency forward contracts allocable to the investment, if any.</w:t>
      </w:r>
    </w:p>
    <w:p>
      <w:pPr>
        <w:spacing w:after="0" w:line="147" w:lineRule="exact"/>
        <w:rPr>
          <w:sz w:val="20"/>
          <w:szCs w:val="20"/>
          <w:color w:val="auto"/>
        </w:rPr>
      </w:pPr>
    </w:p>
    <w:p>
      <w:pPr>
        <w:ind w:right="240" w:firstLine="259"/>
        <w:spacing w:after="0" w:line="302" w:lineRule="auto"/>
        <w:rPr>
          <w:sz w:val="20"/>
          <w:szCs w:val="20"/>
          <w:color w:val="auto"/>
        </w:rPr>
      </w:pPr>
      <w:r>
        <w:rPr>
          <w:rFonts w:ascii="Arial" w:cs="Arial" w:eastAsia="Arial" w:hAnsi="Arial"/>
          <w:sz w:val="16"/>
          <w:szCs w:val="16"/>
          <w:color w:val="auto"/>
        </w:rPr>
        <w:t>Realized returns, with respect to an investment, represents the total cash received with respect to each investment, including all amortization payments, interest, dividends, prepayment fees, upfront fees (except upfront fees paid at closing for the term loan portion of an investment), administrative fees, agent fees, amendment fees, accrued interest, and other fees and proceeds. Realized returns also include realized gains on hedging activity, with respect to an investment, which represents any inception-to-date realized gains on foreign currency forward contracts allocable to the investment, if any.</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Hedging</w:t>
      </w:r>
    </w:p>
    <w:p>
      <w:pPr>
        <w:spacing w:after="0" w:line="117" w:lineRule="exact"/>
        <w:rPr>
          <w:sz w:val="20"/>
          <w:szCs w:val="20"/>
          <w:color w:val="auto"/>
        </w:rPr>
      </w:pPr>
    </w:p>
    <w:p>
      <w:pPr>
        <w:ind w:firstLine="259"/>
        <w:spacing w:after="0" w:line="291" w:lineRule="auto"/>
        <w:rPr>
          <w:sz w:val="20"/>
          <w:szCs w:val="20"/>
          <w:color w:val="auto"/>
        </w:rPr>
      </w:pPr>
      <w:r>
        <w:rPr>
          <w:rFonts w:ascii="Arial" w:cs="Arial" w:eastAsia="Arial" w:hAnsi="Arial"/>
          <w:sz w:val="16"/>
          <w:szCs w:val="16"/>
          <w:color w:val="auto"/>
        </w:rPr>
        <w:t>Our current approach to hedging the foreign currency exposure in our non-U.S. dollar denominated investments is primarily to borrow the par amount in local currency under our Revolving Credit Facility to fund these investments. For the three months ended March 31, 2019 and 2018, we incurred $1.4 million and $1.0 million, respectively, of unrealized losses on the translation of our non-U.S. dollar denominated debt into U.S. dollars; such amounts approximate the corresponding unrealized gains and losses on the translation of our non-U.S. dollar denominated investments into U.S. dollars for the three months ended March 31, 2019 and 2018. See Note 2 for additional disclosure regarding our accounting for foreign currency. See Note 7 for additional disclosure regarding the amounts of outstanding debt denominated in each foreign currency at March 31, 2019 and 2018. See our consolidated schedule of investments for additional disclosure regarding the foreign currency amounts (in both par and fair value) of our non-U.S. dollar denominated investments.</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121" w:lineRule="exact"/>
        <w:rPr>
          <w:sz w:val="20"/>
          <w:szCs w:val="20"/>
          <w:color w:val="auto"/>
        </w:rPr>
      </w:pPr>
    </w:p>
    <w:p>
      <w:pPr>
        <w:ind w:right="300" w:firstLine="259"/>
        <w:spacing w:after="0" w:line="277" w:lineRule="auto"/>
        <w:rPr>
          <w:sz w:val="20"/>
          <w:szCs w:val="20"/>
          <w:color w:val="auto"/>
        </w:rPr>
      </w:pPr>
      <w:r>
        <w:rPr>
          <w:rFonts w:ascii="Arial" w:cs="Arial" w:eastAsia="Arial" w:hAnsi="Arial"/>
          <w:sz w:val="18"/>
          <w:szCs w:val="18"/>
          <w:color w:val="auto"/>
        </w:rPr>
        <w:t>Our liquidity and capital resources are derived primarily from proceeds from equity issuances, advances from our credit facilities, and cash flows from operations. The primary uses of our cash and cash equivalents are:</w:t>
      </w:r>
    </w:p>
    <w:p>
      <w:pPr>
        <w:spacing w:after="0" w:line="62" w:lineRule="exact"/>
        <w:rPr>
          <w:sz w:val="20"/>
          <w:szCs w:val="20"/>
          <w:color w:val="auto"/>
        </w:rPr>
      </w:pPr>
    </w:p>
    <w:p>
      <w:pPr>
        <w:ind w:left="520" w:hanging="255"/>
        <w:spacing w:after="0"/>
        <w:tabs>
          <w:tab w:leader="none" w:pos="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investments in portfolio companies and other investments and to comply with certain portfolio diversification requirements;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cost of operations (including paying our Adviser);</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debt service, repayment, and other financing costs; and</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cash dividends to the holders of our shares.</w:t>
      </w:r>
    </w:p>
    <w:p>
      <w:pPr>
        <w:spacing w:after="0" w:line="225" w:lineRule="exact"/>
        <w:rPr>
          <w:sz w:val="20"/>
          <w:szCs w:val="20"/>
          <w:color w:val="auto"/>
        </w:rPr>
      </w:pPr>
    </w:p>
    <w:p>
      <w:pPr>
        <w:ind w:right="40" w:firstLine="259"/>
        <w:spacing w:after="0" w:line="257" w:lineRule="auto"/>
        <w:rPr>
          <w:sz w:val="20"/>
          <w:szCs w:val="20"/>
          <w:color w:val="auto"/>
        </w:rPr>
      </w:pPr>
      <w:r>
        <w:rPr>
          <w:rFonts w:ascii="Arial" w:cs="Arial" w:eastAsia="Arial" w:hAnsi="Arial"/>
          <w:sz w:val="18"/>
          <w:szCs w:val="18"/>
          <w:color w:val="auto"/>
        </w:rPr>
        <w:t>We intend to continue to generate cash primarily from cash flows from operations, future borrowings and future offerings of securities. We may from time to time enter into additional debt facilities, increase the size of existing facilities or issue debt securities. Any such incurrence or issuance would be subject to prevailing market conditions, our liquidity requirements, contractual and regulatory restrictions and other factors. In accordance with the 1940 Act, with certain limited exceptions, we are only allowed to incur borrowings, issue debt securities or issue preferred stock if immediately after the borrowing or issuance the ratio of total assets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7" w:name="page58"/>
    <w:bookmarkEnd w:id="57"/>
    <w:p>
      <w:pPr>
        <w:ind w:right="60"/>
        <w:spacing w:after="0" w:line="255" w:lineRule="auto"/>
        <w:rPr>
          <w:sz w:val="20"/>
          <w:szCs w:val="20"/>
          <w:color w:val="auto"/>
        </w:rPr>
      </w:pPr>
      <w:r>
        <w:rPr>
          <w:rFonts w:ascii="Arial" w:cs="Arial" w:eastAsia="Arial" w:hAnsi="Arial"/>
          <w:sz w:val="18"/>
          <w:szCs w:val="18"/>
          <w:color w:val="auto"/>
        </w:rPr>
        <w:t>(less total liabilities other than indebtedness) to total indebtedness plus preferred stock, is at least 150% (prior to October 9, 2018, our minimum asset coverage requirement was 200%). For more information, see “Key Components of Our Results of Operations — Leverage” above. As of March 31, 2019 and December 31, 2018, our asset coverage ratio was 244.7% and 270.5%, respectively. We carefully consider our unfunded commitments for the purpose of planning our capital resources and ongoing liquidity, including our financial leverage. Further, we maintain sufficient borrowing capacity within the 150% asset coverage limitation under the 1940 Act and the asset coverage limitation under our credit facilities to cover any outstanding unfunded commitments we are required to fund.</w:t>
      </w:r>
    </w:p>
    <w:p>
      <w:pPr>
        <w:spacing w:after="0" w:line="193" w:lineRule="exact"/>
        <w:rPr>
          <w:sz w:val="20"/>
          <w:szCs w:val="20"/>
          <w:color w:val="auto"/>
        </w:rPr>
      </w:pPr>
    </w:p>
    <w:p>
      <w:pPr>
        <w:jc w:val="both"/>
        <w:ind w:right="20" w:firstLine="259"/>
        <w:spacing w:after="0" w:line="264" w:lineRule="auto"/>
        <w:rPr>
          <w:sz w:val="20"/>
          <w:szCs w:val="20"/>
          <w:color w:val="auto"/>
        </w:rPr>
      </w:pPr>
      <w:r>
        <w:rPr>
          <w:rFonts w:ascii="Arial" w:cs="Arial" w:eastAsia="Arial" w:hAnsi="Arial"/>
          <w:sz w:val="18"/>
          <w:szCs w:val="18"/>
          <w:color w:val="auto"/>
        </w:rPr>
        <w:t>Cash and cash equivalents as of March 31, 2019, taken together with cash available under our credit facilities, is expected to be sufficient for our investing activities and to conduct our operations in the near term. As of March 31, 2019, we had approximately $864.0 million of availability on our Revolving Credit Facility, subject to asset coverage limitations.</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7"/>
          <w:szCs w:val="17"/>
          <w:color w:val="auto"/>
        </w:rPr>
        <w:t>As of March 31, 2019, we had $9.7 million in cash and cash equivalents, including $5.6 million of restricted cash, a decrease of $0.9 million from</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2018. During the three months ended March 31, 2019, we used $87.0 million in cash from operating activities, primarily as a result of funding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portfolio investments of $148.3 million and other operating activity of $21.3 million, which was offset by repayments and proceeds from investments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$43.9 million and an increase in net assets resulting from operations of $38.7 million. Lastly, cash provided by financing activities was $86.0 million during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period, primarily due to borrowings of $310.2 million on our Revolving Credit Facility, which was partially offset by paydowns on our Revolving Credit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Facility of $193.1 million, dividends paid of $27.8 million and deferred financing costs of $3.3 million.</w:t>
      </w:r>
    </w:p>
    <w:p>
      <w:pPr>
        <w:spacing w:after="0" w:line="211" w:lineRule="exact"/>
        <w:rPr>
          <w:sz w:val="20"/>
          <w:szCs w:val="20"/>
          <w:color w:val="auto"/>
        </w:rPr>
      </w:pPr>
    </w:p>
    <w:p>
      <w:pPr>
        <w:ind w:right="380" w:firstLine="259"/>
        <w:spacing w:after="0" w:line="277" w:lineRule="auto"/>
        <w:rPr>
          <w:sz w:val="20"/>
          <w:szCs w:val="20"/>
          <w:color w:val="auto"/>
        </w:rPr>
      </w:pPr>
      <w:r>
        <w:rPr>
          <w:rFonts w:ascii="Arial" w:cs="Arial" w:eastAsia="Arial" w:hAnsi="Arial"/>
          <w:sz w:val="18"/>
          <w:szCs w:val="18"/>
          <w:color w:val="auto"/>
        </w:rPr>
        <w:t>As of March 31, 2019, we had $5.6 million of restricted cash pledged as collateral under our interest rate swap agreements, a decrease of $1.7 million from December 31, 2018.</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w:t>
      </w:r>
    </w:p>
    <w:p>
      <w:pPr>
        <w:spacing w:after="0" w:line="117" w:lineRule="exact"/>
        <w:rPr>
          <w:sz w:val="20"/>
          <w:szCs w:val="20"/>
          <w:color w:val="auto"/>
        </w:rPr>
      </w:pPr>
    </w:p>
    <w:p>
      <w:pPr>
        <w:ind w:right="100" w:firstLine="259"/>
        <w:spacing w:after="0" w:line="264" w:lineRule="auto"/>
        <w:rPr>
          <w:sz w:val="20"/>
          <w:szCs w:val="20"/>
          <w:color w:val="auto"/>
        </w:rPr>
      </w:pPr>
      <w:r>
        <w:rPr>
          <w:rFonts w:ascii="Arial" w:cs="Arial" w:eastAsia="Arial" w:hAnsi="Arial"/>
          <w:sz w:val="18"/>
          <w:szCs w:val="18"/>
          <w:color w:val="auto"/>
        </w:rPr>
        <w:t>On March 21, 2018, we issued 3,750,000 shares of common stock at $17.45 per share. Net of underwriting fees and offering costs, we received total cash proceeds of $63.0 million. Subsequent to the offering we issued an additional 522,224 shares in April 2018 pursuant to the overallotment option granted to underwriters and received, net of underwriting fees, total cash proceeds of $8.8 million.</w:t>
      </w:r>
    </w:p>
    <w:p>
      <w:pPr>
        <w:spacing w:after="0" w:line="181" w:lineRule="exact"/>
        <w:rPr>
          <w:sz w:val="20"/>
          <w:szCs w:val="20"/>
          <w:color w:val="auto"/>
        </w:rPr>
      </w:pPr>
    </w:p>
    <w:p>
      <w:pPr>
        <w:ind w:right="20" w:firstLine="259"/>
        <w:spacing w:after="0" w:line="302" w:lineRule="auto"/>
        <w:rPr>
          <w:sz w:val="20"/>
          <w:szCs w:val="20"/>
          <w:color w:val="auto"/>
        </w:rPr>
      </w:pPr>
      <w:r>
        <w:rPr>
          <w:rFonts w:ascii="Arial" w:cs="Arial" w:eastAsia="Arial" w:hAnsi="Arial"/>
          <w:sz w:val="16"/>
          <w:szCs w:val="16"/>
          <w:color w:val="auto"/>
        </w:rPr>
        <w:t>During the three months ended March 31, 2019 and 2018, we also issued 300,145 and 169,750 shares of our common stock, respectively, to investors who have not opted out of our dividend reinvestment plan for proceeds of $5.6 million and $3.2 million, respectively. On April 15, 2019, we issued 318,114 shares of our common stock through our dividend reinvestment plan for proceeds of $6.1 million, which is not reflected in the number of shares issued for the three months ended March 31, 2019 in this section or the consolidated financial statements for the three months ended March 31, 2019.</w:t>
      </w:r>
    </w:p>
    <w:p>
      <w:pPr>
        <w:spacing w:after="0" w:line="154" w:lineRule="exact"/>
        <w:rPr>
          <w:sz w:val="20"/>
          <w:szCs w:val="20"/>
          <w:color w:val="auto"/>
        </w:rPr>
      </w:pPr>
    </w:p>
    <w:p>
      <w:pPr>
        <w:ind w:right="60" w:firstLine="259"/>
        <w:spacing w:after="0" w:line="291" w:lineRule="auto"/>
        <w:rPr>
          <w:sz w:val="20"/>
          <w:szCs w:val="20"/>
          <w:color w:val="auto"/>
        </w:rPr>
      </w:pPr>
      <w:r>
        <w:rPr>
          <w:rFonts w:ascii="Arial" w:cs="Arial" w:eastAsia="Arial" w:hAnsi="Arial"/>
          <w:sz w:val="16"/>
          <w:szCs w:val="16"/>
          <w:color w:val="auto"/>
        </w:rPr>
        <w:t>On August 4, 2015, our Board authorized us to enter into a stock repurchase plan, the Company 10b5-1 Plan, to acquire up to $50 million in the aggregate of our common stock at prices just below our net asset value per share over an initial six month period, in accordance with the guidelines specified in Rule</w:t>
      </w:r>
    </w:p>
    <w:p>
      <w:pPr>
        <w:jc w:val="both"/>
        <w:spacing w:after="0" w:line="277" w:lineRule="auto"/>
        <w:rPr>
          <w:sz w:val="20"/>
          <w:szCs w:val="20"/>
          <w:color w:val="auto"/>
        </w:rPr>
      </w:pPr>
      <w:r>
        <w:rPr>
          <w:rFonts w:ascii="Arial" w:cs="Arial" w:eastAsia="Arial" w:hAnsi="Arial"/>
          <w:sz w:val="17"/>
          <w:szCs w:val="17"/>
          <w:color w:val="auto"/>
        </w:rPr>
        <w:t>10b-18 and Rule 10b5-1 of the Exchange Act, and has continued to authorize extensions of the plan termination date prior to its expiration since that time. We put the Company 10b5-1 Plan in place because we believe that if our common stock is trading below our then-current net asset value per share, it is in the best interest of our stockholders for us to reinvest in our portfolio and increase our leverage ratio through share repurchases.</w:t>
      </w:r>
    </w:p>
    <w:p>
      <w:pPr>
        <w:spacing w:after="0" w:line="173" w:lineRule="exact"/>
        <w:rPr>
          <w:sz w:val="20"/>
          <w:szCs w:val="20"/>
          <w:color w:val="auto"/>
        </w:rPr>
      </w:pPr>
    </w:p>
    <w:p>
      <w:pPr>
        <w:ind w:right="40" w:firstLine="259"/>
        <w:spacing w:after="0" w:line="255" w:lineRule="auto"/>
        <w:rPr>
          <w:sz w:val="20"/>
          <w:szCs w:val="20"/>
          <w:color w:val="auto"/>
        </w:rPr>
      </w:pPr>
      <w:r>
        <w:rPr>
          <w:rFonts w:ascii="Arial" w:cs="Arial" w:eastAsia="Arial" w:hAnsi="Arial"/>
          <w:sz w:val="18"/>
          <w:szCs w:val="18"/>
          <w:color w:val="auto"/>
        </w:rPr>
        <w:t>The Company 10b5-1 Plan is designed to allow us to repurchase our common stock at times when we otherwise might be prevented from doing so under insider trading laws. The Company 10b5-1 Plan requires Goldman Sachs &amp; Co. LLC, as our agent, to repurchase shares of common stock on our behalf when the market price per share is below the most recently reported net asset value per share (including any updates, corrections or adjustments publicly announced by us to any previously announced net asset value per share). Under the Company 10b5-1 Plan, the agent will increase the volume of purchases made as the price of our common stock declines, subject to volume restrictions. The timing and amount of any stock repurchases will depend on the terms and conditions of the Company 10b5-1 Plan, the market price of our common stock and trading volumes, and no assurance can be given that any particular amount of common stock will be repurchased.</w:t>
      </w:r>
    </w:p>
    <w:p>
      <w:pPr>
        <w:spacing w:after="0" w:line="189" w:lineRule="exact"/>
        <w:rPr>
          <w:sz w:val="20"/>
          <w:szCs w:val="20"/>
          <w:color w:val="auto"/>
        </w:rPr>
      </w:pPr>
    </w:p>
    <w:p>
      <w:pPr>
        <w:ind w:right="280" w:firstLine="259"/>
        <w:spacing w:after="0" w:line="308" w:lineRule="auto"/>
        <w:rPr>
          <w:sz w:val="20"/>
          <w:szCs w:val="20"/>
          <w:color w:val="auto"/>
        </w:rPr>
      </w:pPr>
      <w:r>
        <w:rPr>
          <w:rFonts w:ascii="Arial" w:cs="Arial" w:eastAsia="Arial" w:hAnsi="Arial"/>
          <w:sz w:val="17"/>
          <w:szCs w:val="17"/>
          <w:color w:val="auto"/>
        </w:rPr>
        <w:t>The purchase of shares pursuant to the Company 10b5-1 Plan is intended to satisfy the conditions of Rule 10b5-1 and Rule 10b-18 under the Exchange Act, and will otherwise be subject to applicable law, including Regulation M, which may prohibit purchases under certain circumstances.</w:t>
      </w:r>
    </w:p>
    <w:p>
      <w:pPr>
        <w:spacing w:after="0" w:line="147" w:lineRule="exact"/>
        <w:rPr>
          <w:sz w:val="20"/>
          <w:szCs w:val="20"/>
          <w:color w:val="auto"/>
        </w:rPr>
      </w:pPr>
    </w:p>
    <w:p>
      <w:pPr>
        <w:ind w:right="140" w:firstLine="259"/>
        <w:spacing w:after="0" w:line="279" w:lineRule="auto"/>
        <w:rPr>
          <w:sz w:val="20"/>
          <w:szCs w:val="20"/>
          <w:color w:val="auto"/>
        </w:rPr>
      </w:pPr>
      <w:r>
        <w:rPr>
          <w:rFonts w:ascii="Arial" w:cs="Arial" w:eastAsia="Arial" w:hAnsi="Arial"/>
          <w:sz w:val="17"/>
          <w:szCs w:val="17"/>
          <w:color w:val="auto"/>
        </w:rPr>
        <w:t>On May 2, 2019, the Board authorized an amendment to the Company 10b5-1 Plan to (1) revise the market prices at which the agent will repurchase shares of the Company’s common stock on its behalf from just below the Company’s most recently reported net asset value per share to just below 1.05x the most recently reported net asset value per share, less the amount of any supplemental dividend declared for that quarter but not yet reflected in the most recently reported net asset value per share, and (2) extend the termination date to November 30, 2019.</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8" w:name="page59"/>
    <w:bookmarkEnd w:id="58"/>
    <w:p>
      <w:pPr>
        <w:ind w:right="100" w:firstLine="259"/>
        <w:spacing w:after="0" w:line="277" w:lineRule="auto"/>
        <w:rPr>
          <w:sz w:val="20"/>
          <w:szCs w:val="20"/>
          <w:color w:val="auto"/>
        </w:rPr>
      </w:pPr>
      <w:r>
        <w:rPr>
          <w:rFonts w:ascii="Arial" w:cs="Arial" w:eastAsia="Arial" w:hAnsi="Arial"/>
          <w:sz w:val="18"/>
          <w:szCs w:val="18"/>
          <w:color w:val="auto"/>
        </w:rPr>
        <w:t>Unless otherwise extended or terminated by the Board, the Company 10b5-1 Plan will be in effect through the earlier of the termination date or such time as the current approved repurchase amount of up to $50 million has been fully utilized, subject to certain conditions.</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For the three months ended March 31, 2019 and 2018, no shares were repurchased under the Company 10b5-1 Plan.</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Debt obligations consisted of the following as of March 31, 2019 and December 31, 2018:</w:t>
      </w: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8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4"/>
          </w:tcPr>
          <w:p>
            <w:pPr>
              <w:jc w:val="right"/>
              <w:ind w:right="855"/>
              <w:spacing w:after="0"/>
              <w:rPr>
                <w:sz w:val="20"/>
                <w:szCs w:val="20"/>
                <w:color w:val="auto"/>
              </w:rPr>
            </w:pPr>
            <w:r>
              <w:rPr>
                <w:rFonts w:ascii="Arial" w:cs="Arial" w:eastAsia="Arial" w:hAnsi="Arial"/>
                <w:sz w:val="14"/>
                <w:szCs w:val="14"/>
                <w:b w:val="1"/>
                <w:bCs w:val="1"/>
                <w:color w:val="auto"/>
              </w:rPr>
              <w:t>March 31, 2019</w:t>
            </w: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6"/>
        </w:trPr>
        <w:tc>
          <w:tcPr>
            <w:tcW w:w="38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320" w:type="dxa"/>
            <w:vAlign w:val="bottom"/>
            <w:gridSpan w:val="2"/>
          </w:tcPr>
          <w:p>
            <w:pPr>
              <w:jc w:val="right"/>
              <w:spacing w:after="0" w:line="147" w:lineRule="exact"/>
              <w:rPr>
                <w:sz w:val="20"/>
                <w:szCs w:val="20"/>
                <w:color w:val="auto"/>
              </w:rPr>
            </w:pPr>
            <w:r>
              <w:rPr>
                <w:rFonts w:ascii="Arial" w:cs="Arial" w:eastAsia="Arial" w:hAnsi="Arial"/>
                <w:sz w:val="14"/>
                <w:szCs w:val="14"/>
                <w:b w:val="1"/>
                <w:bCs w:val="1"/>
                <w:color w:val="auto"/>
                <w:w w:val="93"/>
              </w:rPr>
              <w:t>Aggregate Principal</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jc w:val="right"/>
              <w:ind w:right="197"/>
              <w:spacing w:after="0" w:line="147" w:lineRule="exact"/>
              <w:rPr>
                <w:sz w:val="20"/>
                <w:szCs w:val="20"/>
                <w:color w:val="auto"/>
              </w:rPr>
            </w:pPr>
            <w:r>
              <w:rPr>
                <w:rFonts w:ascii="Arial" w:cs="Arial" w:eastAsia="Arial" w:hAnsi="Arial"/>
                <w:sz w:val="14"/>
                <w:szCs w:val="14"/>
                <w:b w:val="1"/>
                <w:bCs w:val="1"/>
                <w:color w:val="auto"/>
              </w:rPr>
              <w:t>Outstanding</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jc w:val="right"/>
              <w:ind w:right="335"/>
              <w:spacing w:after="0" w:line="147" w:lineRule="exact"/>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ind w:left="140"/>
              <w:spacing w:after="0" w:line="147" w:lineRule="exact"/>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2"/>
                <w:szCs w:val="12"/>
                <w:color w:val="auto"/>
              </w:rPr>
            </w:pPr>
          </w:p>
        </w:tc>
      </w:tr>
      <w:tr>
        <w:trPr>
          <w:trHeight w:val="171"/>
        </w:trPr>
        <w:tc>
          <w:tcPr>
            <w:tcW w:w="4260" w:type="dxa"/>
            <w:vAlign w:val="bottom"/>
            <w:gridSpan w:val="2"/>
          </w:tcPr>
          <w:p>
            <w:pPr>
              <w:spacing w:after="0"/>
              <w:rPr>
                <w:sz w:val="20"/>
                <w:szCs w:val="20"/>
                <w:color w:val="auto"/>
              </w:rPr>
            </w:pPr>
            <w:r>
              <w:rPr>
                <w:rFonts w:ascii="Arial" w:cs="Arial" w:eastAsia="Arial" w:hAnsi="Arial"/>
                <w:sz w:val="14"/>
                <w:szCs w:val="14"/>
                <w:color w:val="auto"/>
              </w:rPr>
              <w:t>($ in millions)</w:t>
            </w:r>
          </w:p>
        </w:tc>
        <w:tc>
          <w:tcPr>
            <w:tcW w:w="132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Amount Committed</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ind w:right="297"/>
              <w:spacing w:after="0"/>
              <w:rPr>
                <w:sz w:val="20"/>
                <w:szCs w:val="20"/>
                <w:color w:val="auto"/>
              </w:rPr>
            </w:pPr>
            <w:r>
              <w:rPr>
                <w:rFonts w:ascii="Arial" w:cs="Arial" w:eastAsia="Arial" w:hAnsi="Arial"/>
                <w:sz w:val="14"/>
                <w:szCs w:val="14"/>
                <w:b w:val="1"/>
                <w:bCs w:val="1"/>
                <w:color w:val="auto"/>
              </w:rPr>
              <w:t>Principal</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right"/>
              <w:ind w:right="195"/>
              <w:spacing w:after="0"/>
              <w:rPr>
                <w:sz w:val="20"/>
                <w:szCs w:val="20"/>
                <w:color w:val="auto"/>
              </w:rPr>
            </w:pPr>
            <w:r>
              <w:rPr>
                <w:rFonts w:ascii="Arial" w:cs="Arial" w:eastAsia="Arial" w:hAnsi="Arial"/>
                <w:sz w:val="14"/>
                <w:szCs w:val="14"/>
                <w:b w:val="1"/>
                <w:bCs w:val="1"/>
                <w:color w:val="auto"/>
              </w:rPr>
              <w:t xml:space="preserve">Available </w:t>
            </w:r>
            <w:r>
              <w:rPr>
                <w:rFonts w:ascii="Arial" w:cs="Arial" w:eastAsia="Arial" w:hAnsi="Arial"/>
                <w:sz w:val="12"/>
                <w:szCs w:val="12"/>
                <w:b w:val="1"/>
                <w:bCs w:val="1"/>
                <w:color w:val="auto"/>
              </w:rPr>
              <w:t>(1)</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ind w:left="160"/>
              <w:spacing w:after="0"/>
              <w:rPr>
                <w:sz w:val="20"/>
                <w:szCs w:val="20"/>
                <w:color w:val="auto"/>
              </w:rPr>
            </w:pPr>
            <w:r>
              <w:rPr>
                <w:rFonts w:ascii="Arial" w:cs="Arial" w:eastAsia="Arial" w:hAnsi="Arial"/>
                <w:sz w:val="14"/>
                <w:szCs w:val="14"/>
                <w:b w:val="1"/>
                <w:bCs w:val="1"/>
                <w:color w:val="auto"/>
              </w:rPr>
              <w:t xml:space="preserve">Value </w:t>
            </w:r>
            <w:r>
              <w:rPr>
                <w:rFonts w:ascii="Arial" w:cs="Arial" w:eastAsia="Arial" w:hAnsi="Arial"/>
                <w:sz w:val="12"/>
                <w:szCs w:val="12"/>
                <w:b w:val="1"/>
                <w:bCs w:val="1"/>
                <w:color w:val="auto"/>
              </w:rPr>
              <w:t>(2)</w:t>
            </w:r>
          </w:p>
        </w:tc>
      </w:tr>
      <w:tr>
        <w:trPr>
          <w:trHeight w:val="223"/>
        </w:trPr>
        <w:tc>
          <w:tcPr>
            <w:tcW w:w="42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Revolving Credit Facility</w:t>
            </w:r>
          </w:p>
        </w:tc>
        <w:tc>
          <w:tcPr>
            <w:tcW w:w="420" w:type="dxa"/>
            <w:vAlign w:val="bottom"/>
            <w:tcBorders>
              <w:top w:val="single" w:sz="8" w:color="auto"/>
            </w:tcBorders>
            <w:shd w:val="clear" w:color="auto" w:fill="CFF0FC"/>
          </w:tcPr>
          <w:p>
            <w:pPr>
              <w:jc w:val="right"/>
              <w:ind w:right="26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1,170.0</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306.0</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864.0</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294.5</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380" w:type="dxa"/>
            <w:vAlign w:val="bottom"/>
          </w:tcPr>
          <w:p>
            <w:pPr>
              <w:spacing w:after="0"/>
              <w:rPr>
                <w:sz w:val="20"/>
                <w:szCs w:val="20"/>
                <w:color w:val="auto"/>
              </w:rPr>
            </w:pPr>
            <w:r>
              <w:rPr>
                <w:rFonts w:ascii="Arial" w:cs="Arial" w:eastAsia="Arial" w:hAnsi="Arial"/>
                <w:sz w:val="18"/>
                <w:szCs w:val="18"/>
                <w:color w:val="auto"/>
                <w:w w:val="89"/>
              </w:rPr>
              <w:t>2019</w:t>
            </w:r>
          </w:p>
        </w:tc>
        <w:tc>
          <w:tcPr>
            <w:tcW w:w="3880" w:type="dxa"/>
            <w:vAlign w:val="bottom"/>
          </w:tcPr>
          <w:p>
            <w:pPr>
              <w:ind w:left="20"/>
              <w:spacing w:after="0"/>
              <w:rPr>
                <w:sz w:val="20"/>
                <w:szCs w:val="20"/>
                <w:color w:val="auto"/>
              </w:rPr>
            </w:pPr>
            <w:r>
              <w:rPr>
                <w:rFonts w:ascii="Arial" w:cs="Arial" w:eastAsia="Arial" w:hAnsi="Arial"/>
                <w:sz w:val="18"/>
                <w:szCs w:val="18"/>
                <w:color w:val="auto"/>
              </w:rPr>
              <w:t>Convertible Notes</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115.0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115.0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114.0</w:t>
            </w:r>
          </w:p>
        </w:tc>
        <w:tc>
          <w:tcPr>
            <w:tcW w:w="120" w:type="dxa"/>
            <w:vAlign w:val="bottom"/>
          </w:tcPr>
          <w:p>
            <w:pPr>
              <w:spacing w:after="0"/>
              <w:rPr>
                <w:sz w:val="19"/>
                <w:szCs w:val="19"/>
                <w:color w:val="auto"/>
              </w:rPr>
            </w:pPr>
          </w:p>
        </w:tc>
      </w:tr>
      <w:tr>
        <w:trPr>
          <w:trHeight w:val="230"/>
        </w:trPr>
        <w:tc>
          <w:tcPr>
            <w:tcW w:w="380" w:type="dxa"/>
            <w:vAlign w:val="bottom"/>
            <w:shd w:val="clear" w:color="auto" w:fill="CFF0FC"/>
          </w:tcPr>
          <w:p>
            <w:pPr>
              <w:spacing w:after="0"/>
              <w:rPr>
                <w:sz w:val="20"/>
                <w:szCs w:val="20"/>
                <w:color w:val="auto"/>
              </w:rPr>
            </w:pPr>
            <w:r>
              <w:rPr>
                <w:rFonts w:ascii="Arial" w:cs="Arial" w:eastAsia="Arial" w:hAnsi="Arial"/>
                <w:sz w:val="18"/>
                <w:szCs w:val="18"/>
                <w:color w:val="auto"/>
                <w:w w:val="89"/>
              </w:rPr>
              <w:t>2022</w:t>
            </w:r>
          </w:p>
        </w:tc>
        <w:tc>
          <w:tcPr>
            <w:tcW w:w="3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Convertible Notes</w:t>
            </w:r>
          </w:p>
        </w:tc>
        <w:tc>
          <w:tcPr>
            <w:tcW w:w="4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172.5</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172.5</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168.5</w:t>
            </w:r>
          </w:p>
        </w:tc>
        <w:tc>
          <w:tcPr>
            <w:tcW w:w="120" w:type="dxa"/>
            <w:vAlign w:val="bottom"/>
            <w:shd w:val="clear" w:color="auto" w:fill="CFF0FC"/>
          </w:tcPr>
          <w:p>
            <w:pPr>
              <w:spacing w:after="0"/>
              <w:rPr>
                <w:sz w:val="19"/>
                <w:szCs w:val="19"/>
                <w:color w:val="auto"/>
              </w:rPr>
            </w:pPr>
          </w:p>
        </w:tc>
      </w:tr>
      <w:tr>
        <w:trPr>
          <w:trHeight w:val="230"/>
        </w:trPr>
        <w:tc>
          <w:tcPr>
            <w:tcW w:w="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w w:val="89"/>
              </w:rPr>
              <w:t>2023</w:t>
            </w:r>
          </w:p>
        </w:tc>
        <w:tc>
          <w:tcPr>
            <w:tcW w:w="388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Notes</w:t>
            </w: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w:t>
            </w:r>
          </w:p>
        </w:tc>
        <w:tc>
          <w:tcPr>
            <w:tcW w:w="2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147.5</w:t>
            </w:r>
          </w:p>
        </w:tc>
        <w:tc>
          <w:tcPr>
            <w:tcW w:w="120" w:type="dxa"/>
            <w:vAlign w:val="bottom"/>
            <w:tcBorders>
              <w:bottom w:val="single" w:sz="8" w:color="CFF0FC"/>
            </w:tcBorders>
          </w:tcPr>
          <w:p>
            <w:pPr>
              <w:spacing w:after="0"/>
              <w:rPr>
                <w:sz w:val="19"/>
                <w:szCs w:val="19"/>
                <w:color w:val="auto"/>
              </w:rPr>
            </w:pPr>
          </w:p>
        </w:tc>
      </w:tr>
      <w:tr>
        <w:trPr>
          <w:trHeight w:val="223"/>
        </w:trPr>
        <w:tc>
          <w:tcPr>
            <w:tcW w:w="4260" w:type="dxa"/>
            <w:vAlign w:val="bottom"/>
            <w:tcBorders>
              <w:bottom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b w:val="1"/>
                <w:bCs w:val="1"/>
                <w:color w:val="auto"/>
              </w:rPr>
              <w:t>Total Debt</w:t>
            </w:r>
          </w:p>
        </w:tc>
        <w:tc>
          <w:tcPr>
            <w:tcW w:w="420" w:type="dxa"/>
            <w:vAlign w:val="bottom"/>
            <w:tcBorders>
              <w:bottom w:val="single" w:sz="8" w:color="auto"/>
            </w:tcBorders>
            <w:shd w:val="clear" w:color="auto" w:fill="CFF0FC"/>
          </w:tcPr>
          <w:p>
            <w:pPr>
              <w:jc w:val="right"/>
              <w:ind w:right="26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1,607.5</w:t>
            </w:r>
          </w:p>
        </w:tc>
        <w:tc>
          <w:tcPr>
            <w:tcW w:w="2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743.5</w:t>
            </w:r>
          </w:p>
        </w:tc>
        <w:tc>
          <w:tcPr>
            <w:tcW w:w="2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864.0</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724.5</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38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hanging="512"/>
        <w:spacing w:after="0"/>
        <w:tabs>
          <w:tab w:leader="none" w:pos="5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amount available reflects any limitations related to the respective debt facilities’ borrowing bases.</w:t>
      </w:r>
    </w:p>
    <w:p>
      <w:pPr>
        <w:spacing w:after="0" w:line="23" w:lineRule="exact"/>
        <w:rPr>
          <w:rFonts w:ascii="Arial" w:cs="Arial" w:eastAsia="Arial" w:hAnsi="Arial"/>
          <w:sz w:val="18"/>
          <w:szCs w:val="18"/>
          <w:color w:val="auto"/>
        </w:rPr>
      </w:pPr>
    </w:p>
    <w:p>
      <w:pPr>
        <w:ind w:left="520" w:right="360" w:hanging="512"/>
        <w:spacing w:after="0" w:line="261" w:lineRule="auto"/>
        <w:tabs>
          <w:tab w:leader="none" w:pos="5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carrying values of the Revolving Credit Facility, Convertible Notes, and 2023 Notes are presented net of deferred financing costs and original issue discounts of $11.5 million, $5.0 million and $2.5 million, respectively.</w:t>
      </w:r>
    </w:p>
    <w:p>
      <w:pPr>
        <w:spacing w:after="0" w:line="189"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8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4"/>
          </w:tcPr>
          <w:p>
            <w:pPr>
              <w:jc w:val="right"/>
              <w:ind w:right="755"/>
              <w:spacing w:after="0"/>
              <w:rPr>
                <w:sz w:val="20"/>
                <w:szCs w:val="20"/>
                <w:color w:val="auto"/>
              </w:rPr>
            </w:pPr>
            <w:r>
              <w:rPr>
                <w:rFonts w:ascii="Arial" w:cs="Arial" w:eastAsia="Arial" w:hAnsi="Arial"/>
                <w:sz w:val="14"/>
                <w:szCs w:val="14"/>
                <w:b w:val="1"/>
                <w:bCs w:val="1"/>
                <w:color w:val="auto"/>
              </w:rPr>
              <w:t>December 31, 2018</w:t>
            </w: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6"/>
        </w:trPr>
        <w:tc>
          <w:tcPr>
            <w:tcW w:w="38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320" w:type="dxa"/>
            <w:vAlign w:val="bottom"/>
            <w:gridSpan w:val="2"/>
          </w:tcPr>
          <w:p>
            <w:pPr>
              <w:jc w:val="right"/>
              <w:spacing w:after="0" w:line="147" w:lineRule="exact"/>
              <w:rPr>
                <w:sz w:val="20"/>
                <w:szCs w:val="20"/>
                <w:color w:val="auto"/>
              </w:rPr>
            </w:pPr>
            <w:r>
              <w:rPr>
                <w:rFonts w:ascii="Arial" w:cs="Arial" w:eastAsia="Arial" w:hAnsi="Arial"/>
                <w:sz w:val="14"/>
                <w:szCs w:val="14"/>
                <w:b w:val="1"/>
                <w:bCs w:val="1"/>
                <w:color w:val="auto"/>
                <w:w w:val="93"/>
              </w:rPr>
              <w:t>Aggregate Principal</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jc w:val="right"/>
              <w:ind w:right="197"/>
              <w:spacing w:after="0" w:line="147" w:lineRule="exact"/>
              <w:rPr>
                <w:sz w:val="20"/>
                <w:szCs w:val="20"/>
                <w:color w:val="auto"/>
              </w:rPr>
            </w:pPr>
            <w:r>
              <w:rPr>
                <w:rFonts w:ascii="Arial" w:cs="Arial" w:eastAsia="Arial" w:hAnsi="Arial"/>
                <w:sz w:val="14"/>
                <w:szCs w:val="14"/>
                <w:b w:val="1"/>
                <w:bCs w:val="1"/>
                <w:color w:val="auto"/>
              </w:rPr>
              <w:t>Outstanding</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jc w:val="right"/>
              <w:ind w:right="335"/>
              <w:spacing w:after="0" w:line="147" w:lineRule="exact"/>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ind w:left="140"/>
              <w:spacing w:after="0" w:line="147" w:lineRule="exact"/>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2"/>
                <w:szCs w:val="12"/>
                <w:color w:val="auto"/>
              </w:rPr>
            </w:pPr>
          </w:p>
        </w:tc>
      </w:tr>
      <w:tr>
        <w:trPr>
          <w:trHeight w:val="171"/>
        </w:trPr>
        <w:tc>
          <w:tcPr>
            <w:tcW w:w="4260" w:type="dxa"/>
            <w:vAlign w:val="bottom"/>
            <w:gridSpan w:val="2"/>
          </w:tcPr>
          <w:p>
            <w:pPr>
              <w:spacing w:after="0"/>
              <w:rPr>
                <w:sz w:val="20"/>
                <w:szCs w:val="20"/>
                <w:color w:val="auto"/>
              </w:rPr>
            </w:pPr>
            <w:r>
              <w:rPr>
                <w:rFonts w:ascii="Arial" w:cs="Arial" w:eastAsia="Arial" w:hAnsi="Arial"/>
                <w:sz w:val="14"/>
                <w:szCs w:val="14"/>
                <w:color w:val="auto"/>
              </w:rPr>
              <w:t>($ in millions)</w:t>
            </w:r>
          </w:p>
        </w:tc>
        <w:tc>
          <w:tcPr>
            <w:tcW w:w="132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Amount Committed</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ind w:right="297"/>
              <w:spacing w:after="0"/>
              <w:rPr>
                <w:sz w:val="20"/>
                <w:szCs w:val="20"/>
                <w:color w:val="auto"/>
              </w:rPr>
            </w:pPr>
            <w:r>
              <w:rPr>
                <w:rFonts w:ascii="Arial" w:cs="Arial" w:eastAsia="Arial" w:hAnsi="Arial"/>
                <w:sz w:val="14"/>
                <w:szCs w:val="14"/>
                <w:b w:val="1"/>
                <w:bCs w:val="1"/>
                <w:color w:val="auto"/>
              </w:rPr>
              <w:t>Principal</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right"/>
              <w:ind w:right="195"/>
              <w:spacing w:after="0"/>
              <w:rPr>
                <w:sz w:val="20"/>
                <w:szCs w:val="20"/>
                <w:color w:val="auto"/>
              </w:rPr>
            </w:pPr>
            <w:r>
              <w:rPr>
                <w:rFonts w:ascii="Arial" w:cs="Arial" w:eastAsia="Arial" w:hAnsi="Arial"/>
                <w:sz w:val="14"/>
                <w:szCs w:val="14"/>
                <w:b w:val="1"/>
                <w:bCs w:val="1"/>
                <w:color w:val="auto"/>
              </w:rPr>
              <w:t xml:space="preserve">Available </w:t>
            </w:r>
            <w:r>
              <w:rPr>
                <w:rFonts w:ascii="Arial" w:cs="Arial" w:eastAsia="Arial" w:hAnsi="Arial"/>
                <w:sz w:val="12"/>
                <w:szCs w:val="12"/>
                <w:b w:val="1"/>
                <w:bCs w:val="1"/>
                <w:color w:val="auto"/>
              </w:rPr>
              <w:t>(1)</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ind w:left="160"/>
              <w:spacing w:after="0"/>
              <w:rPr>
                <w:sz w:val="20"/>
                <w:szCs w:val="20"/>
                <w:color w:val="auto"/>
              </w:rPr>
            </w:pPr>
            <w:r>
              <w:rPr>
                <w:rFonts w:ascii="Arial" w:cs="Arial" w:eastAsia="Arial" w:hAnsi="Arial"/>
                <w:sz w:val="14"/>
                <w:szCs w:val="14"/>
                <w:b w:val="1"/>
                <w:bCs w:val="1"/>
                <w:color w:val="auto"/>
              </w:rPr>
              <w:t xml:space="preserve">Value </w:t>
            </w:r>
            <w:r>
              <w:rPr>
                <w:rFonts w:ascii="Arial" w:cs="Arial" w:eastAsia="Arial" w:hAnsi="Arial"/>
                <w:sz w:val="12"/>
                <w:szCs w:val="12"/>
                <w:b w:val="1"/>
                <w:bCs w:val="1"/>
                <w:color w:val="auto"/>
              </w:rPr>
              <w:t>(2)</w:t>
            </w:r>
          </w:p>
        </w:tc>
      </w:tr>
      <w:tr>
        <w:trPr>
          <w:trHeight w:val="223"/>
        </w:trPr>
        <w:tc>
          <w:tcPr>
            <w:tcW w:w="42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Revolving Credit Facility</w:t>
            </w:r>
          </w:p>
        </w:tc>
        <w:tc>
          <w:tcPr>
            <w:tcW w:w="420" w:type="dxa"/>
            <w:vAlign w:val="bottom"/>
            <w:tcBorders>
              <w:top w:val="single" w:sz="8" w:color="auto"/>
            </w:tcBorders>
            <w:shd w:val="clear" w:color="auto" w:fill="CFF0FC"/>
          </w:tcPr>
          <w:p>
            <w:pPr>
              <w:jc w:val="right"/>
              <w:ind w:right="26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940.0</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187.5</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752.5</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178.8</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380" w:type="dxa"/>
            <w:vAlign w:val="bottom"/>
          </w:tcPr>
          <w:p>
            <w:pPr>
              <w:spacing w:after="0"/>
              <w:rPr>
                <w:sz w:val="20"/>
                <w:szCs w:val="20"/>
                <w:color w:val="auto"/>
              </w:rPr>
            </w:pPr>
            <w:r>
              <w:rPr>
                <w:rFonts w:ascii="Arial" w:cs="Arial" w:eastAsia="Arial" w:hAnsi="Arial"/>
                <w:sz w:val="18"/>
                <w:szCs w:val="18"/>
                <w:color w:val="auto"/>
                <w:w w:val="89"/>
              </w:rPr>
              <w:t>2019</w:t>
            </w:r>
          </w:p>
        </w:tc>
        <w:tc>
          <w:tcPr>
            <w:tcW w:w="3880" w:type="dxa"/>
            <w:vAlign w:val="bottom"/>
          </w:tcPr>
          <w:p>
            <w:pPr>
              <w:ind w:left="20"/>
              <w:spacing w:after="0"/>
              <w:rPr>
                <w:sz w:val="20"/>
                <w:szCs w:val="20"/>
                <w:color w:val="auto"/>
              </w:rPr>
            </w:pPr>
            <w:r>
              <w:rPr>
                <w:rFonts w:ascii="Arial" w:cs="Arial" w:eastAsia="Arial" w:hAnsi="Arial"/>
                <w:sz w:val="18"/>
                <w:szCs w:val="18"/>
                <w:color w:val="auto"/>
              </w:rPr>
              <w:t>Convertible Notes</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115.0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115.0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113.6</w:t>
            </w:r>
          </w:p>
        </w:tc>
        <w:tc>
          <w:tcPr>
            <w:tcW w:w="120" w:type="dxa"/>
            <w:vAlign w:val="bottom"/>
          </w:tcPr>
          <w:p>
            <w:pPr>
              <w:spacing w:after="0"/>
              <w:rPr>
                <w:sz w:val="19"/>
                <w:szCs w:val="19"/>
                <w:color w:val="auto"/>
              </w:rPr>
            </w:pPr>
          </w:p>
        </w:tc>
      </w:tr>
      <w:tr>
        <w:trPr>
          <w:trHeight w:val="230"/>
        </w:trPr>
        <w:tc>
          <w:tcPr>
            <w:tcW w:w="380" w:type="dxa"/>
            <w:vAlign w:val="bottom"/>
            <w:shd w:val="clear" w:color="auto" w:fill="CFF0FC"/>
          </w:tcPr>
          <w:p>
            <w:pPr>
              <w:spacing w:after="0"/>
              <w:rPr>
                <w:sz w:val="20"/>
                <w:szCs w:val="20"/>
                <w:color w:val="auto"/>
              </w:rPr>
            </w:pPr>
            <w:r>
              <w:rPr>
                <w:rFonts w:ascii="Arial" w:cs="Arial" w:eastAsia="Arial" w:hAnsi="Arial"/>
                <w:sz w:val="18"/>
                <w:szCs w:val="18"/>
                <w:color w:val="auto"/>
                <w:w w:val="89"/>
              </w:rPr>
              <w:t>2022</w:t>
            </w:r>
          </w:p>
        </w:tc>
        <w:tc>
          <w:tcPr>
            <w:tcW w:w="3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Convertible Notes</w:t>
            </w:r>
          </w:p>
        </w:tc>
        <w:tc>
          <w:tcPr>
            <w:tcW w:w="4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172.5</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172.5</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168.3</w:t>
            </w:r>
          </w:p>
        </w:tc>
        <w:tc>
          <w:tcPr>
            <w:tcW w:w="120" w:type="dxa"/>
            <w:vAlign w:val="bottom"/>
            <w:shd w:val="clear" w:color="auto" w:fill="CFF0FC"/>
          </w:tcPr>
          <w:p>
            <w:pPr>
              <w:spacing w:after="0"/>
              <w:rPr>
                <w:sz w:val="19"/>
                <w:szCs w:val="19"/>
                <w:color w:val="auto"/>
              </w:rPr>
            </w:pPr>
          </w:p>
        </w:tc>
      </w:tr>
      <w:tr>
        <w:trPr>
          <w:trHeight w:val="230"/>
        </w:trPr>
        <w:tc>
          <w:tcPr>
            <w:tcW w:w="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w w:val="89"/>
              </w:rPr>
              <w:t>2023</w:t>
            </w:r>
          </w:p>
        </w:tc>
        <w:tc>
          <w:tcPr>
            <w:tcW w:w="388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Notes</w:t>
            </w: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w:t>
            </w:r>
          </w:p>
        </w:tc>
        <w:tc>
          <w:tcPr>
            <w:tcW w:w="2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147.3</w:t>
            </w:r>
          </w:p>
        </w:tc>
        <w:tc>
          <w:tcPr>
            <w:tcW w:w="120" w:type="dxa"/>
            <w:vAlign w:val="bottom"/>
            <w:tcBorders>
              <w:bottom w:val="single" w:sz="8" w:color="CFF0FC"/>
            </w:tcBorders>
          </w:tcPr>
          <w:p>
            <w:pPr>
              <w:spacing w:after="0"/>
              <w:rPr>
                <w:sz w:val="19"/>
                <w:szCs w:val="19"/>
                <w:color w:val="auto"/>
              </w:rPr>
            </w:pPr>
          </w:p>
        </w:tc>
      </w:tr>
      <w:tr>
        <w:trPr>
          <w:trHeight w:val="223"/>
        </w:trPr>
        <w:tc>
          <w:tcPr>
            <w:tcW w:w="4260" w:type="dxa"/>
            <w:vAlign w:val="bottom"/>
            <w:tcBorders>
              <w:bottom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b w:val="1"/>
                <w:bCs w:val="1"/>
                <w:color w:val="auto"/>
              </w:rPr>
              <w:t>Total Debt</w:t>
            </w:r>
          </w:p>
        </w:tc>
        <w:tc>
          <w:tcPr>
            <w:tcW w:w="420" w:type="dxa"/>
            <w:vAlign w:val="bottom"/>
            <w:tcBorders>
              <w:bottom w:val="single" w:sz="8" w:color="auto"/>
            </w:tcBorders>
            <w:shd w:val="clear" w:color="auto" w:fill="CFF0FC"/>
          </w:tcPr>
          <w:p>
            <w:pPr>
              <w:jc w:val="right"/>
              <w:ind w:right="26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1,377.5</w:t>
            </w:r>
          </w:p>
        </w:tc>
        <w:tc>
          <w:tcPr>
            <w:tcW w:w="2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625.0</w:t>
            </w:r>
          </w:p>
        </w:tc>
        <w:tc>
          <w:tcPr>
            <w:tcW w:w="2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752.5</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608.0</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38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hanging="512"/>
        <w:spacing w:after="0"/>
        <w:tabs>
          <w:tab w:leader="none" w:pos="5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amount available reflects any limitations related to the respective debt facilities’ borrowing bases.</w:t>
      </w:r>
    </w:p>
    <w:p>
      <w:pPr>
        <w:spacing w:after="0" w:line="23" w:lineRule="exact"/>
        <w:rPr>
          <w:rFonts w:ascii="Arial" w:cs="Arial" w:eastAsia="Arial" w:hAnsi="Arial"/>
          <w:sz w:val="18"/>
          <w:szCs w:val="18"/>
          <w:color w:val="auto"/>
        </w:rPr>
      </w:pPr>
    </w:p>
    <w:p>
      <w:pPr>
        <w:ind w:left="520" w:right="360" w:hanging="512"/>
        <w:spacing w:after="0" w:line="261" w:lineRule="auto"/>
        <w:tabs>
          <w:tab w:leader="none" w:pos="5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carrying values of the Revolving Credit Facility, Convertible Notes, and 2023 Notes are presented net of deferred financing costs and original issue discounts of $8.7 million, $5.6 million and $2.7 million, respectively.</w:t>
      </w:r>
    </w:p>
    <w:p>
      <w:pPr>
        <w:spacing w:after="0" w:line="184" w:lineRule="exact"/>
        <w:rPr>
          <w:sz w:val="20"/>
          <w:szCs w:val="20"/>
          <w:color w:val="auto"/>
        </w:rPr>
      </w:pPr>
    </w:p>
    <w:p>
      <w:pPr>
        <w:ind w:right="40" w:firstLine="259"/>
        <w:spacing w:after="0" w:line="277" w:lineRule="auto"/>
        <w:rPr>
          <w:sz w:val="20"/>
          <w:szCs w:val="20"/>
          <w:color w:val="auto"/>
        </w:rPr>
      </w:pPr>
      <w:r>
        <w:rPr>
          <w:rFonts w:ascii="Arial" w:cs="Arial" w:eastAsia="Arial" w:hAnsi="Arial"/>
          <w:sz w:val="18"/>
          <w:szCs w:val="18"/>
          <w:color w:val="auto"/>
        </w:rPr>
        <w:t>As of March 31, 2019 and December 31, 2018, we were in compliance with the terms of our debt arrangements. We intend to continue to utilize our credit facilities to fund investments and for other general corporate purposes.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w:t>
      </w:r>
    </w:p>
    <w:p>
      <w:pPr>
        <w:spacing w:after="0" w:line="117" w:lineRule="exact"/>
        <w:rPr>
          <w:sz w:val="20"/>
          <w:szCs w:val="20"/>
          <w:color w:val="auto"/>
        </w:rPr>
      </w:pPr>
    </w:p>
    <w:p>
      <w:pPr>
        <w:ind w:right="340" w:firstLine="259"/>
        <w:spacing w:after="0" w:line="277" w:lineRule="auto"/>
        <w:rPr>
          <w:sz w:val="20"/>
          <w:szCs w:val="20"/>
          <w:color w:val="auto"/>
        </w:rPr>
      </w:pPr>
      <w:r>
        <w:rPr>
          <w:rFonts w:ascii="Arial" w:cs="Arial" w:eastAsia="Arial" w:hAnsi="Arial"/>
          <w:sz w:val="18"/>
          <w:szCs w:val="18"/>
          <w:color w:val="auto"/>
        </w:rPr>
        <w:t>On August 23, 2012, we entered into a senior secured revolving credit agreement with SunTrust Bank, as administrative agent, and J.P. Morgan Chase Bank, N.A., as syndication agent, and certain other lenders (as amended and restated, the “Revolving Credit Facility”).</w:t>
      </w:r>
    </w:p>
    <w:p>
      <w:pPr>
        <w:spacing w:after="0" w:line="170" w:lineRule="exact"/>
        <w:rPr>
          <w:sz w:val="20"/>
          <w:szCs w:val="20"/>
          <w:color w:val="auto"/>
        </w:rPr>
      </w:pPr>
    </w:p>
    <w:p>
      <w:pPr>
        <w:ind w:right="80" w:firstLine="259"/>
        <w:spacing w:after="0" w:line="277" w:lineRule="auto"/>
        <w:rPr>
          <w:sz w:val="20"/>
          <w:szCs w:val="20"/>
          <w:color w:val="auto"/>
        </w:rPr>
      </w:pPr>
      <w:r>
        <w:rPr>
          <w:rFonts w:ascii="Arial" w:cs="Arial" w:eastAsia="Arial" w:hAnsi="Arial"/>
          <w:sz w:val="18"/>
          <w:szCs w:val="18"/>
          <w:color w:val="auto"/>
        </w:rPr>
        <w:t>As of March 31, 2019, aggregate commitments under the facility were $1,170 million. The facility includes an uncommitted accordion feature that allows us, under certain circumstances, to increase the size of the facility to up to $1.50 billion.</w:t>
      </w:r>
    </w:p>
    <w:p>
      <w:pPr>
        <w:spacing w:after="0" w:line="170" w:lineRule="exact"/>
        <w:rPr>
          <w:sz w:val="20"/>
          <w:szCs w:val="20"/>
          <w:color w:val="auto"/>
        </w:rPr>
      </w:pPr>
    </w:p>
    <w:p>
      <w:pPr>
        <w:ind w:right="400" w:firstLine="259"/>
        <w:spacing w:after="0" w:line="277" w:lineRule="auto"/>
        <w:rPr>
          <w:sz w:val="20"/>
          <w:szCs w:val="20"/>
          <w:color w:val="auto"/>
        </w:rPr>
      </w:pPr>
      <w:r>
        <w:rPr>
          <w:rFonts w:ascii="Arial" w:cs="Arial" w:eastAsia="Arial" w:hAnsi="Arial"/>
          <w:sz w:val="18"/>
          <w:szCs w:val="18"/>
          <w:color w:val="auto"/>
        </w:rPr>
        <w:t>The revolving period, during which period we, subject to certain conditions, may make borrowings under the facility, ends February 14, 2023 and the stated maturity date is February 14, 2024.</w:t>
      </w:r>
    </w:p>
    <w:p>
      <w:pPr>
        <w:spacing w:after="0" w:line="170" w:lineRule="exact"/>
        <w:rPr>
          <w:sz w:val="20"/>
          <w:szCs w:val="20"/>
          <w:color w:val="auto"/>
        </w:rPr>
      </w:pPr>
    </w:p>
    <w:p>
      <w:pPr>
        <w:ind w:firstLine="259"/>
        <w:spacing w:after="0" w:line="264" w:lineRule="auto"/>
        <w:rPr>
          <w:sz w:val="20"/>
          <w:szCs w:val="20"/>
          <w:color w:val="auto"/>
        </w:rPr>
      </w:pPr>
      <w:r>
        <w:rPr>
          <w:rFonts w:ascii="Arial" w:cs="Arial" w:eastAsia="Arial" w:hAnsi="Arial"/>
          <w:sz w:val="18"/>
          <w:szCs w:val="18"/>
          <w:color w:val="auto"/>
        </w:rPr>
        <w:t>We may borrow amounts in U.S. dollars or certain other permitted currencies. As of March 31, 2019, we had outstanding debt denominated in Australian Dollars (AUD) of 47.1 million and Canadian Dollars (CAD) of 64.5 million on our Revolving Credit Facility, included in the Outstanding Principal amount in the table above.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9" w:name="page60"/>
    <w:bookmarkEnd w:id="59"/>
    <w:p>
      <w:pPr>
        <w:jc w:val="both"/>
        <w:ind w:right="460" w:firstLine="259"/>
        <w:spacing w:after="0" w:line="264" w:lineRule="auto"/>
        <w:rPr>
          <w:sz w:val="20"/>
          <w:szCs w:val="20"/>
          <w:color w:val="auto"/>
        </w:rPr>
      </w:pPr>
      <w:r>
        <w:rPr>
          <w:rFonts w:ascii="Arial" w:cs="Arial" w:eastAsia="Arial" w:hAnsi="Arial"/>
          <w:sz w:val="18"/>
          <w:szCs w:val="18"/>
          <w:color w:val="auto"/>
        </w:rPr>
        <w:t>The Revolving Credit Facility also provides for the issuance of letters of credit up to an aggregate amount of $75 million. As of March 31, 2019 and December 31, 2018, we had no outstanding letters of credit issued through the Revolving Credit Facility. The amount available for borrowing under the Revolving Credit Facility is reduced by any letters of credit issued through the Revolving Credit Facility.</w:t>
      </w:r>
    </w:p>
    <w:p>
      <w:pPr>
        <w:spacing w:after="0" w:line="181" w:lineRule="exact"/>
        <w:rPr>
          <w:sz w:val="20"/>
          <w:szCs w:val="20"/>
          <w:color w:val="auto"/>
        </w:rPr>
      </w:pPr>
    </w:p>
    <w:p>
      <w:pPr>
        <w:ind w:firstLine="259"/>
        <w:spacing w:after="0" w:line="255" w:lineRule="auto"/>
        <w:rPr>
          <w:sz w:val="20"/>
          <w:szCs w:val="20"/>
          <w:color w:val="auto"/>
        </w:rPr>
      </w:pPr>
      <w:r>
        <w:rPr>
          <w:rFonts w:ascii="Arial" w:cs="Arial" w:eastAsia="Arial" w:hAnsi="Arial"/>
          <w:sz w:val="18"/>
          <w:szCs w:val="18"/>
          <w:color w:val="auto"/>
        </w:rPr>
        <w:t>Amounts drawn under the Revolving Credit Facility, including amounts drawn in respect of letters of credit, bear interest at either LIBOR plus a margin of either 1.75% or 1.875%, or the base rate plus a margin of either 0.75% or 0.875%, in each case, based on the total amount of the borrowing base relative to the sum of the total commitments (or, if greater, the total exposure) under the Revolving Credit Facility plus certain other designated secured debt. We may elect either the LIBOR or base rate at the time of drawdown, and loans may be converted from one rate to another at any time, subject to certain conditions. We also pay a fee of 0.375% on undrawn amounts and, in respect of each undrawn letter of credit, a fee and interest rate equal to the then applicable margin while the letter of credit is outstanding.</w:t>
      </w:r>
    </w:p>
    <w:p>
      <w:pPr>
        <w:spacing w:after="0" w:line="193" w:lineRule="exact"/>
        <w:rPr>
          <w:sz w:val="20"/>
          <w:szCs w:val="20"/>
          <w:color w:val="auto"/>
        </w:rPr>
      </w:pPr>
    </w:p>
    <w:p>
      <w:pPr>
        <w:ind w:right="200" w:firstLine="259"/>
        <w:spacing w:after="0" w:line="312" w:lineRule="auto"/>
        <w:rPr>
          <w:sz w:val="20"/>
          <w:szCs w:val="20"/>
          <w:color w:val="auto"/>
        </w:rPr>
      </w:pPr>
      <w:r>
        <w:rPr>
          <w:rFonts w:ascii="Arial" w:cs="Arial" w:eastAsia="Arial" w:hAnsi="Arial"/>
          <w:sz w:val="16"/>
          <w:szCs w:val="16"/>
          <w:color w:val="auto"/>
        </w:rPr>
        <w:t>The Revolving Credit Facility is guaranteed by TPG SL SPV, LLC, TC Lending, LLC and TSL MR, LLC and may be guaranteed by certain domestic subsidiaries in the future. The Revolving Credit Facility is secured by a perfected first-priority security interest in substantially all the portfolio investments held by us and each guarantor. Proceeds from borrowings may be used for general corporate purposes, including the funding of portfolio investments.</w:t>
      </w:r>
    </w:p>
    <w:p>
      <w:pPr>
        <w:spacing w:after="0" w:line="147" w:lineRule="exact"/>
        <w:rPr>
          <w:sz w:val="20"/>
          <w:szCs w:val="20"/>
          <w:color w:val="auto"/>
        </w:rPr>
      </w:pPr>
    </w:p>
    <w:p>
      <w:pPr>
        <w:ind w:right="320" w:firstLine="259"/>
        <w:spacing w:after="0" w:line="277" w:lineRule="auto"/>
        <w:rPr>
          <w:sz w:val="20"/>
          <w:szCs w:val="20"/>
          <w:color w:val="auto"/>
        </w:rPr>
      </w:pPr>
      <w:r>
        <w:rPr>
          <w:rFonts w:ascii="Arial" w:cs="Arial" w:eastAsia="Arial" w:hAnsi="Arial"/>
          <w:sz w:val="18"/>
          <w:szCs w:val="18"/>
          <w:color w:val="auto"/>
        </w:rPr>
        <w:t>The Revolving Credit Facility includes customary events of default, as well as customary covenants, including restrictions on certain distributions and financial covenants. The financial covenants require:</w:t>
      </w:r>
    </w:p>
    <w:p>
      <w:pPr>
        <w:spacing w:after="0" w:line="62" w:lineRule="exact"/>
        <w:rPr>
          <w:sz w:val="20"/>
          <w:szCs w:val="20"/>
          <w:color w:val="auto"/>
        </w:rPr>
      </w:pPr>
    </w:p>
    <w:p>
      <w:pPr>
        <w:ind w:left="520" w:hanging="255"/>
        <w:spacing w:after="0"/>
        <w:tabs>
          <w:tab w:leader="none" w:pos="5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 asset coverage ratio of no less than 1.5 to 1 on the last day of any fiscal quarter;</w:t>
      </w:r>
    </w:p>
    <w:p>
      <w:pPr>
        <w:spacing w:after="0" w:line="117" w:lineRule="exact"/>
        <w:rPr>
          <w:rFonts w:ascii="Arial" w:cs="Arial" w:eastAsia="Arial" w:hAnsi="Arial"/>
          <w:sz w:val="18"/>
          <w:szCs w:val="18"/>
          <w:color w:val="auto"/>
        </w:rPr>
      </w:pPr>
    </w:p>
    <w:p>
      <w:pPr>
        <w:ind w:left="520" w:right="360" w:hanging="255"/>
        <w:spacing w:after="0" w:line="375" w:lineRule="auto"/>
        <w:tabs>
          <w:tab w:leader="none" w:pos="520" w:val="left"/>
        </w:tabs>
        <w:numPr>
          <w:ilvl w:val="0"/>
          <w:numId w:val="43"/>
        </w:numPr>
        <w:rPr>
          <w:rFonts w:ascii="Arial" w:cs="Arial" w:eastAsia="Arial" w:hAnsi="Arial"/>
          <w:sz w:val="15"/>
          <w:szCs w:val="15"/>
          <w:color w:val="auto"/>
        </w:rPr>
      </w:pPr>
      <w:r>
        <w:rPr>
          <w:rFonts w:ascii="Arial" w:cs="Arial" w:eastAsia="Arial" w:hAnsi="Arial"/>
          <w:sz w:val="15"/>
          <w:szCs w:val="15"/>
          <w:color w:val="auto"/>
        </w:rPr>
        <w:t>a liquidity test under which we must not maintain cash and liquid investments of less than 10% of the covered debt amount for more than 30 consecutive business days under circumstances where our adjusted covered debt balance is greater than 90% of our adjusted borrowing base under the facility;</w:t>
      </w:r>
    </w:p>
    <w:p>
      <w:pPr>
        <w:spacing w:after="0" w:line="1" w:lineRule="exact"/>
        <w:rPr>
          <w:rFonts w:ascii="Arial" w:cs="Arial" w:eastAsia="Arial" w:hAnsi="Arial"/>
          <w:sz w:val="15"/>
          <w:szCs w:val="15"/>
          <w:color w:val="auto"/>
        </w:rPr>
      </w:pPr>
    </w:p>
    <w:p>
      <w:pPr>
        <w:ind w:left="520" w:hanging="255"/>
        <w:spacing w:after="0"/>
        <w:tabs>
          <w:tab w:leader="none" w:pos="5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stockholders’ equity of at least $500 million plus 25% of the net proceeds of the sale of equity interests after November 5, 2018;</w:t>
      </w:r>
    </w:p>
    <w:p>
      <w:pPr>
        <w:spacing w:after="0" w:line="117" w:lineRule="exact"/>
        <w:rPr>
          <w:rFonts w:ascii="Arial" w:cs="Arial" w:eastAsia="Arial" w:hAnsi="Arial"/>
          <w:sz w:val="18"/>
          <w:szCs w:val="18"/>
          <w:color w:val="auto"/>
        </w:rPr>
      </w:pPr>
    </w:p>
    <w:p>
      <w:pPr>
        <w:ind w:left="520" w:right="20" w:hanging="255"/>
        <w:spacing w:after="0" w:line="259" w:lineRule="auto"/>
        <w:tabs>
          <w:tab w:leader="none" w:pos="5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minimum asset coverage ratio of no less than 2 to 1 with respect to (i) the consolidated assets of the Company and the subsidiary guarantors (including certain limitations on the contribution of equity in financing subsidiaries) to (ii) the secured debt of the Company and its subsidiary guarantors plus unsecured senior securities of the Company and its subsidiary guarantors that mature within 90 days of the date of determination (the “Obligor Asset Coverage Ratio”); and</w:t>
      </w:r>
    </w:p>
    <w:p>
      <w:pPr>
        <w:spacing w:after="0" w:line="78" w:lineRule="exact"/>
        <w:rPr>
          <w:rFonts w:ascii="Arial" w:cs="Arial" w:eastAsia="Arial" w:hAnsi="Arial"/>
          <w:sz w:val="18"/>
          <w:szCs w:val="18"/>
          <w:color w:val="auto"/>
        </w:rPr>
      </w:pPr>
    </w:p>
    <w:p>
      <w:pPr>
        <w:ind w:left="520" w:right="240" w:hanging="255"/>
        <w:spacing w:after="0" w:line="342" w:lineRule="auto"/>
        <w:tabs>
          <w:tab w:leader="none" w:pos="5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minimum consolidated assets of the Company and the subsidiary guarantors (including certain limitations on the contribution of equity in financing subsidiaries), less total secured debt of the Company and the subsidiary guarantors, of at least $350 million at the last day of any fiscal quarter.</w:t>
      </w:r>
    </w:p>
    <w:p>
      <w:pPr>
        <w:spacing w:after="0" w:line="124" w:lineRule="exact"/>
        <w:rPr>
          <w:sz w:val="20"/>
          <w:szCs w:val="20"/>
          <w:color w:val="auto"/>
        </w:rPr>
      </w:pPr>
    </w:p>
    <w:p>
      <w:pPr>
        <w:ind w:right="120" w:firstLine="259"/>
        <w:spacing w:after="0" w:line="277" w:lineRule="auto"/>
        <w:rPr>
          <w:sz w:val="20"/>
          <w:szCs w:val="20"/>
          <w:color w:val="auto"/>
        </w:rPr>
      </w:pPr>
      <w:r>
        <w:rPr>
          <w:rFonts w:ascii="Arial" w:cs="Arial" w:eastAsia="Arial" w:hAnsi="Arial"/>
          <w:sz w:val="18"/>
          <w:szCs w:val="18"/>
          <w:color w:val="auto"/>
        </w:rPr>
        <w:t>The Revolving Credit Facility also contains certain additional concentration limits in connection with the calculation of the borrowing base, based on the Obligor Asset Coverage Ratio.</w:t>
      </w:r>
    </w:p>
    <w:p>
      <w:pPr>
        <w:spacing w:after="0" w:line="170" w:lineRule="exact"/>
        <w:rPr>
          <w:sz w:val="20"/>
          <w:szCs w:val="20"/>
          <w:color w:val="auto"/>
        </w:rPr>
      </w:pPr>
    </w:p>
    <w:p>
      <w:pPr>
        <w:ind w:right="240" w:firstLine="259"/>
        <w:spacing w:after="0" w:line="277" w:lineRule="auto"/>
        <w:rPr>
          <w:sz w:val="20"/>
          <w:szCs w:val="20"/>
          <w:color w:val="auto"/>
        </w:rPr>
      </w:pPr>
      <w:r>
        <w:rPr>
          <w:rFonts w:ascii="Arial" w:cs="Arial" w:eastAsia="Arial" w:hAnsi="Arial"/>
          <w:sz w:val="18"/>
          <w:szCs w:val="18"/>
          <w:color w:val="auto"/>
        </w:rPr>
        <w:t>Net proceeds received from our common stock issuance in March 2018 and net proceeds received from the issuance of the 2022 Convertible Notes and 2023 Notes were used to pay down borrowings on the Revolving Credit Facility.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Convertible Notes</w:t>
      </w:r>
    </w:p>
    <w:p>
      <w:pPr>
        <w:spacing w:after="0" w:line="117" w:lineRule="exact"/>
        <w:rPr>
          <w:sz w:val="20"/>
          <w:szCs w:val="20"/>
          <w:color w:val="auto"/>
        </w:rPr>
      </w:pPr>
    </w:p>
    <w:p>
      <w:pPr>
        <w:ind w:right="40" w:firstLine="259"/>
        <w:spacing w:after="0" w:line="269" w:lineRule="auto"/>
        <w:rPr>
          <w:sz w:val="20"/>
          <w:szCs w:val="20"/>
          <w:color w:val="auto"/>
        </w:rPr>
      </w:pPr>
      <w:r>
        <w:rPr>
          <w:rFonts w:ascii="Arial" w:cs="Arial" w:eastAsia="Arial" w:hAnsi="Arial"/>
          <w:sz w:val="17"/>
          <w:szCs w:val="17"/>
          <w:color w:val="auto"/>
        </w:rPr>
        <w:t>In June 2014, we issued in a private offering $115 million aggregate principal amount convertible notes due December 2019. The 2019 Convertible Notes were issued in a private placement only to qualified institutional buyers pursuant to Rule 144A under the Securities Act. The 2019 Convertible Notes are unsecured and bear interest at a rate of 4.50% per year, payable semiannually. The 2019 Convertible Notes will mature on December 15, 2019. In certain circumstances, the 2019 Convertible Notes will be convertible into cash, shares of our common stock or a combination of cash and shares of our common stock, at our election, at an initial conversion rate of 38.7162 shares of common stock per $1,000 principal amount of 2019 Convertible Notes, which is equivalent to an initial conversion price of approximately $25.83 per share of our common stock, subject to customary anti-dilution adjustments. As of March 31, 2019, the estimated adjusted conversion price was approximately $24.91 per share of common stock. The sale of the 2019 Convertible Notes generated net proceeds of approximately $110.8 million. We used the net proceeds of the offering to pay down debt under the Revolving Credit Facility. In connection with the offering of 2019 Convertible Notes, we have entered into interest rate swaps to continue to align the interest rates of our liabilities with our investment portfolio, which consists of predominately floating rate loans. As a result of the swaps, our effective interest rate on the 2019 Convertible Notes is three-month LIBOR plus 2.86%.</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60" w:name="page61"/>
    <w:bookmarkEnd w:id="60"/>
    <w:p>
      <w:pPr>
        <w:ind w:firstLine="259"/>
        <w:spacing w:after="0" w:line="289" w:lineRule="auto"/>
        <w:rPr>
          <w:sz w:val="20"/>
          <w:szCs w:val="20"/>
          <w:color w:val="auto"/>
        </w:rPr>
      </w:pPr>
      <w:r>
        <w:rPr>
          <w:rFonts w:ascii="Arial" w:cs="Arial" w:eastAsia="Arial" w:hAnsi="Arial"/>
          <w:sz w:val="16"/>
          <w:szCs w:val="16"/>
          <w:color w:val="auto"/>
        </w:rPr>
        <w:t>Holders may convert their 2019 Convertible Notes at their option at any time prior to June 15, 2019 only under the following circumstances: (1) during any calendar quarter commencing after the calendar quarter ending on September 30, 2014 (and only during such calendar quarter), if the last reported sale price of the common stock for at least 20 trading days (whether or not consecutive) during a period of 30 consecutive trading days ending on the last trading day of the immediately preceding calendar quarter is greater than or equal to 130% of the conversion price on each applicable trading day; (2) during the five business day period after any five consecutive trading day period (the “measurement period”) in which the trading price (as defined in the indenture governing the 2019 Convertible Notes) per $1,000 principal amount of notes for each trading day of the measurement period was less than 98% of the product of the last reported sale price of our common stock and the conversion rate on each such trading day; or (3) upon the occurrence of specified corporate events. On or after June 15, 2019 until the close of business on the scheduled trading day immediately preceding the maturity date, holders may convert their notes at any time, regardless of the occurrence or nonoccurrence of any of the foregoing circumstances.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2022 Convertible Notes</w:t>
      </w:r>
    </w:p>
    <w:p>
      <w:pPr>
        <w:spacing w:after="0" w:line="117" w:lineRule="exact"/>
        <w:rPr>
          <w:sz w:val="20"/>
          <w:szCs w:val="20"/>
          <w:color w:val="auto"/>
        </w:rPr>
      </w:pPr>
    </w:p>
    <w:p>
      <w:pPr>
        <w:ind w:right="80" w:firstLine="259"/>
        <w:spacing w:after="0" w:line="269" w:lineRule="auto"/>
        <w:rPr>
          <w:sz w:val="20"/>
          <w:szCs w:val="20"/>
          <w:color w:val="auto"/>
        </w:rPr>
      </w:pPr>
      <w:r>
        <w:rPr>
          <w:rFonts w:ascii="Arial" w:cs="Arial" w:eastAsia="Arial" w:hAnsi="Arial"/>
          <w:sz w:val="17"/>
          <w:szCs w:val="17"/>
          <w:color w:val="auto"/>
        </w:rPr>
        <w:t>In February 2017, we issued in a private offering $115 million aggregate principal amount convertible notes due August 2022. The 2022 Convertible Notes were issued in a private placement only to qualified institutional buyers pursuant to Rule 144A under the Securities Act. The 2022 Convertible Notes are unsecured, and bear interest at a rate of 4.50% per year, payable semiannually. The 2022 Convertible Notes will mature on August 1, 2022. In certain circumstances, the 2022 Convertible Notes will be convertible into cash, shares of our common stock or a combination of cash and shares of our common stock, at our election, at an initial conversion rate of 46.8516 shares of common stock per $1,000 principal amount of 2022 Convertible Notes, which is equivalent to an initial conversion price of approximately $21.34 per share of our common stock, subject to customary anti-dilution adjustments. As of March 31, 2019, the estimated adjusted conversion price was approximately $20.79 per share of common stock. The sale of the 2022 Convertible Notes generated net proceeds of approximately $111.2 million. We used the net proceeds of the offering to pay down debt under the Revolving Credit Facility. In connection with the offering of 2022 Convertible Notes, we have entered into an interest rate swap to continue to align the interest rates of our liabilities with our investment portfolio, which consists of predominately floating rate loans. As a result of the swaps, our effective interest rate on the original issuance of 2022 Convertible Notes is three-month LIBOR plus 2.37%.</w:t>
      </w:r>
    </w:p>
    <w:p>
      <w:pPr>
        <w:spacing w:after="0" w:line="183" w:lineRule="exact"/>
        <w:rPr>
          <w:sz w:val="20"/>
          <w:szCs w:val="20"/>
          <w:color w:val="auto"/>
        </w:rPr>
      </w:pPr>
    </w:p>
    <w:p>
      <w:pPr>
        <w:ind w:right="20" w:firstLine="259"/>
        <w:spacing w:after="0" w:line="255" w:lineRule="auto"/>
        <w:rPr>
          <w:sz w:val="20"/>
          <w:szCs w:val="20"/>
          <w:color w:val="auto"/>
        </w:rPr>
      </w:pPr>
      <w:r>
        <w:rPr>
          <w:rFonts w:ascii="Arial" w:cs="Arial" w:eastAsia="Arial" w:hAnsi="Arial"/>
          <w:sz w:val="18"/>
          <w:szCs w:val="18"/>
          <w:color w:val="auto"/>
        </w:rPr>
        <w:t>In June 2018, we issued an additional $57.5 million aggregate principal amount of 2022 Convertible Notes. The additional 2022 Convertible Notes were issued with identical terms, and are fungible with and are part of a single series with the previously outstanding $115 million aggregate principal amount of our 2022 Convertible Notes issued in February 2017. In connection with the reopening of the 2022 Convertible Notes, we entered into interest rate swaps to continue to align the interest rates of its liabilities with its investment portfolio, which consists of predominantly floating rate loans. As a result of the additional swaps, our effective interest rate on the additional 2022 Convertible Notes is approximately three-month LIBOR plus 1.60%. See Note 5 for further information related to our interest rate swaps.</w:t>
      </w:r>
    </w:p>
    <w:p>
      <w:pPr>
        <w:spacing w:after="0" w:line="193" w:lineRule="exact"/>
        <w:rPr>
          <w:sz w:val="20"/>
          <w:szCs w:val="20"/>
          <w:color w:val="auto"/>
        </w:rPr>
      </w:pPr>
    </w:p>
    <w:p>
      <w:pPr>
        <w:ind w:firstLine="259"/>
        <w:spacing w:after="0" w:line="289" w:lineRule="auto"/>
        <w:rPr>
          <w:sz w:val="20"/>
          <w:szCs w:val="20"/>
          <w:color w:val="auto"/>
        </w:rPr>
      </w:pPr>
      <w:r>
        <w:rPr>
          <w:rFonts w:ascii="Arial" w:cs="Arial" w:eastAsia="Arial" w:hAnsi="Arial"/>
          <w:sz w:val="16"/>
          <w:szCs w:val="16"/>
          <w:color w:val="auto"/>
        </w:rPr>
        <w:t>Holders may convert their 2022 Convertible Notes at their option at any time prior to February 1, 2022 only under the following circumstances: (1) during any calendar quarter commencing after the calendar quarter ending on June 30, 2017 (and only during such calendar quarter), if the last reported sale price of the common stock for at least 20 trading days (whether or not consecutive) during a period of 30 consecutive trading days ending on the last trading day of the immediately preceding calendar quarter is greater than or equal to 130% of the conversion price on each applicable trading day; (2) during the five business day period after any five consecutive trading day period (the “measurement period”) in which the trading price (as defined in the indenture governing the 2022 Convertible Notes) per $1,000 principal amount of notes for each trading day of the measurement period was less than 98% of the product of the last reported sale price of our common stock and the conversion rate on each such trading day; or (3) upon the occurrence of specified corporate events. On or after February 1, 2022 until the close of business on the scheduled trading day immediately preceding the maturity date, holders may convert their notes at any time, regardless of the occurrence or nonoccurrence of any of the foregoing circumstances.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1" w:name="page62"/>
    <w:bookmarkEnd w:id="61"/>
    <w:p>
      <w:pPr>
        <w:ind w:right="60" w:firstLine="259"/>
        <w:spacing w:after="0" w:line="257" w:lineRule="auto"/>
        <w:rPr>
          <w:sz w:val="20"/>
          <w:szCs w:val="20"/>
          <w:color w:val="auto"/>
        </w:rPr>
      </w:pPr>
      <w:r>
        <w:rPr>
          <w:rFonts w:ascii="Arial" w:cs="Arial" w:eastAsia="Arial" w:hAnsi="Arial"/>
          <w:sz w:val="18"/>
          <w:szCs w:val="18"/>
          <w:color w:val="auto"/>
        </w:rPr>
        <w:t>The Convertible Notes are our unsecured obligations and rank senior in right of payment to our future indebtedness that is expressly subordinated in right of payment to the Convertible Notes; equal in right of payment to our existing and future indebtedness that is not so subordinated; effectively junior in right of payment to any of our secured indebtedness (including unsecured indebtedness that we later secure) to the extent of the value of the assets securing such indebtedness; and structurally junior to all existing and future indebtedness (including trade payables) incurred by our subsidiaries, financing vehicles or similar facilities.</w:t>
      </w:r>
    </w:p>
    <w:p>
      <w:pPr>
        <w:spacing w:after="0" w:line="188" w:lineRule="exact"/>
        <w:rPr>
          <w:sz w:val="20"/>
          <w:szCs w:val="20"/>
          <w:color w:val="auto"/>
        </w:rPr>
      </w:pPr>
    </w:p>
    <w:p>
      <w:pPr>
        <w:ind w:firstLine="259"/>
        <w:spacing w:after="0" w:line="277" w:lineRule="auto"/>
        <w:rPr>
          <w:sz w:val="20"/>
          <w:szCs w:val="20"/>
          <w:color w:val="auto"/>
        </w:rPr>
      </w:pPr>
      <w:r>
        <w:rPr>
          <w:rFonts w:ascii="Arial" w:cs="Arial" w:eastAsia="Arial" w:hAnsi="Arial"/>
          <w:sz w:val="18"/>
          <w:szCs w:val="18"/>
          <w:color w:val="auto"/>
        </w:rPr>
        <w:t>As of March 31, 2019, the principal amount of the Convertible Notes exceeded the value of the underlying shares multiplied by the per share closing price of our common stock.</w:t>
      </w:r>
    </w:p>
    <w:p>
      <w:pPr>
        <w:spacing w:after="0" w:line="170" w:lineRule="exact"/>
        <w:rPr>
          <w:sz w:val="20"/>
          <w:szCs w:val="20"/>
          <w:color w:val="auto"/>
        </w:rPr>
      </w:pPr>
    </w:p>
    <w:p>
      <w:pPr>
        <w:ind w:right="40" w:firstLine="259"/>
        <w:spacing w:after="0" w:line="259" w:lineRule="auto"/>
        <w:rPr>
          <w:sz w:val="20"/>
          <w:szCs w:val="20"/>
          <w:color w:val="auto"/>
        </w:rPr>
      </w:pPr>
      <w:r>
        <w:rPr>
          <w:rFonts w:ascii="Arial" w:cs="Arial" w:eastAsia="Arial" w:hAnsi="Arial"/>
          <w:sz w:val="18"/>
          <w:szCs w:val="18"/>
          <w:color w:val="auto"/>
        </w:rPr>
        <w:t>The indentures governing the Convertible Notes contain certain covenants, including covenants requiring us to comply with the applicable asset coverage ratio requirement under the 1940 Act and to provide financial information to the holders of the Convertible Notes under certain circumstances. These covenants are subject to important limitations and exceptions that are described in the indentures governing the Convertible Notes. As of March 31, 2019, we were in compliance with the terms of the indentures governing the Convertible Notes.</w:t>
      </w:r>
    </w:p>
    <w:p>
      <w:pPr>
        <w:spacing w:after="0" w:line="187" w:lineRule="exact"/>
        <w:rPr>
          <w:sz w:val="20"/>
          <w:szCs w:val="20"/>
          <w:color w:val="auto"/>
        </w:rPr>
      </w:pPr>
    </w:p>
    <w:p>
      <w:pPr>
        <w:ind w:firstLine="259"/>
        <w:spacing w:after="0" w:line="270" w:lineRule="auto"/>
        <w:rPr>
          <w:sz w:val="20"/>
          <w:szCs w:val="20"/>
          <w:color w:val="auto"/>
        </w:rPr>
      </w:pPr>
      <w:r>
        <w:rPr>
          <w:rFonts w:ascii="Arial" w:cs="Arial" w:eastAsia="Arial" w:hAnsi="Arial"/>
          <w:sz w:val="17"/>
          <w:szCs w:val="17"/>
          <w:color w:val="auto"/>
        </w:rPr>
        <w:t>The Convertible Notes are accounted for in accordance with Accounting Standards Codification (“ASC”) 470-20. Upon conversion of any of the Convertible Notes, we intend to pay the outstanding principal amount in cash and, to the extent that the conversion value exceeds the principal amount, we have the option to pay in cash or shares of our common stock (or a combination of cash and shares) in respect of the excess amount, subject to the requirements of the indentures governing the Convertible Notes. We have determined that the embedded conversion options in each series of Convertible Notes are not required to be separately accounted for as a derivative under U.S. GAAP. In accounting for the Convertible Notes, we estimated at the time of issuance separate debt and equity components of each series of Convertible Notes. An original issue discount equal to the equity components of each series of Convertible Notes was recorded in “additional paid-in capital” in the accompanying consolidated balance sheet. Additionally, the issuance costs associated with the Convertible Notes were allocated to the debt and equity components in proportion to the allocation of the proceeds and accounted for as deferred financing costs and equity issuance costs, respectively.</w:t>
      </w:r>
    </w:p>
    <w:p>
      <w:pPr>
        <w:spacing w:after="0" w:line="29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2023 Notes</w:t>
      </w:r>
    </w:p>
    <w:p>
      <w:pPr>
        <w:spacing w:after="0" w:line="117" w:lineRule="exact"/>
        <w:rPr>
          <w:sz w:val="20"/>
          <w:szCs w:val="20"/>
          <w:color w:val="auto"/>
        </w:rPr>
      </w:pPr>
    </w:p>
    <w:p>
      <w:pPr>
        <w:ind w:right="200" w:firstLine="259"/>
        <w:spacing w:after="0" w:line="257" w:lineRule="auto"/>
        <w:rPr>
          <w:sz w:val="20"/>
          <w:szCs w:val="20"/>
          <w:color w:val="auto"/>
        </w:rPr>
      </w:pPr>
      <w:r>
        <w:rPr>
          <w:rFonts w:ascii="Arial" w:cs="Arial" w:eastAsia="Arial" w:hAnsi="Arial"/>
          <w:sz w:val="18"/>
          <w:szCs w:val="18"/>
          <w:color w:val="auto"/>
        </w:rPr>
        <w:t>In January 2018, we issued $150.0 million aggregate principal amount of unsecured notes that mature on January 22, 2023 (the “2023 Notes”). The principal amount of the 2023 Notes is payable at maturity. The 2023 Notes bear interest at a rate of 4.50% per year, payable semi-annually commencing on July 22, 2018, and may be redeemed in whole or in part at our option at any time at par plus a “make whole” premium. Total proceeds from the issuance of the 2023 Notes, net of underwriting discounts and offering costs, were $146.9 million. We used the net proceeds of the 2023 Notes to repay outstanding indebtedness under the Revolving Credit Facility.</w:t>
      </w:r>
    </w:p>
    <w:p>
      <w:pPr>
        <w:spacing w:after="0" w:line="188" w:lineRule="exact"/>
        <w:rPr>
          <w:sz w:val="20"/>
          <w:szCs w:val="20"/>
          <w:color w:val="auto"/>
        </w:rPr>
      </w:pPr>
    </w:p>
    <w:p>
      <w:pPr>
        <w:ind w:right="60" w:firstLine="259"/>
        <w:spacing w:after="0" w:line="264" w:lineRule="auto"/>
        <w:rPr>
          <w:sz w:val="20"/>
          <w:szCs w:val="20"/>
          <w:color w:val="auto"/>
        </w:rPr>
      </w:pPr>
      <w:r>
        <w:rPr>
          <w:rFonts w:ascii="Arial" w:cs="Arial" w:eastAsia="Arial" w:hAnsi="Arial"/>
          <w:sz w:val="18"/>
          <w:szCs w:val="18"/>
          <w:color w:val="auto"/>
        </w:rPr>
        <w:t>In connection with the 2023 Notes offering, we entered into an interest rate swap to continue to align the interest rates of our liabilities with our investment portfolio, which consists of predominately floating rate loans. As a result of the swap, our effective interest rate on the 2023 Notes is three-month LIBOR plus 1.99%.</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Portfolio Company Commitments</w:t>
      </w:r>
    </w:p>
    <w:p>
      <w:pPr>
        <w:spacing w:after="0" w:line="117" w:lineRule="exact"/>
        <w:rPr>
          <w:sz w:val="20"/>
          <w:szCs w:val="20"/>
          <w:color w:val="auto"/>
        </w:rPr>
      </w:pPr>
    </w:p>
    <w:p>
      <w:pPr>
        <w:ind w:firstLine="259"/>
        <w:spacing w:after="0" w:line="255" w:lineRule="auto"/>
        <w:rPr>
          <w:sz w:val="20"/>
          <w:szCs w:val="20"/>
          <w:color w:val="auto"/>
        </w:rPr>
      </w:pPr>
      <w:r>
        <w:rPr>
          <w:rFonts w:ascii="Arial" w:cs="Arial" w:eastAsia="Arial" w:hAnsi="Arial"/>
          <w:sz w:val="18"/>
          <w:szCs w:val="18"/>
          <w:color w:val="auto"/>
        </w:rPr>
        <w:t>From time to time, we may enter into commitments to fund investments. We incorporate these commitments into our assessment of our liquidity position. Our senior secured revolving loan commitments are generally available on a borrower’s demand and may remain outstanding until the maturity date of the applicable loan. Our senior secured term loan commitments are generally available on a borrower’s demand and, once drawn, generally have the same remaining term as the associated loan agreement. Undrawn senior secured term loan commitments generally have a shorter availability period than the term of the associated loan agreement. As of March 31, 2019 and December 31, 2018, we had the following commitments to fund investments in current portfolio companies:</w:t>
      </w:r>
    </w:p>
    <w:p>
      <w:pPr>
        <w:spacing w:after="0" w:line="186"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112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rPr>
              <w:t>March 31, 2019</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540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 in millions)</w:t>
            </w:r>
          </w:p>
        </w:tc>
        <w:tc>
          <w:tcPr>
            <w:tcW w:w="1120" w:type="dxa"/>
            <w:vAlign w:val="bottom"/>
            <w:tcBorders>
              <w:bottom w:val="single" w:sz="8" w:color="auto"/>
            </w:tcBorders>
            <w:gridSpan w:val="2"/>
            <w:vMerge w:val="continue"/>
          </w:tcPr>
          <w:p>
            <w:pPr>
              <w:spacing w:after="0"/>
              <w:rPr>
                <w:sz w:val="14"/>
                <w:szCs w:val="14"/>
                <w:color w:val="auto"/>
              </w:rPr>
            </w:pPr>
          </w:p>
        </w:tc>
        <w:tc>
          <w:tcPr>
            <w:tcW w:w="26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AppStar Financial, LLC - Revolver</w:t>
            </w:r>
          </w:p>
        </w:tc>
        <w:tc>
          <w:tcPr>
            <w:tcW w:w="400" w:type="dxa"/>
            <w:vAlign w:val="bottom"/>
            <w:shd w:val="clear" w:color="auto" w:fill="CFF0FC"/>
          </w:tcPr>
          <w:p>
            <w:pPr>
              <w:jc w:val="right"/>
              <w:ind w:right="246"/>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Caris Life Sciences, Ltd. - Delayed Draw</w:t>
            </w: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ClearCompany, LLC - Delayed Draw</w:t>
            </w:r>
          </w:p>
        </w:tc>
        <w:tc>
          <w:tcPr>
            <w:tcW w:w="4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Ferrellgas, L.P. - Revolver</w:t>
            </w: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30.0</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Frontline Technologies Group, LLC - Delayed Draw</w:t>
            </w:r>
          </w:p>
        </w:tc>
        <w:tc>
          <w:tcPr>
            <w:tcW w:w="4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GC Agile Holdings Limited - Delayed Draw</w:t>
            </w: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7.1</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G Treasury SS, LLC - Delayed Draw</w:t>
            </w:r>
          </w:p>
        </w:tc>
        <w:tc>
          <w:tcPr>
            <w:tcW w:w="4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G Treasury SS, LLC - Revolver</w:t>
            </w: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Government Brands, LLC - Revolver</w:t>
            </w:r>
          </w:p>
        </w:tc>
        <w:tc>
          <w:tcPr>
            <w:tcW w:w="4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Integration Appliance, Inc. - Revolver</w:t>
            </w: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0.5</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IRGSE Holding Corp. - Revolver</w:t>
            </w:r>
          </w:p>
        </w:tc>
        <w:tc>
          <w:tcPr>
            <w:tcW w:w="4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Lithium Technologies, LLC - Revolver</w:t>
            </w: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MD America Energy, LLC - Delayed Draw</w:t>
            </w:r>
          </w:p>
        </w:tc>
        <w:tc>
          <w:tcPr>
            <w:tcW w:w="4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Motus, LLC - Revolver</w:t>
            </w: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5.6</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PageUp People Limited - Revolver</w:t>
            </w:r>
          </w:p>
        </w:tc>
        <w:tc>
          <w:tcPr>
            <w:tcW w:w="4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PayLease, LLC - Revolver</w:t>
            </w: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PrimeRevenue, Inc. - Revolver</w:t>
            </w:r>
          </w:p>
        </w:tc>
        <w:tc>
          <w:tcPr>
            <w:tcW w:w="4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ScentAir Technologies, Inc. - Revolver</w:t>
            </w: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0.8</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Sovos Compliance, LLC - Delayed Draw</w:t>
            </w:r>
          </w:p>
        </w:tc>
        <w:tc>
          <w:tcPr>
            <w:tcW w:w="4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Sovos Compliance, LLC - Revolver</w:t>
            </w: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2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 Portfolio Company Commitments</w:t>
            </w:r>
          </w:p>
        </w:tc>
        <w:tc>
          <w:tcPr>
            <w:tcW w:w="400" w:type="dxa"/>
            <w:vAlign w:val="bottom"/>
            <w:tcBorders>
              <w:bottom w:val="single" w:sz="8" w:color="auto"/>
            </w:tcBorders>
            <w:shd w:val="clear" w:color="auto" w:fill="CFF0FC"/>
          </w:tcPr>
          <w:p>
            <w:pPr>
              <w:jc w:val="right"/>
              <w:ind w:right="246"/>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107.2</w:t>
            </w:r>
          </w:p>
        </w:tc>
        <w:tc>
          <w:tcPr>
            <w:tcW w:w="2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103.8</w:t>
            </w: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Commitments and Contingencies</w:t>
      </w:r>
    </w:p>
    <w:p>
      <w:pPr>
        <w:spacing w:after="0" w:line="117" w:lineRule="exact"/>
        <w:rPr>
          <w:sz w:val="20"/>
          <w:szCs w:val="20"/>
          <w:color w:val="auto"/>
        </w:rPr>
      </w:pPr>
    </w:p>
    <w:p>
      <w:pPr>
        <w:ind w:right="420" w:firstLine="259"/>
        <w:spacing w:after="0" w:line="277" w:lineRule="auto"/>
        <w:rPr>
          <w:sz w:val="20"/>
          <w:szCs w:val="20"/>
          <w:color w:val="auto"/>
        </w:rPr>
      </w:pPr>
      <w:r>
        <w:rPr>
          <w:rFonts w:ascii="Arial" w:cs="Arial" w:eastAsia="Arial" w:hAnsi="Arial"/>
          <w:sz w:val="18"/>
          <w:szCs w:val="18"/>
          <w:color w:val="auto"/>
        </w:rPr>
        <w:t>As of March 31, 2019 and December 31, 2018, we did not have any unfunded commitments to fund new investments to new borrowers that were not current portfolio companies as of such date.</w:t>
      </w:r>
    </w:p>
    <w:p>
      <w:pPr>
        <w:spacing w:after="0" w:line="170" w:lineRule="exact"/>
        <w:rPr>
          <w:sz w:val="20"/>
          <w:szCs w:val="20"/>
          <w:color w:val="auto"/>
        </w:rPr>
      </w:pPr>
    </w:p>
    <w:p>
      <w:pPr>
        <w:ind w:right="200" w:firstLine="259"/>
        <w:spacing w:after="0" w:line="277" w:lineRule="auto"/>
        <w:rPr>
          <w:sz w:val="20"/>
          <w:szCs w:val="20"/>
          <w:color w:val="auto"/>
        </w:rPr>
      </w:pPr>
      <w:r>
        <w:rPr>
          <w:rFonts w:ascii="Arial" w:cs="Arial" w:eastAsia="Arial" w:hAnsi="Arial"/>
          <w:sz w:val="18"/>
          <w:szCs w:val="18"/>
          <w:color w:val="auto"/>
        </w:rPr>
        <w:t>We have certain contracts under which we have material future commitments. Under the Investment Advisory Agreement, our Adviser provides us with investment advisory and management services. For these services, we pay the Management Fee and the Incentive Fee.</w:t>
      </w:r>
    </w:p>
    <w:p>
      <w:pPr>
        <w:spacing w:after="0" w:line="170" w:lineRule="exact"/>
        <w:rPr>
          <w:sz w:val="20"/>
          <w:szCs w:val="20"/>
          <w:color w:val="auto"/>
        </w:rPr>
      </w:pPr>
    </w:p>
    <w:p>
      <w:pPr>
        <w:ind w:right="40" w:firstLine="259"/>
        <w:spacing w:after="0" w:line="270" w:lineRule="auto"/>
        <w:rPr>
          <w:sz w:val="20"/>
          <w:szCs w:val="20"/>
          <w:color w:val="auto"/>
        </w:rPr>
      </w:pPr>
      <w:r>
        <w:rPr>
          <w:rFonts w:ascii="Arial" w:cs="Arial" w:eastAsia="Arial" w:hAnsi="Arial"/>
          <w:sz w:val="17"/>
          <w:szCs w:val="17"/>
          <w:color w:val="auto"/>
        </w:rPr>
        <w:t>Under the Administration Agreement, our Adviser furnishes us with office facilities and equipment, provides us clerical, bookkeeping and record keeping services at such facilities and provides us with other administrative services necessary to conduct our day-to-day operations. We reimburse our Adviser or its affiliates for the allocable portion (subject to the review and approval of our Board) of expenses incurred by it in performing its obligations under the Administration Agreement, and the fees and expenses associated with performing compliance functions. Such reimbursable amounts include the allocable portion of the compensation of our Chief Compliance Officer, Chief Financial Officer and other professionals who provide operational and administrative services to us pursuant to the Administration Agreement. We reimburse the Adviser (or its affiliates) for the allocable portion of the compensation paid by the Adviser (or its affiliates) to such individuals based on a percentage of time those individuals devote, on an estimated basis, to our business and affairs. We may also reimburse the Adviser or its affiliates for the allocable portion of overhead expenses (including rent, office equipment and utilities) attributable thereto. Our Adviser also offers on our behalf significant managerial assistance to those portfolio companies to which we are required to offer to provide such assistance.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 summary of our contractual payment obligations as of March 31, 2019 is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4"/>
                <w:szCs w:val="14"/>
                <w:b w:val="1"/>
                <w:bCs w:val="1"/>
                <w:color w:val="auto"/>
              </w:rPr>
              <w:t>Payments Due by Period</w:t>
            </w: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6"/>
        </w:trPr>
        <w:tc>
          <w:tcPr>
            <w:tcW w:w="5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right"/>
              <w:ind w:right="157"/>
              <w:spacing w:after="0" w:line="147" w:lineRule="exact"/>
              <w:rPr>
                <w:sz w:val="20"/>
                <w:szCs w:val="20"/>
                <w:color w:val="auto"/>
              </w:rPr>
            </w:pPr>
            <w:r>
              <w:rPr>
                <w:rFonts w:ascii="Arial" w:cs="Arial" w:eastAsia="Arial" w:hAnsi="Arial"/>
                <w:sz w:val="14"/>
                <w:szCs w:val="14"/>
                <w:b w:val="1"/>
                <w:bCs w:val="1"/>
                <w:color w:val="auto"/>
                <w:w w:val="94"/>
              </w:rPr>
              <w:t>Less than</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1"/>
        </w:trPr>
        <w:tc>
          <w:tcPr>
            <w:tcW w:w="5200" w:type="dxa"/>
            <w:vAlign w:val="bottom"/>
          </w:tcPr>
          <w:p>
            <w:pPr>
              <w:spacing w:after="0"/>
              <w:rPr>
                <w:sz w:val="20"/>
                <w:szCs w:val="20"/>
                <w:color w:val="auto"/>
              </w:rPr>
            </w:pPr>
            <w:r>
              <w:rPr>
                <w:rFonts w:ascii="Arial" w:cs="Arial" w:eastAsia="Arial" w:hAnsi="Arial"/>
                <w:sz w:val="14"/>
                <w:szCs w:val="14"/>
                <w:color w:val="auto"/>
              </w:rPr>
              <w:t>($ in millions)</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c>
          <w:tcPr>
            <w:tcW w:w="880" w:type="dxa"/>
            <w:vAlign w:val="bottom"/>
          </w:tcPr>
          <w:p>
            <w:pPr>
              <w:jc w:val="right"/>
              <w:ind w:right="257"/>
              <w:spacing w:after="0"/>
              <w:rPr>
                <w:sz w:val="20"/>
                <w:szCs w:val="20"/>
                <w:color w:val="auto"/>
              </w:rPr>
            </w:pPr>
            <w:r>
              <w:rPr>
                <w:rFonts w:ascii="Arial" w:cs="Arial" w:eastAsia="Arial" w:hAnsi="Arial"/>
                <w:sz w:val="14"/>
                <w:szCs w:val="14"/>
                <w:b w:val="1"/>
                <w:bCs w:val="1"/>
                <w:color w:val="auto"/>
              </w:rPr>
              <w:t>1 year</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1-3 years</w:t>
            </w:r>
          </w:p>
        </w:tc>
        <w:tc>
          <w:tcPr>
            <w:tcW w:w="160" w:type="dxa"/>
            <w:vAlign w:val="bottom"/>
          </w:tcPr>
          <w:p>
            <w:pPr>
              <w:spacing w:after="0"/>
              <w:rPr>
                <w:sz w:val="14"/>
                <w:szCs w:val="14"/>
                <w:color w:val="auto"/>
              </w:rPr>
            </w:pPr>
          </w:p>
        </w:tc>
        <w:tc>
          <w:tcPr>
            <w:tcW w:w="880" w:type="dxa"/>
            <w:vAlign w:val="bottom"/>
          </w:tcPr>
          <w:p>
            <w:pPr>
              <w:jc w:val="right"/>
              <w:ind w:right="153"/>
              <w:spacing w:after="0"/>
              <w:rPr>
                <w:sz w:val="20"/>
                <w:szCs w:val="20"/>
                <w:color w:val="auto"/>
              </w:rPr>
            </w:pPr>
            <w:r>
              <w:rPr>
                <w:rFonts w:ascii="Arial" w:cs="Arial" w:eastAsia="Arial" w:hAnsi="Arial"/>
                <w:sz w:val="14"/>
                <w:szCs w:val="14"/>
                <w:b w:val="1"/>
                <w:bCs w:val="1"/>
                <w:color w:val="auto"/>
              </w:rPr>
              <w:t>3-5 years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After 5 years</w:t>
            </w:r>
          </w:p>
        </w:tc>
      </w:tr>
      <w:tr>
        <w:trPr>
          <w:trHeight w:val="223"/>
        </w:trPr>
        <w:tc>
          <w:tcPr>
            <w:tcW w:w="5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Revolving Credit Facility</w:t>
            </w: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306.0</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ind w:left="68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306.0</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ind w:left="74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2019 Convertible Notes</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115.0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115.0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ind w:left="740"/>
              <w:spacing w:after="0"/>
              <w:rPr>
                <w:sz w:val="20"/>
                <w:szCs w:val="20"/>
                <w:color w:val="auto"/>
              </w:rPr>
            </w:pPr>
            <w:r>
              <w:rPr>
                <w:rFonts w:ascii="Arial" w:cs="Arial" w:eastAsia="Arial" w:hAnsi="Arial"/>
                <w:sz w:val="18"/>
                <w:szCs w:val="18"/>
                <w:color w:val="auto"/>
              </w:rPr>
              <w:t>—</w:t>
            </w:r>
          </w:p>
        </w:tc>
      </w:tr>
      <w:tr>
        <w:trPr>
          <w:trHeight w:val="230"/>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2022 Convertible Notes</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172.5</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ind w:left="6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172.5</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ind w:left="740"/>
              <w:spacing w:after="0"/>
              <w:rPr>
                <w:sz w:val="20"/>
                <w:szCs w:val="20"/>
                <w:color w:val="auto"/>
              </w:rPr>
            </w:pPr>
            <w:r>
              <w:rPr>
                <w:rFonts w:ascii="Arial" w:cs="Arial" w:eastAsia="Arial" w:hAnsi="Arial"/>
                <w:sz w:val="18"/>
                <w:szCs w:val="18"/>
                <w:color w:val="auto"/>
              </w:rPr>
              <w:t>—</w:t>
            </w: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2023 Notes</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150.0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150.0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ind w:left="740"/>
              <w:spacing w:after="0"/>
              <w:rPr>
                <w:sz w:val="20"/>
                <w:szCs w:val="20"/>
                <w:color w:val="auto"/>
              </w:rPr>
            </w:pPr>
            <w:r>
              <w:rPr>
                <w:rFonts w:ascii="Arial" w:cs="Arial" w:eastAsia="Arial" w:hAnsi="Arial"/>
                <w:sz w:val="18"/>
                <w:szCs w:val="18"/>
                <w:color w:val="auto"/>
              </w:rPr>
              <w:t>—</w:t>
            </w:r>
          </w:p>
        </w:tc>
      </w:tr>
      <w:tr>
        <w:trPr>
          <w:trHeight w:val="223"/>
        </w:trPr>
        <w:tc>
          <w:tcPr>
            <w:tcW w:w="520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b w:val="1"/>
                <w:bCs w:val="1"/>
                <w:color w:val="auto"/>
              </w:rPr>
              <w:t>Total Contractual Obligations</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743.5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ind w:left="68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628.5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ind w:left="74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80" w:firstLine="259"/>
        <w:spacing w:after="0" w:line="277" w:lineRule="auto"/>
        <w:rPr>
          <w:sz w:val="20"/>
          <w:szCs w:val="20"/>
          <w:color w:val="auto"/>
        </w:rPr>
      </w:pPr>
      <w:r>
        <w:rPr>
          <w:rFonts w:ascii="Arial" w:cs="Arial" w:eastAsia="Arial" w:hAnsi="Arial"/>
          <w:sz w:val="18"/>
          <w:szCs w:val="18"/>
          <w:color w:val="auto"/>
        </w:rPr>
        <w:t>In addition to the contractual payment obligations in the tables above, we also have commitments to fund investments and to pledge assets as collateral under the terms of our derivatives agreements.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117" w:lineRule="exact"/>
        <w:rPr>
          <w:sz w:val="20"/>
          <w:szCs w:val="20"/>
          <w:color w:val="auto"/>
        </w:rPr>
      </w:pPr>
    </w:p>
    <w:p>
      <w:pPr>
        <w:ind w:right="240" w:firstLine="259"/>
        <w:spacing w:after="0" w:line="342" w:lineRule="auto"/>
        <w:rPr>
          <w:sz w:val="20"/>
          <w:szCs w:val="20"/>
          <w:color w:val="auto"/>
        </w:rPr>
      </w:pPr>
      <w:r>
        <w:rPr>
          <w:rFonts w:ascii="Arial" w:cs="Arial" w:eastAsia="Arial" w:hAnsi="Arial"/>
          <w:sz w:val="16"/>
          <w:szCs w:val="16"/>
          <w:color w:val="auto"/>
        </w:rPr>
        <w:t>We have elected and qualified to be treated for U.S. federal income tax purposes as a RIC under subchapter M of the Code. To maintain our RIC status, we must distribute (or be treated as distributing) in each taxable year dividends for tax purposes equal to at least 90 percent of the sum of our:</w:t>
      </w:r>
    </w:p>
    <w:p>
      <w:pPr>
        <w:spacing w:after="0" w:line="16" w:lineRule="exact"/>
        <w:rPr>
          <w:sz w:val="20"/>
          <w:szCs w:val="20"/>
          <w:color w:val="auto"/>
        </w:rPr>
      </w:pPr>
    </w:p>
    <w:p>
      <w:pPr>
        <w:ind w:left="520" w:right="140" w:hanging="255"/>
        <w:spacing w:after="0" w:line="277" w:lineRule="auto"/>
        <w:tabs>
          <w:tab w:leader="none" w:pos="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investment company taxable income (which is generally our ordinary income plus the excess of realized net short-term capital gains over realized net long-term capital losses), determined without regard to the deduction for dividends paid, for such taxable year; and</w:t>
      </w:r>
    </w:p>
    <w:p>
      <w:pPr>
        <w:spacing w:after="0" w:line="62" w:lineRule="exact"/>
        <w:rPr>
          <w:rFonts w:ascii="Arial" w:cs="Arial" w:eastAsia="Arial" w:hAnsi="Arial"/>
          <w:sz w:val="18"/>
          <w:szCs w:val="18"/>
          <w:color w:val="auto"/>
        </w:rPr>
      </w:pPr>
    </w:p>
    <w:p>
      <w:pPr>
        <w:ind w:left="520" w:hanging="255"/>
        <w:spacing w:after="0"/>
        <w:tabs>
          <w:tab w:leader="none" w:pos="5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net tax-exempt interest income (which is the excess of our gross tax-exempt interest income over certain disallowed deductions) for such taxable year.</w:t>
      </w:r>
    </w:p>
    <w:p>
      <w:pPr>
        <w:spacing w:after="0" w:line="248" w:lineRule="exact"/>
        <w:rPr>
          <w:sz w:val="20"/>
          <w:szCs w:val="20"/>
          <w:color w:val="auto"/>
        </w:rPr>
      </w:pPr>
    </w:p>
    <w:p>
      <w:pPr>
        <w:ind w:right="260" w:firstLine="259"/>
        <w:spacing w:after="0" w:line="277" w:lineRule="auto"/>
        <w:rPr>
          <w:sz w:val="20"/>
          <w:szCs w:val="20"/>
          <w:color w:val="auto"/>
        </w:rPr>
      </w:pPr>
      <w:r>
        <w:rPr>
          <w:rFonts w:ascii="Arial" w:cs="Arial" w:eastAsia="Arial" w:hAnsi="Arial"/>
          <w:sz w:val="18"/>
          <w:szCs w:val="18"/>
          <w:color w:val="auto"/>
        </w:rPr>
        <w:t>As a RIC, we (but not our stockholders) generally will not be subject to U.S. federal income tax on investment company taxable income and net capital gains that we distribute to our stockholders.</w:t>
      </w:r>
    </w:p>
    <w:p>
      <w:pPr>
        <w:spacing w:after="0" w:line="170" w:lineRule="exact"/>
        <w:rPr>
          <w:sz w:val="20"/>
          <w:szCs w:val="20"/>
          <w:color w:val="auto"/>
        </w:rPr>
      </w:pPr>
    </w:p>
    <w:p>
      <w:pPr>
        <w:jc w:val="both"/>
        <w:ind w:right="440" w:firstLine="259"/>
        <w:spacing w:after="0" w:line="264" w:lineRule="auto"/>
        <w:rPr>
          <w:sz w:val="20"/>
          <w:szCs w:val="20"/>
          <w:color w:val="auto"/>
        </w:rPr>
      </w:pPr>
      <w:r>
        <w:rPr>
          <w:rFonts w:ascii="Arial" w:cs="Arial" w:eastAsia="Arial" w:hAnsi="Arial"/>
          <w:sz w:val="18"/>
          <w:szCs w:val="18"/>
          <w:color w:val="auto"/>
        </w:rPr>
        <w:t>We intend to distribute annually all or substantially all of such income. To the extent that we retain our net capital gains or any investment company taxable income, we generally will be subject to corporate-level U.S. federal income tax. We may choose to retain our net capital gains or any investment company taxable income, and pay the U.S. federal excise tax described below.</w:t>
      </w:r>
    </w:p>
    <w:p>
      <w:pPr>
        <w:spacing w:after="0" w:line="181" w:lineRule="exact"/>
        <w:rPr>
          <w:sz w:val="20"/>
          <w:szCs w:val="20"/>
          <w:color w:val="auto"/>
        </w:rPr>
      </w:pPr>
    </w:p>
    <w:p>
      <w:pPr>
        <w:ind w:right="100" w:firstLine="259"/>
        <w:spacing w:after="0" w:line="342" w:lineRule="auto"/>
        <w:rPr>
          <w:sz w:val="20"/>
          <w:szCs w:val="20"/>
          <w:color w:val="auto"/>
        </w:rPr>
      </w:pPr>
      <w:r>
        <w:rPr>
          <w:rFonts w:ascii="Arial" w:cs="Arial" w:eastAsia="Arial" w:hAnsi="Arial"/>
          <w:sz w:val="16"/>
          <w:szCs w:val="16"/>
          <w:color w:val="auto"/>
        </w:rPr>
        <w:t>Amounts not distributed on a timely basis in accordance with a calendar year distribution requirement are subject to a nondeductible 4% U.S. federal excise tax payable by us. To avoid this tax, we must distribute (or be treated as distributing) during each calendar year an amount at least equal to the sum of:</w:t>
      </w:r>
    </w:p>
    <w:p>
      <w:pPr>
        <w:spacing w:after="0" w:line="16" w:lineRule="exact"/>
        <w:rPr>
          <w:sz w:val="20"/>
          <w:szCs w:val="20"/>
          <w:color w:val="auto"/>
        </w:rPr>
      </w:pPr>
    </w:p>
    <w:p>
      <w:pPr>
        <w:ind w:left="520" w:hanging="255"/>
        <w:spacing w:after="0"/>
        <w:tabs>
          <w:tab w:leader="none" w:pos="5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98% of our net ordinary income excluding certain ordinary gains or losses for that calendar year;</w:t>
      </w:r>
    </w:p>
    <w:p>
      <w:pPr>
        <w:spacing w:after="0" w:line="117" w:lineRule="exact"/>
        <w:rPr>
          <w:rFonts w:ascii="Arial" w:cs="Arial" w:eastAsia="Arial" w:hAnsi="Arial"/>
          <w:sz w:val="18"/>
          <w:szCs w:val="18"/>
          <w:color w:val="auto"/>
        </w:rPr>
      </w:pPr>
    </w:p>
    <w:p>
      <w:pPr>
        <w:ind w:left="520" w:right="140" w:hanging="255"/>
        <w:spacing w:after="0" w:line="277" w:lineRule="auto"/>
        <w:tabs>
          <w:tab w:leader="none" w:pos="5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98.2% of our capital gain net income, adjusted for certain ordinary gains and losses, recognized for the twelve-month period ending on October 31 of that calendar year; and</w:t>
      </w:r>
    </w:p>
    <w:p>
      <w:pPr>
        <w:spacing w:after="0" w:line="62" w:lineRule="exact"/>
        <w:rPr>
          <w:rFonts w:ascii="Arial" w:cs="Arial" w:eastAsia="Arial" w:hAnsi="Arial"/>
          <w:sz w:val="18"/>
          <w:szCs w:val="18"/>
          <w:color w:val="auto"/>
        </w:rPr>
      </w:pPr>
    </w:p>
    <w:p>
      <w:pPr>
        <w:ind w:left="520" w:hanging="255"/>
        <w:spacing w:after="0"/>
        <w:tabs>
          <w:tab w:leader="none" w:pos="5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100% of any income or gains recognized, but not distributed, in preceding years.</w:t>
      </w:r>
    </w:p>
    <w:p>
      <w:pPr>
        <w:spacing w:after="0" w:line="225" w:lineRule="exact"/>
        <w:rPr>
          <w:sz w:val="20"/>
          <w:szCs w:val="20"/>
          <w:color w:val="auto"/>
        </w:rPr>
      </w:pPr>
    </w:p>
    <w:p>
      <w:pPr>
        <w:ind w:right="100" w:firstLine="259"/>
        <w:spacing w:after="0" w:line="264" w:lineRule="auto"/>
        <w:rPr>
          <w:sz w:val="20"/>
          <w:szCs w:val="20"/>
          <w:color w:val="auto"/>
        </w:rPr>
      </w:pPr>
      <w:r>
        <w:rPr>
          <w:rFonts w:ascii="Arial" w:cs="Arial" w:eastAsia="Arial" w:hAnsi="Arial"/>
          <w:sz w:val="18"/>
          <w:szCs w:val="18"/>
          <w:color w:val="auto"/>
        </w:rPr>
        <w:t>While we intend to distribute any income and capital gains in the manner necessary to minimize imposition of the 4% U.S. federal excise tax, sufficient amounts of our taxable income and capital gains may not be distributed to avoid entirely the imposition of this tax. In that event, we will be liable for this tax only on the amount by which we do not meet the foregoing distribution requirement.</w:t>
      </w:r>
    </w:p>
    <w:p>
      <w:pPr>
        <w:spacing w:after="0" w:line="181" w:lineRule="exact"/>
        <w:rPr>
          <w:sz w:val="20"/>
          <w:szCs w:val="20"/>
          <w:color w:val="auto"/>
        </w:rPr>
      </w:pPr>
    </w:p>
    <w:p>
      <w:pPr>
        <w:ind w:right="140" w:firstLine="259"/>
        <w:spacing w:after="0" w:line="264" w:lineRule="auto"/>
        <w:rPr>
          <w:sz w:val="20"/>
          <w:szCs w:val="20"/>
          <w:color w:val="auto"/>
        </w:rPr>
      </w:pPr>
      <w:r>
        <w:rPr>
          <w:rFonts w:ascii="Arial" w:cs="Arial" w:eastAsia="Arial" w:hAnsi="Arial"/>
          <w:sz w:val="18"/>
          <w:szCs w:val="18"/>
          <w:color w:val="auto"/>
        </w:rPr>
        <w:t>We intend to pay quarterly dividends to our stockholders out of assets legally available for distribution. All dividends will be paid at the discretion of our Board and will depend on our earnings, financial condition, maintenance of our RIC status, compliance with applicable BDC regulations and such other factors as our Board may deem relevant from time to time.</w:t>
      </w:r>
    </w:p>
    <w:p>
      <w:pPr>
        <w:spacing w:after="0" w:line="181" w:lineRule="exact"/>
        <w:rPr>
          <w:sz w:val="20"/>
          <w:szCs w:val="20"/>
          <w:color w:val="auto"/>
        </w:rPr>
      </w:pPr>
    </w:p>
    <w:p>
      <w:pPr>
        <w:ind w:right="80" w:firstLine="259"/>
        <w:spacing w:after="0" w:line="259" w:lineRule="auto"/>
        <w:rPr>
          <w:sz w:val="20"/>
          <w:szCs w:val="20"/>
          <w:color w:val="auto"/>
        </w:rPr>
      </w:pPr>
      <w:r>
        <w:rPr>
          <w:rFonts w:ascii="Arial" w:cs="Arial" w:eastAsia="Arial" w:hAnsi="Arial"/>
          <w:sz w:val="18"/>
          <w:szCs w:val="18"/>
          <w:color w:val="auto"/>
        </w:rPr>
        <w:t>To the extent our current taxable earnings for a year fall below the total amount of our distributions for that year, a portion of those distributions may be deemed a return of capital to our stockholders for U.S. federal income tax purposes. Thus, the source of a distribution to our stockholders may be the original capital invested by the stockholder rather than our income or gains. Stockholders should read any written disclosure carefully and should not assume that the source of any distribution is our ordinary income or gains.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64" w:name="page65"/>
    <w:bookmarkEnd w:id="64"/>
    <w:p>
      <w:pPr>
        <w:ind w:right="200" w:firstLine="259"/>
        <w:spacing w:after="0" w:line="279" w:lineRule="auto"/>
        <w:rPr>
          <w:sz w:val="20"/>
          <w:szCs w:val="20"/>
          <w:color w:val="auto"/>
        </w:rPr>
      </w:pPr>
      <w:r>
        <w:rPr>
          <w:rFonts w:ascii="Arial" w:cs="Arial" w:eastAsia="Arial" w:hAnsi="Arial"/>
          <w:sz w:val="17"/>
          <w:szCs w:val="17"/>
          <w:color w:val="auto"/>
        </w:rPr>
        <w:t>We have adopted an “opt out” dividend reinvestment plan for our common stockholders. As a result, if we declare a cash dividend or other distribution, each stockholder that has not “opted out” of our dividend reinvestment plan will have their dividends or distributions automatically reinvested in additional shares of our common stock rather than receiving cash dividends. Stockholders who receive distributions in the form of shares of common stock will be subject to the same U.S. federal, state and local tax consequences as if they received cash distributions.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Related-Party Transactions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have entered into a number of business relationships with affiliated or related parties, including the following:</w:t>
      </w:r>
    </w:p>
    <w:p>
      <w:pPr>
        <w:spacing w:after="0" w:line="117" w:lineRule="exact"/>
        <w:rPr>
          <w:sz w:val="20"/>
          <w:szCs w:val="20"/>
          <w:color w:val="auto"/>
        </w:rPr>
      </w:pPr>
    </w:p>
    <w:p>
      <w:pPr>
        <w:ind w:left="520" w:hanging="255"/>
        <w:spacing w:after="0"/>
        <w:tabs>
          <w:tab w:leader="none" w:pos="5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Investment Advisory Agreement;</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Administration Agreement; and</w:t>
      </w:r>
    </w:p>
    <w:p>
      <w:pPr>
        <w:spacing w:after="0" w:line="117" w:lineRule="exact"/>
        <w:rPr>
          <w:rFonts w:ascii="Arial" w:cs="Arial" w:eastAsia="Arial" w:hAnsi="Arial"/>
          <w:sz w:val="18"/>
          <w:szCs w:val="18"/>
          <w:color w:val="auto"/>
        </w:rPr>
      </w:pPr>
    </w:p>
    <w:p>
      <w:pPr>
        <w:ind w:left="520" w:right="100" w:hanging="255"/>
        <w:spacing w:after="0" w:line="264" w:lineRule="auto"/>
        <w:tabs>
          <w:tab w:leader="none" w:pos="5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license agreement with an affiliate of TPG under which the affiliate granted us a non-exclusive license to use the TPG name and logo, for a nominal fee, for so long as the Adviser or one of its affiliates remains our investment adviser. Other than with respect to this limited license, we have no legal right to the “TPG” name or logo.</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120" w:firstLine="259"/>
        <w:spacing w:after="0" w:line="302" w:lineRule="auto"/>
        <w:rPr>
          <w:sz w:val="20"/>
          <w:szCs w:val="20"/>
          <w:color w:val="auto"/>
        </w:rPr>
      </w:pPr>
      <w:r>
        <w:rPr>
          <w:rFonts w:ascii="Arial" w:cs="Arial" w:eastAsia="Arial" w:hAnsi="Arial"/>
          <w:sz w:val="16"/>
          <w:szCs w:val="16"/>
          <w:color w:val="auto"/>
        </w:rPr>
        <w:t>The preparation of our consolidated financial statements requires us to make estimates and assumptions that affect the reported amounts of assets, liabilities, revenues, and expenses. Changes in the economic environment, financial markets, and any other parameters used in determining such estimates could cause actual results to differ. Our critical accounting policies, including those relating to the valuation of our investment portfolio, are described in our Annual Report on Form 10-K for the year ended December 31, 2018, filed with the SEC on February 20, 2019, and elsewhere in our filings with the SEC.</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are subject to financial market risks, including valuation risk, interest rate risk and currency risk.</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Risk</w:t>
      </w:r>
    </w:p>
    <w:p>
      <w:pPr>
        <w:spacing w:after="0" w:line="117" w:lineRule="exact"/>
        <w:rPr>
          <w:sz w:val="20"/>
          <w:szCs w:val="20"/>
          <w:color w:val="auto"/>
        </w:rPr>
      </w:pPr>
    </w:p>
    <w:p>
      <w:pPr>
        <w:ind w:right="60" w:firstLine="259"/>
        <w:spacing w:after="0" w:line="255" w:lineRule="auto"/>
        <w:rPr>
          <w:sz w:val="20"/>
          <w:szCs w:val="20"/>
          <w:color w:val="auto"/>
        </w:rPr>
      </w:pPr>
      <w:r>
        <w:rPr>
          <w:rFonts w:ascii="Arial" w:cs="Arial" w:eastAsia="Arial" w:hAnsi="Arial"/>
          <w:sz w:val="18"/>
          <w:szCs w:val="18"/>
          <w:color w:val="auto"/>
        </w:rPr>
        <w:t>We have invested, and plan to continue to invest, primarily in illiquid debt and equity securities of private companies. Most of our investments will not have a readily available market price, and we value these investments at fair value as determined in good faith by our Board in accordance with our valuation policy. There is no single standard for determining fair value. As a result, determining fair value requires that judgment be applied to the specific facts and circumstances of each portfolio investment while employing a consistently applied valuation process for the types of investments we make. If we were required to liquidate a portfolio investment in a forced or liquidation sale, we may realize amounts that are different from the amounts presented and such differences could be material.</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firstLine="259"/>
        <w:spacing w:after="0" w:line="312" w:lineRule="auto"/>
        <w:rPr>
          <w:sz w:val="20"/>
          <w:szCs w:val="20"/>
          <w:color w:val="auto"/>
        </w:rPr>
      </w:pPr>
      <w:r>
        <w:rPr>
          <w:rFonts w:ascii="Arial" w:cs="Arial" w:eastAsia="Arial" w:hAnsi="Arial"/>
          <w:sz w:val="16"/>
          <w:szCs w:val="16"/>
          <w:color w:val="auto"/>
        </w:rPr>
        <w:t>Interest rate sensitivity refers to the change in earnings that may result from changes in the level of interest rates. We also fund portions of our investments with borrowings. Our net investment income is affected by the difference between the rate at which we invest and the rate at which we borrow. Accordingly, we cannot assure you that a significant change in market interest rates will not have a material adverse effect on our net investment income.</w:t>
      </w:r>
    </w:p>
    <w:p>
      <w:pPr>
        <w:spacing w:after="0" w:line="147" w:lineRule="exact"/>
        <w:rPr>
          <w:sz w:val="20"/>
          <w:szCs w:val="20"/>
          <w:color w:val="auto"/>
        </w:rPr>
      </w:pPr>
    </w:p>
    <w:p>
      <w:pPr>
        <w:ind w:right="700" w:firstLine="259"/>
        <w:spacing w:after="0" w:line="264" w:lineRule="auto"/>
        <w:rPr>
          <w:sz w:val="20"/>
          <w:szCs w:val="20"/>
          <w:color w:val="auto"/>
        </w:rPr>
      </w:pPr>
      <w:r>
        <w:rPr>
          <w:rFonts w:ascii="Arial" w:cs="Arial" w:eastAsia="Arial" w:hAnsi="Arial"/>
          <w:sz w:val="18"/>
          <w:szCs w:val="18"/>
          <w:color w:val="auto"/>
        </w:rPr>
        <w:t>We regularly measure our exposure to interest rate risk. We assess interest rate risk and manage our interest rate exposure on an ongoing basis by comparing our interest rate-sensitive assets to our interest rate-sensitive liabilities. Based on that review, we determine whether or not any hedging transactions are necessary to mitigate exposure to changes in interest rates.</w:t>
      </w:r>
    </w:p>
    <w:p>
      <w:pPr>
        <w:spacing w:after="0" w:line="181" w:lineRule="exact"/>
        <w:rPr>
          <w:sz w:val="20"/>
          <w:szCs w:val="20"/>
          <w:color w:val="auto"/>
        </w:rPr>
      </w:pPr>
    </w:p>
    <w:p>
      <w:pPr>
        <w:ind w:right="340" w:firstLine="259"/>
        <w:spacing w:after="0" w:line="259" w:lineRule="auto"/>
        <w:rPr>
          <w:sz w:val="20"/>
          <w:szCs w:val="20"/>
          <w:color w:val="auto"/>
        </w:rPr>
      </w:pPr>
      <w:r>
        <w:rPr>
          <w:rFonts w:ascii="Arial" w:cs="Arial" w:eastAsia="Arial" w:hAnsi="Arial"/>
          <w:sz w:val="18"/>
          <w:szCs w:val="18"/>
          <w:color w:val="auto"/>
        </w:rPr>
        <w:t>As of March 31, 2019, 99.7% of our debt investments based on fair value in our portfolio bore interest at floating rates (when including investment specific hedges), with 93.9% of these subject to interest rate floors. Our credit facilities also bear interest at floating rates, and in connection with our Convertible Notes and 2023 Notes, which bear interest at fixed rates, we entered into fixed-to-floating interest rate swaps in order to continue to align the interest rates of our liabilities with our investment portfolio.</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65" w:name="page66"/>
    <w:bookmarkEnd w:id="65"/>
    <w:p>
      <w:pPr>
        <w:jc w:val="both"/>
        <w:ind w:right="60" w:firstLine="259"/>
        <w:spacing w:after="0" w:line="264" w:lineRule="auto"/>
        <w:rPr>
          <w:sz w:val="20"/>
          <w:szCs w:val="20"/>
          <w:color w:val="auto"/>
        </w:rPr>
      </w:pPr>
      <w:r>
        <w:rPr>
          <w:rFonts w:ascii="Arial" w:cs="Arial" w:eastAsia="Arial" w:hAnsi="Arial"/>
          <w:sz w:val="18"/>
          <w:szCs w:val="18"/>
          <w:color w:val="auto"/>
        </w:rPr>
        <w:t>Assuming that our consolidated balance sheet as of March 31, 2019 were to remain constant and that we took no actions to alter our existing interest rate sensitivity, the following table shows the annualized impact of hypothetical base rate changes in interest rates (considering interest rate floors for floating rate instruments):</w:t>
      </w:r>
    </w:p>
    <w:p>
      <w:pPr>
        <w:spacing w:after="0" w:line="18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280" w:type="dxa"/>
            <w:vAlign w:val="bottom"/>
            <w:gridSpan w:val="2"/>
          </w:tcPr>
          <w:p>
            <w:pPr>
              <w:spacing w:after="0"/>
              <w:rPr>
                <w:sz w:val="20"/>
                <w:szCs w:val="20"/>
                <w:color w:val="auto"/>
              </w:rPr>
            </w:pPr>
            <w:r>
              <w:rPr>
                <w:rFonts w:ascii="Arial" w:cs="Arial" w:eastAsia="Arial" w:hAnsi="Arial"/>
                <w:sz w:val="14"/>
                <w:szCs w:val="14"/>
                <w:color w:val="auto"/>
              </w:rPr>
              <w:t>($ in millions)</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5280" w:type="dxa"/>
            <w:vAlign w:val="bottom"/>
            <w:gridSpan w:val="2"/>
          </w:tcPr>
          <w:p>
            <w:pPr>
              <w:spacing w:after="0"/>
              <w:rPr>
                <w:sz w:val="20"/>
                <w:szCs w:val="20"/>
                <w:color w:val="auto"/>
              </w:rPr>
            </w:pPr>
            <w:r>
              <w:rPr>
                <w:rFonts w:ascii="Arial" w:cs="Arial" w:eastAsia="Arial" w:hAnsi="Arial"/>
                <w:sz w:val="14"/>
                <w:szCs w:val="14"/>
                <w:b w:val="1"/>
                <w:bCs w:val="1"/>
                <w:color w:val="auto"/>
              </w:rPr>
              <w:t>Basis Point Change</w:t>
            </w:r>
          </w:p>
        </w:tc>
        <w:tc>
          <w:tcPr>
            <w:tcW w:w="120" w:type="dxa"/>
            <w:vAlign w:val="bottom"/>
          </w:tcPr>
          <w:p>
            <w:pPr>
              <w:spacing w:after="0"/>
              <w:rPr>
                <w:sz w:val="14"/>
                <w:szCs w:val="14"/>
                <w:color w:val="auto"/>
              </w:rPr>
            </w:pPr>
          </w:p>
        </w:tc>
        <w:tc>
          <w:tcPr>
            <w:tcW w:w="120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6"/>
              </w:rPr>
              <w:t>Interest Income</w:t>
            </w:r>
          </w:p>
        </w:tc>
        <w:tc>
          <w:tcPr>
            <w:tcW w:w="80" w:type="dxa"/>
            <w:vAlign w:val="bottom"/>
          </w:tcPr>
          <w:p>
            <w:pPr>
              <w:spacing w:after="0"/>
              <w:rPr>
                <w:sz w:val="14"/>
                <w:szCs w:val="14"/>
                <w:color w:val="auto"/>
              </w:rPr>
            </w:pPr>
          </w:p>
        </w:tc>
        <w:tc>
          <w:tcPr>
            <w:tcW w:w="1220" w:type="dxa"/>
            <w:vAlign w:val="bottom"/>
            <w:gridSpan w:val="3"/>
          </w:tcPr>
          <w:p>
            <w:pPr>
              <w:ind w:left="20"/>
              <w:spacing w:after="0"/>
              <w:rPr>
                <w:sz w:val="20"/>
                <w:szCs w:val="20"/>
                <w:color w:val="auto"/>
              </w:rPr>
            </w:pPr>
            <w:r>
              <w:rPr>
                <w:rFonts w:ascii="Arial" w:cs="Arial" w:eastAsia="Arial" w:hAnsi="Arial"/>
                <w:sz w:val="14"/>
                <w:szCs w:val="14"/>
                <w:b w:val="1"/>
                <w:bCs w:val="1"/>
                <w:color w:val="auto"/>
              </w:rPr>
              <w:t>Interest Expense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8"/>
              </w:rPr>
              <w:t>Net Income</w:t>
            </w:r>
          </w:p>
        </w:tc>
      </w:tr>
      <w:tr>
        <w:trPr>
          <w:trHeight w:val="223"/>
        </w:trPr>
        <w:tc>
          <w:tcPr>
            <w:tcW w:w="20" w:type="dxa"/>
            <w:vAlign w:val="bottom"/>
          </w:tcPr>
          <w:p>
            <w:pPr>
              <w:spacing w:after="0"/>
              <w:rPr>
                <w:sz w:val="19"/>
                <w:szCs w:val="19"/>
                <w:color w:val="auto"/>
              </w:rPr>
            </w:pPr>
          </w:p>
        </w:tc>
        <w:tc>
          <w:tcPr>
            <w:tcW w:w="52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Up 300 basis points</w:t>
            </w:r>
          </w:p>
        </w:tc>
        <w:tc>
          <w:tcPr>
            <w:tcW w:w="12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jc w:val="right"/>
              <w:ind w:right="26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53.3</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22.3</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31.0</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Up 200 basis points</w:t>
            </w:r>
          </w:p>
        </w:tc>
        <w:tc>
          <w:tcPr>
            <w:tcW w:w="540" w:type="dxa"/>
            <w:vAlign w:val="bottom"/>
            <w:gridSpan w:val="2"/>
          </w:tcPr>
          <w:p>
            <w:pPr>
              <w:jc w:val="right"/>
              <w:ind w:right="267"/>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35.6</w:t>
            </w:r>
          </w:p>
        </w:tc>
        <w:tc>
          <w:tcPr>
            <w:tcW w:w="120" w:type="dxa"/>
            <w:vAlign w:val="bottom"/>
          </w:tcPr>
          <w:p>
            <w:pPr>
              <w:spacing w:after="0"/>
              <w:rPr>
                <w:sz w:val="19"/>
                <w:szCs w:val="19"/>
                <w:color w:val="auto"/>
              </w:rPr>
            </w:pPr>
          </w:p>
        </w:tc>
        <w:tc>
          <w:tcPr>
            <w:tcW w:w="5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14.9</w:t>
            </w:r>
          </w:p>
        </w:tc>
        <w:tc>
          <w:tcPr>
            <w:tcW w:w="14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20.7</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Up 100 basis points</w:t>
            </w:r>
          </w:p>
        </w:tc>
        <w:tc>
          <w:tcPr>
            <w:tcW w:w="540" w:type="dxa"/>
            <w:vAlign w:val="bottom"/>
            <w:gridSpan w:val="2"/>
            <w:shd w:val="clear" w:color="auto" w:fill="CFF0FC"/>
          </w:tcPr>
          <w:p>
            <w:pPr>
              <w:jc w:val="right"/>
              <w:ind w:right="267"/>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w:t>
            </w:r>
          </w:p>
        </w:tc>
        <w:tc>
          <w:tcPr>
            <w:tcW w:w="120" w:type="dxa"/>
            <w:vAlign w:val="bottom"/>
            <w:shd w:val="clear" w:color="auto" w:fill="CFF0FC"/>
          </w:tcPr>
          <w:p>
            <w:pPr>
              <w:spacing w:after="0"/>
              <w:rPr>
                <w:sz w:val="19"/>
                <w:szCs w:val="19"/>
                <w:color w:val="auto"/>
              </w:rPr>
            </w:pPr>
          </w:p>
        </w:tc>
        <w:tc>
          <w:tcPr>
            <w:tcW w:w="50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14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Down 25 basis points</w:t>
            </w:r>
          </w:p>
        </w:tc>
        <w:tc>
          <w:tcPr>
            <w:tcW w:w="540" w:type="dxa"/>
            <w:vAlign w:val="bottom"/>
            <w:gridSpan w:val="2"/>
          </w:tcPr>
          <w:p>
            <w:pPr>
              <w:jc w:val="right"/>
              <w:ind w:right="267"/>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(4.5)</w:t>
            </w:r>
          </w:p>
        </w:tc>
        <w:tc>
          <w:tcPr>
            <w:tcW w:w="5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r>
    </w:tbl>
    <w:p>
      <w:pPr>
        <w:spacing w:after="0" w:line="241" w:lineRule="exact"/>
        <w:rPr>
          <w:sz w:val="20"/>
          <w:szCs w:val="20"/>
          <w:color w:val="auto"/>
        </w:rPr>
      </w:pPr>
    </w:p>
    <w:p>
      <w:pPr>
        <w:ind w:right="220" w:firstLine="259"/>
        <w:spacing w:after="0" w:line="264" w:lineRule="auto"/>
        <w:rPr>
          <w:sz w:val="20"/>
          <w:szCs w:val="20"/>
          <w:color w:val="auto"/>
        </w:rPr>
      </w:pPr>
      <w:r>
        <w:rPr>
          <w:rFonts w:ascii="Arial" w:cs="Arial" w:eastAsia="Arial" w:hAnsi="Arial"/>
          <w:sz w:val="18"/>
          <w:szCs w:val="18"/>
          <w:color w:val="auto"/>
        </w:rPr>
        <w:t>Although we believe that this analysis is indicative of our existing sensitivity to interest rate changes, it does not adjust for changes in the credit market, credit quality, the size and composition of the assets in our portfolio and other business developments that could affect our net income. Accordingly, we cannot assure you that actual results would not differ materially from the analysis above.</w:t>
      </w:r>
    </w:p>
    <w:p>
      <w:pPr>
        <w:spacing w:after="0" w:line="181" w:lineRule="exact"/>
        <w:rPr>
          <w:sz w:val="20"/>
          <w:szCs w:val="20"/>
          <w:color w:val="auto"/>
        </w:rPr>
      </w:pPr>
    </w:p>
    <w:p>
      <w:pPr>
        <w:ind w:right="80" w:firstLine="259"/>
        <w:spacing w:after="0" w:line="259" w:lineRule="auto"/>
        <w:rPr>
          <w:sz w:val="20"/>
          <w:szCs w:val="20"/>
          <w:color w:val="auto"/>
        </w:rPr>
      </w:pPr>
      <w:r>
        <w:rPr>
          <w:rFonts w:ascii="Arial" w:cs="Arial" w:eastAsia="Arial" w:hAnsi="Arial"/>
          <w:sz w:val="18"/>
          <w:szCs w:val="18"/>
          <w:color w:val="auto"/>
        </w:rPr>
        <w:t>We may in the future hedge against interest rate fluctuations by using hedging instruments such as additional interest rate swaps, futures, options and forward contracts. While hedging activities may mitigate our exposure to adverse fluctuations in interest rates, certain hedging transactions that we may enter into in the future, such as interest rate swap agreements, may also limit our ability to participate in the benefits of changes in interest rates with respect to our portfolio investments.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Currency Risk</w:t>
      </w:r>
    </w:p>
    <w:p>
      <w:pPr>
        <w:spacing w:after="0" w:line="117" w:lineRule="exact"/>
        <w:rPr>
          <w:sz w:val="20"/>
          <w:szCs w:val="20"/>
          <w:color w:val="auto"/>
        </w:rPr>
      </w:pPr>
    </w:p>
    <w:p>
      <w:pPr>
        <w:ind w:right="120" w:firstLine="259"/>
        <w:spacing w:after="0" w:line="271" w:lineRule="auto"/>
        <w:rPr>
          <w:sz w:val="20"/>
          <w:szCs w:val="20"/>
          <w:color w:val="auto"/>
        </w:rPr>
      </w:pPr>
      <w:r>
        <w:rPr>
          <w:rFonts w:ascii="Arial" w:cs="Arial" w:eastAsia="Arial" w:hAnsi="Arial"/>
          <w:sz w:val="17"/>
          <w:szCs w:val="17"/>
          <w:color w:val="auto"/>
        </w:rPr>
        <w:t>From time to time, we may make investments that are denominated in a foreign currency. These investments are translated into U.S. dollars at each balance sheet date, exposing us to movements in foreign exchange rates. We may employ hedging techniques to minimize these risks, but we cannot assure you that such strategies will be effective or without risk to us. We may seek to utilize instruments such as, but not limited to, forward contracts to seek to hedge against fluctuations in the relative values of our portfolio positions from changes in currency exchange rates. We also have the ability to borrow in certain foreign currencies under our Revolving Credit Facility. Instead of entering into a foreign exchange forward contract in connection with loans or other investments we have made that are denominated in a foreign currency, we may borrow in that currency to establish a natural hedge against our loan or investment. To the extent the loan or investment is based on a floating rate other than a rate under which we can borrow under our Revolving Credit Facility, we may seek to utilize interest rate derivatives to hedge our exposure to changes in the associated rate.</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firstLine="259"/>
        <w:spacing w:after="0" w:line="276" w:lineRule="auto"/>
        <w:rPr>
          <w:sz w:val="20"/>
          <w:szCs w:val="20"/>
          <w:color w:val="auto"/>
        </w:rPr>
      </w:pPr>
      <w:r>
        <w:rPr>
          <w:rFonts w:ascii="Arial" w:cs="Arial" w:eastAsia="Arial" w:hAnsi="Arial"/>
          <w:sz w:val="17"/>
          <w:szCs w:val="17"/>
          <w:b w:val="1"/>
          <w:bCs w:val="1"/>
          <w:i w:val="1"/>
          <w:iCs w:val="1"/>
          <w:color w:val="auto"/>
        </w:rPr>
        <w:t xml:space="preserve">Evaluation of Disclosure Controls and Procedures. </w:t>
      </w:r>
      <w:r>
        <w:rPr>
          <w:rFonts w:ascii="Arial" w:cs="Arial" w:eastAsia="Arial" w:hAnsi="Arial"/>
          <w:sz w:val="17"/>
          <w:szCs w:val="17"/>
          <w:color w:val="auto"/>
        </w:rPr>
        <w:t>As of the end of the period covered by this report, we carried out an evaluation, under the supervision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with the participation of our management, including our Chief Executive Officer and Chief Financial Officer, of the effectiveness of the design and operation of our disclosure controls and procedures (as defined in Rule 13a-15 under the Exchange Act). Based on that evaluation, our Chief Executive Officer and Chief Financial Officer have concluded that our current disclosure controls and procedures are effective in timely alerting them to material information relating to us that is required to be disclosed by us in the reports we file or submit under the Exchange Act.</w:t>
      </w:r>
    </w:p>
    <w:p>
      <w:pPr>
        <w:spacing w:after="0" w:line="173" w:lineRule="exact"/>
        <w:rPr>
          <w:sz w:val="20"/>
          <w:szCs w:val="20"/>
          <w:color w:val="auto"/>
        </w:rPr>
      </w:pPr>
    </w:p>
    <w:p>
      <w:pPr>
        <w:ind w:right="120" w:firstLine="259"/>
        <w:spacing w:after="0" w:line="264" w:lineRule="auto"/>
        <w:rPr>
          <w:sz w:val="20"/>
          <w:szCs w:val="20"/>
          <w:color w:val="auto"/>
        </w:rPr>
      </w:pPr>
      <w:r>
        <w:rPr>
          <w:rFonts w:ascii="Arial" w:cs="Arial" w:eastAsia="Arial" w:hAnsi="Arial"/>
          <w:sz w:val="18"/>
          <w:szCs w:val="18"/>
          <w:b w:val="1"/>
          <w:bCs w:val="1"/>
          <w:i w:val="1"/>
          <w:iCs w:val="1"/>
          <w:color w:val="auto"/>
        </w:rPr>
        <w:t xml:space="preserve">Changes in Internal Control over Financial Reporting. </w:t>
      </w:r>
      <w:r>
        <w:rPr>
          <w:rFonts w:ascii="Arial" w:cs="Arial" w:eastAsia="Arial" w:hAnsi="Arial"/>
          <w:sz w:val="18"/>
          <w:szCs w:val="18"/>
          <w:color w:val="auto"/>
        </w:rPr>
        <w:t>There have been no changes in our internal control over financial reporting that occurred during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most recently completed fiscal quarter that have materially affected, or are reasonably likely to materially affect, our internal control over financial reporting.</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80" w:firstLine="259"/>
        <w:spacing w:after="0" w:line="264" w:lineRule="auto"/>
        <w:rPr>
          <w:sz w:val="20"/>
          <w:szCs w:val="20"/>
          <w:color w:val="auto"/>
        </w:rPr>
      </w:pPr>
      <w:r>
        <w:rPr>
          <w:rFonts w:ascii="Arial" w:cs="Arial" w:eastAsia="Arial" w:hAnsi="Arial"/>
          <w:sz w:val="18"/>
          <w:szCs w:val="18"/>
          <w:color w:val="auto"/>
        </w:rPr>
        <w:t>From time to time, we may be a party to certain legal proceedings in the ordinary course of business, including proceedings relating to the enforcement of our rights under loans to or other contracts with our portfolio companies. We are not currently subject to any material legal proceedings, nor, to our knowledge, is any material legal proceeding threatened against us.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20" w:firstLine="259"/>
        <w:spacing w:after="0" w:line="302" w:lineRule="auto"/>
        <w:rPr>
          <w:sz w:val="20"/>
          <w:szCs w:val="20"/>
          <w:color w:val="auto"/>
        </w:rPr>
      </w:pPr>
      <w:r>
        <w:rPr>
          <w:rFonts w:ascii="Arial" w:cs="Arial" w:eastAsia="Arial" w:hAnsi="Arial"/>
          <w:sz w:val="16"/>
          <w:szCs w:val="16"/>
          <w:color w:val="auto"/>
        </w:rPr>
        <w:t>In addition to the other information set forth in this report, you should carefully consider the risk factors discussed in Part I, “Item 1A. Risk Factors” in our Annual Report on Form 10-K for the fiscal year ended December 31, 2018 and the risk factors set forth below, which could materially affect our business, financial condition and/or operating results. These risks are not the only risks facing our Company. Additional risks and uncertainties not currently known to us or that we currently deem to be immaterial also may materially and adversely affect our business, financial condition and/or operating results.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Legislation allows us to incur additional leverage.</w:t>
      </w:r>
    </w:p>
    <w:p>
      <w:pPr>
        <w:spacing w:after="0" w:line="117" w:lineRule="exact"/>
        <w:rPr>
          <w:sz w:val="20"/>
          <w:szCs w:val="20"/>
          <w:color w:val="auto"/>
        </w:rPr>
      </w:pPr>
    </w:p>
    <w:p>
      <w:pPr>
        <w:ind w:right="260" w:firstLine="259"/>
        <w:spacing w:after="0" w:line="302" w:lineRule="auto"/>
        <w:rPr>
          <w:sz w:val="20"/>
          <w:szCs w:val="20"/>
          <w:color w:val="auto"/>
        </w:rPr>
      </w:pPr>
      <w:r>
        <w:rPr>
          <w:rFonts w:ascii="Arial" w:cs="Arial" w:eastAsia="Arial" w:hAnsi="Arial"/>
          <w:sz w:val="16"/>
          <w:szCs w:val="16"/>
          <w:color w:val="auto"/>
        </w:rPr>
        <w:t>Under the 1940 Act, a BDC generally is not permitted to incur borrowings, issue debt securities or issue preferred stock unless immediately after the borrowing or issuance the ratio of total assets (less total liabilities other than indebtedness) to total indebtedness plus preferred stock is at least 200%. However, under the SBCAA, which became law in March 2018, BDCs have the ability to elect to become subject to a lower asset coverage requirement of 150%, subject to the receipt of the requisite board or stockholder approvals under the SBCAA and satisfaction of certain other conditions.</w:t>
      </w:r>
    </w:p>
    <w:p>
      <w:pPr>
        <w:spacing w:after="0" w:line="154" w:lineRule="exact"/>
        <w:rPr>
          <w:sz w:val="20"/>
          <w:szCs w:val="20"/>
          <w:color w:val="auto"/>
        </w:rPr>
      </w:pPr>
    </w:p>
    <w:p>
      <w:pPr>
        <w:ind w:right="100" w:firstLine="259"/>
        <w:spacing w:after="0" w:line="279" w:lineRule="auto"/>
        <w:rPr>
          <w:sz w:val="20"/>
          <w:szCs w:val="20"/>
          <w:color w:val="auto"/>
        </w:rPr>
      </w:pPr>
      <w:r>
        <w:rPr>
          <w:rFonts w:ascii="Arial" w:cs="Arial" w:eastAsia="Arial" w:hAnsi="Arial"/>
          <w:sz w:val="17"/>
          <w:szCs w:val="17"/>
          <w:color w:val="auto"/>
        </w:rPr>
        <w:t>On October 8, 2018, our stockholders approved the application of the minimum asset coverage ratio of 150% to us, as set forth in Section 61(a) (2) of the 1940 Act, as amended by the SBCAA. As a result and subject to certain additional disclosure requirements, as of October 9, 2018, our minimum asset coverage ratio was reduced from 200% to 150%. In other words, pursuant to Section 61(a) of the 1940 Act, as amended by the SBCAA, we are permitted to potentially increase our maximum debt-to-equity ratio from an effective level of one-to-one to two-to-one.</w:t>
      </w:r>
    </w:p>
    <w:p>
      <w:pPr>
        <w:spacing w:after="0" w:line="171" w:lineRule="exact"/>
        <w:rPr>
          <w:sz w:val="20"/>
          <w:szCs w:val="20"/>
          <w:color w:val="auto"/>
        </w:rPr>
      </w:pPr>
    </w:p>
    <w:p>
      <w:pPr>
        <w:ind w:right="80" w:firstLine="259"/>
        <w:spacing w:after="0" w:line="277" w:lineRule="auto"/>
        <w:rPr>
          <w:sz w:val="20"/>
          <w:szCs w:val="20"/>
          <w:color w:val="auto"/>
        </w:rPr>
      </w:pPr>
      <w:r>
        <w:rPr>
          <w:rFonts w:ascii="Arial" w:cs="Arial" w:eastAsia="Arial" w:hAnsi="Arial"/>
          <w:sz w:val="18"/>
          <w:szCs w:val="18"/>
          <w:color w:val="auto"/>
        </w:rPr>
        <w:t>As a result, you may face increased investment risk. We may not be able to implement our strategy to utilize additional leverage successfully. Any impact on returns or equity or our business associated with additional leverage may not outweigh the additional risk.</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our common stock by us under the Company 10b5-1 Plan may result in dilution to our net asset value per share.</w:t>
      </w:r>
    </w:p>
    <w:p>
      <w:pPr>
        <w:spacing w:after="0" w:line="117" w:lineRule="exact"/>
        <w:rPr>
          <w:sz w:val="20"/>
          <w:szCs w:val="20"/>
          <w:color w:val="auto"/>
        </w:rPr>
      </w:pPr>
    </w:p>
    <w:p>
      <w:pPr>
        <w:ind w:firstLine="259"/>
        <w:spacing w:after="0" w:line="273" w:lineRule="auto"/>
        <w:rPr>
          <w:sz w:val="20"/>
          <w:szCs w:val="20"/>
          <w:color w:val="auto"/>
        </w:rPr>
      </w:pPr>
      <w:r>
        <w:rPr>
          <w:rFonts w:ascii="Arial" w:cs="Arial" w:eastAsia="Arial" w:hAnsi="Arial"/>
          <w:sz w:val="17"/>
          <w:szCs w:val="17"/>
          <w:color w:val="auto"/>
        </w:rPr>
        <w:t>On May 2, 2019, the Board authorized an amendment to the Company 10b5-1 Plan to, among other things, revise the market prices at which Goldman Sachs &amp; Co. LLC, as our agent, is required to repurchase shares of common stock on our behalf from just below our most recently reported net asset value per share to just below 1.05 times the most recently reported net asset value per share, less the amount of any supplemental dividend declared for that quarter but not yet reflected in the most recently reported net asset value per share (including any updates, corrections or adjustments publicly announced by us to any previously announced net asset value per share or supplemental dividend). Under the Company 10b5-1 Plan, the agent will increase the volume of purchases made as the price of our common stock declines, subject to volume restrictions.</w:t>
      </w:r>
    </w:p>
    <w:p>
      <w:pPr>
        <w:spacing w:after="0" w:line="178" w:lineRule="exact"/>
        <w:rPr>
          <w:sz w:val="20"/>
          <w:szCs w:val="20"/>
          <w:color w:val="auto"/>
        </w:rPr>
      </w:pPr>
    </w:p>
    <w:p>
      <w:pPr>
        <w:jc w:val="both"/>
        <w:ind w:right="200" w:firstLine="259"/>
        <w:spacing w:after="0" w:line="264" w:lineRule="auto"/>
        <w:rPr>
          <w:sz w:val="20"/>
          <w:szCs w:val="20"/>
          <w:color w:val="auto"/>
        </w:rPr>
      </w:pPr>
      <w:r>
        <w:rPr>
          <w:rFonts w:ascii="Arial" w:cs="Arial" w:eastAsia="Arial" w:hAnsi="Arial"/>
          <w:sz w:val="18"/>
          <w:szCs w:val="18"/>
          <w:color w:val="auto"/>
        </w:rPr>
        <w:t>Dilution to our net asset value per share will occur if we purchase shares of our common stock at a price above the net asset value per share, as it would cause a proportionately smaller increase in our stockholders’ interest in our earnings and assets and their voting interest in us than the decrease in our assets resulting from such repurchase.</w:t>
      </w:r>
    </w:p>
    <w:p>
      <w:pPr>
        <w:spacing w:after="0" w:line="181" w:lineRule="exact"/>
        <w:rPr>
          <w:sz w:val="20"/>
          <w:szCs w:val="20"/>
          <w:color w:val="auto"/>
        </w:rPr>
      </w:pPr>
    </w:p>
    <w:p>
      <w:pPr>
        <w:ind w:right="400" w:firstLine="259"/>
        <w:spacing w:after="0" w:line="257" w:lineRule="auto"/>
        <w:rPr>
          <w:sz w:val="20"/>
          <w:szCs w:val="20"/>
          <w:color w:val="auto"/>
        </w:rPr>
      </w:pPr>
      <w:r>
        <w:rPr>
          <w:rFonts w:ascii="Arial" w:cs="Arial" w:eastAsia="Arial" w:hAnsi="Arial"/>
          <w:sz w:val="18"/>
          <w:szCs w:val="18"/>
          <w:color w:val="auto"/>
        </w:rPr>
        <w:t xml:space="preserve">As a </w:t>
      </w:r>
      <w:r>
        <w:rPr>
          <w:rFonts w:ascii="Arial" w:cs="Arial" w:eastAsia="Arial" w:hAnsi="Arial"/>
          <w:sz w:val="17"/>
          <w:szCs w:val="17"/>
          <w:color w:val="auto"/>
        </w:rPr>
        <w:t>result of any such dilution, our market price per share may decline. The actual dilutive effect will depend on the number of shares of common stock that</w:t>
      </w:r>
      <w:r>
        <w:rPr>
          <w:rFonts w:ascii="Arial" w:cs="Arial" w:eastAsia="Arial" w:hAnsi="Arial"/>
          <w:sz w:val="18"/>
          <w:szCs w:val="18"/>
          <w:color w:val="auto"/>
        </w:rPr>
        <w:t xml:space="preserve"> </w:t>
      </w:r>
      <w:r>
        <w:rPr>
          <w:rFonts w:ascii="Arial" w:cs="Arial" w:eastAsia="Arial" w:hAnsi="Arial"/>
          <w:sz w:val="17"/>
          <w:szCs w:val="17"/>
          <w:color w:val="auto"/>
        </w:rPr>
        <w:t>could be so repurchased, the price and the timing of any repurchases under the Company 10b5-1 Plan.</w:t>
      </w:r>
    </w:p>
    <w:p>
      <w:pPr>
        <w:spacing w:after="0" w:line="191"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i w:val="1"/>
          <w:iCs w:val="1"/>
          <w:color w:val="auto"/>
        </w:rPr>
        <w:t>In addition, pursuant to Section 61(a)(2)(C)(ii) of the 1940 Act, the principal risk factors associated with our senior securities are set forth below. However, since we already use leverage in optimizing our investment portfolio, the principal risk factors associated with our senior securities do not represent material changes to the risk factors previously disclosed in our Annual Report on Form 10-K for the fiscal year ended December 31, 2018.</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i w:val="1"/>
          <w:iCs w:val="1"/>
          <w:color w:val="auto"/>
        </w:rPr>
        <w:t>Regulations governing our operation as a BDC affect our ability to, and the way in which we, raise additional capital.</w:t>
      </w:r>
    </w:p>
    <w:p>
      <w:pPr>
        <w:spacing w:after="0" w:line="117" w:lineRule="exact"/>
        <w:rPr>
          <w:sz w:val="20"/>
          <w:szCs w:val="20"/>
          <w:color w:val="auto"/>
        </w:rPr>
      </w:pPr>
    </w:p>
    <w:p>
      <w:pPr>
        <w:ind w:right="360" w:firstLine="259"/>
        <w:spacing w:after="0" w:line="259" w:lineRule="auto"/>
        <w:rPr>
          <w:sz w:val="20"/>
          <w:szCs w:val="20"/>
          <w:color w:val="auto"/>
        </w:rPr>
      </w:pPr>
      <w:r>
        <w:rPr>
          <w:rFonts w:ascii="Arial" w:cs="Arial" w:eastAsia="Arial" w:hAnsi="Arial"/>
          <w:sz w:val="18"/>
          <w:szCs w:val="18"/>
          <w:color w:val="auto"/>
        </w:rPr>
        <w:t>The 1940 Act imposes numerous constraints on the operations of BDCs. For example, BDCs are required to invest at least 70% of their total assets in securities of nonpublic or thinly traded U.S. companies, cash, cash equivalents, U.S. government securities and other high-quality debt investments that mature in one year or less. These constraints may hinder the Adviser’s ability to take advantage of attractive investment opportunities and to achieve our investment objective.</w:t>
      </w:r>
    </w:p>
    <w:p>
      <w:pPr>
        <w:spacing w:after="0" w:line="187" w:lineRule="exact"/>
        <w:rPr>
          <w:sz w:val="20"/>
          <w:szCs w:val="20"/>
          <w:color w:val="auto"/>
        </w:rPr>
      </w:pPr>
    </w:p>
    <w:p>
      <w:pPr>
        <w:ind w:right="60" w:firstLine="259"/>
        <w:spacing w:after="0" w:line="264" w:lineRule="auto"/>
        <w:rPr>
          <w:sz w:val="20"/>
          <w:szCs w:val="20"/>
          <w:color w:val="auto"/>
        </w:rPr>
      </w:pPr>
      <w:r>
        <w:rPr>
          <w:rFonts w:ascii="Arial" w:cs="Arial" w:eastAsia="Arial" w:hAnsi="Arial"/>
          <w:sz w:val="18"/>
          <w:szCs w:val="18"/>
          <w:color w:val="auto"/>
        </w:rPr>
        <w:t>We may need to periodically access the debt and equity capital markets to raise cash to fund new investments in excess of our repayments, and we may also need to access the capital markets to refinance existing debt obligations to the extent such maturing obligations are not repaid with availability under our revolving credit facilities or cash flows from operations.</w:t>
      </w:r>
    </w:p>
    <w:p>
      <w:pPr>
        <w:spacing w:after="0" w:line="181" w:lineRule="exact"/>
        <w:rPr>
          <w:sz w:val="20"/>
          <w:szCs w:val="20"/>
          <w:color w:val="auto"/>
        </w:rPr>
      </w:pPr>
    </w:p>
    <w:p>
      <w:pPr>
        <w:ind w:right="40" w:firstLine="259"/>
        <w:spacing w:after="0" w:line="279" w:lineRule="auto"/>
        <w:rPr>
          <w:sz w:val="20"/>
          <w:szCs w:val="20"/>
          <w:color w:val="auto"/>
        </w:rPr>
      </w:pPr>
      <w:r>
        <w:rPr>
          <w:rFonts w:ascii="Arial" w:cs="Arial" w:eastAsia="Arial" w:hAnsi="Arial"/>
          <w:sz w:val="17"/>
          <w:szCs w:val="17"/>
          <w:color w:val="auto"/>
        </w:rPr>
        <w:t>Regulations governing our operation as a BDC affect our ability to raise additional capital, and the ways in which we can do so. Raising additional capital may expose us to risks, including the typical risks associated with leverage, and may result in dilution to our current stockholders. The 1940 Act limits our ability to incur borrowings and issue debt securities and preferred stock, which we refer to as senior securities, requiring that after any borrowing or issuance the ratio of total assets (less total liabilities other than indebtedness) to total indebtedness plus preferred stock, is at least 150%.</w:t>
      </w:r>
    </w:p>
    <w:p>
      <w:pPr>
        <w:spacing w:after="0" w:line="171" w:lineRule="exact"/>
        <w:rPr>
          <w:sz w:val="20"/>
          <w:szCs w:val="20"/>
          <w:color w:val="auto"/>
        </w:rPr>
      </w:pPr>
    </w:p>
    <w:p>
      <w:pPr>
        <w:ind w:firstLine="259"/>
        <w:spacing w:after="0" w:line="271" w:lineRule="auto"/>
        <w:rPr>
          <w:sz w:val="20"/>
          <w:szCs w:val="20"/>
          <w:color w:val="auto"/>
        </w:rPr>
      </w:pPr>
      <w:r>
        <w:rPr>
          <w:rFonts w:ascii="Arial" w:cs="Arial" w:eastAsia="Arial" w:hAnsi="Arial"/>
          <w:sz w:val="17"/>
          <w:szCs w:val="17"/>
          <w:color w:val="auto"/>
        </w:rPr>
        <w:t>We may need to continue to borrow from financial institutions and issue additional securities to fund our growth. Unfavorable economic or capital market conditions may increase our funding costs, limit our access to the capital markets or could result in a decision by lenders not to extend credit to us. An inability to successfully access the capital markets may limit our ability to refinance our existing debt obligations as they come due and/or to fully execute our business strategy and could limit our ability to grow or cause us to have to shrink the size of our business, which could decrease our earnings, if any. Consequently, if the value of our assets declines or we are unable to access the capital markets we may be required to sell a portion of our investments and, depending on the nature of our leverage, repay a portion of our indebtedness at a time when this may be disadvantageous. Also, any amounts that we use to service our indebtedness would not be available for distributions to our common stockholders. If we borrow money or issue senior securities, we will be exposed to typical risks associated with leverage, including an increased risk of loss.</w:t>
      </w:r>
    </w:p>
    <w:p>
      <w:pPr>
        <w:spacing w:after="0" w:line="179" w:lineRule="exact"/>
        <w:rPr>
          <w:sz w:val="20"/>
          <w:szCs w:val="20"/>
          <w:color w:val="auto"/>
        </w:rPr>
      </w:pPr>
    </w:p>
    <w:p>
      <w:pPr>
        <w:ind w:right="120" w:firstLine="259"/>
        <w:spacing w:after="0" w:line="255" w:lineRule="auto"/>
        <w:rPr>
          <w:sz w:val="20"/>
          <w:szCs w:val="20"/>
          <w:color w:val="auto"/>
        </w:rPr>
      </w:pPr>
      <w:r>
        <w:rPr>
          <w:rFonts w:ascii="Arial" w:cs="Arial" w:eastAsia="Arial" w:hAnsi="Arial"/>
          <w:sz w:val="18"/>
          <w:szCs w:val="18"/>
          <w:color w:val="auto"/>
        </w:rPr>
        <w:t>If we issue preferred stock, the preferred stock would rank senior to common stock in our capital structure. Preferred stockholders would have separate voting rights on certain matters and may have other rights, preferences or privileges more favorable than those of our common stockholders. The issuance of preferred stock could have the effect of delaying, deferring or preventing a transaction or a change of control that might involve a premium price for holders of our common stock or otherwise be in your best interest. Holders of our common stock will directly or indirectly bear all of the costs associated with offering and servicing any preferred stock that we issue. In addition, any interests of preferred stockholders may not necessarily align with the interests of holders of our common stock and the rights of holders of shares of preferred stock to receive dividends would be senior to those of holders of shares of our common stock.</w:t>
      </w:r>
    </w:p>
    <w:p>
      <w:pPr>
        <w:spacing w:after="0" w:line="189" w:lineRule="exact"/>
        <w:rPr>
          <w:sz w:val="20"/>
          <w:szCs w:val="20"/>
          <w:color w:val="auto"/>
        </w:rPr>
      </w:pPr>
    </w:p>
    <w:p>
      <w:pPr>
        <w:ind w:right="40" w:firstLine="259"/>
        <w:spacing w:after="0" w:line="285" w:lineRule="auto"/>
        <w:rPr>
          <w:sz w:val="20"/>
          <w:szCs w:val="20"/>
          <w:color w:val="auto"/>
        </w:rPr>
      </w:pPr>
      <w:r>
        <w:rPr>
          <w:rFonts w:ascii="Arial" w:cs="Arial" w:eastAsia="Arial" w:hAnsi="Arial"/>
          <w:sz w:val="16"/>
          <w:szCs w:val="16"/>
          <w:color w:val="auto"/>
        </w:rPr>
        <w:t>Our Board may decide to issue additional common stock to finance our operations rather than issuing debt or other senior securities. However, we generally are not able to issue and sell our common stock at a price below net asset value per share. We may, however, elect to issue and sell our common stock, or warrants, options or rights to acquire our common stock, at a price below the then-current net asset value of our common stock if our Board determines that the sale is in our best interests and the best interests of our stockholders, and our stockholders have approved our policy and practice of making these sales within the preceding 12 months. Pursuant to approval granted at a special meeting of stockholders held on May 17, 2018, we are currently permitted to sell or otherwise issue shares of our common stock at a price below our then-current net asset value per share, subject to the approval of our Board and certain other conditions. Such stockholder approval expires on May 17, 2019. On April 5, 2019, we filed a definitive proxy statement for a special meeting of stockholders, to be held on May 16, 2019. The definitive proxy statement sets forth a proposal to be voted upon at the special meeting that, if approved by stockholders, would have the effect of extending this approval to the one-year anniversary of the date of the special meeting. However, there is no assurance such approval will be obtained. In any such case, the price at which our securities are to be issued and sold may not be less than a price that, in the determination of our Board, closely approximates the market value of those securities (less any distribution commission or discount). In the event we sell shares of our common stock at a price below net asset value per share, existing stockholders will experience net asset value dilution. This dilution would occur as a result of the sale of shares at a price below the then current net asset value per share of our common stock and would cause a proportionately greater decrease in the stockholders’ interest in our earnings and assets and their voting interest in us than the increase in our assets resulting from such issuance. As a result of any such dilution, our market price per share may decline. Because the number of shares of common stock that could be so issued and the timing of any issuance is not currently known, the actual dilutive effect cannot be predicted.</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68" w:name="page69"/>
    <w:bookmarkEnd w:id="68"/>
    <w:p>
      <w:pPr>
        <w:ind w:firstLine="259"/>
        <w:spacing w:after="0" w:line="289" w:lineRule="auto"/>
        <w:rPr>
          <w:sz w:val="20"/>
          <w:szCs w:val="20"/>
          <w:color w:val="auto"/>
        </w:rPr>
      </w:pPr>
      <w:r>
        <w:rPr>
          <w:rFonts w:ascii="Arial" w:cs="Arial" w:eastAsia="Arial" w:hAnsi="Arial"/>
          <w:sz w:val="16"/>
          <w:szCs w:val="16"/>
          <w:color w:val="auto"/>
        </w:rPr>
        <w:t>In addition to issuing securities to raise capital as described above, we could securitize our investments to generate cash for funding new investments. To securitize our investments, we likely would create a wholly owned subsidiary, contribute a pool of loans to the subsidiary and have the subsidiary issue primarily investment grade debt securities to purchasers who we would expect would be willing to accept a substantially lower interest rate than the loans earn. We would retain all or a portion of the equity in the securitized pool of loans. Our retained equity would be exposed to any losses on the portfolio of investments before any of the debt securities would be exposed to the losses. An inability to successfully securitize our investment portfolio could limit our ability to grow or fully execute our business and could adversely affect our earnings, if any. The successful securitization of our investment could expose us to losses because the portions of the securitized investments that we would typically retain tend to be those that are riskier and more apt to generate losses. The 1940 Act also may impose restrictions on the structure of any securitization. In connection with any future securitization of investments, we may incur greater set-up and administration fees relating to such vehicles than we have in connection with financing of our investments in the past.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borrow money, which magnifies the potential for gain or loss and increases the risk of investing in us.</w:t>
      </w:r>
    </w:p>
    <w:p>
      <w:pPr>
        <w:spacing w:after="0" w:line="117" w:lineRule="exact"/>
        <w:rPr>
          <w:sz w:val="20"/>
          <w:szCs w:val="20"/>
          <w:color w:val="auto"/>
        </w:rPr>
      </w:pPr>
    </w:p>
    <w:p>
      <w:pPr>
        <w:ind w:right="180" w:firstLine="259"/>
        <w:spacing w:after="0" w:line="289" w:lineRule="auto"/>
        <w:rPr>
          <w:sz w:val="20"/>
          <w:szCs w:val="20"/>
          <w:color w:val="auto"/>
        </w:rPr>
      </w:pPr>
      <w:r>
        <w:rPr>
          <w:rFonts w:ascii="Arial" w:cs="Arial" w:eastAsia="Arial" w:hAnsi="Arial"/>
          <w:sz w:val="16"/>
          <w:szCs w:val="16"/>
          <w:color w:val="auto"/>
        </w:rPr>
        <w:t>As part of our business strategy, we borrow from and may in the future issue additional senior debt securities to banks, insurance companies and other lenders. Holders of these loans or senior securities would have fixed-dollar claims on our assets that have priority over the claims of our stockholders. If the value of our assets decreases, leverage will cause our net asset value to decline more sharply than it otherwise would have without leverage. Similarly, any decrease in our income would cause our net income to decline more sharply than it would have if we had not borrowed. This decline could negatively affect our ability to make dividend payments on our common stock. Our ability to service our borrowings depends largely on our financial performance and is subject to prevailing economic conditions and competitive pressures. In addition, the Management Fee is payable based on our gross assets, including cash and assets acquired through the use of leverage, which may give our Adviser an incentive to use leverage to make additional investments. The amount of leverage that we employ will depend on our Adviser’s and our Board’s assessment of market and other factors at the time of any proposed borrowing. We cannot assure you that we will be able to obtain credit at all or on terms acceptable to us.</w:t>
      </w:r>
    </w:p>
    <w:p>
      <w:pPr>
        <w:spacing w:after="0" w:line="167" w:lineRule="exact"/>
        <w:rPr>
          <w:sz w:val="20"/>
          <w:szCs w:val="20"/>
          <w:color w:val="auto"/>
        </w:rPr>
      </w:pPr>
    </w:p>
    <w:p>
      <w:pPr>
        <w:ind w:right="20" w:firstLine="259"/>
        <w:spacing w:after="0" w:line="291" w:lineRule="auto"/>
        <w:rPr>
          <w:sz w:val="20"/>
          <w:szCs w:val="20"/>
          <w:color w:val="auto"/>
        </w:rPr>
      </w:pPr>
      <w:r>
        <w:rPr>
          <w:rFonts w:ascii="Arial" w:cs="Arial" w:eastAsia="Arial" w:hAnsi="Arial"/>
          <w:sz w:val="16"/>
          <w:szCs w:val="16"/>
          <w:color w:val="auto"/>
        </w:rPr>
        <w:t>Our credit facilities and indentures governing our indebtedness also impose financial and operating covenants that restrict our business activities, remedies on default and similar matters. As of March 31, 2019, we are in compliance with the covenants of our credit facilities and indentures. However, our continued compliance with these covenants depends on many factors, some of which are beyond our control. Accordingly, although we believe we will continue to be in compliance, we cannot assure you that we will continue to comply with the covenants in our credit facilities and indentures. Failure to comply with these covenants could result in a default. If we were unable to obtain a waiver of a default from the lenders or holders of that indebtedness, as applicable, those lenders or holders could accelerate repayment under that indebtedness. An acceleration could have a material adverse impact on our business, financial condition and results of operations. Lastly, we may be unable to obtain additional leverage, which would, in turn, affect our return on capital.</w:t>
      </w:r>
    </w:p>
    <w:p>
      <w:pPr>
        <w:spacing w:after="0" w:line="167" w:lineRule="exact"/>
        <w:rPr>
          <w:sz w:val="20"/>
          <w:szCs w:val="20"/>
          <w:color w:val="auto"/>
        </w:rPr>
      </w:pPr>
    </w:p>
    <w:p>
      <w:pPr>
        <w:ind w:right="560" w:firstLine="259"/>
        <w:spacing w:after="0" w:line="308" w:lineRule="auto"/>
        <w:rPr>
          <w:sz w:val="20"/>
          <w:szCs w:val="20"/>
          <w:color w:val="auto"/>
        </w:rPr>
      </w:pPr>
      <w:r>
        <w:rPr>
          <w:rFonts w:ascii="Arial" w:cs="Arial" w:eastAsia="Arial" w:hAnsi="Arial"/>
          <w:sz w:val="17"/>
          <w:szCs w:val="17"/>
          <w:color w:val="auto"/>
        </w:rPr>
        <w:t>Lastly, the SEC has issued a proposed rule, Rule 18f-4, that if adopted would potentially constrain our ability to use leverage if we have substantial exposure to swaps and other derivatives, or have significant outstanding financial commitments to our portfolio companies.</w:t>
      </w:r>
    </w:p>
    <w:p>
      <w:pPr>
        <w:spacing w:after="0" w:line="147" w:lineRule="exact"/>
        <w:rPr>
          <w:sz w:val="20"/>
          <w:szCs w:val="20"/>
          <w:color w:val="auto"/>
        </w:rPr>
      </w:pPr>
    </w:p>
    <w:p>
      <w:pPr>
        <w:ind w:right="160" w:firstLine="259"/>
        <w:spacing w:after="0" w:line="276" w:lineRule="auto"/>
        <w:rPr>
          <w:sz w:val="20"/>
          <w:szCs w:val="20"/>
          <w:color w:val="auto"/>
        </w:rPr>
      </w:pPr>
      <w:r>
        <w:rPr>
          <w:rFonts w:ascii="Arial" w:cs="Arial" w:eastAsia="Arial" w:hAnsi="Arial"/>
          <w:sz w:val="17"/>
          <w:szCs w:val="17"/>
          <w:color w:val="auto"/>
        </w:rPr>
        <w:t>As of March 31, 2019, we had $743.5 million of outstanding indebtedness, which had an annualized interest cost of 4.71% under the terms of our debt, excluding fees (such as fees on undrawn amounts and amortization of upfront fees) and giving effect to the swap-adjusted interest rates on our Convertible Notes and 2023 Notes. As of March 31, 2019, the interest rate on the 2019 Convertible Notes, as adjusted to give effect to the interest rate swaps, was three-month London Interbank Offered Rate, or LIBOR, plus 2.86%, the interest rate on the 2022 Convertible Notes was three-month LIBOR plus 2.11% (on a weighted-average basis) and the interest rate on the 2023 Notes was three-month LIBOR plus 1.99%.</w:t>
      </w:r>
    </w:p>
    <w:p>
      <w:pPr>
        <w:spacing w:after="0" w:line="173" w:lineRule="exact"/>
        <w:rPr>
          <w:sz w:val="20"/>
          <w:szCs w:val="20"/>
          <w:color w:val="auto"/>
        </w:rPr>
      </w:pPr>
    </w:p>
    <w:p>
      <w:pPr>
        <w:ind w:right="320" w:firstLine="259"/>
        <w:spacing w:after="0" w:line="264" w:lineRule="auto"/>
        <w:rPr>
          <w:sz w:val="20"/>
          <w:szCs w:val="20"/>
          <w:color w:val="auto"/>
        </w:rPr>
      </w:pPr>
      <w:r>
        <w:rPr>
          <w:rFonts w:ascii="Arial" w:cs="Arial" w:eastAsia="Arial" w:hAnsi="Arial"/>
          <w:sz w:val="18"/>
          <w:szCs w:val="18"/>
          <w:color w:val="auto"/>
        </w:rPr>
        <w:t>For us to cover these annualized interest payments on indebtedness, we must achieve annual returns on our investments of at least 1.9%. Since we generally pay interest at a floating rate on our debt, an increase in interest rates will generally increase our borrowing costs. We expect that our annualized interest cost and returns required to cover interest will increase if we issue additional debt securities.</w:t>
      </w:r>
    </w:p>
    <w:p>
      <w:pPr>
        <w:spacing w:after="0" w:line="181" w:lineRule="exact"/>
        <w:rPr>
          <w:sz w:val="20"/>
          <w:szCs w:val="20"/>
          <w:color w:val="auto"/>
        </w:rPr>
      </w:pPr>
    </w:p>
    <w:p>
      <w:pPr>
        <w:ind w:right="220" w:firstLine="259"/>
        <w:spacing w:after="0" w:line="279" w:lineRule="auto"/>
        <w:rPr>
          <w:sz w:val="20"/>
          <w:szCs w:val="20"/>
          <w:color w:val="auto"/>
        </w:rPr>
      </w:pPr>
      <w:r>
        <w:rPr>
          <w:rFonts w:ascii="Arial" w:cs="Arial" w:eastAsia="Arial" w:hAnsi="Arial"/>
          <w:sz w:val="17"/>
          <w:szCs w:val="17"/>
          <w:color w:val="auto"/>
        </w:rPr>
        <w:t>In order to assist investors in understanding the effects of leverage, the following table illustrates the effect of leverage on returns from an investment in our common stock assuming various annual returns, net of expenses. Leverage generally magnifies the return of stockholders when the portfolio return is positive and magnifies their losses when the portfolio return is negative. Actual returns may be greater or less than those appearing in the table. The calculations in the table below are hypothetical and actual returns may be higher or lower than those appearing below.</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Effects of Leverage Based on Actual Amount of Borrowings Incurred by us as of March 31, 2019</w:t>
      </w:r>
    </w:p>
    <w:p>
      <w:pPr>
        <w:spacing w:after="0" w:line="221" w:lineRule="exact"/>
        <w:rPr>
          <w:sz w:val="20"/>
          <w:szCs w:val="20"/>
          <w:color w:val="auto"/>
        </w:rPr>
      </w:pPr>
    </w:p>
    <w:p>
      <w:pPr>
        <w:jc w:val="center"/>
        <w:ind w:left="4500"/>
        <w:spacing w:after="0"/>
        <w:rPr>
          <w:sz w:val="20"/>
          <w:szCs w:val="20"/>
          <w:color w:val="auto"/>
        </w:rPr>
      </w:pPr>
      <w:r>
        <w:rPr>
          <w:rFonts w:ascii="Arial" w:cs="Arial" w:eastAsia="Arial" w:hAnsi="Arial"/>
          <w:sz w:val="14"/>
          <w:szCs w:val="14"/>
          <w:b w:val="1"/>
          <w:bCs w:val="1"/>
          <w:color w:val="auto"/>
        </w:rPr>
        <w:t>Assumed Return on Our Portfolio</w:t>
      </w:r>
    </w:p>
    <w:p>
      <w:pPr>
        <w:spacing w:after="0" w:line="4" w:lineRule="exact"/>
        <w:rPr>
          <w:sz w:val="20"/>
          <w:szCs w:val="20"/>
          <w:color w:val="auto"/>
        </w:rPr>
      </w:pPr>
    </w:p>
    <w:p>
      <w:pPr>
        <w:jc w:val="center"/>
        <w:ind w:left="4500"/>
        <w:spacing w:after="0"/>
        <w:rPr>
          <w:sz w:val="20"/>
          <w:szCs w:val="20"/>
          <w:color w:val="auto"/>
        </w:rPr>
      </w:pPr>
      <w:r>
        <w:rPr>
          <w:rFonts w:ascii="Arial" w:cs="Arial" w:eastAsia="Arial" w:hAnsi="Arial"/>
          <w:sz w:val="14"/>
          <w:szCs w:val="14"/>
          <w:b w:val="1"/>
          <w:bCs w:val="1"/>
          <w:color w:val="auto"/>
        </w:rPr>
        <w:t xml:space="preserve">(net of expenses) </w:t>
      </w:r>
      <w:r>
        <w:rPr>
          <w:rFonts w:ascii="Arial" w:cs="Arial" w:eastAsia="Arial" w:hAnsi="Arial"/>
          <w:sz w:val="12"/>
          <w:szCs w:val="12"/>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2946400</wp:posOffset>
            </wp:positionH>
            <wp:positionV relativeFrom="paragraph">
              <wp:posOffset>-3175</wp:posOffset>
            </wp:positionV>
            <wp:extent cx="43053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305300" cy="8890"/>
                    </a:xfrm>
                    <a:prstGeom prst="rect">
                      <a:avLst/>
                    </a:prstGeom>
                    <a:noFill/>
                  </pic:spPr>
                </pic:pic>
              </a:graphicData>
            </a:graphic>
          </wp:anchor>
        </w:drawing>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40" w:type="dxa"/>
            <w:vAlign w:val="bottom"/>
            <w:tcBorders>
              <w:bottom w:val="single" w:sz="8" w:color="CCEEFF"/>
            </w:tcBorders>
          </w:tcPr>
          <w:p>
            <w:pPr>
              <w:spacing w:after="0"/>
              <w:rPr>
                <w:sz w:val="14"/>
                <w:szCs w:val="14"/>
                <w:color w:val="auto"/>
              </w:rPr>
            </w:pPr>
          </w:p>
        </w:tc>
        <w:tc>
          <w:tcPr>
            <w:tcW w:w="1640" w:type="dxa"/>
            <w:vAlign w:val="bottom"/>
            <w:tcBorders>
              <w:bottom w:val="single" w:sz="8" w:color="auto"/>
            </w:tcBorders>
          </w:tcPr>
          <w:p>
            <w:pPr>
              <w:jc w:val="right"/>
              <w:ind w:right="719"/>
              <w:spacing w:after="0"/>
              <w:rPr>
                <w:sz w:val="20"/>
                <w:szCs w:val="20"/>
                <w:color w:val="auto"/>
              </w:rPr>
            </w:pPr>
            <w:r>
              <w:rPr>
                <w:rFonts w:ascii="Arial" w:cs="Arial" w:eastAsia="Arial" w:hAnsi="Arial"/>
                <w:sz w:val="14"/>
                <w:szCs w:val="14"/>
                <w:b w:val="1"/>
                <w:bCs w:val="1"/>
                <w:color w:val="auto"/>
              </w:rPr>
              <w:t>-10%</w:t>
            </w:r>
          </w:p>
        </w:tc>
        <w:tc>
          <w:tcPr>
            <w:tcW w:w="1320" w:type="dxa"/>
            <w:vAlign w:val="bottom"/>
            <w:tcBorders>
              <w:bottom w:val="single" w:sz="8" w:color="auto"/>
            </w:tcBorders>
          </w:tcPr>
          <w:p>
            <w:pPr>
              <w:jc w:val="right"/>
              <w:ind w:right="679"/>
              <w:spacing w:after="0"/>
              <w:rPr>
                <w:sz w:val="20"/>
                <w:szCs w:val="20"/>
                <w:color w:val="auto"/>
              </w:rPr>
            </w:pPr>
            <w:r>
              <w:rPr>
                <w:rFonts w:ascii="Arial" w:cs="Arial" w:eastAsia="Arial" w:hAnsi="Arial"/>
                <w:sz w:val="14"/>
                <w:szCs w:val="14"/>
                <w:b w:val="1"/>
                <w:bCs w:val="1"/>
                <w:color w:val="auto"/>
              </w:rPr>
              <w:t>-5%</w:t>
            </w:r>
          </w:p>
        </w:tc>
        <w:tc>
          <w:tcPr>
            <w:tcW w:w="1280" w:type="dxa"/>
            <w:vAlign w:val="bottom"/>
            <w:tcBorders>
              <w:bottom w:val="single" w:sz="8" w:color="auto"/>
            </w:tcBorders>
          </w:tcPr>
          <w:p>
            <w:pPr>
              <w:jc w:val="right"/>
              <w:ind w:right="679"/>
              <w:spacing w:after="0"/>
              <w:rPr>
                <w:sz w:val="20"/>
                <w:szCs w:val="20"/>
                <w:color w:val="auto"/>
              </w:rPr>
            </w:pPr>
            <w:r>
              <w:rPr>
                <w:rFonts w:ascii="Arial" w:cs="Arial" w:eastAsia="Arial" w:hAnsi="Arial"/>
                <w:sz w:val="14"/>
                <w:szCs w:val="14"/>
                <w:b w:val="1"/>
                <w:bCs w:val="1"/>
                <w:color w:val="auto"/>
              </w:rPr>
              <w:t>0%</w:t>
            </w:r>
          </w:p>
        </w:tc>
        <w:tc>
          <w:tcPr>
            <w:tcW w:w="1280" w:type="dxa"/>
            <w:vAlign w:val="bottom"/>
            <w:tcBorders>
              <w:bottom w:val="single" w:sz="8" w:color="auto"/>
            </w:tcBorders>
          </w:tcPr>
          <w:p>
            <w:pPr>
              <w:jc w:val="right"/>
              <w:ind w:right="699"/>
              <w:spacing w:after="0"/>
              <w:rPr>
                <w:sz w:val="20"/>
                <w:szCs w:val="20"/>
                <w:color w:val="auto"/>
              </w:rPr>
            </w:pPr>
            <w:r>
              <w:rPr>
                <w:rFonts w:ascii="Arial" w:cs="Arial" w:eastAsia="Arial" w:hAnsi="Arial"/>
                <w:sz w:val="14"/>
                <w:szCs w:val="14"/>
                <w:b w:val="1"/>
                <w:bCs w:val="1"/>
                <w:color w:val="auto"/>
              </w:rPr>
              <w:t>5%</w:t>
            </w: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10%</w:t>
            </w:r>
          </w:p>
        </w:tc>
      </w:tr>
      <w:tr>
        <w:trPr>
          <w:trHeight w:val="210"/>
        </w:trPr>
        <w:tc>
          <w:tcPr>
            <w:tcW w:w="4640" w:type="dxa"/>
            <w:vAlign w:val="bottom"/>
            <w:shd w:val="clear" w:color="auto" w:fill="CCEEFF"/>
          </w:tcPr>
          <w:p>
            <w:pPr>
              <w:spacing w:after="0" w:line="210" w:lineRule="exact"/>
              <w:rPr>
                <w:sz w:val="20"/>
                <w:szCs w:val="20"/>
                <w:color w:val="auto"/>
              </w:rPr>
            </w:pPr>
            <w:r>
              <w:rPr>
                <w:rFonts w:ascii="Arial" w:cs="Arial" w:eastAsia="Arial" w:hAnsi="Arial"/>
                <w:sz w:val="18"/>
                <w:szCs w:val="18"/>
                <w:color w:val="auto"/>
              </w:rPr>
              <w:t xml:space="preserve">Corresponding return to stockholder </w:t>
            </w:r>
            <w:r>
              <w:rPr>
                <w:rFonts w:ascii="Arial" w:cs="Arial" w:eastAsia="Arial" w:hAnsi="Arial"/>
                <w:sz w:val="21"/>
                <w:szCs w:val="21"/>
                <w:color w:val="auto"/>
                <w:vertAlign w:val="superscript"/>
              </w:rPr>
              <w:t>(2)</w:t>
            </w:r>
          </w:p>
        </w:tc>
        <w:tc>
          <w:tcPr>
            <w:tcW w:w="1640" w:type="dxa"/>
            <w:vAlign w:val="bottom"/>
            <w:shd w:val="clear" w:color="auto" w:fill="CCEEFF"/>
          </w:tcPr>
          <w:p>
            <w:pPr>
              <w:jc w:val="right"/>
              <w:ind w:right="219"/>
              <w:spacing w:after="0"/>
              <w:rPr>
                <w:sz w:val="20"/>
                <w:szCs w:val="20"/>
                <w:color w:val="auto"/>
              </w:rPr>
            </w:pPr>
            <w:r>
              <w:rPr>
                <w:rFonts w:ascii="Arial" w:cs="Arial" w:eastAsia="Arial" w:hAnsi="Arial"/>
                <w:sz w:val="18"/>
                <w:szCs w:val="18"/>
                <w:color w:val="auto"/>
              </w:rPr>
              <w:t>-20.5%</w:t>
            </w:r>
          </w:p>
        </w:tc>
        <w:tc>
          <w:tcPr>
            <w:tcW w:w="1320" w:type="dxa"/>
            <w:vAlign w:val="bottom"/>
            <w:shd w:val="clear" w:color="auto" w:fill="CCEEFF"/>
          </w:tcPr>
          <w:p>
            <w:pPr>
              <w:jc w:val="right"/>
              <w:ind w:right="199"/>
              <w:spacing w:after="0"/>
              <w:rPr>
                <w:sz w:val="20"/>
                <w:szCs w:val="20"/>
                <w:color w:val="auto"/>
              </w:rPr>
            </w:pPr>
            <w:r>
              <w:rPr>
                <w:rFonts w:ascii="Arial" w:cs="Arial" w:eastAsia="Arial" w:hAnsi="Arial"/>
                <w:sz w:val="18"/>
                <w:szCs w:val="18"/>
                <w:color w:val="auto"/>
              </w:rPr>
              <w:t>-11.9%</w:t>
            </w:r>
          </w:p>
        </w:tc>
        <w:tc>
          <w:tcPr>
            <w:tcW w:w="1280" w:type="dxa"/>
            <w:vAlign w:val="bottom"/>
            <w:shd w:val="clear" w:color="auto" w:fill="CCEEFF"/>
          </w:tcPr>
          <w:p>
            <w:pPr>
              <w:jc w:val="right"/>
              <w:ind w:right="219"/>
              <w:spacing w:after="0"/>
              <w:rPr>
                <w:sz w:val="20"/>
                <w:szCs w:val="20"/>
                <w:color w:val="auto"/>
              </w:rPr>
            </w:pPr>
            <w:r>
              <w:rPr>
                <w:rFonts w:ascii="Arial" w:cs="Arial" w:eastAsia="Arial" w:hAnsi="Arial"/>
                <w:sz w:val="18"/>
                <w:szCs w:val="18"/>
                <w:color w:val="auto"/>
              </w:rPr>
              <w:t>-3.3%</w:t>
            </w:r>
          </w:p>
        </w:tc>
        <w:tc>
          <w:tcPr>
            <w:tcW w:w="1280" w:type="dxa"/>
            <w:vAlign w:val="bottom"/>
            <w:shd w:val="clear" w:color="auto" w:fill="CCEEFF"/>
          </w:tcPr>
          <w:p>
            <w:pPr>
              <w:jc w:val="right"/>
              <w:ind w:right="219"/>
              <w:spacing w:after="0"/>
              <w:rPr>
                <w:sz w:val="20"/>
                <w:szCs w:val="20"/>
                <w:color w:val="auto"/>
              </w:rPr>
            </w:pPr>
            <w:r>
              <w:rPr>
                <w:rFonts w:ascii="Arial" w:cs="Arial" w:eastAsia="Arial" w:hAnsi="Arial"/>
                <w:sz w:val="18"/>
                <w:szCs w:val="18"/>
                <w:color w:val="auto"/>
              </w:rPr>
              <w:t>5.3%</w:t>
            </w: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14.0%</w:t>
            </w:r>
          </w:p>
        </w:tc>
      </w:tr>
    </w:tbl>
    <w:p>
      <w:pPr>
        <w:spacing w:after="0" w:line="242" w:lineRule="exact"/>
        <w:rPr>
          <w:sz w:val="20"/>
          <w:szCs w:val="20"/>
          <w:color w:val="auto"/>
        </w:rPr>
      </w:pPr>
    </w:p>
    <w:p>
      <w:pPr>
        <w:ind w:left="520" w:right="60" w:hanging="512"/>
        <w:spacing w:after="0" w:line="271" w:lineRule="auto"/>
        <w:tabs>
          <w:tab w:leader="none" w:pos="5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assumed portfolio return is required by SEC regulations and is not a prediction of, and does not represent, our projected or actual performance. Actual returns may be greater or less than those appearing in the table. Pursuant to SEC regulations, this table is calculated as of March 31, 2019. As a result, it has not been updated to take into account any changes in assets or leverage since March 31, 2019.</w:t>
      </w:r>
    </w:p>
    <w:p>
      <w:pPr>
        <w:ind w:left="520" w:right="60" w:hanging="512"/>
        <w:spacing w:after="0" w:line="253" w:lineRule="auto"/>
        <w:tabs>
          <w:tab w:leader="none" w:pos="5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 order to compute the “Corresponding return to stockholder,” the “Assumed Return on Our Portfolio” is multiplied by the total value of our assets at March 31, 2019 to obtain an assumed return to us. From this amount, the interest expense (calculated by multiplying the weighted average stated interest rate of 4.7% by the approximately $743.5 million of principal debt outstanding) is subtracted to determine the return available to stockholders. The return available to stockholders is then divided by the total value of our net assets as March 31, 2019 to determine the “Corresponding return to stockholder.”</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indebtedness could adversely affect our business, financial conditions or results of operations.</w:t>
      </w:r>
    </w:p>
    <w:p>
      <w:pPr>
        <w:spacing w:after="0" w:line="117" w:lineRule="exact"/>
        <w:rPr>
          <w:sz w:val="20"/>
          <w:szCs w:val="20"/>
          <w:color w:val="auto"/>
        </w:rPr>
      </w:pPr>
    </w:p>
    <w:p>
      <w:pPr>
        <w:ind w:right="20" w:firstLine="259"/>
        <w:spacing w:after="0" w:line="293" w:lineRule="auto"/>
        <w:rPr>
          <w:sz w:val="20"/>
          <w:szCs w:val="20"/>
          <w:color w:val="auto"/>
        </w:rPr>
      </w:pPr>
      <w:r>
        <w:rPr>
          <w:rFonts w:ascii="Arial" w:cs="Arial" w:eastAsia="Arial" w:hAnsi="Arial"/>
          <w:sz w:val="16"/>
          <w:szCs w:val="16"/>
          <w:color w:val="auto"/>
        </w:rPr>
        <w:t>We cannot assure you that our business will generate sufficient cash flow from operations or that future borrowings will be available to us under our credit facilities or otherwise in an amount sufficient to enable us to pay our indebtedness or to fund our other liquidity needs. We may need to refinance all or a portion of our indebtedness on or before it matures. We cannot assure you that we will be able to refinance any of our indebtedness on commercially reasonable terms or at all. If we cannot service our indebtedness, we may have to take actions such as selling assets or seeking additional equity. We cannot assure you that any such actions, if necessary, could be effected on commercially reasonable terms or at all, or on terms that would not be disadvantageous to our stockholders or on terms that would not require us to breach the terms and conditions of our existing or future debt agreements.</w:t>
      </w:r>
    </w:p>
    <w:p>
      <w:pPr>
        <w:spacing w:after="0" w:line="27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Even in the event the value of your investment declines, the Management Fee and, in certain circumstances, the Incentive Fee will still be payable to the Adviser.</w:t>
      </w:r>
    </w:p>
    <w:p>
      <w:pPr>
        <w:spacing w:after="0" w:line="62" w:lineRule="exact"/>
        <w:rPr>
          <w:sz w:val="20"/>
          <w:szCs w:val="20"/>
          <w:color w:val="auto"/>
        </w:rPr>
      </w:pPr>
    </w:p>
    <w:p>
      <w:pPr>
        <w:ind w:right="180" w:firstLine="259"/>
        <w:spacing w:after="0" w:line="255" w:lineRule="auto"/>
        <w:rPr>
          <w:sz w:val="20"/>
          <w:szCs w:val="20"/>
          <w:color w:val="auto"/>
        </w:rPr>
      </w:pPr>
      <w:r>
        <w:rPr>
          <w:rFonts w:ascii="Arial" w:cs="Arial" w:eastAsia="Arial" w:hAnsi="Arial"/>
          <w:sz w:val="18"/>
          <w:szCs w:val="18"/>
          <w:color w:val="auto"/>
        </w:rPr>
        <w:t>Even in the event the value of your investment declines, the Management Fee and, in certain circumstances, the Incentive Fee will still be payable to the Adviser. The Management Fee is calculated as a percentage of the value of our gross assets at a specific time, which would include any borrowings for investment purposes, and may give our Adviser an incentive to use leverage to make additional investments. In addition, the Management Fee is payable regardless of whether the value of our gross assets or your investment have decreased. The use of increased leverage may increase the likelihood of default, which would disfavor holders of our common stock. Given the subjective nature of the investment decisions that our Adviser will make on our behalf, we may not be able to monitor this potential conflict of interest.</w:t>
      </w:r>
    </w:p>
    <w:p>
      <w:pPr>
        <w:spacing w:after="0" w:line="193" w:lineRule="exact"/>
        <w:rPr>
          <w:sz w:val="20"/>
          <w:szCs w:val="20"/>
          <w:color w:val="auto"/>
        </w:rPr>
      </w:pPr>
    </w:p>
    <w:p>
      <w:pPr>
        <w:ind w:right="180" w:firstLine="259"/>
        <w:spacing w:after="0" w:line="291" w:lineRule="auto"/>
        <w:rPr>
          <w:sz w:val="20"/>
          <w:szCs w:val="20"/>
          <w:color w:val="auto"/>
        </w:rPr>
      </w:pPr>
      <w:r>
        <w:rPr>
          <w:rFonts w:ascii="Arial" w:cs="Arial" w:eastAsia="Arial" w:hAnsi="Arial"/>
          <w:sz w:val="16"/>
          <w:szCs w:val="16"/>
          <w:color w:val="auto"/>
        </w:rPr>
        <w:t>The Incentive Fee is calculated as a percentage of pre-Incentive Fee net investment income. Since pre-Incentive Fee net investment income does not include any realized capital gains, realized capital losses or unrealized capital gains or losses, it is possible that we may pay an Incentive Fee in a quarter in which we incur a loss. For example, if we receive pre-Incentive Fee net investment income in excess of the quarterly minimum hurdle rate, we will pay the applicable Incentive Fee even if we have incurred a loss in that quarter due to realized and unrealized capital losses. In addition, because the quarterly minimum hurdle rate is calculated based on our net assets, decreases in our net assets due to realized or unrealized capital losses in any given quarter may increase the likelihood that the hurdle rate is reached in that quarter and, as a result, that an Incentive Fee is paid for that quarter. Our net investment income used to calculate this component of the Incentive Fee is also included in the amount of our gross assets used to calculate the Management Fee.</w:t>
      </w:r>
    </w:p>
    <w:p>
      <w:pPr>
        <w:spacing w:after="0" w:line="167" w:lineRule="exact"/>
        <w:rPr>
          <w:sz w:val="20"/>
          <w:szCs w:val="20"/>
          <w:color w:val="auto"/>
        </w:rPr>
      </w:pPr>
    </w:p>
    <w:p>
      <w:pPr>
        <w:ind w:right="160" w:firstLine="259"/>
        <w:spacing w:after="0" w:line="279" w:lineRule="auto"/>
        <w:rPr>
          <w:sz w:val="20"/>
          <w:szCs w:val="20"/>
          <w:color w:val="auto"/>
        </w:rPr>
      </w:pPr>
      <w:r>
        <w:rPr>
          <w:rFonts w:ascii="Arial" w:cs="Arial" w:eastAsia="Arial" w:hAnsi="Arial"/>
          <w:sz w:val="17"/>
          <w:szCs w:val="17"/>
          <w:color w:val="auto"/>
        </w:rPr>
        <w:t>Also, one component of the Incentive Fee is calculated annually based upon our realized capital gains, computed net of realized capital losses and unrealized capital losses on a cumulative basis. As a result, we may owe the Adviser an Incentive Fee during one year as a result of realized capital gains on certain investments, and then incur significant realized capital losses and unrealized capital losses on the remaining investments in our portfolio during subsequent years. Incentive Fees earned in prior years cannot be clawed back even if we later incur losses.</w:t>
      </w:r>
    </w:p>
    <w:p>
      <w:pPr>
        <w:spacing w:after="0" w:line="171" w:lineRule="exact"/>
        <w:rPr>
          <w:sz w:val="20"/>
          <w:szCs w:val="20"/>
          <w:color w:val="auto"/>
        </w:rPr>
      </w:pPr>
    </w:p>
    <w:p>
      <w:pPr>
        <w:ind w:right="160" w:firstLine="259"/>
        <w:spacing w:after="0" w:line="293" w:lineRule="auto"/>
        <w:rPr>
          <w:sz w:val="20"/>
          <w:szCs w:val="20"/>
          <w:color w:val="auto"/>
        </w:rPr>
      </w:pPr>
      <w:r>
        <w:rPr>
          <w:rFonts w:ascii="Arial" w:cs="Arial" w:eastAsia="Arial" w:hAnsi="Arial"/>
          <w:sz w:val="16"/>
          <w:szCs w:val="16"/>
          <w:color w:val="auto"/>
        </w:rPr>
        <w:t>In addition, the Incentive Fee payable by us to the Adviser may create an incentive for the Adviser to make investments on our behalf that are risky or more speculative than would be the case in the absence of such a compensation arrangement. The Adviser receives the Incentive Fee based, in part, upon capital gains realized on our investments. Unlike the portion of the Incentive Fee that is based on income, there is no hurdle rate applicable to the portion of the Incentive Fee based on capital gains. As a result, the Adviser may have an incentive to invest more in companies whose securities are likely to yield capital gains, as compared to income-producing investments. Such a practice could result in our making more speculative investments than would otherwise be the case, which could result in higher investment losses, particularly during cyclical economic downturns.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(a) Exhibits.</w:t>
      </w:r>
    </w:p>
    <w:p>
      <w:pPr>
        <w:spacing w:after="0" w:line="378" w:lineRule="exact"/>
        <w:rPr>
          <w:sz w:val="20"/>
          <w:szCs w:val="20"/>
          <w:color w:val="auto"/>
        </w:rPr>
      </w:pPr>
    </w:p>
    <w:p>
      <w:pPr>
        <w:ind w:left="580" w:right="140" w:hanging="539"/>
        <w:spacing w:after="0" w:line="264"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10.16 </w:t>
      </w:r>
      <w:hyperlink r:id="rId106">
        <w:r>
          <w:rPr>
            <w:rFonts w:ascii="Arial" w:cs="Arial" w:eastAsia="Arial" w:hAnsi="Arial"/>
            <w:sz w:val="18"/>
            <w:szCs w:val="18"/>
            <w:u w:val="single" w:color="auto"/>
            <w:color w:val="0000EE"/>
          </w:rPr>
          <w:t>Eighth Amendment to Second Amended and Restated Senior Secured Revolving Credit Agreement, dated as of February 14, 2019, among TPG</w:t>
        </w:r>
      </w:hyperlink>
      <w:r>
        <w:rPr>
          <w:rFonts w:ascii="Arial" w:cs="Arial" w:eastAsia="Arial" w:hAnsi="Arial"/>
          <w:sz w:val="18"/>
          <w:szCs w:val="18"/>
          <w:color w:val="auto"/>
        </w:rPr>
        <w:t xml:space="preserve"> </w:t>
      </w:r>
      <w:hyperlink r:id="rId106">
        <w:r>
          <w:rPr>
            <w:rFonts w:ascii="Arial" w:cs="Arial" w:eastAsia="Arial" w:hAnsi="Arial"/>
            <w:sz w:val="18"/>
            <w:szCs w:val="18"/>
            <w:u w:val="single" w:color="auto"/>
            <w:color w:val="0000EE"/>
          </w:rPr>
          <w:t>Specialty Lending, Inc., as Borrower, the Lenders party thereto and SunTrust Bank, as Administrative Agent (incorporated by reference to Exhibit</w:t>
        </w:r>
      </w:hyperlink>
      <w:r>
        <w:rPr>
          <w:rFonts w:ascii="Arial" w:cs="Arial" w:eastAsia="Arial" w:hAnsi="Arial"/>
          <w:sz w:val="18"/>
          <w:szCs w:val="18"/>
          <w:u w:val="single" w:color="auto"/>
          <w:color w:val="0000EE"/>
        </w:rPr>
        <w:t xml:space="preserve"> </w:t>
      </w:r>
      <w:hyperlink r:id="rId106">
        <w:r>
          <w:rPr>
            <w:rFonts w:ascii="Arial" w:cs="Arial" w:eastAsia="Arial" w:hAnsi="Arial"/>
            <w:sz w:val="18"/>
            <w:szCs w:val="18"/>
            <w:u w:val="single" w:color="auto"/>
            <w:color w:val="0000EE"/>
          </w:rPr>
          <w:t>10.16 to the Company’s Annual Report on Form 10-K filed on February 20, 2019)</w:t>
        </w:r>
      </w:hyperlink>
    </w:p>
    <w:p>
      <w:pPr>
        <w:spacing w:after="0" w:line="100" w:lineRule="exact"/>
        <w:rPr>
          <w:rFonts w:ascii="Arial" w:cs="Arial" w:eastAsia="Arial" w:hAnsi="Arial"/>
          <w:sz w:val="18"/>
          <w:szCs w:val="18"/>
          <w:color w:val="auto"/>
        </w:rPr>
      </w:pPr>
    </w:p>
    <w:p>
      <w:pPr>
        <w:ind w:left="100"/>
        <w:spacing w:after="0"/>
        <w:tabs>
          <w:tab w:leader="none" w:pos="560" w:val="left"/>
        </w:tabs>
        <w:rPr>
          <w:rFonts w:ascii="Arial" w:cs="Arial" w:eastAsia="Arial" w:hAnsi="Arial"/>
          <w:sz w:val="16"/>
          <w:szCs w:val="16"/>
          <w:u w:val="single" w:color="auto"/>
          <w:color w:val="0000EE"/>
        </w:rPr>
      </w:pPr>
      <w:r>
        <w:rPr>
          <w:rFonts w:ascii="Arial" w:cs="Arial" w:eastAsia="Arial" w:hAnsi="Arial"/>
          <w:sz w:val="18"/>
          <w:szCs w:val="18"/>
          <w:color w:val="auto"/>
        </w:rPr>
        <w:t>31.1</w:t>
      </w:r>
      <w:r>
        <w:rPr>
          <w:sz w:val="20"/>
          <w:szCs w:val="20"/>
          <w:color w:val="auto"/>
        </w:rPr>
        <w:tab/>
      </w:r>
      <w:hyperlink w:anchor="page73">
        <w:r>
          <w:rPr>
            <w:rFonts w:ascii="Arial" w:cs="Arial" w:eastAsia="Arial" w:hAnsi="Arial"/>
            <w:sz w:val="16"/>
            <w:szCs w:val="16"/>
            <w:u w:val="single" w:color="auto"/>
            <w:color w:val="0000EE"/>
          </w:rPr>
          <w:t>Certification of Chief Executive Officer Pursuant to 18 U.S.C. Section 1350, as Adopted Pursuant to Section 302 of the Sarbanes-Oxley Act of 2002</w:t>
        </w:r>
      </w:hyperlink>
    </w:p>
    <w:p>
      <w:pPr>
        <w:spacing w:after="0" w:line="131" w:lineRule="exact"/>
        <w:rPr>
          <w:rFonts w:ascii="Arial" w:cs="Arial" w:eastAsia="Arial" w:hAnsi="Arial"/>
          <w:sz w:val="18"/>
          <w:szCs w:val="18"/>
          <w:color w:val="auto"/>
        </w:rPr>
      </w:pPr>
    </w:p>
    <w:p>
      <w:pPr>
        <w:ind w:left="100"/>
        <w:spacing w:after="0"/>
        <w:tabs>
          <w:tab w:leader="none" w:pos="560" w:val="left"/>
        </w:tabs>
        <w:rPr>
          <w:rFonts w:ascii="Arial" w:cs="Arial" w:eastAsia="Arial" w:hAnsi="Arial"/>
          <w:sz w:val="16"/>
          <w:szCs w:val="16"/>
          <w:u w:val="single" w:color="auto"/>
          <w:color w:val="0000EE"/>
        </w:rPr>
      </w:pPr>
      <w:r>
        <w:rPr>
          <w:rFonts w:ascii="Arial" w:cs="Arial" w:eastAsia="Arial" w:hAnsi="Arial"/>
          <w:sz w:val="18"/>
          <w:szCs w:val="18"/>
          <w:color w:val="auto"/>
        </w:rPr>
        <w:t>31.2</w:t>
      </w:r>
      <w:r>
        <w:rPr>
          <w:sz w:val="20"/>
          <w:szCs w:val="20"/>
          <w:color w:val="auto"/>
        </w:rPr>
        <w:tab/>
      </w:r>
      <w:hyperlink w:anchor="page74">
        <w:r>
          <w:rPr>
            <w:rFonts w:ascii="Arial" w:cs="Arial" w:eastAsia="Arial" w:hAnsi="Arial"/>
            <w:sz w:val="16"/>
            <w:szCs w:val="16"/>
            <w:u w:val="single" w:color="auto"/>
            <w:color w:val="0000EE"/>
          </w:rPr>
          <w:t>Certification of Chief Financial Officer Pursuant to 18 U.S.C. Section 1350, as Adopted Pursuant to Section 302 of the Sarbanes-Oxley Act of 2002</w:t>
        </w:r>
      </w:hyperlink>
    </w:p>
    <w:p>
      <w:pPr>
        <w:spacing w:after="0" w:line="131" w:lineRule="exact"/>
        <w:rPr>
          <w:rFonts w:ascii="Arial" w:cs="Arial" w:eastAsia="Arial" w:hAnsi="Arial"/>
          <w:sz w:val="18"/>
          <w:szCs w:val="18"/>
          <w:color w:val="auto"/>
        </w:rPr>
      </w:pPr>
    </w:p>
    <w:p>
      <w:pPr>
        <w:ind w:left="580" w:hanging="486"/>
        <w:spacing w:after="0"/>
        <w:tabs>
          <w:tab w:leader="none" w:pos="580" w:val="left"/>
        </w:tabs>
        <w:numPr>
          <w:ilvl w:val="0"/>
          <w:numId w:val="48"/>
        </w:numPr>
        <w:rPr>
          <w:rFonts w:ascii="Arial" w:cs="Arial" w:eastAsia="Arial" w:hAnsi="Arial"/>
          <w:sz w:val="17"/>
          <w:szCs w:val="17"/>
          <w:u w:val="single" w:color="auto"/>
          <w:color w:val="0000EE"/>
        </w:rPr>
      </w:pPr>
      <w:hyperlink w:anchor="page75">
        <w:r>
          <w:rPr>
            <w:rFonts w:ascii="Arial" w:cs="Arial" w:eastAsia="Arial" w:hAnsi="Arial"/>
            <w:sz w:val="17"/>
            <w:szCs w:val="17"/>
            <w:u w:val="single" w:color="auto"/>
            <w:color w:val="0000EE"/>
          </w:rPr>
          <w:t>Certification of CEO and CFO Pursuant to 18 U.S.C. Section 1350, as Adopted Pursuant to Section 906 of the Sarbanes-Oxley Act of 2002</w:t>
        </w:r>
      </w:hyperlink>
    </w:p>
    <w:p>
      <w:pPr>
        <w:spacing w:after="0" w:line="200" w:lineRule="exact"/>
        <w:rPr>
          <w:rFonts w:ascii="Arial" w:cs="Arial" w:eastAsia="Arial" w:hAnsi="Arial"/>
          <w:sz w:val="17"/>
          <w:szCs w:val="17"/>
          <w:u w:val="single" w:color="auto"/>
          <w:color w:val="0000EE"/>
        </w:rPr>
      </w:pPr>
    </w:p>
    <w:p>
      <w:pPr>
        <w:spacing w:after="0" w:line="200" w:lineRule="exact"/>
        <w:rPr>
          <w:rFonts w:ascii="Arial" w:cs="Arial" w:eastAsia="Arial" w:hAnsi="Arial"/>
          <w:sz w:val="17"/>
          <w:szCs w:val="17"/>
          <w:u w:val="single" w:color="auto"/>
          <w:color w:val="0000EE"/>
        </w:rPr>
      </w:pPr>
    </w:p>
    <w:p>
      <w:pPr>
        <w:spacing w:after="0" w:line="201" w:lineRule="exact"/>
        <w:rPr>
          <w:rFonts w:ascii="Arial" w:cs="Arial" w:eastAsia="Arial" w:hAnsi="Arial"/>
          <w:sz w:val="17"/>
          <w:szCs w:val="17"/>
          <w:u w:val="single" w:color="auto"/>
          <w:color w:val="0000EE"/>
        </w:rPr>
      </w:pPr>
    </w:p>
    <w:p>
      <w:pPr>
        <w:ind w:left="5620"/>
        <w:spacing w:after="0"/>
        <w:rPr>
          <w:rFonts w:ascii="Arial" w:cs="Arial" w:eastAsia="Arial" w:hAnsi="Arial"/>
          <w:sz w:val="17"/>
          <w:szCs w:val="17"/>
          <w:u w:val="single" w:color="auto"/>
          <w:color w:val="0000EE"/>
        </w:rPr>
      </w:pPr>
      <w:r>
        <w:rPr>
          <w:rFonts w:ascii="Arial" w:cs="Arial" w:eastAsia="Arial" w:hAnsi="Arial"/>
          <w:sz w:val="18"/>
          <w:szCs w:val="18"/>
          <w:color w:val="auto"/>
        </w:rPr>
        <w:t>71</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240" w:top="337" w:right="35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firstLine="259"/>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p>
        </w:tc>
        <w:tc>
          <w:tcPr>
            <w:tcW w:w="7920" w:type="dxa"/>
            <w:vAlign w:val="bottom"/>
            <w:gridSpan w:val="2"/>
          </w:tcPr>
          <w:p>
            <w:pPr>
              <w:ind w:left="3380"/>
              <w:spacing w:after="0"/>
              <w:rPr>
                <w:sz w:val="20"/>
                <w:szCs w:val="20"/>
                <w:color w:val="auto"/>
              </w:rPr>
            </w:pPr>
            <w:r>
              <w:rPr>
                <w:rFonts w:ascii="Arial" w:cs="Arial" w:eastAsia="Arial" w:hAnsi="Arial"/>
                <w:sz w:val="18"/>
                <w:szCs w:val="18"/>
                <w:color w:val="auto"/>
              </w:rPr>
              <w:t>TPG SPECIALTY LENDING, INC.</w:t>
            </w:r>
          </w:p>
        </w:tc>
      </w:tr>
      <w:tr>
        <w:trPr>
          <w:trHeight w:val="459"/>
        </w:trPr>
        <w:tc>
          <w:tcPr>
            <w:tcW w:w="3500" w:type="dxa"/>
            <w:vAlign w:val="bottom"/>
          </w:tcPr>
          <w:p>
            <w:pPr>
              <w:spacing w:after="0"/>
              <w:rPr>
                <w:sz w:val="20"/>
                <w:szCs w:val="20"/>
                <w:color w:val="auto"/>
              </w:rPr>
            </w:pPr>
            <w:r>
              <w:rPr>
                <w:rFonts w:ascii="Arial" w:cs="Arial" w:eastAsia="Arial" w:hAnsi="Arial"/>
                <w:sz w:val="18"/>
                <w:szCs w:val="18"/>
                <w:color w:val="auto"/>
              </w:rPr>
              <w:t>Date: May 2, 2019</w:t>
            </w:r>
          </w:p>
        </w:tc>
        <w:tc>
          <w:tcPr>
            <w:tcW w:w="7920" w:type="dxa"/>
            <w:vAlign w:val="bottom"/>
            <w:gridSpan w:val="2"/>
          </w:tcPr>
          <w:p>
            <w:pPr>
              <w:ind w:left="3380"/>
              <w:spacing w:after="0"/>
              <w:rPr>
                <w:sz w:val="20"/>
                <w:szCs w:val="20"/>
                <w:color w:val="auto"/>
              </w:rPr>
            </w:pPr>
            <w:r>
              <w:rPr>
                <w:rFonts w:ascii="Arial" w:cs="Arial" w:eastAsia="Arial" w:hAnsi="Arial"/>
                <w:sz w:val="18"/>
                <w:szCs w:val="18"/>
                <w:color w:val="auto"/>
              </w:rPr>
              <w:t>By: /s/ Joshua Easterly</w:t>
            </w:r>
          </w:p>
        </w:tc>
      </w:tr>
      <w:tr>
        <w:trPr>
          <w:trHeight w:val="195"/>
        </w:trPr>
        <w:tc>
          <w:tcPr>
            <w:tcW w:w="350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4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Joshua Easterly</w:t>
            </w:r>
          </w:p>
        </w:tc>
      </w:tr>
      <w:tr>
        <w:trPr>
          <w:trHeight w:val="230"/>
        </w:trPr>
        <w:tc>
          <w:tcPr>
            <w:tcW w:w="350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459"/>
        </w:trPr>
        <w:tc>
          <w:tcPr>
            <w:tcW w:w="3500" w:type="dxa"/>
            <w:vAlign w:val="bottom"/>
          </w:tcPr>
          <w:p>
            <w:pPr>
              <w:spacing w:after="0"/>
              <w:rPr>
                <w:sz w:val="20"/>
                <w:szCs w:val="20"/>
                <w:color w:val="auto"/>
              </w:rPr>
            </w:pPr>
            <w:r>
              <w:rPr>
                <w:rFonts w:ascii="Arial" w:cs="Arial" w:eastAsia="Arial" w:hAnsi="Arial"/>
                <w:sz w:val="18"/>
                <w:szCs w:val="18"/>
                <w:color w:val="auto"/>
              </w:rPr>
              <w:t>Date: May 2, 2019</w:t>
            </w:r>
          </w:p>
        </w:tc>
        <w:tc>
          <w:tcPr>
            <w:tcW w:w="7920" w:type="dxa"/>
            <w:vAlign w:val="bottom"/>
            <w:gridSpan w:val="2"/>
          </w:tcPr>
          <w:p>
            <w:pPr>
              <w:ind w:left="3380"/>
              <w:spacing w:after="0"/>
              <w:rPr>
                <w:sz w:val="20"/>
                <w:szCs w:val="20"/>
                <w:color w:val="auto"/>
              </w:rPr>
            </w:pPr>
            <w:r>
              <w:rPr>
                <w:rFonts w:ascii="Arial" w:cs="Arial" w:eastAsia="Arial" w:hAnsi="Arial"/>
                <w:sz w:val="18"/>
                <w:szCs w:val="18"/>
                <w:color w:val="auto"/>
              </w:rPr>
              <w:t>By: /s/ Ian Simmonds</w:t>
            </w:r>
          </w:p>
        </w:tc>
      </w:tr>
      <w:tr>
        <w:trPr>
          <w:trHeight w:val="195"/>
        </w:trPr>
        <w:tc>
          <w:tcPr>
            <w:tcW w:w="350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4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Ian Simmonds</w:t>
            </w:r>
          </w:p>
        </w:tc>
      </w:tr>
      <w:tr>
        <w:trPr>
          <w:trHeight w:val="230"/>
        </w:trPr>
        <w:tc>
          <w:tcPr>
            <w:tcW w:w="350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648"/>
        </w:trPr>
        <w:tc>
          <w:tcPr>
            <w:tcW w:w="3500" w:type="dxa"/>
            <w:vAlign w:val="bottom"/>
          </w:tcPr>
          <w:p>
            <w:pPr>
              <w:spacing w:after="0"/>
              <w:rPr>
                <w:sz w:val="24"/>
                <w:szCs w:val="24"/>
                <w:color w:val="auto"/>
              </w:rPr>
            </w:pPr>
          </w:p>
        </w:tc>
        <w:tc>
          <w:tcPr>
            <w:tcW w:w="3740" w:type="dxa"/>
            <w:vAlign w:val="bottom"/>
          </w:tcPr>
          <w:p>
            <w:pPr>
              <w:jc w:val="right"/>
              <w:ind w:right="1350"/>
              <w:spacing w:after="0"/>
              <w:rPr>
                <w:sz w:val="20"/>
                <w:szCs w:val="20"/>
                <w:color w:val="auto"/>
              </w:rPr>
            </w:pPr>
            <w:r>
              <w:rPr>
                <w:rFonts w:ascii="Arial" w:cs="Arial" w:eastAsia="Arial" w:hAnsi="Arial"/>
                <w:sz w:val="18"/>
                <w:szCs w:val="18"/>
                <w:color w:val="auto"/>
              </w:rPr>
              <w:t>72</w:t>
            </w:r>
          </w:p>
        </w:tc>
        <w:tc>
          <w:tcPr>
            <w:tcW w:w="4180" w:type="dxa"/>
            <w:vAlign w:val="bottom"/>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CEO 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Joshua Easterly, certify that:</w:t>
      </w:r>
    </w:p>
    <w:p>
      <w:pPr>
        <w:spacing w:after="0" w:line="117" w:lineRule="exact"/>
        <w:rPr>
          <w:sz w:val="20"/>
          <w:szCs w:val="20"/>
          <w:color w:val="auto"/>
        </w:rPr>
      </w:pPr>
    </w:p>
    <w:p>
      <w:pPr>
        <w:ind w:left="780" w:hanging="515"/>
        <w:spacing w:after="0"/>
        <w:tabs>
          <w:tab w:leader="none" w:pos="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TPG Specialty Lending, Inc.;</w:t>
      </w:r>
    </w:p>
    <w:p>
      <w:pPr>
        <w:spacing w:after="0" w:line="117" w:lineRule="exact"/>
        <w:rPr>
          <w:rFonts w:ascii="Arial" w:cs="Arial" w:eastAsia="Arial" w:hAnsi="Arial"/>
          <w:sz w:val="18"/>
          <w:szCs w:val="18"/>
          <w:color w:val="auto"/>
        </w:rPr>
      </w:pPr>
    </w:p>
    <w:p>
      <w:pPr>
        <w:jc w:val="both"/>
        <w:ind w:left="780" w:right="180" w:hanging="515"/>
        <w:spacing w:after="0" w:line="264" w:lineRule="auto"/>
        <w:tabs>
          <w:tab w:leader="none" w:pos="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780" w:right="140" w:hanging="515"/>
        <w:spacing w:after="0" w:line="308" w:lineRule="auto"/>
        <w:tabs>
          <w:tab w:leader="none" w:pos="7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780" w:right="160" w:hanging="515"/>
        <w:spacing w:after="0" w:line="264" w:lineRule="auto"/>
        <w:tabs>
          <w:tab w:leader="none" w:pos="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300" w:right="100" w:hanging="522"/>
        <w:spacing w:after="0" w:line="264" w:lineRule="auto"/>
        <w:tabs>
          <w:tab w:leader="none" w:pos="13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300" w:right="240" w:hanging="522"/>
        <w:spacing w:after="0" w:line="264" w:lineRule="auto"/>
        <w:tabs>
          <w:tab w:leader="none" w:pos="13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73" w:lineRule="exact"/>
        <w:rPr>
          <w:rFonts w:ascii="Arial" w:cs="Arial" w:eastAsia="Arial" w:hAnsi="Arial"/>
          <w:sz w:val="18"/>
          <w:szCs w:val="18"/>
          <w:color w:val="auto"/>
        </w:rPr>
      </w:pPr>
    </w:p>
    <w:p>
      <w:pPr>
        <w:jc w:val="both"/>
        <w:ind w:left="1300" w:right="400" w:hanging="522"/>
        <w:spacing w:after="0" w:line="342" w:lineRule="auto"/>
        <w:tabs>
          <w:tab w:leader="none" w:pos="1300" w:val="left"/>
        </w:tabs>
        <w:numPr>
          <w:ilvl w:val="1"/>
          <w:numId w:val="4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260" w:hanging="522"/>
        <w:spacing w:after="0" w:line="264" w:lineRule="auto"/>
        <w:tabs>
          <w:tab w:leader="none" w:pos="13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780" w:right="60" w:hanging="515"/>
        <w:spacing w:after="0" w:line="308" w:lineRule="auto"/>
        <w:tabs>
          <w:tab w:leader="none" w:pos="7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right="640" w:hanging="522"/>
        <w:spacing w:after="0" w:line="342" w:lineRule="auto"/>
        <w:tabs>
          <w:tab w:leader="none" w:pos="1300" w:val="left"/>
        </w:tabs>
        <w:numPr>
          <w:ilvl w:val="1"/>
          <w:numId w:val="4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340" w:hanging="522"/>
        <w:spacing w:after="0" w:line="277" w:lineRule="auto"/>
        <w:tabs>
          <w:tab w:leader="none" w:pos="13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Date: May 2, 2019</w:t>
            </w:r>
          </w:p>
        </w:tc>
        <w:tc>
          <w:tcPr>
            <w:tcW w:w="7300" w:type="dxa"/>
            <w:vAlign w:val="bottom"/>
            <w:gridSpan w:val="2"/>
          </w:tcPr>
          <w:p>
            <w:pPr>
              <w:ind w:left="2740"/>
              <w:spacing w:after="0"/>
              <w:rPr>
                <w:sz w:val="20"/>
                <w:szCs w:val="20"/>
                <w:color w:val="auto"/>
              </w:rPr>
            </w:pPr>
            <w:r>
              <w:rPr>
                <w:rFonts w:ascii="Arial" w:cs="Arial" w:eastAsia="Arial" w:hAnsi="Arial"/>
                <w:sz w:val="18"/>
                <w:szCs w:val="18"/>
                <w:color w:val="auto"/>
              </w:rPr>
              <w:t>By:  /s/ Joshua Easterly</w:t>
            </w:r>
          </w:p>
        </w:tc>
      </w:tr>
      <w:tr>
        <w:trPr>
          <w:trHeight w:val="195"/>
        </w:trPr>
        <w:tc>
          <w:tcPr>
            <w:tcW w:w="412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41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Joshua Easterly</w:t>
            </w:r>
          </w:p>
        </w:tc>
      </w:tr>
      <w:tr>
        <w:trPr>
          <w:trHeight w:val="230"/>
        </w:trPr>
        <w:tc>
          <w:tcPr>
            <w:tcW w:w="41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420"/>
          </w:cols>
          <w:pgMar w:left="240" w:top="121" w:right="2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CFO 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Ian Simmonds, certify that:</w:t>
      </w:r>
    </w:p>
    <w:p>
      <w:pPr>
        <w:spacing w:after="0" w:line="117" w:lineRule="exact"/>
        <w:rPr>
          <w:sz w:val="20"/>
          <w:szCs w:val="20"/>
          <w:color w:val="auto"/>
        </w:rPr>
      </w:pPr>
    </w:p>
    <w:p>
      <w:pPr>
        <w:ind w:left="780" w:hanging="515"/>
        <w:spacing w:after="0"/>
        <w:tabs>
          <w:tab w:leader="none" w:pos="7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TPG Specialty Lending, Inc.;</w:t>
      </w:r>
    </w:p>
    <w:p>
      <w:pPr>
        <w:spacing w:after="0" w:line="117" w:lineRule="exact"/>
        <w:rPr>
          <w:rFonts w:ascii="Arial" w:cs="Arial" w:eastAsia="Arial" w:hAnsi="Arial"/>
          <w:sz w:val="18"/>
          <w:szCs w:val="18"/>
          <w:color w:val="auto"/>
        </w:rPr>
      </w:pPr>
    </w:p>
    <w:p>
      <w:pPr>
        <w:jc w:val="both"/>
        <w:ind w:left="780" w:right="180" w:hanging="515"/>
        <w:spacing w:after="0" w:line="264" w:lineRule="auto"/>
        <w:tabs>
          <w:tab w:leader="none" w:pos="7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780" w:right="140" w:hanging="515"/>
        <w:spacing w:after="0" w:line="308" w:lineRule="auto"/>
        <w:tabs>
          <w:tab w:leader="none" w:pos="780" w:val="left"/>
        </w:tabs>
        <w:numPr>
          <w:ilvl w:val="0"/>
          <w:numId w:val="5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780" w:right="160" w:hanging="515"/>
        <w:spacing w:after="0" w:line="264" w:lineRule="auto"/>
        <w:tabs>
          <w:tab w:leader="none" w:pos="7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300" w:right="100" w:hanging="522"/>
        <w:spacing w:after="0" w:line="264" w:lineRule="auto"/>
        <w:tabs>
          <w:tab w:leader="none" w:pos="13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300" w:right="240" w:hanging="522"/>
        <w:spacing w:after="0" w:line="264" w:lineRule="auto"/>
        <w:tabs>
          <w:tab w:leader="none" w:pos="13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73" w:lineRule="exact"/>
        <w:rPr>
          <w:rFonts w:ascii="Arial" w:cs="Arial" w:eastAsia="Arial" w:hAnsi="Arial"/>
          <w:sz w:val="18"/>
          <w:szCs w:val="18"/>
          <w:color w:val="auto"/>
        </w:rPr>
      </w:pPr>
    </w:p>
    <w:p>
      <w:pPr>
        <w:jc w:val="both"/>
        <w:ind w:left="1300" w:right="400" w:hanging="522"/>
        <w:spacing w:after="0" w:line="342" w:lineRule="auto"/>
        <w:tabs>
          <w:tab w:leader="none" w:pos="1300" w:val="left"/>
        </w:tabs>
        <w:numPr>
          <w:ilvl w:val="1"/>
          <w:numId w:val="5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260" w:hanging="522"/>
        <w:spacing w:after="0" w:line="264" w:lineRule="auto"/>
        <w:tabs>
          <w:tab w:leader="none" w:pos="13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780" w:right="60" w:hanging="515"/>
        <w:spacing w:after="0" w:line="308" w:lineRule="auto"/>
        <w:tabs>
          <w:tab w:leader="none" w:pos="78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right="640" w:hanging="522"/>
        <w:spacing w:after="0" w:line="342" w:lineRule="auto"/>
        <w:tabs>
          <w:tab w:leader="none" w:pos="1300" w:val="left"/>
        </w:tabs>
        <w:numPr>
          <w:ilvl w:val="1"/>
          <w:numId w:val="5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340" w:hanging="522"/>
        <w:spacing w:after="0" w:line="277" w:lineRule="auto"/>
        <w:tabs>
          <w:tab w:leader="none" w:pos="13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8" w:lineRule="exact"/>
        <w:rPr>
          <w:sz w:val="20"/>
          <w:szCs w:val="20"/>
          <w:color w:val="auto"/>
        </w:rPr>
      </w:pPr>
    </w:p>
    <w:p>
      <w:pPr>
        <w:spacing w:after="0"/>
        <w:tabs>
          <w:tab w:leader="none" w:pos="6860" w:val="left"/>
          <w:tab w:leader="none" w:pos="7300" w:val="left"/>
        </w:tabs>
        <w:rPr>
          <w:sz w:val="20"/>
          <w:szCs w:val="20"/>
          <w:color w:val="auto"/>
        </w:rPr>
      </w:pPr>
      <w:r>
        <w:rPr>
          <w:rFonts w:ascii="Arial" w:cs="Arial" w:eastAsia="Arial" w:hAnsi="Arial"/>
          <w:sz w:val="18"/>
          <w:szCs w:val="18"/>
          <w:color w:val="auto"/>
        </w:rPr>
        <w:t>Date: May 2,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Ian Simmonds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4653280</wp:posOffset>
            </wp:positionH>
            <wp:positionV relativeFrom="paragraph">
              <wp:posOffset>24765</wp:posOffset>
            </wp:positionV>
            <wp:extent cx="25984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Ian Simmonds</w:t>
      </w:r>
    </w:p>
    <w:p>
      <w:pPr>
        <w:spacing w:after="0" w:line="1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35" w:right="2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In connection with the quarterly report on Form 10-Q of TPG Specialty Lending, Inc. (the “Company”) for the quarterly period ended March 31, 2019, as filed with the Securities and Exchange Commission on the date hereof (the “Report”), Joshua Easterly as Chief Executive Officer of the Company, and Ian Simmonds, as Chief Financial Officer of the Company, each hereby certifies, pursuant to 18 U.S.C. § 1350, as adopted pursuant to § 906 of the Sarbanes-Oxley Act of 2002, that, to such officer’s knowledge:</w:t>
      </w:r>
    </w:p>
    <w:p>
      <w:pPr>
        <w:spacing w:after="0" w:line="79" w:lineRule="exact"/>
        <w:rPr>
          <w:sz w:val="20"/>
          <w:szCs w:val="20"/>
          <w:color w:val="auto"/>
        </w:rPr>
      </w:pPr>
    </w:p>
    <w:p>
      <w:pPr>
        <w:ind w:left="780" w:hanging="254"/>
        <w:spacing w:after="0"/>
        <w:tabs>
          <w:tab w:leader="none" w:pos="7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780" w:hanging="254"/>
        <w:spacing w:after="0"/>
        <w:tabs>
          <w:tab w:leader="none" w:pos="7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/s/ Joshua Easterly</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398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Joshua Easterly</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ind w:left="100"/>
              <w:spacing w:after="0"/>
              <w:rPr>
                <w:sz w:val="20"/>
                <w:szCs w:val="20"/>
                <w:color w:val="auto"/>
              </w:rPr>
            </w:pPr>
            <w:r>
              <w:rPr>
                <w:rFonts w:ascii="Arial" w:cs="Arial" w:eastAsia="Arial" w:hAnsi="Arial"/>
                <w:sz w:val="18"/>
                <w:szCs w:val="18"/>
                <w:color w:val="auto"/>
              </w:rPr>
              <w:t>Chief Executive Officer</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3980" w:type="dxa"/>
            <w:vAlign w:val="bottom"/>
          </w:tcPr>
          <w:p>
            <w:pPr>
              <w:ind w:left="100"/>
              <w:spacing w:after="0"/>
              <w:rPr>
                <w:sz w:val="20"/>
                <w:szCs w:val="20"/>
                <w:color w:val="auto"/>
              </w:rPr>
            </w:pPr>
            <w:r>
              <w:rPr>
                <w:rFonts w:ascii="Arial" w:cs="Arial" w:eastAsia="Arial" w:hAnsi="Arial"/>
                <w:sz w:val="18"/>
                <w:szCs w:val="18"/>
                <w:color w:val="auto"/>
              </w:rPr>
              <w:t>May 2, 2019</w:t>
            </w:r>
          </w:p>
        </w:tc>
      </w:tr>
      <w:tr>
        <w:trPr>
          <w:trHeight w:val="459"/>
        </w:trPr>
        <w:tc>
          <w:tcPr>
            <w:tcW w:w="4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Ian Simmonds</w:t>
            </w:r>
          </w:p>
        </w:tc>
      </w:tr>
      <w:tr>
        <w:trPr>
          <w:trHeight w:val="195"/>
        </w:trPr>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980" w:type="dxa"/>
            <w:vAlign w:val="bottom"/>
          </w:tcPr>
          <w:p>
            <w:pPr>
              <w:ind w:left="320"/>
              <w:spacing w:after="0" w:line="195" w:lineRule="exact"/>
              <w:rPr>
                <w:sz w:val="20"/>
                <w:szCs w:val="20"/>
                <w:color w:val="auto"/>
              </w:rPr>
            </w:pPr>
            <w:r>
              <w:rPr>
                <w:rFonts w:ascii="Arial" w:cs="Arial" w:eastAsia="Arial" w:hAnsi="Arial"/>
                <w:sz w:val="18"/>
                <w:szCs w:val="18"/>
                <w:color w:val="auto"/>
              </w:rPr>
              <w:t>Ian Simmonds</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ind w:left="320"/>
              <w:spacing w:after="0"/>
              <w:rPr>
                <w:sz w:val="20"/>
                <w:szCs w:val="20"/>
                <w:color w:val="auto"/>
              </w:rPr>
            </w:pPr>
            <w:r>
              <w:rPr>
                <w:rFonts w:ascii="Arial" w:cs="Arial" w:eastAsia="Arial" w:hAnsi="Arial"/>
                <w:sz w:val="18"/>
                <w:szCs w:val="18"/>
                <w:color w:val="auto"/>
              </w:rPr>
              <w:t>Chief Financial Officer</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3980" w:type="dxa"/>
            <w:vAlign w:val="bottom"/>
          </w:tcPr>
          <w:p>
            <w:pPr>
              <w:ind w:left="320"/>
              <w:spacing w:after="0"/>
              <w:rPr>
                <w:sz w:val="20"/>
                <w:szCs w:val="20"/>
                <w:color w:val="auto"/>
              </w:rPr>
            </w:pPr>
            <w:r>
              <w:rPr>
                <w:rFonts w:ascii="Arial" w:cs="Arial" w:eastAsia="Arial" w:hAnsi="Arial"/>
                <w:sz w:val="18"/>
                <w:szCs w:val="18"/>
                <w:color w:val="auto"/>
              </w:rPr>
              <w:t>May 2, 2019</w:t>
            </w:r>
          </w:p>
        </w:tc>
      </w:tr>
    </w:tbl>
    <w:p>
      <w:pPr>
        <w:spacing w:after="0" w:line="202"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§1350 and is not being filed as part of the Report or as a separate disclosure document.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
      <w:numFmt w:val="bullet"/>
      <w:start w:val="1"/>
    </w:lvl>
  </w:abstractNum>
  <w:abstractNum w:abstractNumId="3">
    <w:nsid w:val="71F32454"/>
    <w:multiLevelType w:val="hybridMultilevel"/>
    <w:lvl w:ilvl="0">
      <w:lvlJc w:val="left"/>
      <w:lvlText w:val="%1"/>
      <w:numFmt w:val="decimal"/>
      <w:start w:val="1"/>
    </w:lvl>
    <w:lvl w:ilvl="1">
      <w:lvlJc w:val="left"/>
      <w:lvlText w:val="(%2)"/>
      <w:numFmt w:val="lowerLetter"/>
      <w:start w:val="1"/>
    </w:lvl>
  </w:abstractNum>
  <w:abstractNum w:abstractNumId="4">
    <w:nsid w:val="2CA88611"/>
    <w:multiLevelType w:val="hybridMultilevel"/>
    <w:lvl w:ilvl="0">
      <w:lvlJc w:val="left"/>
      <w:lvlText w:val="(%1)"/>
      <w:numFmt w:val="decimal"/>
      <w:start w:val="1"/>
    </w:lvl>
    <w:lvl w:ilvl="1">
      <w:lvlJc w:val="left"/>
      <w:lvlText w:val="%2"/>
      <w:numFmt w:val="lowerLetter"/>
      <w:start w:val="1"/>
    </w:lvl>
  </w:abstractNum>
  <w:abstractNum w:abstractNumId="5">
    <w:nsid w:val="836C40E"/>
    <w:multiLevelType w:val="hybridMultilevel"/>
    <w:lvl w:ilvl="0">
      <w:lvlJc w:val="left"/>
      <w:lvlText w:val="%1"/>
      <w:numFmt w:val="decimal"/>
      <w:start w:val="1"/>
    </w:lvl>
    <w:lvl w:ilvl="1">
      <w:lvlJc w:val="left"/>
      <w:lvlText w:val="(%2)"/>
      <w:numFmt w:val="lowerLetter"/>
      <w:start w:val="1"/>
    </w:lvl>
  </w:abstractNum>
  <w:abstractNum w:abstractNumId="6">
    <w:nsid w:val="2901D82"/>
    <w:multiLevelType w:val="hybridMultilevel"/>
    <w:lvl w:ilvl="0">
      <w:lvlJc w:val="left"/>
      <w:lvlText w:val="(%1)"/>
      <w:numFmt w:val="decimal"/>
      <w:start w:val="7"/>
    </w:lvl>
    <w:lvl w:ilvl="1">
      <w:lvlJc w:val="left"/>
      <w:lvlText w:val="%2"/>
      <w:numFmt w:val="lowerLetter"/>
      <w:start w:val="1"/>
    </w:lvl>
  </w:abstractNum>
  <w:abstractNum w:abstractNumId="7">
    <w:nsid w:val="3A95F874"/>
    <w:multiLevelType w:val="hybridMultilevel"/>
    <w:lvl w:ilvl="0">
      <w:lvlJc w:val="left"/>
      <w:lvlText w:val="%1"/>
      <w:numFmt w:val="decimal"/>
      <w:start w:val="1"/>
    </w:lvl>
    <w:lvl w:ilvl="1">
      <w:lvlJc w:val="left"/>
      <w:lvlText w:val="(%2)"/>
      <w:numFmt w:val="lowerLetter"/>
      <w:start w:val="1"/>
    </w:lvl>
  </w:abstractNum>
  <w:abstractNum w:abstractNumId="8">
    <w:nsid w:val="8138641"/>
    <w:multiLevelType w:val="hybridMultilevel"/>
    <w:lvl w:ilvl="0">
      <w:lvlJc w:val="left"/>
      <w:lvlText w:val="(%1)"/>
      <w:numFmt w:val="decimal"/>
      <w:start w:val="8"/>
    </w:lvl>
    <w:lvl w:ilvl="1">
      <w:lvlJc w:val="left"/>
      <w:lvlText w:val="%2"/>
      <w:numFmt w:val="lowerLetter"/>
      <w:start w:val="1"/>
    </w:lvl>
  </w:abstractNum>
  <w:abstractNum w:abstractNumId="9">
    <w:nsid w:val="1E7FF521"/>
    <w:multiLevelType w:val="hybridMultilevel"/>
    <w:lvl w:ilvl="0">
      <w:lvlJc w:val="left"/>
      <w:lvlText w:val="%1"/>
      <w:numFmt w:val="decimal"/>
      <w:start w:val="1"/>
    </w:lvl>
    <w:lvl w:ilvl="1">
      <w:lvlJc w:val="left"/>
      <w:lvlText w:val="(%2)"/>
      <w:numFmt w:val="lowerLetter"/>
      <w:start w:val="1"/>
    </w:lvl>
  </w:abstractNum>
  <w:abstractNum w:abstractNumId="10">
    <w:nsid w:val="7C3DBD3D"/>
    <w:multiLevelType w:val="hybridMultilevel"/>
    <w:lvl w:ilvl="0">
      <w:lvlJc w:val="left"/>
      <w:lvlText w:val="(%1)"/>
      <w:numFmt w:val="decimal"/>
      <w:start w:val="1"/>
    </w:lvl>
    <w:lvl w:ilvl="1">
      <w:lvlJc w:val="left"/>
      <w:lvlText w:val="%2"/>
      <w:numFmt w:val="lowerLetter"/>
      <w:start w:val="1"/>
    </w:lvl>
  </w:abstractNum>
  <w:abstractNum w:abstractNumId="11">
    <w:nsid w:val="737B8DDC"/>
    <w:multiLevelType w:val="hybridMultilevel"/>
    <w:lvl w:ilvl="0">
      <w:lvlJc w:val="left"/>
      <w:lvlText w:val="(%1)"/>
      <w:numFmt w:val="lowerLetter"/>
      <w:start w:val="1"/>
    </w:lvl>
  </w:abstractNum>
  <w:abstractNum w:abstractNumId="12">
    <w:nsid w:val="6CEAF087"/>
    <w:multiLevelType w:val="hybridMultilevel"/>
    <w:lvl w:ilvl="0">
      <w:lvlJc w:val="left"/>
      <w:lvlText w:val="(%1)"/>
      <w:numFmt w:val="decimal"/>
      <w:start w:val="7"/>
    </w:lvl>
  </w:abstractNum>
  <w:abstractNum w:abstractNumId="13">
    <w:nsid w:val="22221A70"/>
    <w:multiLevelType w:val="hybridMultilevel"/>
    <w:lvl w:ilvl="0">
      <w:lvlJc w:val="left"/>
      <w:lvlText w:val="%1"/>
      <w:numFmt w:val="decimal"/>
      <w:start w:val="1"/>
    </w:lvl>
    <w:lvl w:ilvl="1">
      <w:lvlJc w:val="left"/>
      <w:lvlText w:val="(%2)"/>
      <w:numFmt w:val="lowerLetter"/>
      <w:start w:val="1"/>
    </w:lvl>
  </w:abstractNum>
  <w:abstractNum w:abstractNumId="14">
    <w:nsid w:val="4516DDE9"/>
    <w:multiLevelType w:val="hybridMultilevel"/>
    <w:lvl w:ilvl="0">
      <w:lvlJc w:val="left"/>
      <w:lvlText w:val="(%1)"/>
      <w:numFmt w:val="decimal"/>
      <w:start w:val="8"/>
    </w:lvl>
    <w:lvl w:ilvl="1">
      <w:lvlJc w:val="left"/>
      <w:lvlText w:val="%2"/>
      <w:numFmt w:val="lowerLetter"/>
      <w:start w:val="1"/>
    </w:lvl>
  </w:abstractNum>
  <w:abstractNum w:abstractNumId="15">
    <w:nsid w:val="3006C83E"/>
    <w:multiLevelType w:val="hybridMultilevel"/>
    <w:lvl w:ilvl="0">
      <w:lvlJc w:val="left"/>
      <w:lvlText w:val="•"/>
      <w:numFmt w:val="bullet"/>
      <w:start w:val="1"/>
    </w:lvl>
  </w:abstractNum>
  <w:abstractNum w:abstractNumId="16">
    <w:nsid w:val="614FD4A1"/>
    <w:multiLevelType w:val="hybridMultilevel"/>
    <w:lvl w:ilvl="0">
      <w:lvlJc w:val="left"/>
      <w:lvlText w:val="•"/>
      <w:numFmt w:val="bullet"/>
      <w:start w:val="1"/>
    </w:lvl>
  </w:abstractNum>
  <w:abstractNum w:abstractNumId="17">
    <w:nsid w:val="419AC241"/>
    <w:multiLevelType w:val="hybridMultilevel"/>
    <w:lvl w:ilvl="0">
      <w:lvlJc w:val="left"/>
      <w:lvlText w:val="•"/>
      <w:numFmt w:val="bullet"/>
      <w:start w:val="1"/>
    </w:lvl>
  </w:abstractNum>
  <w:abstractNum w:abstractNumId="18">
    <w:nsid w:val="5577F8E1"/>
    <w:multiLevelType w:val="hybridMultilevel"/>
    <w:lvl w:ilvl="0">
      <w:lvlJc w:val="left"/>
      <w:lvlText w:val="•"/>
      <w:numFmt w:val="bullet"/>
      <w:start w:val="1"/>
    </w:lvl>
  </w:abstractNum>
  <w:abstractNum w:abstractNumId="19">
    <w:nsid w:val="440BADFC"/>
    <w:multiLevelType w:val="hybridMultilevel"/>
    <w:lvl w:ilvl="0">
      <w:lvlJc w:val="left"/>
      <w:lvlText w:val="(%1)"/>
      <w:numFmt w:val="lowerRoman"/>
      <w:start w:val="1"/>
    </w:lvl>
  </w:abstractNum>
  <w:abstractNum w:abstractNumId="20">
    <w:nsid w:val="5072367"/>
    <w:multiLevelType w:val="hybridMultilevel"/>
    <w:lvl w:ilvl="0">
      <w:lvlJc w:val="left"/>
      <w:lvlText w:val="(%1)"/>
      <w:numFmt w:val="lowerRoman"/>
      <w:start w:val="2"/>
    </w:lvl>
  </w:abstractNum>
  <w:abstractNum w:abstractNumId="21">
    <w:nsid w:val="3804823E"/>
    <w:multiLevelType w:val="hybridMultilevel"/>
    <w:lvl w:ilvl="0">
      <w:lvlJc w:val="left"/>
      <w:lvlText w:val="(%1)"/>
      <w:numFmt w:val="decimal"/>
      <w:start w:val="1"/>
    </w:lvl>
  </w:abstractNum>
  <w:abstractNum w:abstractNumId="22">
    <w:nsid w:val="77465F01"/>
    <w:multiLevelType w:val="hybridMultilevel"/>
    <w:lvl w:ilvl="0">
      <w:lvlJc w:val="left"/>
      <w:lvlText w:val="(%1)"/>
      <w:numFmt w:val="decimal"/>
      <w:start w:val="1"/>
    </w:lvl>
  </w:abstractNum>
  <w:abstractNum w:abstractNumId="23">
    <w:nsid w:val="7724C67E"/>
    <w:multiLevelType w:val="hybridMultilevel"/>
    <w:lvl w:ilvl="0">
      <w:lvlJc w:val="left"/>
      <w:lvlText w:val="(%1)"/>
      <w:numFmt w:val="decimal"/>
      <w:start w:val="1"/>
    </w:lvl>
  </w:abstractNum>
  <w:abstractNum w:abstractNumId="24">
    <w:nsid w:val="5C482A97"/>
    <w:multiLevelType w:val="hybridMultilevel"/>
    <w:lvl w:ilvl="0">
      <w:lvlJc w:val="left"/>
      <w:lvlText w:val="(%1)"/>
      <w:numFmt w:val="decimal"/>
      <w:start w:val="1"/>
    </w:lvl>
  </w:abstractNum>
  <w:abstractNum w:abstractNumId="25">
    <w:nsid w:val="2463B9EA"/>
    <w:multiLevelType w:val="hybridMultilevel"/>
    <w:lvl w:ilvl="0">
      <w:lvlJc w:val="left"/>
      <w:lvlText w:val="(%1)"/>
      <w:numFmt w:val="decimal"/>
      <w:start w:val="1"/>
    </w:lvl>
  </w:abstractNum>
  <w:abstractNum w:abstractNumId="26">
    <w:nsid w:val="5E884ADC"/>
    <w:multiLevelType w:val="hybridMultilevel"/>
    <w:lvl w:ilvl="0">
      <w:lvlJc w:val="left"/>
      <w:lvlText w:val="(%1)"/>
      <w:numFmt w:val="decimal"/>
      <w:start w:val="1"/>
    </w:lvl>
  </w:abstractNum>
  <w:abstractNum w:abstractNumId="27">
    <w:nsid w:val="51EAD36B"/>
    <w:multiLevelType w:val="hybridMultilevel"/>
    <w:lvl w:ilvl="0">
      <w:lvlJc w:val="left"/>
      <w:lvlText w:val="•"/>
      <w:numFmt w:val="bullet"/>
      <w:start w:val="1"/>
    </w:lvl>
  </w:abstractNum>
  <w:abstractNum w:abstractNumId="28">
    <w:nsid w:val="2D517796"/>
    <w:multiLevelType w:val="hybridMultilevel"/>
    <w:lvl w:ilvl="0">
      <w:lvlJc w:val="left"/>
      <w:lvlText w:val="(%1)"/>
      <w:numFmt w:val="decimal"/>
      <w:start w:val="1"/>
    </w:lvl>
  </w:abstractNum>
  <w:abstractNum w:abstractNumId="29">
    <w:nsid w:val="580BD78F"/>
    <w:multiLevelType w:val="hybridMultilevel"/>
    <w:lvl w:ilvl="0">
      <w:lvlJc w:val="left"/>
      <w:lvlText w:val="%1."/>
      <w:numFmt w:val="decimal"/>
      <w:start w:val="10"/>
    </w:lvl>
  </w:abstractNum>
  <w:abstractNum w:abstractNumId="30">
    <w:nsid w:val="153EA438"/>
    <w:multiLevelType w:val="hybridMultilevel"/>
    <w:lvl w:ilvl="0">
      <w:lvlJc w:val="left"/>
      <w:lvlText w:val="%1."/>
      <w:numFmt w:val="decimal"/>
      <w:start w:val="12"/>
    </w:lvl>
  </w:abstractNum>
  <w:abstractNum w:abstractNumId="31">
    <w:nsid w:val="3855585C"/>
    <w:multiLevelType w:val="hybridMultilevel"/>
    <w:lvl w:ilvl="0">
      <w:lvlJc w:val="left"/>
      <w:lvlText w:val="(%1)"/>
      <w:numFmt w:val="decimal"/>
      <w:start w:val="1"/>
    </w:lvl>
  </w:abstractNum>
  <w:abstractNum w:abstractNumId="32">
    <w:nsid w:val="70A64E2A"/>
    <w:multiLevelType w:val="hybridMultilevel"/>
    <w:lvl w:ilvl="0">
      <w:lvlJc w:val="left"/>
      <w:lvlText w:val="•"/>
      <w:numFmt w:val="bullet"/>
      <w:start w:val="1"/>
    </w:lvl>
  </w:abstractNum>
  <w:abstractNum w:abstractNumId="33">
    <w:nsid w:val="6A2342EC"/>
    <w:multiLevelType w:val="hybridMultilevel"/>
    <w:lvl w:ilvl="0">
      <w:lvlJc w:val="left"/>
      <w:lvlText w:val="•"/>
      <w:numFmt w:val="bullet"/>
      <w:start w:val="1"/>
    </w:lvl>
  </w:abstractNum>
  <w:abstractNum w:abstractNumId="34">
    <w:nsid w:val="2A487CB0"/>
    <w:multiLevelType w:val="hybridMultilevel"/>
    <w:lvl w:ilvl="0">
      <w:lvlJc w:val="left"/>
      <w:lvlText w:val="(%1)"/>
      <w:numFmt w:val="decimal"/>
      <w:start w:val="1"/>
    </w:lvl>
  </w:abstractNum>
  <w:abstractNum w:abstractNumId="35">
    <w:nsid w:val="1D4ED43B"/>
    <w:multiLevelType w:val="hybridMultilevel"/>
    <w:lvl w:ilvl="0">
      <w:lvlJc w:val="left"/>
      <w:lvlText w:val="(%1)"/>
      <w:numFmt w:val="decimal"/>
      <w:start w:val="1"/>
    </w:lvl>
  </w:abstractNum>
  <w:abstractNum w:abstractNumId="36">
    <w:nsid w:val="725A06FB"/>
    <w:multiLevelType w:val="hybridMultilevel"/>
    <w:lvl w:ilvl="0">
      <w:lvlJc w:val="left"/>
      <w:lvlText w:val="•"/>
      <w:numFmt w:val="bullet"/>
      <w:start w:val="1"/>
    </w:lvl>
  </w:abstractNum>
  <w:abstractNum w:abstractNumId="37">
    <w:nsid w:val="2CD89A32"/>
    <w:multiLevelType w:val="hybridMultilevel"/>
    <w:lvl w:ilvl="0">
      <w:lvlJc w:val="left"/>
      <w:lvlText w:val="•"/>
      <w:numFmt w:val="bullet"/>
      <w:start w:val="1"/>
    </w:lvl>
  </w:abstractNum>
  <w:abstractNum w:abstractNumId="38">
    <w:nsid w:val="57E4CCAF"/>
    <w:multiLevelType w:val="hybridMultilevel"/>
    <w:lvl w:ilvl="0">
      <w:lvlJc w:val="left"/>
      <w:lvlText w:val="•"/>
      <w:numFmt w:val="bullet"/>
      <w:start w:val="1"/>
    </w:lvl>
  </w:abstractNum>
  <w:abstractNum w:abstractNumId="39">
    <w:nsid w:val="7A6D8D3C"/>
    <w:multiLevelType w:val="hybridMultilevel"/>
    <w:lvl w:ilvl="0">
      <w:lvlJc w:val="left"/>
      <w:lvlText w:val="•"/>
      <w:numFmt w:val="bullet"/>
      <w:start w:val="1"/>
    </w:lvl>
  </w:abstractNum>
  <w:abstractNum w:abstractNumId="40">
    <w:nsid w:val="4B588F54"/>
    <w:multiLevelType w:val="hybridMultilevel"/>
    <w:lvl w:ilvl="0">
      <w:lvlJc w:val="left"/>
      <w:lvlText w:val="(%1)"/>
      <w:numFmt w:val="decimal"/>
      <w:start w:val="1"/>
    </w:lvl>
  </w:abstractNum>
  <w:abstractNum w:abstractNumId="41">
    <w:nsid w:val="542289EC"/>
    <w:multiLevelType w:val="hybridMultilevel"/>
    <w:lvl w:ilvl="0">
      <w:lvlJc w:val="left"/>
      <w:lvlText w:val="(%1)"/>
      <w:numFmt w:val="decimal"/>
      <w:start w:val="1"/>
    </w:lvl>
  </w:abstractNum>
  <w:abstractNum w:abstractNumId="42">
    <w:nsid w:val="6DE91B18"/>
    <w:multiLevelType w:val="hybridMultilevel"/>
    <w:lvl w:ilvl="0">
      <w:lvlJc w:val="left"/>
      <w:lvlText w:val="•"/>
      <w:numFmt w:val="bullet"/>
      <w:start w:val="1"/>
    </w:lvl>
  </w:abstractNum>
  <w:abstractNum w:abstractNumId="43">
    <w:nsid w:val="38437FDB"/>
    <w:multiLevelType w:val="hybridMultilevel"/>
    <w:lvl w:ilvl="0">
      <w:lvlJc w:val="left"/>
      <w:lvlText w:val="•"/>
      <w:numFmt w:val="bullet"/>
      <w:start w:val="1"/>
    </w:lvl>
  </w:abstractNum>
  <w:abstractNum w:abstractNumId="44">
    <w:nsid w:val="7644A45C"/>
    <w:multiLevelType w:val="hybridMultilevel"/>
    <w:lvl w:ilvl="0">
      <w:lvlJc w:val="left"/>
      <w:lvlText w:val="•"/>
      <w:numFmt w:val="bullet"/>
      <w:start w:val="1"/>
    </w:lvl>
  </w:abstractNum>
  <w:abstractNum w:abstractNumId="45">
    <w:nsid w:val="32FFF902"/>
    <w:multiLevelType w:val="hybridMultilevel"/>
    <w:lvl w:ilvl="0">
      <w:lvlJc w:val="left"/>
      <w:lvlText w:val="•"/>
      <w:numFmt w:val="bullet"/>
      <w:start w:val="1"/>
    </w:lvl>
  </w:abstractNum>
  <w:abstractNum w:abstractNumId="46">
    <w:nsid w:val="684A481A"/>
    <w:multiLevelType w:val="hybridMultilevel"/>
    <w:lvl w:ilvl="0">
      <w:lvlJc w:val="left"/>
      <w:lvlText w:val="(%1)"/>
      <w:numFmt w:val="decimal"/>
      <w:start w:val="1"/>
    </w:lvl>
  </w:abstractNum>
  <w:abstractNum w:abstractNumId="47">
    <w:nsid w:val="579478FE"/>
    <w:multiLevelType w:val="hybridMultilevel"/>
    <w:lvl w:ilvl="0">
      <w:lvlJc w:val="left"/>
      <w:lvlText w:val="%1"/>
      <w:numFmt w:val="decimal"/>
      <w:start w:val="32"/>
    </w:lvl>
  </w:abstractNum>
  <w:abstractNum w:abstractNumId="48">
    <w:nsid w:val="749ABB43"/>
    <w:multiLevelType w:val="hybridMultilevel"/>
    <w:lvl w:ilvl="0">
      <w:lvlJc w:val="left"/>
      <w:lvlText w:val="(%1)"/>
      <w:numFmt w:val="decimal"/>
      <w:start w:val="1"/>
    </w:lvl>
    <w:lvl w:ilvl="1">
      <w:lvlJc w:val="left"/>
      <w:lvlText w:val="%2."/>
      <w:numFmt w:val="lowerLetter"/>
      <w:start w:val="1"/>
    </w:lvl>
  </w:abstractNum>
  <w:abstractNum w:abstractNumId="49">
    <w:nsid w:val="3DC240FB"/>
    <w:multiLevelType w:val="hybridMultilevel"/>
    <w:lvl w:ilvl="0">
      <w:lvlJc w:val="left"/>
      <w:lvlText w:val="(%1)"/>
      <w:numFmt w:val="decimal"/>
      <w:start w:val="1"/>
    </w:lvl>
    <w:lvl w:ilvl="1">
      <w:lvlJc w:val="left"/>
      <w:lvlText w:val="%2."/>
      <w:numFmt w:val="lowerLetter"/>
      <w:start w:val="1"/>
    </w:lvl>
  </w:abstractNum>
  <w:abstractNum w:abstractNumId="50">
    <w:nsid w:val="1BA026F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6" Type="http://schemas.openxmlformats.org/officeDocument/2006/relationships/hyperlink" Target="http://www.sec.gov/Archives/edgar/data/1508655/000156459019003442/tslx-ex1016_20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2019-12-28T13:01:24Z</dcterms:created>
  <dcterms:modified xsi:type="dcterms:W3CDTF">2019-12-28T13:01:24Z</dcterms:modified>
</cp:coreProperties>
</file>