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 –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May 26, 2022, Sixth Street Specialty Lending, Inc. (the “Company”) held its annual meeting of stockholders. Stockholders considered two proposals as described in the Company’s proxy statement filed on April 13, 2022. The final results of the voting on each matter submitted to stockholders at the annual meeting are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 Directors. </w:t>
      </w:r>
      <w:r>
        <w:rPr>
          <w:rFonts w:ascii="Arial" w:cs="Arial" w:eastAsia="Arial" w:hAnsi="Arial"/>
          <w:sz w:val="18"/>
          <w:szCs w:val="18"/>
          <w:color w:val="auto"/>
        </w:rPr>
        <w:t>The stockholders elected the nominees for Class II director by the vote shown below.</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Nominee</w:t>
            </w:r>
          </w:p>
        </w:tc>
        <w:tc>
          <w:tcPr>
            <w:tcW w:w="476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w w:val="99"/>
              </w:rPr>
              <w:t>Votes “For”</w:t>
            </w: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5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Jennifer Gordon</w:t>
            </w: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27,699,454</w:t>
            </w:r>
          </w:p>
        </w:tc>
        <w:tc>
          <w:tcPr>
            <w:tcW w:w="4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8,357,744</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20,421,233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860" w:type="dxa"/>
            <w:vAlign w:val="bottom"/>
          </w:tcPr>
          <w:p>
            <w:pPr>
              <w:ind w:left="60"/>
              <w:spacing w:after="0"/>
              <w:rPr>
                <w:sz w:val="20"/>
                <w:szCs w:val="20"/>
                <w:color w:val="auto"/>
              </w:rPr>
            </w:pPr>
            <w:r>
              <w:rPr>
                <w:rFonts w:ascii="Arial" w:cs="Arial" w:eastAsia="Arial" w:hAnsi="Arial"/>
                <w:sz w:val="18"/>
                <w:szCs w:val="18"/>
                <w:color w:val="auto"/>
                <w:w w:val="86"/>
              </w:rPr>
              <w:t>28,442,172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7,615,026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20,421,233</w:t>
            </w:r>
          </w:p>
        </w:tc>
        <w:tc>
          <w:tcPr>
            <w:tcW w:w="6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Judy Slotkin</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30,319,139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5,738,059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20,421,233</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public accounting firm for the fiscal year ending December 31, 2022.</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Votes “For”</w:t>
            </w:r>
          </w:p>
        </w:tc>
        <w:tc>
          <w:tcPr>
            <w:tcW w:w="2200" w:type="dxa"/>
            <w:vAlign w:val="bottom"/>
          </w:tcPr>
          <w:p>
            <w:pPr>
              <w:spacing w:after="0"/>
              <w:rPr>
                <w:sz w:val="16"/>
                <w:szCs w:val="16"/>
                <w:color w:val="auto"/>
              </w:rPr>
            </w:pPr>
          </w:p>
        </w:tc>
        <w:tc>
          <w:tcPr>
            <w:tcW w:w="312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Abstentions</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55,832,491</w:t>
            </w:r>
          </w:p>
        </w:tc>
        <w:tc>
          <w:tcPr>
            <w:tcW w:w="2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485,317</w:t>
            </w:r>
          </w:p>
        </w:tc>
        <w:tc>
          <w:tcPr>
            <w:tcW w:w="6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160,623</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26, 2022, the Company also held a special meeting of stockholders. Stockholders considered one proposal as described in the Company’s proxy statement filed on April 13, 2022. The final results of the voting on the matter submitted to stockholders at the special meeting are set forth below.</w:t>
      </w:r>
    </w:p>
    <w:p>
      <w:pPr>
        <w:spacing w:after="0" w:line="120"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color w:val="auto"/>
        </w:rPr>
        <w:t xml:space="preserve">Proposal 1 – Sales of Common Stock Below NAV. </w:t>
      </w:r>
      <w:r>
        <w:rPr>
          <w:rFonts w:ascii="Arial" w:cs="Arial" w:eastAsia="Arial" w:hAnsi="Arial"/>
          <w:sz w:val="17"/>
          <w:szCs w:val="17"/>
          <w:color w:val="auto"/>
        </w:rPr>
        <w:t>The stockholders approved the proposal to authorize the Company to sell or otherwise issue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including affiliated and unaffiliated shares, was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Votes “For”</w:t>
            </w:r>
          </w:p>
        </w:tc>
        <w:tc>
          <w:tcPr>
            <w:tcW w:w="220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Abstentions</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38,509,424</w:t>
            </w:r>
          </w:p>
        </w:tc>
        <w:tc>
          <w:tcPr>
            <w:tcW w:w="2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3,254,494</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881,836</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adjusted to exclude 6,905,793 affiliated shares, was as follows: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Votes “For”</w:t>
            </w:r>
          </w:p>
        </w:tc>
        <w:tc>
          <w:tcPr>
            <w:tcW w:w="2200" w:type="dxa"/>
            <w:vAlign w:val="bottom"/>
          </w:tcPr>
          <w:p>
            <w:pPr>
              <w:spacing w:after="0"/>
              <w:rPr>
                <w:sz w:val="16"/>
                <w:szCs w:val="16"/>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Votes “Against”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Abstentions</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Broker Non-Votes</w:t>
            </w: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31,705,569</w:t>
            </w:r>
          </w:p>
        </w:tc>
        <w:tc>
          <w:tcPr>
            <w:tcW w:w="2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3,254,494</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779,898</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May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2022-05-28T12:23:02Z</dcterms:created>
  <dcterms:modified xsi:type="dcterms:W3CDTF">2022-05-28T12:23:02Z</dcterms:modified>
</cp:coreProperties>
</file>