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17, 2016, TPG Specialty Lending, Inc. issued the following press release:</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TPG Specialty Lending, Inc. Sends Letter to TICC Board of Directors Calling Recent Actions Wholly Unacceptable and Affirming Commitment to Deliver Value to TICC Stockholders</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TSLX Urges TICC Stockholders to Elect Independent Candidate to TICC Board and Adopt Proposal to Terminate the Investment Advisory Agreement Between TICC and External Manager</w:t>
      </w:r>
    </w:p>
    <w:p>
      <w:pPr>
        <w:spacing w:after="0" w:line="62" w:lineRule="exact"/>
        <w:rPr>
          <w:sz w:val="20"/>
          <w:szCs w:val="20"/>
          <w:color w:val="auto"/>
        </w:rPr>
      </w:pPr>
    </w:p>
    <w:p>
      <w:pPr>
        <w:ind w:right="2320"/>
        <w:spacing w:after="0" w:line="422" w:lineRule="auto"/>
        <w:rPr>
          <w:sz w:val="20"/>
          <w:szCs w:val="20"/>
          <w:color w:val="auto"/>
        </w:rPr>
      </w:pPr>
      <w:r>
        <w:rPr>
          <w:rFonts w:ascii="Arial" w:cs="Arial" w:eastAsia="Arial" w:hAnsi="Arial"/>
          <w:sz w:val="16"/>
          <w:szCs w:val="16"/>
          <w:b w:val="1"/>
          <w:bCs w:val="1"/>
          <w:i w:val="1"/>
          <w:iCs w:val="1"/>
          <w:color w:val="auto"/>
        </w:rPr>
        <w:t>TSLX is Encouraged by Investor Focus on BDC Sector and Confident TICC Stockholders will Force Meaningful Change TSLX Remains Committed to its Clear, Compelling Alternatives to Generate Value for TICC Stockholders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TICC’s Recent Proposals Fail to Meaningfully Address Fundamental Failures, Including Continued Poor Performance and Troubling Governance Practices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YORK—(BUSINESS WIRE)—Mar. 17, 2016—TPG Specialty Lending, Inc. (“TSLX”; NYSE: TSLX), a specialty finance company focused on lending to middle-market companies, today sent a letter to the Board of Directors of TICC Capital Corp. (“TICC”; Nasdaq: TICC) in which TSLX reiterated its support of the candidacy of Mr. T. Kelley Millet to the TICC Board at the 2016 Annual Meeting of Stockholders and its proposal to terminate the investment advisory agreement between TICC and the external manager.</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its letter to the TICC Board, TSLX also expressed its disappointment that TICC’s recently announced “fee waiver” and its appointment of a new Chairman of the Board are empty gestures that fail to effect real change for TICC investors and further undermine corporate governance at TICC. TSLX has identified clear, compelling alternatives to generate value for TICC stockholders that remain unaddressed by the TICC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ectPr>
          <w:pgSz w:w="11900" w:h="16838" w:orient="portrait"/>
          <w:cols w:equalWidth="0" w:num="1">
            <w:col w:w="11360"/>
          </w:cols>
          <w:pgMar w:left="240" w:top="382"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are writing to express our disappointment in the recent events that further undermine corporate governance at TICC Capital Corp. (“TICC” or the “Company”) and keep the Company on a path to destroy still more stockholder value.</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were surprised to hear you say on your fourth quarter earnings call held on March 10, 2016 that in January the TICC Board of Directors “commenced the shareholder outreach program and contacted the 20 largest institutional holders.” We are your third largest stockholder, holding approximately 3.2% </w:t>
      </w:r>
      <w:r>
        <w:rPr>
          <w:rFonts w:ascii="Arial" w:cs="Arial" w:eastAsia="Arial" w:hAnsi="Arial"/>
          <w:sz w:val="13"/>
          <w:szCs w:val="13"/>
          <w:color w:val="auto"/>
        </w:rPr>
        <w:t>1</w:t>
      </w:r>
      <w:r>
        <w:rPr>
          <w:rFonts w:ascii="Arial" w:cs="Arial" w:eastAsia="Arial" w:hAnsi="Arial"/>
          <w:sz w:val="16"/>
          <w:szCs w:val="16"/>
          <w:color w:val="auto"/>
        </w:rPr>
        <w:t xml:space="preserve"> of your common stock, and we did sit down with you, but it was just two days prior to your March 9, 2016 announcement. It was clear in the meeting and confirmed by the very short notice that your objective was an attempt to garner our support for an already fully baked plan and input from stockholders was not being entertained. This was not a genuine effort to discuss an appropriate pathway for stockholder value creation. If all of your outreach meetings were as unconstructive as ours, we suspect your other stockholders were just as underwhelmed and disappointed as we were.</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we have moved through this process since September of last year, it has become apparent through your actions that you remain solely focused on saving your positions on the Board and as the external manager rather than fulfilling your duty to TICC investors. We have outlined clear and powerful measures that TICC could implement to create tremendous value and we remain committed to effecting change.</w:t>
      </w:r>
    </w:p>
    <w:p>
      <w:pPr>
        <w:spacing w:after="0" w:line="18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 xml:space="preserve">We respond to the announcements you made last week in more detail below. However, the points we lay out have already been understood by our fellow TICC stockholders as total return for TICC is down 3.9% since your announcement on March 9, 2016, as compared to the BDC Composite </w:t>
      </w:r>
      <w:r>
        <w:rPr>
          <w:rFonts w:ascii="Arial" w:cs="Arial" w:eastAsia="Arial" w:hAnsi="Arial"/>
          <w:sz w:val="14"/>
          <w:szCs w:val="14"/>
          <w:color w:val="auto"/>
        </w:rPr>
        <w:t>2</w:t>
      </w:r>
      <w:r>
        <w:rPr>
          <w:rFonts w:ascii="Arial" w:cs="Arial" w:eastAsia="Arial" w:hAnsi="Arial"/>
          <w:sz w:val="17"/>
          <w:szCs w:val="17"/>
          <w:color w:val="auto"/>
        </w:rPr>
        <w:t xml:space="preserve"> which has increased 2.3% over the same period; 6.2 percentage points of underperformance in five trading days. Year to date, TICC’s total return has been negative 16.5%, while the BDC Composite has increased 0.2%; 16.7 percentage points of underperformance in 2016.</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Put simply, the “fee waiver” and appointment of a new Chairman of the Board are empty gestures and a transparent attempt to escape the resounding defeat you experienced at the special meeting of TICC stockholders on December 22, 2015. And the market already knows this. Specifically:</w:t>
      </w:r>
    </w:p>
    <w:p>
      <w:pPr>
        <w:spacing w:after="0" w:line="29" w:lineRule="exact"/>
        <w:rPr>
          <w:sz w:val="20"/>
          <w:szCs w:val="20"/>
          <w:color w:val="auto"/>
        </w:rPr>
      </w:pPr>
    </w:p>
    <w:p>
      <w:pPr>
        <w:ind w:left="900" w:right="20" w:hanging="446"/>
        <w:spacing w:after="0" w:line="28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Reduction in Fees – After years of terrible performance, including underperforming the BDC Composite by 183.1 percentage points since your IPO on a total returns basis, a whopping 7.7 percentage points per year of under-performance, the only appropriate response from the Board would have been to terminate the management contract with the external manager. Again, TICC’s net total return for investors was approximately 2% per year less than if you had invested in risk-free U.S. treasuries. As we have said time and again, our issues with TICC are broad and systemic. While important, a simplistic focus on fees distorts the core problems at TICC to easily-manipulated and misleading headline figures.</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b w:val="1"/>
          <w:bCs w:val="1"/>
          <w:color w:val="auto"/>
        </w:rPr>
        <w:t>Any fees paid to the external manager are too high given TICC’s massive and consistent underperformance.</w:t>
      </w:r>
    </w:p>
    <w:p>
      <w:pPr>
        <w:spacing w:after="0" w:line="103"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 xml:space="preserve">Rewarding the same management team through marginally reduced fees does not address the core problem of poor performance. A change in management was passionately advocated by the Board and the current management team as they negotiated the now failed transaction that would have enriched management at the expense of your existing stockholders. Simply put, after 14 years of underperformance across all time periods, the answer shouldn’t be a reduction in continued compensation. </w:t>
      </w:r>
      <w:r>
        <w:rPr>
          <w:rFonts w:ascii="Arial" w:cs="Arial" w:eastAsia="Arial" w:hAnsi="Arial"/>
          <w:sz w:val="17"/>
          <w:szCs w:val="17"/>
          <w:b w:val="1"/>
          <w:bCs w:val="1"/>
          <w:u w:val="single" w:color="auto"/>
          <w:color w:val="auto"/>
        </w:rPr>
        <w:t>The answer, as the Board had previously advocated, is real change—change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in management and the external manager, and a change in investment strategy</w:t>
      </w:r>
      <w:r>
        <w:rPr>
          <w:rFonts w:ascii="Arial" w:cs="Arial" w:eastAsia="Arial" w:hAnsi="Arial"/>
          <w:sz w:val="17"/>
          <w:szCs w:val="17"/>
          <w:color w:val="auto"/>
        </w:rPr>
        <w:t>.</w:t>
      </w:r>
    </w:p>
    <w:p>
      <w:pPr>
        <w:spacing w:after="0" w:line="64"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 (“ROE”), not metrics to be viewed in isolation and certainly not ones to be determined against a barely comparable group of other BDCs (particularly a group that conveniently ignores the underlying nature of the assets they own).</w:t>
      </w:r>
    </w:p>
    <w:p>
      <w:pPr>
        <w:sectPr>
          <w:pgSz w:w="11900" w:h="16838" w:orient="portrait"/>
          <w:cols w:equalWidth="0" w:num="1">
            <w:col w:w="11420"/>
          </w:cols>
          <w:pgMar w:left="240" w:top="274" w:right="239" w:bottom="1440" w:gutter="0" w:footer="0" w:header="0"/>
        </w:sectPr>
      </w:pPr>
    </w:p>
    <w:bookmarkStart w:id="3" w:name="page4"/>
    <w:bookmarkEnd w:id="3"/>
    <w:p>
      <w:pPr>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our review of BDC peers, we believe TICC has failed to truly recognize the unique nature of its own portfolio of broadly syndicated securities versus bespoke, directly originated transactions. In our view the most appropriate compensation structure for TICC’s portfolio is that of American Capital Senior Floating, Ltd. (NASDAQ: ACSF). The composition of ACSF’s portfolio is nearly identical to TICC’s with 84% senior secured broadly syndicated debt and 16% collateralized loan obligation (“CLO”) equity; TICC has a portfolio composed of 71% senior secured broadly syndicated debt and 27% CLO equity. Meanwhile, ACSF charges 80 basis points of management fee on assets and no incentive fee. TICC’s new fee structure that includes a 1.5% base management fee and a 20% incentive fee continues to look rich indeed when assessed against a comparable collateral mix.</w:t>
      </w:r>
    </w:p>
    <w:p>
      <w:pPr>
        <w:spacing w:after="0" w:line="8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In other words, TICC’s new fee structure is approximately 265% higher than applying the comparable fee structure from ACSF against the TICC portfolio, including the incentive fee.</w:t>
      </w:r>
    </w:p>
    <w:p>
      <w:pPr>
        <w:spacing w:after="0" w:line="62"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It should also be noted that ACSF trades at approximately 78% of book value, even with its lower fee structure. The sobering reality in our view is that any notion of TICC shares trading at Net Asset Value without implementing more significant changes than those announced is a distant reality.</w:t>
      </w:r>
    </w:p>
    <w:p>
      <w:pPr>
        <w:spacing w:after="0" w:line="87" w:lineRule="exact"/>
        <w:rPr>
          <w:sz w:val="20"/>
          <w:szCs w:val="20"/>
          <w:color w:val="auto"/>
        </w:rPr>
      </w:pPr>
    </w:p>
    <w:p>
      <w:pPr>
        <w:ind w:left="90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Chairman – Appointing Mr. Novak as the “independent” Chairman of the Board is not only misdirected but highly concerning. Mr. Novak led the Special Committee during the flawed and failed transaction in 2015. His supposed leadership resulted in the reappointment of the same underperforming external manager for 12 consecutive years and he led the Special Committee during a process in which a federal judge found TICC to have misled stockholders and to have likely violated federal securities laws. We do not see how Mr. Novak, a Board member for over 13 years, can continue to be viewed as independent or be in any position to positively effect change for TICC stockholders given his track record of weak corporate governance on behalf of TICC stockholders.</w:t>
      </w:r>
    </w:p>
    <w:p>
      <w:pPr>
        <w:spacing w:after="0" w:line="19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On February 3, 2016, we delivered a formal notice of our nomination of an independent director and of our intent to introduce a proposal to terminate the investment advisory agreement between TICC and the external manager before the 2016 annual meeting of stockholders. </w:t>
      </w:r>
      <w:r>
        <w:rPr>
          <w:rFonts w:ascii="Arial" w:cs="Arial" w:eastAsia="Arial" w:hAnsi="Arial"/>
          <w:sz w:val="18"/>
          <w:szCs w:val="18"/>
          <w:b w:val="1"/>
          <w:bCs w:val="1"/>
          <w:color w:val="auto"/>
        </w:rPr>
        <w:t>We remain committed to these</w:t>
      </w:r>
      <w:r>
        <w:rPr>
          <w:rFonts w:ascii="Arial" w:cs="Arial" w:eastAsia="Arial" w:hAnsi="Arial"/>
          <w:sz w:val="18"/>
          <w:szCs w:val="18"/>
          <w:color w:val="auto"/>
        </w:rPr>
        <w:t xml:space="preserve"> </w:t>
      </w:r>
      <w:r>
        <w:rPr>
          <w:rFonts w:ascii="Arial" w:cs="Arial" w:eastAsia="Arial" w:hAnsi="Arial"/>
          <w:sz w:val="18"/>
          <w:szCs w:val="18"/>
          <w:b w:val="1"/>
          <w:bCs w:val="1"/>
          <w:color w:val="auto"/>
        </w:rPr>
        <w:t>efforts, which will lead to positive changes at TICC.</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compelled to move forward with this campaign for change as TICC has not addressed its fundamental failures. Our issues with TICC extend beyond merely fees. TICC’s value destructive capital allocation strategy has continually eroded Net Asset Value (“NAV”) and destroyed stockholder value, and yet the Board continues to prioritize wealth creation for the underperforming external manager.</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Over the last quarter alone, TICC has seen a NAV per share decrease of 18.1%, which is almost as astonishing as the 25.6% NAV per share decrease over the past two quarters. TICC’s stock trades at 73% of pro forma NAV including the impact of the early stock buybacks in 2016. Although we applaud management’s willingness to repurchase shares during the fourth quarter of 2015 and during 2016, </w:t>
      </w:r>
      <w:r>
        <w:rPr>
          <w:rFonts w:ascii="Arial" w:cs="Arial" w:eastAsia="Arial" w:hAnsi="Arial"/>
          <w:sz w:val="17"/>
          <w:szCs w:val="17"/>
          <w:b w:val="1"/>
          <w:bCs w:val="1"/>
          <w:color w:val="auto"/>
        </w:rPr>
        <w:t>it is not lost on us nor on other stockholders that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management has refused to commit to continuing this strategy. </w:t>
      </w:r>
      <w:r>
        <w:rPr>
          <w:rFonts w:ascii="Arial" w:cs="Arial" w:eastAsia="Arial" w:hAnsi="Arial"/>
          <w:sz w:val="17"/>
          <w:szCs w:val="17"/>
          <w:color w:val="auto"/>
        </w:rPr>
        <w:t>The idea that you are not continuing to buy back stock at a 27% discount to NAV is</w:t>
      </w:r>
      <w:r>
        <w:rPr>
          <w:rFonts w:ascii="Arial" w:cs="Arial" w:eastAsia="Arial" w:hAnsi="Arial"/>
          <w:sz w:val="17"/>
          <w:szCs w:val="17"/>
          <w:b w:val="1"/>
          <w:bCs w:val="1"/>
          <w:color w:val="auto"/>
        </w:rPr>
        <w:t xml:space="preserve"> </w:t>
      </w:r>
      <w:r>
        <w:rPr>
          <w:rFonts w:ascii="Arial" w:cs="Arial" w:eastAsia="Arial" w:hAnsi="Arial"/>
          <w:sz w:val="17"/>
          <w:szCs w:val="17"/>
          <w:color w:val="auto"/>
        </w:rPr>
        <w:t>unacceptable. Our estimate is that the 2016 repurchases have added approximately $0.12 to NAV per share. One must ask: why not continue these value creation measures? The only conclusion is that it comes at the detriment of the external manager’s revenue stream.</w:t>
      </w:r>
    </w:p>
    <w:p>
      <w:pPr>
        <w:spacing w:after="0" w:line="1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The proposals that have been put in motion with your March 9, 2016 press release are wholly unacceptable. </w:t>
      </w:r>
      <w:r>
        <w:rPr>
          <w:rFonts w:ascii="Arial" w:cs="Arial" w:eastAsia="Arial" w:hAnsi="Arial"/>
          <w:sz w:val="18"/>
          <w:szCs w:val="18"/>
          <w:b w:val="1"/>
          <w:bCs w:val="1"/>
          <w:color w:val="auto"/>
        </w:rPr>
        <w:t>Most alarmingly, the results of your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“comprehensive” review do not acknowledge whether the Special Committee considered a sale or liquidation of the Company, which were direct asks from TSLX and other stockholders. </w:t>
      </w:r>
      <w:r>
        <w:rPr>
          <w:rFonts w:ascii="Arial" w:cs="Arial" w:eastAsia="Arial" w:hAnsi="Arial"/>
          <w:sz w:val="18"/>
          <w:szCs w:val="18"/>
          <w:color w:val="auto"/>
        </w:rPr>
        <w:t>Any “comprehensive” review would require an honest and rigorous review of TICC for stockholders, not an</w:t>
      </w:r>
      <w:r>
        <w:rPr>
          <w:rFonts w:ascii="Arial" w:cs="Arial" w:eastAsia="Arial" w:hAnsi="Arial"/>
          <w:sz w:val="18"/>
          <w:szCs w:val="18"/>
          <w:b w:val="1"/>
          <w:bCs w:val="1"/>
          <w:color w:val="auto"/>
        </w:rPr>
        <w:t xml:space="preserve"> </w:t>
      </w:r>
      <w:r>
        <w:rPr>
          <w:rFonts w:ascii="Arial" w:cs="Arial" w:eastAsia="Arial" w:hAnsi="Arial"/>
          <w:sz w:val="18"/>
          <w:szCs w:val="18"/>
          <w:color w:val="auto"/>
        </w:rPr>
        <w:t>empty gesture to fiddle with fees and shuffle the same faces around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 actions lead us to believe that TICC’s external manager continues to be prioritized above TICC stockholders.</w:t>
      </w:r>
    </w:p>
    <w:p>
      <w:pPr>
        <w:sectPr>
          <w:pgSz w:w="11900" w:h="16838" w:orient="portrait"/>
          <w:cols w:equalWidth="0" w:num="1">
            <w:col w:w="11380"/>
          </w:cols>
          <w:pgMar w:left="240" w:top="274" w:right="279" w:bottom="144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you know, we have nominated Mr. T. Kelley Millet for election to the Board at the 2016 annual meeting of stockholders. As part of our formal notice, we have also submitted a proposal to terminate the investment advisory agreement between TICC and the external manager.</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Under the Investment Company Act of 1940, as amended, stockholders have the power to terminate the external manager </w:t>
      </w:r>
      <w:r>
        <w:rPr>
          <w:rFonts w:ascii="Arial" w:cs="Arial" w:eastAsia="Arial" w:hAnsi="Arial"/>
          <w:sz w:val="17"/>
          <w:szCs w:val="17"/>
          <w:i w:val="1"/>
          <w:iCs w:val="1"/>
          <w:u w:val="single" w:color="auto"/>
          <w:color w:val="auto"/>
        </w:rPr>
        <w:t>at no cost to stockholders</w:t>
      </w:r>
      <w:r>
        <w:rPr>
          <w:rFonts w:ascii="Arial" w:cs="Arial" w:eastAsia="Arial" w:hAnsi="Arial"/>
          <w:sz w:val="17"/>
          <w:szCs w:val="17"/>
          <w:color w:val="auto"/>
        </w:rPr>
        <w:t>. The burden of TICC’s failed external manager must finally be lifted from stockholders. Severing ties at no cost for stockholders will enable a fresh view on how to produce change and guide the Company away from an investment strategy that has impaired TICC’s financial future.</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Millet’s more than 30 years of proven industry expertise across the financial sector, particularly in credit markets, coupled with his proven leadership as a director, make him the ideal candidate to effect change at TICC. He has led companies across the financial services sector in senior positions, including in his current role as CEO of Banca IMI Securities. Mr. Millet has carefully reviewed the public materials relating to TICC and is fully committed to implementing a plan that will create meaningful investment returns for TICC stockholders. His experience in the credit markets, as a board member and as a leader, will enable him to have an immediate and positive impact on stockholders’ investments.</w:t>
      </w:r>
    </w:p>
    <w:p>
      <w:pPr>
        <w:spacing w:after="0" w:line="18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 contentious proxy fight is not our preferred course of action. As we have said before, we urge you to immediately seat Mr. Millet on the Board and reconstitute the Board with independent, highly qualified individuals willing to act aggressively in the interest of TICC stockholders. We also urge you to immediately terminate the existing investment advisory agreement with the external manager.</w:t>
      </w:r>
    </w:p>
    <w:p>
      <w:pPr>
        <w:spacing w:after="0" w:line="18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We hope our efforts to bring the issues that have plagued TICC’s performance to light will lead other TICC stockholders and members of the broader investment community to share our view. Given what we have seen unfold at other BDCs this year, we are confident TICC will not go overlooked.</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also troubled by TICC’s lack of transparency on its annual stockholder meeting date. In this regard, we note with concern the comment made by Jonathan H. Cohen, the Chief Executive Officer and a director of TICC, on TICC’s fourth quarter earnings call, that TICC has no legal obligation to hold the 2016 annual meeting of stockholders until December 31, 2016—more than 18 months from its prior annual meeting. Historically, the Board has scheduled TICC’s annual meeting of stockholders for the first half of June. Indeed, for the past five years TICC has convened its annual meeting of stockholders no later than June 11 and for every year since its initial annual meeting of stockholders in 2004, TICC has held its annual meeting no later than June 18.</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expect the Board will schedule the 2016 annual meeting of stockholders within the same time frame—early June—as it has in the past versus trying to maneuver for a date that will improve their chances of resisting stockholder nominees and proposals.</w:t>
      </w:r>
    </w:p>
    <w:p>
      <w:pPr>
        <w:spacing w:after="0" w:line="17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We believe termination of the existing investment advisory agreement and reconstitution of the Board will be the catalysts needed to finally unlock stockholder value, resulting in the potential for significant growth in TICC’s stock. We remain committed to work for this needed 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 is time for stockholders to take action. The time for change is now.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Joshua E.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172085</wp:posOffset>
            </wp:positionV>
            <wp:extent cx="6191885" cy="4648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91885" cy="46482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$70 billion of assets under management as of September 30, 2015.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TSLX’s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portfolio,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ectPr>
          <w:pgSz w:w="11900" w:h="16838" w:orient="portrait"/>
          <w:cols w:equalWidth="0" w:num="1">
            <w:col w:w="11400"/>
          </w:cols>
          <w:pgMar w:left="240" w:top="270" w:right="259" w:bottom="144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intends to file a preliminary proxy statement with the SEC to be used to solicit votes at the 2016 annual meeting of stockholders of TICC in favor of (a) the election of its nominee to serve as a director of TICC and (b) TSLX’s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ITS OTHER PROXY MATERIALS AS THEY BECOME AVAILABLE BECAUSE THEY WILL CONTAIN IMPORTANT INFORMATION. SUCH TSLX PROXY MATERIALS WILL BECOME AVAILABLE AT NO CHARGE ON THE SEC’S WEB SITE AT HTTP://WWW.SEC.GOV AND ON TSLX’S WEBSITE AT HTTP://WWW.TPGSPECIALTYLENDING.COM. IN ADDITION, TSLX WILL PROVIDE COPIES OF THE PROXY STATEMENT WITHOUT CHARGE UPON REQUEST. REQUESTS FOR COPIES SHOULD BE DIRECTED TO TSLX’S PROXY SOLICITOR AT TPG@MACKENZIEPARTNERS.COM.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1,633,660 shares of common stock of TICC. As of the date hereof, Mr. Millet did not directly or indirectly beneficially own any shares of common stock of TICC.</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llu@tpg.com</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pct@abmac.com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5"/>
          <w:szCs w:val="15"/>
          <w:color w:val="auto"/>
        </w:rPr>
      </w:pPr>
      <w:r>
        <w:rPr>
          <w:rFonts w:ascii="Arial" w:cs="Arial" w:eastAsia="Arial" w:hAnsi="Arial"/>
          <w:sz w:val="18"/>
          <w:szCs w:val="18"/>
          <w:color w:val="auto"/>
        </w:rPr>
        <w:t>As of the date hereof, TSLX directly beneficially owned 1,633,660 shares of common stock of TICC.</w:t>
      </w:r>
    </w:p>
    <w:p>
      <w:pPr>
        <w:spacing w:after="0" w:line="22" w:lineRule="exact"/>
        <w:rPr>
          <w:sz w:val="20"/>
          <w:szCs w:val="20"/>
          <w:color w:val="auto"/>
        </w:rPr>
      </w:pPr>
    </w:p>
    <w:p>
      <w:pPr>
        <w:ind w:left="220" w:hanging="212"/>
        <w:spacing w:after="0" w:line="262" w:lineRule="auto"/>
        <w:tabs>
          <w:tab w:leader="none" w:pos="220" w:val="left"/>
        </w:tabs>
        <w:numPr>
          <w:ilvl w:val="0"/>
          <w:numId w:val="9"/>
        </w:numPr>
        <w:rPr>
          <w:rFonts w:ascii="Arial" w:cs="Arial" w:eastAsia="Arial" w:hAnsi="Arial"/>
          <w:sz w:val="15"/>
          <w:szCs w:val="15"/>
          <w:color w:val="auto"/>
        </w:rPr>
      </w:pPr>
      <w:r>
        <w:rPr>
          <w:rFonts w:ascii="Arial" w:cs="Arial" w:eastAsia="Arial" w:hAnsi="Arial"/>
          <w:sz w:val="18"/>
          <w:szCs w:val="18"/>
          <w:color w:val="auto"/>
        </w:rPr>
        <w:t>BDC Composite comprised of ACAS, AINV, ARCC, BKCC, FSC, GBDC, HTGC, MAIN, MCC, NMFC, PNNT, PSEC, SLRC, TCAP, and TCRD. Market data as of March 16, 2016. Please refer to the Appendix.</w:t>
      </w:r>
    </w:p>
    <w:sectPr>
      <w:pgSz w:w="11900" w:h="16838" w:orient="portrait"/>
      <w:cols w:equalWidth="0" w:num="1">
        <w:col w:w="10900"/>
      </w:cols>
      <w:pgMar w:left="240" w:top="27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2019-12-20T22:35:58Z</dcterms:created>
  <dcterms:modified xsi:type="dcterms:W3CDTF">2019-12-20T22:35:58Z</dcterms:modified>
</cp:coreProperties>
</file>