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[Letterhead of TPG Specialty Lending, Inc.]</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March 17,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TPG Specialty Lending,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Rule 17g-1(g) Fidelity Bond Filing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 xml:space="preserve">On behalf of 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enclosed herewith for filing, pursuant to Rule 17g-1(g) under the Investment Company Act of 1940, are the following:</w:t>
      </w:r>
    </w:p>
    <w:p>
      <w:pPr>
        <w:spacing w:after="0" w:line="76"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copy of the fidelity bond covering the Company, which includes a statement as to the period for which premiums have been paid; and</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regarding this submission, please do not hesitate to call me at (212) 601-4717.</w:t>
      </w:r>
    </w:p>
    <w:p>
      <w:pPr>
        <w:spacing w:after="0" w:line="25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Jennifer Gordon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Compliance Officer, Vice President and Secretary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400"/>
          </w:cols>
          <w:pgMar w:left="240" w:top="233"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SECRETARY</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undersigned, Jennifer Gordon, Chief Compliance Officer, Vice President and Secretary of TPG Specialty Lending,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that:</w:t>
      </w:r>
    </w:p>
    <w:p>
      <w:pPr>
        <w:spacing w:after="0" w:line="76" w:lineRule="exact"/>
        <w:rPr>
          <w:sz w:val="20"/>
          <w:szCs w:val="20"/>
          <w:color w:val="auto"/>
        </w:rPr>
      </w:pPr>
    </w:p>
    <w:p>
      <w:pPr>
        <w:ind w:left="900" w:right="2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This certificate is being delivered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the filing of the Company’s fidelity bond (the </w:t>
      </w:r>
      <w:r>
        <w:rPr>
          <w:rFonts w:ascii="Arial" w:cs="Arial" w:eastAsia="Arial" w:hAnsi="Arial"/>
          <w:sz w:val="18"/>
          <w:szCs w:val="18"/>
          <w:b w:val="1"/>
          <w:bCs w:val="1"/>
          <w:i w:val="1"/>
          <w:iCs w:val="1"/>
          <w:color w:val="auto"/>
        </w:rPr>
        <w:t>“Bond”</w:t>
      </w:r>
      <w:r>
        <w:rPr>
          <w:rFonts w:ascii="Arial" w:cs="Arial" w:eastAsia="Arial" w:hAnsi="Arial"/>
          <w:sz w:val="18"/>
          <w:szCs w:val="18"/>
          <w:color w:val="auto"/>
        </w:rPr>
        <w:t>) pursuant to Rule 17g-1 of the Investment Company Act of 1940, as amended, and the SEC is entitled to rely on this certificate for purposes of the filing.</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Company, and has custody of the corporate records of the Company and is a proper officer to make this certification.</w:t>
      </w:r>
    </w:p>
    <w:p>
      <w:pPr>
        <w:spacing w:after="0" w:line="75"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March 8, 2016 to March 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17th day of March,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Compliance Officer, Vice President and Secretary</w:t>
      </w:r>
    </w:p>
    <w:p>
      <w:pPr>
        <w:sectPr>
          <w:pgSz w:w="11900" w:h="16838" w:orient="portrait"/>
          <w:cols w:equalWidth="0" w:num="1">
            <w:col w:w="11400"/>
          </w:cols>
          <w:pgMar w:left="240" w:top="270"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Excerpt from the minutes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TPG Specialty Lending, Inc.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February 24,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Approval of the Fidelity Bond</w:t>
      </w:r>
    </w:p>
    <w:p>
      <w:pPr>
        <w:spacing w:after="0" w:line="11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Section 17(g) of the Investment Company Act of 1940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“1940 Act”</w:t>
      </w:r>
      <w:r>
        <w:rPr>
          <w:rFonts w:ascii="Arial" w:cs="Arial" w:eastAsia="Arial" w:hAnsi="Arial"/>
          <w:sz w:val="16"/>
          <w:szCs w:val="16"/>
          <w:color w:val="auto"/>
        </w:rPr>
        <w:t>) and Rule 17g-1(a) thereunder require a BDC, such as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6"/>
          <w:szCs w:val="16"/>
          <w:b w:val="1"/>
          <w:bCs w:val="1"/>
          <w:i w:val="1"/>
          <w:iCs w:val="1"/>
          <w:color w:val="auto"/>
        </w:rPr>
        <w:t>“covered person”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15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Rule 17g-1 specifies that the bond may be in the form of (i) an individual bond for each covered person, or a schedule or blanket bond 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persons, (ii) a blanket bond which names the Company as the only insured (a </w:t>
      </w:r>
      <w:r>
        <w:rPr>
          <w:rFonts w:ascii="Arial" w:cs="Arial" w:eastAsia="Arial" w:hAnsi="Arial"/>
          <w:sz w:val="18"/>
          <w:szCs w:val="18"/>
          <w:b w:val="1"/>
          <w:bCs w:val="1"/>
          <w:i w:val="1"/>
          <w:iCs w:val="1"/>
          <w:color w:val="auto"/>
        </w:rPr>
        <w:t>“single insured bond”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(iii) a bond which names the Company and one or more other parties as insureds (a </w:t>
      </w:r>
      <w:r>
        <w:rPr>
          <w:rFonts w:ascii="Arial" w:cs="Arial" w:eastAsia="Arial" w:hAnsi="Arial"/>
          <w:sz w:val="18"/>
          <w:szCs w:val="18"/>
          <w:b w:val="1"/>
          <w:bCs w:val="1"/>
          <w:i w:val="1"/>
          <w:iCs w:val="1"/>
          <w:color w:val="auto"/>
        </w:rPr>
        <w:t>“joint insured bond”</w:t>
      </w:r>
      <w:r>
        <w:rPr>
          <w:rFonts w:ascii="Arial" w:cs="Arial" w:eastAsia="Arial" w:hAnsi="Arial"/>
          <w:sz w:val="18"/>
          <w:szCs w:val="18"/>
          <w:color w:val="auto"/>
        </w:rPr>
        <w:t xml:space="preserve">), as permitted by Rule 17g-1; </w:t>
      </w:r>
      <w:r>
        <w:rPr>
          <w:rFonts w:ascii="Arial" w:cs="Arial" w:eastAsia="Arial" w:hAnsi="Arial"/>
          <w:sz w:val="18"/>
          <w:szCs w:val="18"/>
          <w:u w:val="single" w:color="auto"/>
          <w:color w:val="auto"/>
        </w:rPr>
        <w:t>and</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Rule 17g-1 requires that a majority of the Board of Directors who are not “interested persons” of the Company as defined in Section 2(a)(19)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Arial" w:cs="Arial" w:eastAsia="Arial" w:hAnsi="Arial"/>
          <w:sz w:val="17"/>
          <w:szCs w:val="17"/>
          <w:u w:val="single" w:color="auto"/>
          <w:color w:val="auto"/>
        </w:rPr>
        <w:t>and</w:t>
      </w:r>
    </w:p>
    <w:p>
      <w:pPr>
        <w:spacing w:after="0" w:line="16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under Rule 17g-1, the Company is required to make certain filings with the SEC and give certain notices to each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Directors in connection with the bond, and designate an Officer who shall make such filings and give such notices; </w:t>
      </w:r>
      <w:r>
        <w:rPr>
          <w:rFonts w:ascii="Arial" w:cs="Arial" w:eastAsia="Arial" w:hAnsi="Arial"/>
          <w:sz w:val="18"/>
          <w:szCs w:val="18"/>
          <w:u w:val="single" w:color="auto"/>
          <w:color w:val="auto"/>
        </w:rPr>
        <w:t>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presently a party to a single insured bond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“Current Fidelity Bond”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intends to enter into a new bond upon expiration of the Current Fidelity Bond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“New Fidelity Bond”</w:t>
      </w:r>
      <w:r>
        <w:rPr>
          <w:rFonts w:ascii="Arial" w:cs="Arial" w:eastAsia="Arial" w:hAnsi="Arial"/>
          <w:sz w:val="18"/>
          <w:szCs w:val="18"/>
          <w:color w:val="auto"/>
        </w:rPr>
        <w:t>);</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having considered the expected aggregate value of the securities and funds of the Company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Current Fidelity Bond, covering the Officers and employees of the Company and insuring the Company against loss from fraudulent or dishonest acts, including larceny and embezzlement, issued by Marsh, having an aggregate coverage of $10,000,000 (the </w:t>
      </w:r>
      <w:r>
        <w:rPr>
          <w:rFonts w:ascii="Arial" w:cs="Arial" w:eastAsia="Arial" w:hAnsi="Arial"/>
          <w:sz w:val="16"/>
          <w:szCs w:val="16"/>
          <w:b w:val="1"/>
          <w:bCs w:val="1"/>
          <w:i w:val="1"/>
          <w:iCs w:val="1"/>
          <w:color w:val="auto"/>
        </w:rPr>
        <w:t>“Fidelity Bond”</w:t>
      </w:r>
      <w:r>
        <w:rPr>
          <w:rFonts w:ascii="Arial" w:cs="Arial" w:eastAsia="Arial" w:hAnsi="Arial"/>
          <w:sz w:val="16"/>
          <w:szCs w:val="16"/>
          <w:color w:val="auto"/>
        </w:rPr>
        <w:t xml:space="preserve">), is reasonable, and the Current Fidelity Bond be, and hereby is, approved, ratified and confirmed by the Board of Directors of the Company, including a majority of the Directors that are not “interested persons” of the Company under the 1940 Act (the </w:t>
      </w:r>
      <w:r>
        <w:rPr>
          <w:rFonts w:ascii="Arial" w:cs="Arial" w:eastAsia="Arial" w:hAnsi="Arial"/>
          <w:sz w:val="16"/>
          <w:szCs w:val="16"/>
          <w:b w:val="1"/>
          <w:bCs w:val="1"/>
          <w:i w:val="1"/>
          <w:iCs w:val="1"/>
          <w:color w:val="auto"/>
        </w:rPr>
        <w:t>“Independent Directors”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160"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negotiation, execution and delivery of the New Fidelity Bond by any Officer of the Company, on substantially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terms and with the same coverage as the Current Fidelity Bond and with annual premiums of up to 110% of the Current Fidelity Bond, be and hereby is approved by the Board of Directors of the Company, including a majority of the Independent Directors; </w:t>
      </w:r>
      <w:r>
        <w:rPr>
          <w:rFonts w:ascii="Arial" w:cs="Arial" w:eastAsia="Arial" w:hAnsi="Arial"/>
          <w:sz w:val="17"/>
          <w:szCs w:val="17"/>
          <w:u w:val="single" w:color="auto"/>
          <w:color w:val="auto"/>
        </w:rPr>
        <w:t>and</w:t>
      </w:r>
    </w:p>
    <w:p>
      <w:pPr>
        <w:sectPr>
          <w:pgSz w:w="11900" w:h="16838" w:orient="portrait"/>
          <w:cols w:equalWidth="0" w:num="1">
            <w:col w:w="11420"/>
          </w:cols>
          <w:pgMar w:left="240" w:top="270" w:right="239" w:bottom="1440" w:gutter="0" w:footer="0" w:header="0"/>
        </w:sectPr>
      </w:pPr>
    </w:p>
    <w:bookmarkStart w:id="3" w:name="page4"/>
    <w:bookmarkEnd w:id="3"/>
    <w:p>
      <w:pPr>
        <w:ind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RESOLVED</w:t>
      </w:r>
      <w:r>
        <w:rPr>
          <w:rFonts w:ascii="Arial" w:cs="Arial" w:eastAsia="Arial" w:hAnsi="Arial"/>
          <w:sz w:val="18"/>
          <w:szCs w:val="18"/>
          <w:color w:val="auto"/>
        </w:rPr>
        <w:t>, that the Officers of the Company be, and they hereby are, authorized to take all appropriate actions, with the advice of legal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counsel to the Company, to provide and maintain the Fidelity Bond on behalf of the Company; </w:t>
      </w:r>
      <w:r>
        <w:rPr>
          <w:rFonts w:ascii="Arial" w:cs="Arial" w:eastAsia="Arial" w:hAnsi="Arial"/>
          <w:sz w:val="18"/>
          <w:szCs w:val="18"/>
          <w:u w:val="single" w:color="auto"/>
          <w:color w:val="auto"/>
        </w:rPr>
        <w:t>and</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Chief Compliance Officer of the Company be, and hereby is, designated as the party responsible for making the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filings and giving the notices with respect to such bond required by paragraph (g) of Rule 17g-1 under the 1940 Act.</w:t>
      </w:r>
    </w:p>
    <w:p>
      <w:pPr>
        <w:sectPr>
          <w:pgSz w:w="11900" w:h="16838" w:orient="portrait"/>
          <w:cols w:equalWidth="0" w:num="1">
            <w:col w:w="11360"/>
          </w:cols>
          <w:pgMar w:left="240" w:top="270" w:right="2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820" w:type="dxa"/>
            <w:vAlign w:val="bottom"/>
            <w:tcBorders>
              <w:top w:val="single" w:sz="8" w:color="auto"/>
              <w:left w:val="single" w:sz="8" w:color="auto"/>
            </w:tcBorders>
          </w:tcPr>
          <w:p>
            <w:pPr>
              <w:spacing w:after="0"/>
              <w:rPr>
                <w:sz w:val="19"/>
                <w:szCs w:val="19"/>
                <w:color w:val="auto"/>
              </w:rPr>
            </w:pPr>
          </w:p>
        </w:tc>
        <w:tc>
          <w:tcPr>
            <w:tcW w:w="7620" w:type="dxa"/>
            <w:vAlign w:val="bottom"/>
            <w:tcBorders>
              <w:top w:val="single" w:sz="8" w:color="auto"/>
              <w:right w:val="single" w:sz="8" w:color="auto"/>
            </w:tcBorders>
          </w:tcPr>
          <w:p>
            <w:pPr>
              <w:jc w:val="center"/>
              <w:ind w:right="3750"/>
              <w:spacing w:after="0"/>
              <w:rPr>
                <w:sz w:val="20"/>
                <w:szCs w:val="20"/>
                <w:color w:val="auto"/>
              </w:rPr>
            </w:pPr>
            <w:r>
              <w:rPr>
                <w:rFonts w:ascii="Arial" w:cs="Arial" w:eastAsia="Arial" w:hAnsi="Arial"/>
                <w:sz w:val="18"/>
                <w:szCs w:val="18"/>
                <w:b w:val="1"/>
                <w:bCs w:val="1"/>
                <w:color w:val="auto"/>
              </w:rPr>
              <w:t>FINANCIAL INSTITUTION BOND</w:t>
            </w:r>
          </w:p>
        </w:tc>
        <w:tc>
          <w:tcPr>
            <w:tcW w:w="0" w:type="dxa"/>
            <w:vAlign w:val="bottom"/>
          </w:tcPr>
          <w:p>
            <w:pPr>
              <w:spacing w:after="0"/>
              <w:rPr>
                <w:sz w:val="1"/>
                <w:szCs w:val="1"/>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jc w:val="center"/>
              <w:ind w:right="3750"/>
              <w:spacing w:after="0"/>
              <w:rPr>
                <w:sz w:val="20"/>
                <w:szCs w:val="20"/>
                <w:color w:val="auto"/>
              </w:rPr>
            </w:pPr>
            <w:r>
              <w:rPr>
                <w:rFonts w:ascii="Arial" w:cs="Arial" w:eastAsia="Arial" w:hAnsi="Arial"/>
                <w:sz w:val="18"/>
                <w:szCs w:val="18"/>
                <w:color w:val="auto"/>
                <w:w w:val="90"/>
              </w:rPr>
              <w:t>Standard Form No. 14, Revised to October, 1987</w:t>
            </w:r>
          </w:p>
        </w:tc>
        <w:tc>
          <w:tcPr>
            <w:tcW w:w="0" w:type="dxa"/>
            <w:vAlign w:val="bottom"/>
          </w:tcPr>
          <w:p>
            <w:pPr>
              <w:spacing w:after="0"/>
              <w:rPr>
                <w:sz w:val="1"/>
                <w:szCs w:val="1"/>
                <w:color w:val="auto"/>
              </w:rPr>
            </w:pPr>
          </w:p>
        </w:tc>
      </w:tr>
      <w:tr>
        <w:trPr>
          <w:trHeight w:val="432"/>
        </w:trPr>
        <w:tc>
          <w:tcPr>
            <w:tcW w:w="382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ACE American Insurance Company</w:t>
            </w:r>
          </w:p>
        </w:tc>
        <w:tc>
          <w:tcPr>
            <w:tcW w:w="7620" w:type="dxa"/>
            <w:vAlign w:val="bottom"/>
            <w:tcBorders>
              <w:right w:val="single" w:sz="8" w:color="auto"/>
            </w:tcBorders>
          </w:tcPr>
          <w:p>
            <w:pPr>
              <w:ind w:left="4520"/>
              <w:spacing w:after="0"/>
              <w:rPr>
                <w:sz w:val="20"/>
                <w:szCs w:val="20"/>
                <w:color w:val="auto"/>
              </w:rPr>
            </w:pPr>
            <w:r>
              <w:rPr>
                <w:rFonts w:ascii="Arial" w:cs="Arial" w:eastAsia="Arial" w:hAnsi="Arial"/>
                <w:sz w:val="18"/>
                <w:szCs w:val="18"/>
                <w:b w:val="1"/>
                <w:bCs w:val="1"/>
                <w:color w:val="auto"/>
              </w:rPr>
              <w:t>Bond No. DON G25562823 002</w:t>
            </w: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vMerge w:val="continue"/>
          </w:tcPr>
          <w:p>
            <w:pPr>
              <w:spacing w:after="0"/>
              <w:rPr>
                <w:sz w:val="18"/>
                <w:szCs w:val="18"/>
                <w:color w:val="auto"/>
              </w:rPr>
            </w:pPr>
          </w:p>
        </w:tc>
        <w:tc>
          <w:tcPr>
            <w:tcW w:w="7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2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DECLARATIONS</w:t>
            </w:r>
          </w:p>
        </w:tc>
        <w:tc>
          <w:tcPr>
            <w:tcW w:w="7620" w:type="dxa"/>
            <w:vAlign w:val="bottom"/>
            <w:tcBorders>
              <w:right w:val="single" w:sz="8" w:color="auto"/>
            </w:tcBorders>
          </w:tcPr>
          <w:p>
            <w:pPr>
              <w:jc w:val="center"/>
              <w:ind w:right="3750"/>
              <w:spacing w:after="0"/>
              <w:rPr>
                <w:sz w:val="20"/>
                <w:szCs w:val="20"/>
                <w:color w:val="auto"/>
              </w:rPr>
            </w:pPr>
            <w:r>
              <w:rPr>
                <w:rFonts w:ascii="Arial" w:cs="Arial" w:eastAsia="Arial" w:hAnsi="Arial"/>
                <w:sz w:val="18"/>
                <w:szCs w:val="18"/>
                <w:color w:val="auto"/>
                <w:w w:val="93"/>
              </w:rPr>
              <w:t>(Herein called Underwriter)</w:t>
            </w:r>
          </w:p>
        </w:tc>
        <w:tc>
          <w:tcPr>
            <w:tcW w:w="0" w:type="dxa"/>
            <w:vAlign w:val="bottom"/>
          </w:tcPr>
          <w:p>
            <w:pPr>
              <w:spacing w:after="0"/>
              <w:rPr>
                <w:sz w:val="1"/>
                <w:szCs w:val="1"/>
                <w:color w:val="auto"/>
              </w:rPr>
            </w:pPr>
          </w:p>
        </w:tc>
      </w:tr>
      <w:tr>
        <w:trPr>
          <w:trHeight w:val="198"/>
        </w:trPr>
        <w:tc>
          <w:tcPr>
            <w:tcW w:w="3820" w:type="dxa"/>
            <w:vAlign w:val="bottom"/>
            <w:tcBorders>
              <w:left w:val="single" w:sz="8" w:color="auto"/>
            </w:tcBorders>
            <w:vMerge w:val="continue"/>
          </w:tcPr>
          <w:p>
            <w:pPr>
              <w:spacing w:after="0"/>
              <w:rPr>
                <w:sz w:val="17"/>
                <w:szCs w:val="17"/>
                <w:color w:val="auto"/>
              </w:rPr>
            </w:pPr>
          </w:p>
        </w:tc>
        <w:tc>
          <w:tcPr>
            <w:tcW w:w="7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w w:val="94"/>
              </w:rPr>
              <w:t xml:space="preserve">Item 1. </w:t>
            </w:r>
            <w:r>
              <w:rPr>
                <w:rFonts w:ascii="Arial" w:cs="Arial" w:eastAsia="Arial" w:hAnsi="Arial"/>
                <w:sz w:val="18"/>
                <w:szCs w:val="18"/>
                <w:color w:val="auto"/>
                <w:w w:val="94"/>
              </w:rPr>
              <w:t>Name of Insured (herein called Insured):</w:t>
            </w:r>
          </w:p>
        </w:tc>
        <w:tc>
          <w:tcPr>
            <w:tcW w:w="76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TPG Specialty Lending, Inc.</w:t>
            </w:r>
          </w:p>
        </w:tc>
        <w:tc>
          <w:tcPr>
            <w:tcW w:w="0" w:type="dxa"/>
            <w:vAlign w:val="bottom"/>
          </w:tcPr>
          <w:p>
            <w:pPr>
              <w:spacing w:after="0"/>
              <w:rPr>
                <w:sz w:val="1"/>
                <w:szCs w:val="1"/>
                <w:color w:val="auto"/>
              </w:rPr>
            </w:pPr>
          </w:p>
        </w:tc>
      </w:tr>
      <w:tr>
        <w:trPr>
          <w:trHeight w:val="418"/>
        </w:trPr>
        <w:tc>
          <w:tcPr>
            <w:tcW w:w="382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Principal Address:</w:t>
            </w:r>
          </w:p>
        </w:tc>
        <w:tc>
          <w:tcPr>
            <w:tcW w:w="76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301 Commerce Street, Suite 3300</w:t>
            </w:r>
          </w:p>
        </w:tc>
        <w:tc>
          <w:tcPr>
            <w:tcW w:w="0" w:type="dxa"/>
            <w:vAlign w:val="bottom"/>
          </w:tcPr>
          <w:p>
            <w:pPr>
              <w:spacing w:after="0"/>
              <w:rPr>
                <w:sz w:val="1"/>
                <w:szCs w:val="1"/>
                <w:color w:val="auto"/>
              </w:rPr>
            </w:pPr>
          </w:p>
        </w:tc>
      </w:tr>
      <w:tr>
        <w:trPr>
          <w:trHeight w:val="230"/>
        </w:trPr>
        <w:tc>
          <w:tcPr>
            <w:tcW w:w="38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jc w:val="center"/>
              <w:ind w:right="3790"/>
              <w:spacing w:after="0"/>
              <w:rPr>
                <w:sz w:val="20"/>
                <w:szCs w:val="20"/>
                <w:color w:val="auto"/>
              </w:rPr>
            </w:pPr>
            <w:r>
              <w:rPr>
                <w:rFonts w:ascii="Arial" w:cs="Arial" w:eastAsia="Arial" w:hAnsi="Arial"/>
                <w:sz w:val="18"/>
                <w:szCs w:val="18"/>
                <w:color w:val="auto"/>
                <w:w w:val="93"/>
              </w:rPr>
              <w:t>Fort Worth, TX 76102</w:t>
            </w:r>
          </w:p>
        </w:tc>
        <w:tc>
          <w:tcPr>
            <w:tcW w:w="0" w:type="dxa"/>
            <w:vAlign w:val="bottom"/>
          </w:tcPr>
          <w:p>
            <w:pPr>
              <w:spacing w:after="0"/>
              <w:rPr>
                <w:sz w:val="1"/>
                <w:szCs w:val="1"/>
                <w:color w:val="auto"/>
              </w:rPr>
            </w:pPr>
          </w:p>
        </w:tc>
      </w:tr>
      <w:tr>
        <w:trPr>
          <w:trHeight w:val="507"/>
        </w:trPr>
        <w:tc>
          <w:tcPr>
            <w:tcW w:w="3820" w:type="dxa"/>
            <w:vAlign w:val="bottom"/>
            <w:tcBorders>
              <w:left w:val="single" w:sz="8" w:color="auto"/>
              <w:bottom w:val="single" w:sz="8" w:color="auto"/>
            </w:tcBorders>
          </w:tcPr>
          <w:p>
            <w:pPr>
              <w:spacing w:after="0"/>
              <w:rPr>
                <w:sz w:val="24"/>
                <w:szCs w:val="24"/>
                <w:color w:val="auto"/>
              </w:rPr>
            </w:pPr>
          </w:p>
        </w:tc>
        <w:tc>
          <w:tcPr>
            <w:tcW w:w="7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3680" w:type="dxa"/>
            <w:vAlign w:val="bottom"/>
          </w:tcPr>
          <w:p>
            <w:pPr>
              <w:ind w:left="200"/>
              <w:spacing w:after="0"/>
              <w:rPr>
                <w:sz w:val="20"/>
                <w:szCs w:val="20"/>
                <w:color w:val="auto"/>
              </w:rPr>
            </w:pPr>
            <w:r>
              <w:rPr>
                <w:rFonts w:ascii="Arial" w:cs="Arial" w:eastAsia="Arial" w:hAnsi="Arial"/>
                <w:sz w:val="18"/>
                <w:szCs w:val="18"/>
                <w:color w:val="auto"/>
              </w:rPr>
              <w:t>Bond Period: from 12:01 a.m. on</w:t>
            </w:r>
          </w:p>
        </w:tc>
        <w:tc>
          <w:tcPr>
            <w:tcW w:w="2220" w:type="dxa"/>
            <w:vAlign w:val="bottom"/>
          </w:tcPr>
          <w:p>
            <w:pPr>
              <w:jc w:val="right"/>
              <w:ind w:right="690"/>
              <w:spacing w:after="0"/>
              <w:rPr>
                <w:sz w:val="20"/>
                <w:szCs w:val="20"/>
                <w:color w:val="auto"/>
              </w:rPr>
            </w:pPr>
            <w:r>
              <w:rPr>
                <w:rFonts w:ascii="Arial" w:cs="Arial" w:eastAsia="Arial" w:hAnsi="Arial"/>
                <w:sz w:val="18"/>
                <w:szCs w:val="18"/>
                <w:color w:val="auto"/>
              </w:rPr>
              <w:t>03/08/2016</w:t>
            </w:r>
          </w:p>
        </w:tc>
        <w:tc>
          <w:tcPr>
            <w:tcW w:w="1740" w:type="dxa"/>
            <w:vAlign w:val="bottom"/>
          </w:tcPr>
          <w:p>
            <w:pPr>
              <w:ind w:left="260"/>
              <w:spacing w:after="0"/>
              <w:rPr>
                <w:sz w:val="20"/>
                <w:szCs w:val="20"/>
                <w:color w:val="auto"/>
              </w:rPr>
            </w:pPr>
            <w:r>
              <w:rPr>
                <w:rFonts w:ascii="Arial" w:cs="Arial" w:eastAsia="Arial" w:hAnsi="Arial"/>
                <w:sz w:val="18"/>
                <w:szCs w:val="18"/>
                <w:color w:val="auto"/>
              </w:rPr>
              <w:t>to 12:01 a.m. on</w:t>
            </w:r>
          </w:p>
        </w:tc>
        <w:tc>
          <w:tcPr>
            <w:tcW w:w="1420" w:type="dxa"/>
            <w:vAlign w:val="bottom"/>
          </w:tcPr>
          <w:p>
            <w:pPr>
              <w:ind w:left="320"/>
              <w:spacing w:after="0"/>
              <w:rPr>
                <w:sz w:val="20"/>
                <w:szCs w:val="20"/>
                <w:color w:val="auto"/>
              </w:rPr>
            </w:pPr>
            <w:r>
              <w:rPr>
                <w:rFonts w:ascii="Arial" w:cs="Arial" w:eastAsia="Arial" w:hAnsi="Arial"/>
                <w:sz w:val="18"/>
                <w:szCs w:val="18"/>
                <w:color w:val="auto"/>
              </w:rPr>
              <w:t>03/08/2017</w:t>
            </w:r>
          </w:p>
        </w:tc>
        <w:tc>
          <w:tcPr>
            <w:tcW w:w="1620" w:type="dxa"/>
            <w:vAlign w:val="bottom"/>
          </w:tcPr>
          <w:p>
            <w:pPr>
              <w:ind w:left="260"/>
              <w:spacing w:after="0"/>
              <w:rPr>
                <w:sz w:val="20"/>
                <w:szCs w:val="20"/>
                <w:color w:val="auto"/>
              </w:rPr>
            </w:pPr>
            <w:r>
              <w:rPr>
                <w:rFonts w:ascii="Arial" w:cs="Arial" w:eastAsia="Arial" w:hAnsi="Arial"/>
                <w:sz w:val="18"/>
                <w:szCs w:val="18"/>
                <w:color w:val="auto"/>
              </w:rPr>
              <w:t>Standard time.</w:t>
            </w:r>
          </w:p>
        </w:tc>
      </w:tr>
      <w:tr>
        <w:trPr>
          <w:trHeight w:val="230"/>
        </w:trPr>
        <w:tc>
          <w:tcPr>
            <w:tcW w:w="7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20" w:type="dxa"/>
            <w:vAlign w:val="bottom"/>
          </w:tcPr>
          <w:p>
            <w:pPr>
              <w:jc w:val="right"/>
              <w:ind w:right="270"/>
              <w:spacing w:after="0"/>
              <w:rPr>
                <w:sz w:val="20"/>
                <w:szCs w:val="20"/>
                <w:color w:val="auto"/>
              </w:rPr>
            </w:pPr>
            <w:r>
              <w:rPr>
                <w:rFonts w:ascii="Arial" w:cs="Arial" w:eastAsia="Arial" w:hAnsi="Arial"/>
                <w:sz w:val="18"/>
                <w:szCs w:val="18"/>
                <w:color w:val="auto"/>
                <w:w w:val="99"/>
              </w:rPr>
              <w:t>(MONTH. DAY. YEAR)</w:t>
            </w:r>
          </w:p>
        </w:tc>
        <w:tc>
          <w:tcPr>
            <w:tcW w:w="1740" w:type="dxa"/>
            <w:vAlign w:val="bottom"/>
          </w:tcPr>
          <w:p>
            <w:pPr>
              <w:spacing w:after="0"/>
              <w:rPr>
                <w:sz w:val="20"/>
                <w:szCs w:val="20"/>
                <w:color w:val="auto"/>
              </w:rPr>
            </w:pPr>
          </w:p>
        </w:tc>
        <w:tc>
          <w:tcPr>
            <w:tcW w:w="3040" w:type="dxa"/>
            <w:vAlign w:val="bottom"/>
            <w:gridSpan w:val="2"/>
          </w:tcPr>
          <w:p>
            <w:pPr>
              <w:ind w:left="320"/>
              <w:spacing w:after="0"/>
              <w:rPr>
                <w:sz w:val="20"/>
                <w:szCs w:val="20"/>
                <w:color w:val="auto"/>
              </w:rPr>
            </w:pPr>
            <w:r>
              <w:rPr>
                <w:rFonts w:ascii="Arial" w:cs="Arial" w:eastAsia="Arial" w:hAnsi="Arial"/>
                <w:sz w:val="18"/>
                <w:szCs w:val="18"/>
                <w:color w:val="auto"/>
              </w:rPr>
              <w:t>(MONTH. DAY. YEAR)</w:t>
            </w:r>
          </w:p>
        </w:tc>
      </w:tr>
      <w:tr>
        <w:trPr>
          <w:trHeight w:val="135"/>
        </w:trPr>
        <w:tc>
          <w:tcPr>
            <w:tcW w:w="740" w:type="dxa"/>
            <w:vAlign w:val="bottom"/>
            <w:tcBorders>
              <w:bottom w:val="single" w:sz="8" w:color="auto"/>
            </w:tcBorders>
          </w:tcPr>
          <w:p>
            <w:pPr>
              <w:spacing w:after="0"/>
              <w:rPr>
                <w:sz w:val="11"/>
                <w:szCs w:val="11"/>
                <w:color w:val="auto"/>
              </w:rPr>
            </w:pPr>
          </w:p>
        </w:tc>
        <w:tc>
          <w:tcPr>
            <w:tcW w:w="5900" w:type="dxa"/>
            <w:vAlign w:val="bottom"/>
            <w:tcBorders>
              <w:bottom w:val="single" w:sz="8" w:color="auto"/>
            </w:tcBorders>
            <w:gridSpan w:val="2"/>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r>
      <w:tr>
        <w:trPr>
          <w:trHeight w:val="236"/>
        </w:trPr>
        <w:tc>
          <w:tcPr>
            <w:tcW w:w="7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w w:val="96"/>
              </w:rPr>
              <w:t>The Aggregate Liability of the Underwriter during the Bond Period shall be</w:t>
            </w: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0"/>
        </w:trPr>
        <w:tc>
          <w:tcPr>
            <w:tcW w:w="74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$10,000,000</w:t>
            </w:r>
          </w:p>
        </w:tc>
        <w:tc>
          <w:tcPr>
            <w:tcW w:w="2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35"/>
        </w:trPr>
        <w:tc>
          <w:tcPr>
            <w:tcW w:w="74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r>
      <w:tr>
        <w:trPr>
          <w:trHeight w:val="236"/>
        </w:trPr>
        <w:tc>
          <w:tcPr>
            <w:tcW w:w="7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680" w:type="dxa"/>
            <w:vAlign w:val="bottom"/>
          </w:tcPr>
          <w:p>
            <w:pPr>
              <w:ind w:left="180"/>
              <w:spacing w:after="0"/>
              <w:rPr>
                <w:sz w:val="20"/>
                <w:szCs w:val="20"/>
                <w:color w:val="auto"/>
              </w:rPr>
            </w:pPr>
            <w:r>
              <w:rPr>
                <w:rFonts w:ascii="Arial" w:cs="Arial" w:eastAsia="Arial" w:hAnsi="Arial"/>
                <w:sz w:val="18"/>
                <w:szCs w:val="18"/>
                <w:color w:val="auto"/>
              </w:rPr>
              <w:t>Subject to Sections 4 and 11 hereof,</w:t>
            </w:r>
          </w:p>
        </w:tc>
        <w:tc>
          <w:tcPr>
            <w:tcW w:w="2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6"/>
        </w:trPr>
        <w:tc>
          <w:tcPr>
            <w:tcW w:w="7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w w:val="95"/>
              </w:rPr>
              <w:t>the Single Loss Limit of Liability is $5,000,000</w:t>
            </w:r>
          </w:p>
        </w:tc>
        <w:tc>
          <w:tcPr>
            <w:tcW w:w="2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and the Single Loss Deductible is $50,000</w:t>
            </w:r>
          </w:p>
        </w:tc>
        <w:tc>
          <w:tcPr>
            <w:tcW w:w="2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2"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Provided, however, that if any amounts are inserted below opposite specified Insuring Agreements or Coverage, those amounts shall be controlling. Any amount set forth below shall be part of and not in addition to amounts set forth above. (If an Insuring Agreement or Coverage is to be deleted, insert Not Covered”.)</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w w:val="96"/>
              </w:rPr>
              <w:t>Single Loss</w:t>
            </w:r>
          </w:p>
        </w:tc>
        <w:tc>
          <w:tcPr>
            <w:tcW w:w="1360" w:type="dxa"/>
            <w:vAlign w:val="bottom"/>
            <w:gridSpan w:val="4"/>
          </w:tcPr>
          <w:p>
            <w:pPr>
              <w:ind w:left="580"/>
              <w:spacing w:after="0"/>
              <w:rPr>
                <w:sz w:val="20"/>
                <w:szCs w:val="20"/>
                <w:color w:val="auto"/>
              </w:rPr>
            </w:pPr>
            <w:r>
              <w:rPr>
                <w:rFonts w:ascii="Arial" w:cs="Arial" w:eastAsia="Arial" w:hAnsi="Arial"/>
                <w:sz w:val="14"/>
                <w:szCs w:val="14"/>
                <w:color w:val="auto"/>
              </w:rPr>
              <w:t>Single Loss</w:t>
            </w:r>
          </w:p>
        </w:tc>
      </w:tr>
      <w:tr>
        <w:trPr>
          <w:trHeight w:val="167"/>
        </w:trPr>
        <w:tc>
          <w:tcPr>
            <w:tcW w:w="5060" w:type="dxa"/>
            <w:vAlign w:val="bottom"/>
          </w:tcPr>
          <w:p>
            <w:pPr>
              <w:spacing w:after="0"/>
              <w:rPr>
                <w:sz w:val="20"/>
                <w:szCs w:val="20"/>
                <w:color w:val="auto"/>
              </w:rPr>
            </w:pPr>
            <w:r>
              <w:rPr>
                <w:rFonts w:ascii="Arial" w:cs="Arial" w:eastAsia="Arial" w:hAnsi="Arial"/>
                <w:sz w:val="14"/>
                <w:szCs w:val="14"/>
                <w:color w:val="auto"/>
              </w:rPr>
              <w:t>Amount applicable to:</w:t>
            </w:r>
          </w:p>
        </w:tc>
        <w:tc>
          <w:tcPr>
            <w:tcW w:w="2260" w:type="dxa"/>
            <w:vAlign w:val="bottom"/>
            <w:gridSpan w:val="3"/>
          </w:tcPr>
          <w:p>
            <w:pPr>
              <w:jc w:val="right"/>
              <w:spacing w:after="0"/>
              <w:rPr>
                <w:sz w:val="20"/>
                <w:szCs w:val="20"/>
                <w:color w:val="auto"/>
              </w:rPr>
            </w:pPr>
            <w:r>
              <w:rPr>
                <w:rFonts w:ascii="Arial" w:cs="Arial" w:eastAsia="Arial" w:hAnsi="Arial"/>
                <w:sz w:val="14"/>
                <w:szCs w:val="14"/>
                <w:color w:val="auto"/>
              </w:rPr>
              <w:t>Limit of Liability</w:t>
            </w:r>
          </w:p>
        </w:tc>
        <w:tc>
          <w:tcPr>
            <w:tcW w:w="5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Deductible</w:t>
            </w:r>
          </w:p>
        </w:tc>
      </w:tr>
      <w:tr>
        <w:trPr>
          <w:trHeight w:val="210"/>
        </w:trPr>
        <w:tc>
          <w:tcPr>
            <w:tcW w:w="5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Insuring Agreements (A) Employee Dishonesty</w:t>
            </w:r>
          </w:p>
        </w:tc>
        <w:tc>
          <w:tcPr>
            <w:tcW w:w="1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Insuring Agreement (B) Premises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Insuring Agreement (C) Transit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Insuring Agreement (D) Forgery or Alteration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Insuring Agreement (E) Securities Forgery</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Computer Insuring Agreements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Claims Expense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color w:val="auto"/>
        </w:rPr>
        <w:t>The liability of the Underwriter is subject to the terms of the following riders attached hereto:</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Endorsements #1 - 19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The Insured by the acceptance of this bond gives notice to the Underwriter terminating or canceling prior bond(s)</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 policy(ies) No.(s) G25562823 001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termination or cancelation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1206500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323215</wp:posOffset>
            </wp:positionV>
            <wp:extent cx="1929765" cy="746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5062b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1 of 6</w:t>
      </w:r>
    </w:p>
    <w:p>
      <w:pPr>
        <w:sectPr>
          <w:pgSz w:w="11900" w:h="16838" w:orient="portrait"/>
          <w:cols w:equalWidth="0" w:num="1">
            <w:col w:w="11440"/>
          </w:cols>
          <w:pgMar w:left="240" w:top="268" w:right="219" w:bottom="1440" w:gutter="0" w:footer="0" w:header="0"/>
        </w:sectPr>
      </w:pPr>
    </w:p>
    <w:bookmarkStart w:id="5" w:name="page6"/>
    <w:bookmarkEnd w:id="5"/>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64" w:lineRule="auto"/>
        <w:rPr>
          <w:sz w:val="20"/>
          <w:szCs w:val="20"/>
          <w:color w:val="auto"/>
        </w:rPr>
      </w:pPr>
      <w:r>
        <w:rPr>
          <w:rFonts w:ascii="Arial" w:cs="Arial" w:eastAsia="Arial" w:hAnsi="Arial"/>
          <w:sz w:val="18"/>
          <w:szCs w:val="18"/>
          <w:color w:val="auto"/>
        </w:rPr>
        <w:t>The Underwriter, in consideration of an agreed premium, and in reliance upon all statements made and information furnished to the Underwriter by the Insured in applying for this bond, and subject to the Declarations, Insuring Agreements, General Agreements, Conditions and Limitations and other terms hereof, agrees to indemnify the Insured for:</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INSURING AGREEMENTS</w:t>
      </w:r>
    </w:p>
    <w:p>
      <w:pPr>
        <w:sectPr>
          <w:pgSz w:w="11900" w:h="16894" w:orient="portrait"/>
          <w:cols w:equalWidth="0" w:num="1">
            <w:col w:w="11340"/>
          </w:cols>
          <w:pgMar w:left="240" w:top="274" w:right="319" w:bottom="0" w:gutter="0" w:footer="0" w:header="0"/>
        </w:sectPr>
      </w:pPr>
    </w:p>
    <w:p>
      <w:pPr>
        <w:spacing w:after="0" w:line="31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FIDELITY</w:t>
      </w:r>
    </w:p>
    <w:p>
      <w:pPr>
        <w:spacing w:after="0" w:line="225" w:lineRule="exact"/>
        <w:rPr>
          <w:sz w:val="20"/>
          <w:szCs w:val="20"/>
          <w:color w:val="auto"/>
        </w:rPr>
      </w:pPr>
    </w:p>
    <w:p>
      <w:pPr>
        <w:ind w:right="540" w:firstLine="36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resulting directly from dishonest or fraudulent acts committed by an Employee acting alone or in collusion with others.</w:t>
      </w:r>
    </w:p>
    <w:p>
      <w:pPr>
        <w:spacing w:after="0" w:line="12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Such dishonest or fraudulent acts must be committed by the Employee with the manifest intent: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100" w:right="700" w:hanging="363"/>
        <w:spacing w:after="0" w:line="308"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Negotiable Instruments not payable to bearer or not endorsed, or with restrictive endorsements.</w:t>
      </w:r>
    </w:p>
    <w:p>
      <w:pPr>
        <w:spacing w:after="0" w:line="147"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Coverage under this Insuring Agreement begins immediately upon the receipt of such Property by the natural person or Transportation Company and ends immediately upon delivery to the designated recipient or its agent.</w:t>
      </w:r>
    </w:p>
    <w:p>
      <w:pPr>
        <w:spacing w:after="0" w:line="268" w:lineRule="exact"/>
        <w:rPr>
          <w:sz w:val="20"/>
          <w:szCs w:val="20"/>
          <w:color w:val="auto"/>
        </w:rPr>
      </w:pPr>
    </w:p>
    <w:p>
      <w:pPr>
        <w:sectPr>
          <w:pgSz w:w="11900" w:h="16894" w:orient="portrait"/>
          <w:cols w:equalWidth="0" w:num="2">
            <w:col w:w="5440" w:space="380"/>
            <w:col w:w="5520"/>
          </w:cols>
          <w:pgMar w:left="240" w:top="274" w:right="319" w:bottom="0" w:gutter="0" w:footer="0" w:header="0"/>
          <w:type w:val="continuous"/>
        </w:sectPr>
      </w:pPr>
    </w:p>
    <w:p>
      <w:pPr>
        <w:ind w:left="740" w:hanging="36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130" w:lineRule="exact"/>
        <w:rPr>
          <w:rFonts w:ascii="Arial" w:cs="Arial" w:eastAsia="Arial" w:hAnsi="Arial"/>
          <w:sz w:val="18"/>
          <w:szCs w:val="18"/>
          <w:color w:val="auto"/>
        </w:rPr>
      </w:pPr>
    </w:p>
    <w:p>
      <w:pPr>
        <w:ind w:left="740" w:right="220" w:hanging="367"/>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obtain financial benefit for the Employee and which, in fact, result in obtaining such benefit.</w:t>
      </w:r>
    </w:p>
    <w:p>
      <w:pPr>
        <w:spacing w:after="0" w:line="170"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As used in this Insuring Agreement financial benefit does not include any employee benefits earned in the normal course of employment, including salaries, commissions, fees, bonuses, promotions, awards, profit sharing or pensions.</w:t>
      </w:r>
    </w:p>
    <w:p>
      <w:pPr>
        <w:spacing w:after="0" w:line="200" w:lineRule="exact"/>
        <w:rPr>
          <w:sz w:val="20"/>
          <w:szCs w:val="20"/>
          <w:color w:val="auto"/>
        </w:rPr>
      </w:pPr>
    </w:p>
    <w:p>
      <w:pPr>
        <w:spacing w:after="0" w:line="20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ON PREMISES</w:t>
      </w:r>
    </w:p>
    <w:p>
      <w:pPr>
        <w:spacing w:after="0" w:line="225" w:lineRule="exact"/>
        <w:rPr>
          <w:sz w:val="20"/>
          <w:szCs w:val="20"/>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 Loss of Property resulting directly from</w:t>
      </w:r>
    </w:p>
    <w:p>
      <w:pPr>
        <w:spacing w:after="0" w:line="130" w:lineRule="exact"/>
        <w:rPr>
          <w:rFonts w:ascii="Arial" w:cs="Arial" w:eastAsia="Arial" w:hAnsi="Arial"/>
          <w:sz w:val="18"/>
          <w:szCs w:val="18"/>
          <w:color w:val="auto"/>
        </w:rPr>
      </w:pPr>
    </w:p>
    <w:p>
      <w:pPr>
        <w:ind w:left="1460" w:right="300" w:hanging="358"/>
        <w:spacing w:after="0" w:line="264"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robbery, burglary, misplacement, mysterious unexplainable disappearance and damage thereto or destruction thereof, or</w:t>
      </w:r>
    </w:p>
    <w:p>
      <w:pPr>
        <w:spacing w:after="0" w:line="86" w:lineRule="exact"/>
        <w:rPr>
          <w:rFonts w:ascii="Arial" w:cs="Arial" w:eastAsia="Arial" w:hAnsi="Arial"/>
          <w:sz w:val="18"/>
          <w:szCs w:val="18"/>
          <w:color w:val="auto"/>
        </w:rPr>
      </w:pPr>
    </w:p>
    <w:p>
      <w:pPr>
        <w:ind w:left="1460" w:right="20" w:hanging="358"/>
        <w:spacing w:after="0" w:line="264"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theft, false pretenses, common-law or statutory larceny, committed by a person present in an office or on the premises of the Insured.</w:t>
      </w:r>
    </w:p>
    <w:p>
      <w:pPr>
        <w:spacing w:after="0" w:line="73"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while the Property is lodged or deposited within offices or premises located anywhere.</w:t>
      </w:r>
    </w:p>
    <w:p>
      <w:pPr>
        <w:spacing w:after="0" w:line="62" w:lineRule="exact"/>
        <w:rPr>
          <w:sz w:val="20"/>
          <w:szCs w:val="20"/>
          <w:color w:val="auto"/>
        </w:rPr>
      </w:pPr>
    </w:p>
    <w:p>
      <w:pPr>
        <w:ind w:left="980" w:hanging="25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or damage to</w:t>
      </w:r>
    </w:p>
    <w:p>
      <w:pPr>
        <w:spacing w:after="0" w:line="130" w:lineRule="exact"/>
        <w:rPr>
          <w:rFonts w:ascii="Arial" w:cs="Arial" w:eastAsia="Arial" w:hAnsi="Arial"/>
          <w:sz w:val="18"/>
          <w:szCs w:val="18"/>
          <w:color w:val="auto"/>
        </w:rPr>
      </w:pPr>
    </w:p>
    <w:p>
      <w:pPr>
        <w:ind w:left="1460" w:right="100" w:hanging="358"/>
        <w:spacing w:after="0" w:line="257"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furnishings, fixtures, supplies or equipment within an office of the Insured covered under this bond resulting directly from larceny or theft in, or by burglary or robbery of, such office, or attempt thereat, or by vandalism or malicious mischief, or</w:t>
      </w:r>
    </w:p>
    <w:p>
      <w:pPr>
        <w:spacing w:after="0" w:line="93" w:lineRule="exact"/>
        <w:rPr>
          <w:rFonts w:ascii="Arial" w:cs="Arial" w:eastAsia="Arial" w:hAnsi="Arial"/>
          <w:sz w:val="18"/>
          <w:szCs w:val="18"/>
          <w:color w:val="auto"/>
        </w:rPr>
      </w:pPr>
    </w:p>
    <w:p>
      <w:pPr>
        <w:ind w:left="1460" w:right="20" w:hanging="358"/>
        <w:spacing w:after="0" w:line="259"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such office resulting from larceny or theft in, or by burglary or robbery of such office or attempt thereat, or to the interior of such office by vandalism or malicious mischief,</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1840" w:right="40" w:hanging="373"/>
        <w:spacing w:after="0" w:line="264" w:lineRule="auto"/>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Insured is the owner of such furnishings, fixtures, supplies, equipment, or office or is liable for such loss or damage, and</w:t>
      </w:r>
    </w:p>
    <w:p>
      <w:pPr>
        <w:spacing w:after="0" w:line="86" w:lineRule="exact"/>
        <w:rPr>
          <w:rFonts w:ascii="Arial" w:cs="Arial" w:eastAsia="Arial" w:hAnsi="Arial"/>
          <w:sz w:val="18"/>
          <w:szCs w:val="18"/>
          <w:color w:val="auto"/>
        </w:rPr>
      </w:pPr>
    </w:p>
    <w:p>
      <w:pPr>
        <w:ind w:left="1840" w:hanging="373"/>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is not caused by fire.</w:t>
      </w:r>
    </w:p>
    <w:p>
      <w:pPr>
        <w:spacing w:after="0" w:line="200" w:lineRule="exact"/>
        <w:rPr>
          <w:sz w:val="20"/>
          <w:szCs w:val="20"/>
          <w:color w:val="auto"/>
        </w:rPr>
      </w:pPr>
    </w:p>
    <w:p>
      <w:pPr>
        <w:spacing w:after="0" w:line="24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IN TRANSIT</w:t>
      </w:r>
    </w:p>
    <w:p>
      <w:pPr>
        <w:spacing w:after="0" w:line="225" w:lineRule="exact"/>
        <w:rPr>
          <w:sz w:val="20"/>
          <w:szCs w:val="20"/>
          <w:color w:val="auto"/>
        </w:rPr>
      </w:pPr>
    </w:p>
    <w:p>
      <w:pPr>
        <w:ind w:right="60" w:firstLine="368"/>
        <w:spacing w:after="0" w:line="257" w:lineRule="auto"/>
        <w:tabs>
          <w:tab w:leader="none" w:pos="645"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Property resulting directly from robbery, common-law or statutory larceny, theft, misplacement, mysterious unexplainable disappearance, being lost or made away with, and damage thereto or destruction thereof, while the Property is in transit anywhere in the custody of</w:t>
      </w:r>
    </w:p>
    <w:p>
      <w:pPr>
        <w:spacing w:after="0" w:line="94" w:lineRule="exact"/>
        <w:rPr>
          <w:sz w:val="20"/>
          <w:szCs w:val="20"/>
          <w:color w:val="auto"/>
        </w:rPr>
      </w:pPr>
    </w:p>
    <w:p>
      <w:pPr>
        <w:ind w:left="740" w:hanging="367"/>
        <w:spacing w:after="0" w:line="259"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natural person acting as a messenger of the Insured (or another natural person acting as messenger or custodian during an emergency arising from the incapacity of the original messenger), or</w:t>
      </w:r>
    </w:p>
    <w:p>
      <w:pPr>
        <w:spacing w:after="0" w:line="92" w:lineRule="exact"/>
        <w:rPr>
          <w:rFonts w:ascii="Arial" w:cs="Arial" w:eastAsia="Arial" w:hAnsi="Arial"/>
          <w:sz w:val="18"/>
          <w:szCs w:val="18"/>
          <w:color w:val="auto"/>
        </w:rPr>
      </w:pPr>
    </w:p>
    <w:p>
      <w:pPr>
        <w:ind w:left="740" w:right="180" w:hanging="36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an armored motor vehicle, or</w:t>
      </w:r>
    </w:p>
    <w:p>
      <w:pPr>
        <w:spacing w:after="0" w:line="75" w:lineRule="exact"/>
        <w:rPr>
          <w:rFonts w:ascii="Arial" w:cs="Arial" w:eastAsia="Arial" w:hAnsi="Arial"/>
          <w:sz w:val="18"/>
          <w:szCs w:val="18"/>
          <w:color w:val="auto"/>
        </w:rPr>
      </w:pPr>
    </w:p>
    <w:p>
      <w:pPr>
        <w:ind w:left="740" w:right="20" w:hanging="367"/>
        <w:spacing w:after="0" w:line="342"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Transportation Company and being transported in a conveyance other than an armored motor vehicle provided that covered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FORGERY OR ALTERATION</w:t>
      </w:r>
    </w:p>
    <w:p>
      <w:pPr>
        <w:spacing w:after="0" w:line="225" w:lineRule="exact"/>
        <w:rPr>
          <w:sz w:val="20"/>
          <w:szCs w:val="20"/>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resulting directly from</w:t>
      </w:r>
    </w:p>
    <w:p>
      <w:pPr>
        <w:spacing w:after="0" w:line="225" w:lineRule="exact"/>
        <w:rPr>
          <w:rFonts w:ascii="Arial" w:cs="Arial" w:eastAsia="Arial" w:hAnsi="Arial"/>
          <w:sz w:val="18"/>
          <w:szCs w:val="18"/>
          <w:color w:val="auto"/>
        </w:rPr>
      </w:pPr>
    </w:p>
    <w:p>
      <w:pPr>
        <w:jc w:val="both"/>
        <w:ind w:right="240" w:firstLine="728"/>
        <w:spacing w:after="0" w:line="312" w:lineRule="auto"/>
        <w:tabs>
          <w:tab w:leader="none" w:pos="975" w:val="left"/>
        </w:tabs>
        <w:numPr>
          <w:ilvl w:val="1"/>
          <w:numId w:val="11"/>
        </w:numPr>
        <w:rPr>
          <w:rFonts w:ascii="Arial" w:cs="Arial" w:eastAsia="Arial" w:hAnsi="Arial"/>
          <w:sz w:val="16"/>
          <w:szCs w:val="16"/>
          <w:color w:val="auto"/>
        </w:rPr>
      </w:pPr>
      <w:r>
        <w:rPr>
          <w:rFonts w:ascii="Arial" w:cs="Arial" w:eastAsia="Arial" w:hAnsi="Arial"/>
          <w:sz w:val="16"/>
          <w:szCs w:val="16"/>
          <w:color w:val="auto"/>
        </w:rPr>
        <w:t>Forgery or alteration of, on or in any Negotiable Instrument (except an Evidence of Debt), Acceptance, Withdrawal Order, receipt for the withdrawal of Property, Certificate of Deposit or Letter of Credit.</w:t>
      </w:r>
    </w:p>
    <w:p>
      <w:pPr>
        <w:spacing w:after="0" w:line="146" w:lineRule="exact"/>
        <w:rPr>
          <w:rFonts w:ascii="Arial" w:cs="Arial" w:eastAsia="Arial" w:hAnsi="Arial"/>
          <w:sz w:val="16"/>
          <w:szCs w:val="16"/>
          <w:color w:val="auto"/>
        </w:rPr>
      </w:pPr>
    </w:p>
    <w:p>
      <w:pPr>
        <w:ind w:right="140" w:firstLine="728"/>
        <w:spacing w:after="0" w:line="270" w:lineRule="auto"/>
        <w:tabs>
          <w:tab w:leader="none" w:pos="975" w:val="left"/>
        </w:tabs>
        <w:numPr>
          <w:ilvl w:val="1"/>
          <w:numId w:val="11"/>
        </w:numPr>
        <w:rPr>
          <w:rFonts w:ascii="Arial" w:cs="Arial" w:eastAsia="Arial" w:hAnsi="Arial"/>
          <w:sz w:val="17"/>
          <w:szCs w:val="17"/>
          <w:color w:val="auto"/>
        </w:rPr>
      </w:pPr>
      <w:r>
        <w:rPr>
          <w:rFonts w:ascii="Arial" w:cs="Arial" w:eastAsia="Arial" w:hAnsi="Arial"/>
          <w:sz w:val="17"/>
          <w:szCs w:val="17"/>
          <w:color w:val="auto"/>
        </w:rPr>
        <w:t>transferring, paying or delivering any funds or Property or establishing any credit or giving any value on the faith of any written instructions or advices directed to the Insured and authorizing or acknowledging the transfer, payment, delivery or receipt of funds or Property, which instructions or advices purport to have been signed or endorsed by any customer of the Insured or by any financial institution but which instructions or advices either bear a signature which is a Forgery or have been altered without the knowledge and consent of such customer or financial institution.</w:t>
      </w:r>
    </w:p>
    <w:p>
      <w:pPr>
        <w:spacing w:after="0" w:line="18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8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SECURITIES</w:t>
      </w:r>
    </w:p>
    <w:p>
      <w:pPr>
        <w:spacing w:after="0" w:line="225" w:lineRule="exact"/>
        <w:rPr>
          <w:sz w:val="20"/>
          <w:szCs w:val="20"/>
          <w:color w:val="auto"/>
        </w:rPr>
      </w:pPr>
    </w:p>
    <w:p>
      <w:pPr>
        <w:ind w:right="180" w:firstLine="368"/>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70" w:lineRule="exact"/>
        <w:rPr>
          <w:rFonts w:ascii="Arial" w:cs="Arial" w:eastAsia="Arial" w:hAnsi="Arial"/>
          <w:sz w:val="18"/>
          <w:szCs w:val="18"/>
          <w:color w:val="auto"/>
        </w:rPr>
      </w:pPr>
    </w:p>
    <w:p>
      <w:pPr>
        <w:ind w:right="100" w:firstLine="728"/>
        <w:spacing w:after="0" w:line="277" w:lineRule="auto"/>
        <w:tabs>
          <w:tab w:leader="none" w:pos="9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original</w:t>
      </w:r>
    </w:p>
    <w:p>
      <w:pPr>
        <w:spacing w:after="0" w:line="75" w:lineRule="exact"/>
        <w:rPr>
          <w:rFonts w:ascii="Arial" w:cs="Arial" w:eastAsia="Arial" w:hAnsi="Arial"/>
          <w:sz w:val="18"/>
          <w:szCs w:val="18"/>
          <w:color w:val="auto"/>
        </w:rPr>
      </w:pPr>
    </w:p>
    <w:p>
      <w:pPr>
        <w:ind w:left="1460" w:hanging="358"/>
        <w:spacing w:after="0"/>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Certificated Security,</w:t>
      </w:r>
    </w:p>
    <w:p>
      <w:pPr>
        <w:spacing w:after="0" w:line="130" w:lineRule="exact"/>
        <w:rPr>
          <w:rFonts w:ascii="Arial" w:cs="Arial" w:eastAsia="Arial" w:hAnsi="Arial"/>
          <w:sz w:val="18"/>
          <w:szCs w:val="18"/>
          <w:color w:val="auto"/>
        </w:rPr>
      </w:pPr>
    </w:p>
    <w:p>
      <w:pPr>
        <w:ind w:left="1460" w:right="160" w:hanging="358"/>
        <w:spacing w:after="0" w:line="342" w:lineRule="auto"/>
        <w:tabs>
          <w:tab w:leader="none" w:pos="1460" w:val="left"/>
        </w:tabs>
        <w:numPr>
          <w:ilvl w:val="2"/>
          <w:numId w:val="12"/>
        </w:numPr>
        <w:rPr>
          <w:rFonts w:ascii="Arial" w:cs="Arial" w:eastAsia="Arial" w:hAnsi="Arial"/>
          <w:sz w:val="16"/>
          <w:szCs w:val="16"/>
          <w:color w:val="auto"/>
        </w:rPr>
      </w:pPr>
      <w:r>
        <w:rPr>
          <w:rFonts w:ascii="Arial" w:cs="Arial" w:eastAsia="Arial" w:hAnsi="Arial"/>
          <w:sz w:val="16"/>
          <w:szCs w:val="16"/>
          <w:color w:val="auto"/>
        </w:rPr>
        <w:t>deed, mortgage or other instrument conveying title to, or creating or discharging a lien upon, real property,</w:t>
      </w:r>
    </w:p>
    <w:p>
      <w:pPr>
        <w:spacing w:after="0" w:line="29" w:lineRule="exact"/>
        <w:rPr>
          <w:rFonts w:ascii="Arial" w:cs="Arial" w:eastAsia="Arial" w:hAnsi="Arial"/>
          <w:sz w:val="16"/>
          <w:szCs w:val="16"/>
          <w:color w:val="auto"/>
        </w:rPr>
      </w:pPr>
    </w:p>
    <w:p>
      <w:pPr>
        <w:ind w:left="1460" w:hanging="358"/>
        <w:spacing w:after="0"/>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Evidence of Debt,</w:t>
      </w:r>
    </w:p>
    <w:p>
      <w:pPr>
        <w:spacing w:after="0" w:line="130" w:lineRule="exact"/>
        <w:rPr>
          <w:rFonts w:ascii="Arial" w:cs="Arial" w:eastAsia="Arial" w:hAnsi="Arial"/>
          <w:sz w:val="18"/>
          <w:szCs w:val="18"/>
          <w:color w:val="auto"/>
        </w:rPr>
      </w:pPr>
    </w:p>
    <w:p>
      <w:pPr>
        <w:ind w:left="1460" w:right="340" w:hanging="358"/>
        <w:spacing w:after="0" w:line="277" w:lineRule="auto"/>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Instruction to a Federal Reserve Bank of the United States, or</w:t>
      </w:r>
    </w:p>
    <w:p>
      <w:pPr>
        <w:spacing w:after="0" w:line="75" w:lineRule="exact"/>
        <w:rPr>
          <w:rFonts w:ascii="Arial" w:cs="Arial" w:eastAsia="Arial" w:hAnsi="Arial"/>
          <w:sz w:val="18"/>
          <w:szCs w:val="18"/>
          <w:color w:val="auto"/>
        </w:rPr>
      </w:pPr>
    </w:p>
    <w:p>
      <w:pPr>
        <w:ind w:left="1460" w:right="340" w:hanging="358"/>
        <w:spacing w:after="0" w:line="277" w:lineRule="auto"/>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Statement of Uncertificated Security of any Federal Reserve Bank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which</w:t>
      </w:r>
    </w:p>
    <w:p>
      <w:pPr>
        <w:spacing w:after="0" w:line="131" w:lineRule="exact"/>
        <w:rPr>
          <w:sz w:val="20"/>
          <w:szCs w:val="20"/>
          <w:color w:val="auto"/>
        </w:rPr>
      </w:pPr>
    </w:p>
    <w:p>
      <w:pPr>
        <w:ind w:left="1840" w:right="60" w:hanging="374"/>
        <w:spacing w:after="0" w:line="257" w:lineRule="auto"/>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bears a signature of any maker, drawer, issuer, endorser, assignor, lessee, transfer agent, registrar, acceptor, surety, guarantor, or of any person signing in any other capacity which is a Forgery, or</w:t>
      </w:r>
    </w:p>
    <w:p>
      <w:pPr>
        <w:spacing w:after="0" w:line="93" w:lineRule="exact"/>
        <w:rPr>
          <w:rFonts w:ascii="Arial" w:cs="Arial" w:eastAsia="Arial" w:hAnsi="Arial"/>
          <w:sz w:val="18"/>
          <w:szCs w:val="18"/>
          <w:color w:val="auto"/>
        </w:rPr>
      </w:pPr>
    </w:p>
    <w:p>
      <w:pPr>
        <w:ind w:left="1840" w:hanging="374"/>
        <w:spacing w:after="0"/>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is altered, or</w:t>
      </w:r>
    </w:p>
    <w:p>
      <w:pPr>
        <w:spacing w:after="0" w:line="130" w:lineRule="exact"/>
        <w:rPr>
          <w:rFonts w:ascii="Arial" w:cs="Arial" w:eastAsia="Arial" w:hAnsi="Arial"/>
          <w:sz w:val="18"/>
          <w:szCs w:val="18"/>
          <w:color w:val="auto"/>
        </w:rPr>
      </w:pPr>
    </w:p>
    <w:p>
      <w:pPr>
        <w:ind w:left="1840" w:hanging="374"/>
        <w:spacing w:after="0"/>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225" w:lineRule="exact"/>
        <w:rPr>
          <w:rFonts w:ascii="Arial" w:cs="Arial" w:eastAsia="Arial" w:hAnsi="Arial"/>
          <w:sz w:val="18"/>
          <w:szCs w:val="18"/>
          <w:color w:val="auto"/>
        </w:rPr>
      </w:pPr>
    </w:p>
    <w:p>
      <w:pPr>
        <w:ind w:right="60" w:firstLine="728"/>
        <w:spacing w:after="0" w:line="264"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guaranteed in writing or witnessed any signature upon any transfer, assignment, bill of sale, power of attorney, Guarantee, or any items listed in (a) through (c) above;</w:t>
      </w:r>
    </w:p>
    <w:p>
      <w:pPr>
        <w:spacing w:after="0" w:line="181" w:lineRule="exact"/>
        <w:rPr>
          <w:rFonts w:ascii="Arial" w:cs="Arial" w:eastAsia="Arial" w:hAnsi="Arial"/>
          <w:sz w:val="18"/>
          <w:szCs w:val="18"/>
          <w:color w:val="auto"/>
        </w:rPr>
      </w:pPr>
    </w:p>
    <w:p>
      <w:pPr>
        <w:jc w:val="both"/>
        <w:ind w:right="100" w:firstLine="728"/>
        <w:spacing w:after="0" w:line="264"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item listed in (a) and (b) above which is a Counterfeit.</w:t>
      </w:r>
    </w:p>
    <w:p>
      <w:pPr>
        <w:sectPr>
          <w:pgSz w:w="11900" w:h="16894" w:orient="portrait"/>
          <w:cols w:equalWidth="0" w:num="2">
            <w:col w:w="5480" w:space="340"/>
            <w:col w:w="5520"/>
          </w:cols>
          <w:pgMar w:left="240" w:top="274" w:right="319" w:bottom="0" w:gutter="0" w:footer="0" w:header="0"/>
          <w:type w:val="continuous"/>
        </w:sectPr>
      </w:pPr>
    </w:p>
    <w:bookmarkStart w:id="6" w:name="page7"/>
    <w:bookmarkEnd w:id="6"/>
    <w:p>
      <w:pPr>
        <w:ind w:left="740"/>
        <w:spacing w:after="0"/>
        <w:rPr>
          <w:sz w:val="20"/>
          <w:szCs w:val="20"/>
          <w:color w:val="auto"/>
        </w:rPr>
      </w:pPr>
      <w:r>
        <w:rPr>
          <w:rFonts w:ascii="Arial" w:cs="Arial" w:eastAsia="Arial" w:hAnsi="Arial"/>
          <w:sz w:val="16"/>
          <w:szCs w:val="16"/>
          <w:color w:val="auto"/>
        </w:rPr>
        <w:t>Property transported in such manner is limited to the following:</w:t>
      </w:r>
    </w:p>
    <w:p>
      <w:pPr>
        <w:spacing w:after="0" w:line="154" w:lineRule="exact"/>
        <w:rPr>
          <w:sz w:val="20"/>
          <w:szCs w:val="20"/>
          <w:color w:val="auto"/>
        </w:rPr>
      </w:pPr>
    </w:p>
    <w:p>
      <w:pPr>
        <w:ind w:left="1100" w:hanging="363"/>
        <w:spacing w:after="0"/>
        <w:tabs>
          <w:tab w:leader="none" w:pos="11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records, whether recorded in writing or electronically, and</w:t>
      </w:r>
    </w:p>
    <w:p>
      <w:pPr>
        <w:spacing w:after="0" w:line="153" w:lineRule="exact"/>
        <w:rPr>
          <w:rFonts w:ascii="Arial" w:cs="Arial" w:eastAsia="Arial" w:hAnsi="Arial"/>
          <w:sz w:val="16"/>
          <w:szCs w:val="16"/>
          <w:color w:val="auto"/>
        </w:rPr>
      </w:pPr>
    </w:p>
    <w:p>
      <w:pPr>
        <w:ind w:left="1100" w:right="200" w:hanging="363"/>
        <w:spacing w:after="0" w:line="308" w:lineRule="auto"/>
        <w:tabs>
          <w:tab w:leader="none" w:pos="11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Certificated Securities issued in registered form and not endorsed, or with restrictive endorsements, and</w:t>
      </w:r>
    </w:p>
    <w:p>
      <w:pPr>
        <w:spacing w:after="0" w:line="20" w:lineRule="exact"/>
        <w:rPr>
          <w:sz w:val="20"/>
          <w:szCs w:val="20"/>
          <w:color w:val="auto"/>
        </w:rPr>
      </w:pPr>
      <w:r>
        <w:rPr>
          <w:sz w:val="20"/>
          <w:szCs w:val="20"/>
          <w:color w:val="auto"/>
        </w:rPr>
        <w:br w:type="column"/>
      </w:r>
    </w:p>
    <w:p>
      <w:pPr>
        <w:ind w:right="140" w:firstLine="360"/>
        <w:spacing w:after="0" w:line="277" w:lineRule="auto"/>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COUNTERFEIT CURRENCY</w:t>
      </w:r>
    </w:p>
    <w:p>
      <w:pPr>
        <w:spacing w:after="0" w:line="225" w:lineRule="exact"/>
        <w:rPr>
          <w:sz w:val="20"/>
          <w:szCs w:val="20"/>
          <w:color w:val="auto"/>
        </w:rPr>
      </w:pPr>
    </w:p>
    <w:p>
      <w:pPr>
        <w:ind w:right="140" w:firstLine="368"/>
        <w:spacing w:after="0" w:line="286" w:lineRule="auto"/>
        <w:tabs>
          <w:tab w:leader="none" w:pos="625"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Loss resulting directly from the receipt by the Insured, in good faith, of any Counterfeit Money of the United States of America, Canada or of any other country in which the Insured maintains a branch office.</w:t>
      </w:r>
    </w:p>
    <w:p>
      <w:pPr>
        <w:spacing w:after="0" w:line="200" w:lineRule="exact"/>
        <w:rPr>
          <w:sz w:val="20"/>
          <w:szCs w:val="20"/>
          <w:color w:val="auto"/>
        </w:rPr>
      </w:pPr>
    </w:p>
    <w:p>
      <w:pPr>
        <w:sectPr>
          <w:pgSz w:w="11900" w:h="16838" w:orient="portrait"/>
          <w:cols w:equalWidth="0" w:num="2">
            <w:col w:w="5320" w:space="500"/>
            <w:col w:w="5600"/>
          </w:cols>
          <w:pgMar w:left="240" w:top="125" w:right="2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AGREEMENTS</w:t>
      </w:r>
    </w:p>
    <w:p>
      <w:pPr>
        <w:sectPr>
          <w:pgSz w:w="11900" w:h="16838" w:orient="portrait"/>
          <w:cols w:equalWidth="0" w:num="1">
            <w:col w:w="11420"/>
          </w:cols>
          <w:pgMar w:left="240" w:top="125" w:right="239" w:bottom="1440" w:gutter="0" w:footer="0" w:header="0"/>
          <w:type w:val="continuous"/>
        </w:sectPr>
      </w:pPr>
    </w:p>
    <w:p>
      <w:pPr>
        <w:spacing w:after="0" w:line="310"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NOMINEES</w:t>
      </w:r>
    </w:p>
    <w:p>
      <w:pPr>
        <w:spacing w:after="0" w:line="225"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A. 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w:t>
      </w:r>
    </w:p>
    <w:p>
      <w:pPr>
        <w:spacing w:after="0" w:line="374" w:lineRule="exact"/>
        <w:rPr>
          <w:sz w:val="20"/>
          <w:szCs w:val="20"/>
          <w:color w:val="auto"/>
        </w:rPr>
      </w:pPr>
    </w:p>
    <w:p>
      <w:pPr>
        <w:jc w:val="center"/>
        <w:ind w:left="120" w:right="140"/>
        <w:spacing w:after="0" w:line="308" w:lineRule="auto"/>
        <w:rPr>
          <w:sz w:val="20"/>
          <w:szCs w:val="20"/>
          <w:color w:val="auto"/>
        </w:rPr>
      </w:pPr>
      <w:r>
        <w:rPr>
          <w:rFonts w:ascii="Arial" w:cs="Arial" w:eastAsia="Arial" w:hAnsi="Arial"/>
          <w:sz w:val="17"/>
          <w:szCs w:val="17"/>
          <w:color w:val="auto"/>
        </w:rPr>
        <w:t>ADDITIONAL OFFICES OR EMPLOYEES – CONSOLIDATION, MERGER OR PURCHASE OF ASSETS – NOTICE</w:t>
      </w:r>
    </w:p>
    <w:p>
      <w:pPr>
        <w:spacing w:after="0" w:line="14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B. If the Insured shall, while this bond is in force, establish any additional offices, other than by consolidation or merger with, or purchase or acquisition of assets or liabilities of, another institution, such offices shall be automatically covered hereunder from the date of such establishment without the requirement of notice to the Underwriter or the Payment of additional premium for the remainder of the premium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If the Insured shall, while this bond is in force, consolidate or merge with, or purchase or acquire assets or liabilities of, another institution, the Insured shall not have such coverage as is afforded under this bond for loss which</w:t>
      </w:r>
    </w:p>
    <w:p>
      <w:pPr>
        <w:spacing w:after="0" w:line="187" w:lineRule="exact"/>
        <w:rPr>
          <w:sz w:val="20"/>
          <w:szCs w:val="20"/>
          <w:color w:val="auto"/>
        </w:rPr>
      </w:pPr>
    </w:p>
    <w:p>
      <w:pPr>
        <w:ind w:left="620" w:hanging="252"/>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occurred or will occur in offices or premises, or</w:t>
      </w:r>
    </w:p>
    <w:p>
      <w:pPr>
        <w:spacing w:after="0" w:line="225" w:lineRule="exact"/>
        <w:rPr>
          <w:rFonts w:ascii="Arial" w:cs="Arial" w:eastAsia="Arial" w:hAnsi="Arial"/>
          <w:sz w:val="18"/>
          <w:szCs w:val="18"/>
          <w:color w:val="auto"/>
        </w:rPr>
      </w:pPr>
    </w:p>
    <w:p>
      <w:pPr>
        <w:ind w:right="160" w:firstLine="368"/>
        <w:spacing w:after="0" w:line="277"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been caused or will be caused by an employee or employees of such institution, or</w:t>
      </w:r>
    </w:p>
    <w:p>
      <w:pPr>
        <w:spacing w:after="0" w:line="170" w:lineRule="exact"/>
        <w:rPr>
          <w:rFonts w:ascii="Arial" w:cs="Arial" w:eastAsia="Arial" w:hAnsi="Arial"/>
          <w:sz w:val="18"/>
          <w:szCs w:val="18"/>
          <w:color w:val="auto"/>
        </w:rPr>
      </w:pPr>
    </w:p>
    <w:p>
      <w:pPr>
        <w:ind w:right="360" w:firstLine="368"/>
        <w:spacing w:after="0" w:line="286" w:lineRule="auto"/>
        <w:tabs>
          <w:tab w:leader="none" w:pos="6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has arisen or will arise out of the assets or liabilities acquired by the Insured as a result of such consolidation, merger or purchase or acquisition of assets or liabilities unless the Insured shall</w:t>
      </w:r>
    </w:p>
    <w:p>
      <w:pPr>
        <w:spacing w:after="0" w:line="70" w:lineRule="exact"/>
        <w:rPr>
          <w:rFonts w:ascii="Arial" w:cs="Arial" w:eastAsia="Arial" w:hAnsi="Arial"/>
          <w:sz w:val="17"/>
          <w:szCs w:val="17"/>
          <w:color w:val="auto"/>
        </w:rPr>
      </w:pPr>
    </w:p>
    <w:p>
      <w:pPr>
        <w:ind w:left="1100" w:right="160" w:hanging="363"/>
        <w:spacing w:after="0" w:line="259" w:lineRule="auto"/>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give the Underwriter written notice of the proposed consolidation, merger or purchase or acquisition of assets or liabilities prior to the proposed effective date of such action and</w:t>
      </w:r>
    </w:p>
    <w:p>
      <w:pPr>
        <w:spacing w:after="0" w:line="92" w:lineRule="exact"/>
        <w:rPr>
          <w:rFonts w:ascii="Arial" w:cs="Arial" w:eastAsia="Arial" w:hAnsi="Arial"/>
          <w:sz w:val="18"/>
          <w:szCs w:val="18"/>
          <w:color w:val="auto"/>
        </w:rPr>
      </w:pPr>
    </w:p>
    <w:p>
      <w:pPr>
        <w:ind w:left="1100" w:right="180" w:hanging="363"/>
        <w:spacing w:after="0" w:line="312" w:lineRule="auto"/>
        <w:tabs>
          <w:tab w:leader="none" w:pos="11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obtain the written consent of the Underwriter to extend the coverage provided by this bond to such additional offices or premises, Employees and other exposures, and</w:t>
      </w:r>
    </w:p>
    <w:p>
      <w:pPr>
        <w:spacing w:after="0" w:line="200" w:lineRule="exact"/>
        <w:rPr>
          <w:sz w:val="20"/>
          <w:szCs w:val="20"/>
          <w:color w:val="auto"/>
        </w:rPr>
      </w:pPr>
    </w:p>
    <w:p>
      <w:pPr>
        <w:sectPr>
          <w:pgSz w:w="11900" w:h="16838" w:orient="portrait"/>
          <w:cols w:equalWidth="0" w:num="2">
            <w:col w:w="5360" w:space="460"/>
            <w:col w:w="5600"/>
          </w:cols>
          <w:pgMar w:left="240" w:top="125" w:right="239" w:bottom="1440" w:gutter="0" w:footer="0" w:header="0"/>
          <w:type w:val="continuous"/>
        </w:sectPr>
      </w:pPr>
    </w:p>
    <w:p>
      <w:pPr>
        <w:spacing w:after="0" w:line="230"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2 of 6</w:t>
      </w:r>
    </w:p>
    <w:p>
      <w:pPr>
        <w:sectPr>
          <w:pgSz w:w="11900" w:h="16838" w:orient="portrait"/>
          <w:cols w:equalWidth="0" w:num="1">
            <w:col w:w="11420"/>
          </w:cols>
          <w:pgMar w:left="240" w:top="125" w:right="239" w:bottom="1440" w:gutter="0" w:footer="0" w:header="0"/>
          <w:type w:val="continuous"/>
        </w:sectPr>
      </w:pPr>
    </w:p>
    <w:bookmarkStart w:id="7" w:name="page8"/>
    <w:bookmarkEnd w:id="7"/>
    <w:p>
      <w:pPr>
        <w:ind w:left="1460" w:right="20" w:hanging="358"/>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obtaining such consent, pay to the Underwriter an additional premium.</w:t>
      </w:r>
    </w:p>
    <w:p>
      <w:pPr>
        <w:spacing w:after="0" w:line="38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 OF CONTROL—NOTICE</w:t>
      </w:r>
    </w:p>
    <w:p>
      <w:pPr>
        <w:spacing w:after="0" w:line="225"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C. When the Insured learns of a change in control, it shall give written notice to the Underwriter.</w:t>
      </w:r>
    </w:p>
    <w:p>
      <w:pPr>
        <w:spacing w:after="0" w:line="170"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As used in this General Agreement, control means the power to determine the management or policy of a controlling holding company or the Insured by virtue of voting stock ownership. A change in ownership of voting stock which results in direct or indirect ownership by a stockholder or an affiliated group of stockholders of ten percent (10%) or more of such stock shall be presumed to result in a change of control for the purpose of the required notice. Failure to give the required notice shall result in termination of coverage for any loss involving a transferee. to be effective upon the date of the stock transfer.</w:t>
      </w:r>
    </w:p>
    <w:p>
      <w:pPr>
        <w:spacing w:after="0" w:line="3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REPRESENTATION OF INSURED</w:t>
      </w:r>
    </w:p>
    <w:p>
      <w:pPr>
        <w:spacing w:after="0" w:line="225"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D. The Insured represents that the information furnished in the application for this bond is complete, true and correct. Such application constitutes part of this bond. Any misrepresentation, omission, concealment or incorrect statement of a material fact, in the application or otherwise, shall be grounds for the rescission of this bond.</w:t>
      </w:r>
    </w:p>
    <w:p>
      <w:pPr>
        <w:spacing w:after="0" w:line="38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JOINT INSURED</w:t>
      </w:r>
    </w:p>
    <w:p>
      <w:pPr>
        <w:spacing w:after="0" w:line="22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E. If two or more Insureds are covered under this bond, the first named Insured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any Insured shall constitute knowledge or discovery by all Insureds for all purposes of this bond. The liability of the Underwriter for loss or losses sustained by all Insureds shall not exceed the amount for which the Underwriter would have been liable had all such loss or losses been sustained by one Insured.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-704850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AGAINST INSURED—ELECTION TO DEFEND</w:t>
      </w:r>
    </w:p>
    <w:p>
      <w:pPr>
        <w:spacing w:after="0" w:line="211" w:lineRule="exact"/>
        <w:rPr>
          <w:sz w:val="20"/>
          <w:szCs w:val="20"/>
          <w:color w:val="auto"/>
        </w:rPr>
      </w:pPr>
    </w:p>
    <w:p>
      <w:pPr>
        <w:ind w:right="40" w:firstLine="359"/>
        <w:spacing w:after="0" w:line="273" w:lineRule="auto"/>
        <w:rPr>
          <w:sz w:val="20"/>
          <w:szCs w:val="20"/>
          <w:color w:val="auto"/>
        </w:rPr>
      </w:pPr>
      <w:r>
        <w:rPr>
          <w:rFonts w:ascii="Arial" w:cs="Arial" w:eastAsia="Arial" w:hAnsi="Arial"/>
          <w:sz w:val="17"/>
          <w:szCs w:val="17"/>
          <w:color w:val="auto"/>
        </w:rPr>
        <w:t>F. The Insured shall notify the Underwriter at the earliest practicable moment, not to exceed 30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178" w:lineRule="exact"/>
        <w:rPr>
          <w:sz w:val="20"/>
          <w:szCs w:val="20"/>
          <w:color w:val="auto"/>
        </w:rPr>
      </w:pPr>
    </w:p>
    <w:p>
      <w:pPr>
        <w:ind w:firstLine="359"/>
        <w:spacing w:after="0" w:line="297" w:lineRule="auto"/>
        <w:rPr>
          <w:sz w:val="20"/>
          <w:szCs w:val="20"/>
          <w:color w:val="auto"/>
        </w:rPr>
      </w:pPr>
      <w:r>
        <w:rPr>
          <w:rFonts w:ascii="Arial" w:cs="Arial" w:eastAsia="Arial" w:hAnsi="Arial"/>
          <w:sz w:val="16"/>
          <w:szCs w:val="16"/>
          <w:color w:val="auto"/>
        </w:rPr>
        <w:t>The Underwriter, at its sole option, may elect to conduct the defense of such legal proceeding, in whole or in part. The defense by the Underwriter shall be in the Insured’s name through attorneys selected by the Underwriter. The Insured shall provide all reasonable information and assistance required by the Underwriter for such defense.</w:t>
      </w:r>
    </w:p>
    <w:p>
      <w:pPr>
        <w:spacing w:after="0" w:line="158" w:lineRule="exact"/>
        <w:rPr>
          <w:sz w:val="20"/>
          <w:szCs w:val="20"/>
          <w:color w:val="auto"/>
        </w:rPr>
      </w:pPr>
    </w:p>
    <w:p>
      <w:pPr>
        <w:ind w:firstLine="359"/>
        <w:spacing w:after="0" w:line="255" w:lineRule="auto"/>
        <w:rPr>
          <w:sz w:val="20"/>
          <w:szCs w:val="20"/>
          <w:color w:val="auto"/>
        </w:rPr>
      </w:pPr>
      <w:r>
        <w:rPr>
          <w:rFonts w:ascii="Arial" w:cs="Arial" w:eastAsia="Arial" w:hAnsi="Arial"/>
          <w:sz w:val="18"/>
          <w:szCs w:val="18"/>
          <w:color w:val="auto"/>
        </w:rPr>
        <w:t>If the Underwriter elects to defend the Insured, in whole or in part, any judgment against the Insured on those counts or causes of action which the Underwriter defended on behalf of the Insured or any settlement in which the Underwriter participates and all attorneys’ fees, costs and expenses incurred by the Underwriter in the defense of the litigation shall be a loss covered by this bond.</w:t>
      </w:r>
    </w:p>
    <w:p>
      <w:pPr>
        <w:spacing w:after="0" w:line="193" w:lineRule="exact"/>
        <w:rPr>
          <w:sz w:val="20"/>
          <w:szCs w:val="20"/>
          <w:color w:val="auto"/>
        </w:rPr>
      </w:pPr>
    </w:p>
    <w:p>
      <w:pPr>
        <w:ind w:right="40" w:firstLine="359"/>
        <w:spacing w:after="0" w:line="254" w:lineRule="auto"/>
        <w:rPr>
          <w:sz w:val="20"/>
          <w:szCs w:val="20"/>
          <w:color w:val="auto"/>
        </w:rPr>
      </w:pPr>
      <w:r>
        <w:rPr>
          <w:rFonts w:ascii="Arial" w:cs="Arial" w:eastAsia="Arial" w:hAnsi="Arial"/>
          <w:sz w:val="18"/>
          <w:szCs w:val="18"/>
          <w:color w:val="auto"/>
        </w:rPr>
        <w:t>If the Insured does not give the notices required in subsection (a) of Section 5 of this bond and in the first paragraph of this General Agreement, or if the Underwriter elects not to defend any causes of action, neither a judgment against the Insured, nor a settlement of any legal proceeding by the Insured, shall determine the existence, extent or amount of coverage under this bond for loss sustained by the Insured, and the Underwriter shall not be liable for any attorneys’ fees, costs and expenses incurred by the Insured.</w:t>
      </w:r>
    </w:p>
    <w:p>
      <w:pPr>
        <w:spacing w:after="0" w:line="192" w:lineRule="exact"/>
        <w:rPr>
          <w:sz w:val="20"/>
          <w:szCs w:val="20"/>
          <w:color w:val="auto"/>
        </w:rPr>
      </w:pPr>
    </w:p>
    <w:p>
      <w:pPr>
        <w:ind w:right="40" w:firstLine="359"/>
        <w:spacing w:after="0" w:line="290" w:lineRule="auto"/>
        <w:rPr>
          <w:sz w:val="20"/>
          <w:szCs w:val="20"/>
          <w:color w:val="auto"/>
        </w:rPr>
      </w:pPr>
      <w:r>
        <w:rPr>
          <w:rFonts w:ascii="Arial" w:cs="Arial" w:eastAsia="Arial" w:hAnsi="Arial"/>
          <w:sz w:val="16"/>
          <w:szCs w:val="16"/>
          <w:color w:val="auto"/>
        </w:rPr>
        <w:t>With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w:t>
      </w:r>
    </w:p>
    <w:p>
      <w:pPr>
        <w:spacing w:after="0" w:line="200" w:lineRule="exact"/>
        <w:rPr>
          <w:sz w:val="20"/>
          <w:szCs w:val="20"/>
          <w:color w:val="auto"/>
        </w:rPr>
      </w:pPr>
    </w:p>
    <w:p>
      <w:pPr>
        <w:sectPr>
          <w:pgSz w:w="11900" w:h="16838" w:orient="portrait"/>
          <w:cols w:equalWidth="0" w:num="2">
            <w:col w:w="5480" w:space="340"/>
            <w:col w:w="5480"/>
          </w:cols>
          <w:pgMar w:left="240" w:top="328" w:right="359" w:bottom="0" w:gutter="0" w:footer="0" w:header="0"/>
        </w:sectPr>
      </w:pP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CONDITIONS AND LIMITATIONS</w:t>
      </w:r>
    </w:p>
    <w:p>
      <w:pPr>
        <w:sectPr>
          <w:pgSz w:w="11900" w:h="16838" w:orient="portrait"/>
          <w:cols w:equalWidth="0" w:num="1">
            <w:col w:w="11300"/>
          </w:cols>
          <w:pgMar w:left="240" w:top="328" w:right="359" w:bottom="0" w:gutter="0" w:footer="0" w:header="0"/>
          <w:type w:val="continuous"/>
        </w:sectPr>
      </w:pPr>
    </w:p>
    <w:p>
      <w:pPr>
        <w:spacing w:after="0" w:line="310"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 As used in this bond:</w:t>
      </w:r>
    </w:p>
    <w:p>
      <w:pPr>
        <w:spacing w:after="0" w:line="117" w:lineRule="exact"/>
        <w:rPr>
          <w:sz w:val="20"/>
          <w:szCs w:val="20"/>
          <w:color w:val="auto"/>
        </w:rPr>
      </w:pPr>
    </w:p>
    <w:p>
      <w:pPr>
        <w:ind w:right="428" w:firstLine="368"/>
        <w:spacing w:after="0" w:line="277" w:lineRule="auto"/>
        <w:tabs>
          <w:tab w:leader="none" w:pos="5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means a draft which the drawee has, by signature written thereon, engaged to honor as presented.</w:t>
      </w:r>
    </w:p>
    <w:p>
      <w:pPr>
        <w:spacing w:after="0" w:line="170" w:lineRule="exact"/>
        <w:rPr>
          <w:rFonts w:ascii="Arial" w:cs="Arial" w:eastAsia="Arial" w:hAnsi="Arial"/>
          <w:sz w:val="18"/>
          <w:szCs w:val="18"/>
          <w:color w:val="auto"/>
        </w:rPr>
      </w:pPr>
    </w:p>
    <w:p>
      <w:pPr>
        <w:ind w:right="188" w:firstLine="368"/>
        <w:spacing w:after="0" w:line="342" w:lineRule="auto"/>
        <w:tabs>
          <w:tab w:leader="none" w:pos="6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Certificate of Deposit means an acknowledgment in writing by a financial institution of receipt of Money with an engagement to repay it.</w:t>
      </w:r>
    </w:p>
    <w:p>
      <w:pPr>
        <w:spacing w:after="0" w:line="123" w:lineRule="exact"/>
        <w:rPr>
          <w:rFonts w:ascii="Arial" w:cs="Arial" w:eastAsia="Arial" w:hAnsi="Arial"/>
          <w:sz w:val="16"/>
          <w:szCs w:val="16"/>
          <w:color w:val="auto"/>
        </w:rPr>
      </w:pPr>
    </w:p>
    <w:p>
      <w:pPr>
        <w:ind w:right="128" w:firstLine="368"/>
        <w:spacing w:after="0" w:line="264" w:lineRule="auto"/>
        <w:tabs>
          <w:tab w:leader="none" w:pos="6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Certificated Security means a share, participation or other interest in property of or an enterprise of the issuer or an obligation of the issuer, which is:</w:t>
      </w:r>
    </w:p>
    <w:p>
      <w:pPr>
        <w:spacing w:after="0" w:line="86" w:lineRule="exact"/>
        <w:rPr>
          <w:rFonts w:ascii="Arial" w:cs="Arial" w:eastAsia="Arial" w:hAnsi="Arial"/>
          <w:sz w:val="18"/>
          <w:szCs w:val="18"/>
          <w:color w:val="auto"/>
        </w:rPr>
      </w:pPr>
    </w:p>
    <w:p>
      <w:pPr>
        <w:ind w:left="1100" w:right="148" w:hanging="363"/>
        <w:spacing w:after="0" w:line="277" w:lineRule="auto"/>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represented by an instrument issued in bearer or registered form;</w:t>
      </w:r>
    </w:p>
    <w:p>
      <w:pPr>
        <w:spacing w:after="0" w:line="75" w:lineRule="exact"/>
        <w:rPr>
          <w:rFonts w:ascii="Arial" w:cs="Arial" w:eastAsia="Arial" w:hAnsi="Arial"/>
          <w:sz w:val="18"/>
          <w:szCs w:val="18"/>
          <w:color w:val="auto"/>
        </w:rPr>
      </w:pPr>
    </w:p>
    <w:p>
      <w:pPr>
        <w:ind w:left="1100" w:right="128" w:hanging="363"/>
        <w:spacing w:after="0" w:line="286" w:lineRule="auto"/>
        <w:tabs>
          <w:tab w:leader="none" w:pos="11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of a type commonly dealt in on securities exchanges or markets or commonly recognized in any area in which it is issued or dealt in as a medium for investment; and</w:t>
      </w:r>
    </w:p>
    <w:p>
      <w:pPr>
        <w:spacing w:after="0" w:line="70" w:lineRule="exact"/>
        <w:rPr>
          <w:rFonts w:ascii="Arial" w:cs="Arial" w:eastAsia="Arial" w:hAnsi="Arial"/>
          <w:sz w:val="17"/>
          <w:szCs w:val="17"/>
          <w:color w:val="auto"/>
        </w:rPr>
      </w:pPr>
    </w:p>
    <w:p>
      <w:pPr>
        <w:ind w:left="1100" w:right="88" w:hanging="363"/>
        <w:spacing w:after="0" w:line="264" w:lineRule="auto"/>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81" w:lineRule="exact"/>
        <w:rPr>
          <w:rFonts w:ascii="Arial" w:cs="Arial" w:eastAsia="Arial" w:hAnsi="Arial"/>
          <w:sz w:val="18"/>
          <w:szCs w:val="18"/>
          <w:color w:val="auto"/>
        </w:rPr>
      </w:pPr>
    </w:p>
    <w:p>
      <w:pPr>
        <w:ind w:right="68" w:firstLine="368"/>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Counterfeit means an imitation of an actual valid original which is intended to deceive and to be taken as the original.</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732" w:right="40" w:hanging="363"/>
        <w:spacing w:after="0" w:line="277" w:lineRule="auto"/>
        <w:tabs>
          <w:tab w:leader="none" w:pos="73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Partner of the Insured, unless not covered as stated in item 4 of the Declarations.</w:t>
      </w:r>
    </w:p>
    <w:p>
      <w:pPr>
        <w:spacing w:after="0" w:line="170" w:lineRule="exact"/>
        <w:rPr>
          <w:rFonts w:ascii="Arial" w:cs="Arial" w:eastAsia="Arial" w:hAnsi="Arial"/>
          <w:sz w:val="18"/>
          <w:szCs w:val="18"/>
          <w:color w:val="auto"/>
        </w:rPr>
      </w:pPr>
    </w:p>
    <w:p>
      <w:pPr>
        <w:ind w:left="-368" w:right="120" w:firstLine="368"/>
        <w:spacing w:after="0" w:line="259" w:lineRule="auto"/>
        <w:tabs>
          <w:tab w:leader="none" w:pos="2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Evidence of Debt means an instrument, including a Negotiable Instrument, executed by a customer of the Insured and held by the Insured which in the regular course of business is treated as evidencing the customer’s debt to the Insured.</w:t>
      </w:r>
    </w:p>
    <w:p>
      <w:pPr>
        <w:spacing w:after="0" w:line="186" w:lineRule="exact"/>
        <w:rPr>
          <w:rFonts w:ascii="Arial" w:cs="Arial" w:eastAsia="Arial" w:hAnsi="Arial"/>
          <w:sz w:val="18"/>
          <w:szCs w:val="18"/>
          <w:color w:val="auto"/>
        </w:rPr>
      </w:pPr>
    </w:p>
    <w:p>
      <w:pPr>
        <w:ind w:left="-368" w:right="40" w:firstLine="368"/>
        <w:spacing w:after="0" w:line="286" w:lineRule="auto"/>
        <w:tabs>
          <w:tab w:leader="none" w:pos="247"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Financial Interest in the Insured of the Insured’s general partner(s), or limited partner(s), committing dishonest or fraudulent acts covered by this bond or concerned or implicated therein means:</w:t>
      </w:r>
    </w:p>
    <w:p>
      <w:pPr>
        <w:spacing w:after="0" w:line="70" w:lineRule="exact"/>
        <w:rPr>
          <w:rFonts w:ascii="Arial" w:cs="Arial" w:eastAsia="Arial" w:hAnsi="Arial"/>
          <w:sz w:val="17"/>
          <w:szCs w:val="17"/>
          <w:color w:val="auto"/>
        </w:rPr>
      </w:pPr>
    </w:p>
    <w:p>
      <w:pPr>
        <w:ind w:left="732" w:right="20" w:hanging="363"/>
        <w:spacing w:after="0" w:line="259" w:lineRule="auto"/>
        <w:tabs>
          <w:tab w:leader="none" w:pos="7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respects general partners the value of all right, title and interest of such general partner(s), determined as of the close of business on the date of discovery of loss covered by this bond, in the aggregate of:</w:t>
      </w:r>
    </w:p>
    <w:p>
      <w:pPr>
        <w:spacing w:after="0" w:line="92" w:lineRule="exact"/>
        <w:rPr>
          <w:rFonts w:ascii="Arial" w:cs="Arial" w:eastAsia="Arial" w:hAnsi="Arial"/>
          <w:sz w:val="18"/>
          <w:szCs w:val="18"/>
          <w:color w:val="auto"/>
        </w:rPr>
      </w:pPr>
    </w:p>
    <w:p>
      <w:pPr>
        <w:ind w:left="1092" w:right="80" w:hanging="358"/>
        <w:spacing w:after="0" w:line="288" w:lineRule="auto"/>
        <w:tabs>
          <w:tab w:leader="none" w:pos="1092"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“net worth” of the Insured, which for the purposes of this bond, shall be deemed to be the excess of its total assets over its total liabilities, without adjustment to give effect to loss covered by this bond, (except that credit balances and equities in proprietary accounts of the Insured, which shall include capital accounts of partners, investment and trading accounts of the Insured, participations of the Insured in joint accounts. and accounts of partners which are covered by agreements providing for the inclusion of equities</w:t>
      </w:r>
    </w:p>
    <w:p>
      <w:pPr>
        <w:sectPr>
          <w:pgSz w:w="11900" w:h="16838" w:orient="portrait"/>
          <w:cols w:equalWidth="0" w:num="2">
            <w:col w:w="5468" w:space="720"/>
            <w:col w:w="5112"/>
          </w:cols>
          <w:pgMar w:left="240" w:top="328" w:right="359" w:bottom="0" w:gutter="0" w:footer="0" w:header="0"/>
          <w:type w:val="continuous"/>
        </w:sectPr>
      </w:pPr>
    </w:p>
    <w:bookmarkStart w:id="8" w:name="page9"/>
    <w:bookmarkEnd w:id="8"/>
    <w:p>
      <w:pPr>
        <w:ind w:left="620" w:hanging="25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130" w:lineRule="exact"/>
        <w:rPr>
          <w:rFonts w:ascii="Arial" w:cs="Arial" w:eastAsia="Arial" w:hAnsi="Arial"/>
          <w:sz w:val="18"/>
          <w:szCs w:val="18"/>
          <w:color w:val="auto"/>
        </w:rPr>
      </w:pPr>
    </w:p>
    <w:p>
      <w:pPr>
        <w:ind w:left="1460" w:right="840" w:hanging="358"/>
        <w:spacing w:after="0" w:line="255"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natural person in the service of the Insured at any of the Insured’s offices or premises covered hereunder whom the Insured compensates directly by salary or commissions and whom the Insured has the right to direct and control while performing services for the Insured;</w:t>
      </w:r>
    </w:p>
    <w:p>
      <w:pPr>
        <w:spacing w:after="0" w:line="98" w:lineRule="exact"/>
        <w:rPr>
          <w:rFonts w:ascii="Arial" w:cs="Arial" w:eastAsia="Arial" w:hAnsi="Arial"/>
          <w:sz w:val="18"/>
          <w:szCs w:val="18"/>
          <w:color w:val="auto"/>
        </w:rPr>
      </w:pPr>
    </w:p>
    <w:p>
      <w:pPr>
        <w:jc w:val="both"/>
        <w:ind w:left="1460" w:right="740" w:hanging="358"/>
        <w:spacing w:after="0" w:line="264"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attorney retained by the Insured and an employee of such attorney while either is performing legal services for the Insured;</w:t>
      </w:r>
    </w:p>
    <w:p>
      <w:pPr>
        <w:spacing w:after="0" w:line="86" w:lineRule="exact"/>
        <w:rPr>
          <w:rFonts w:ascii="Arial" w:cs="Arial" w:eastAsia="Arial" w:hAnsi="Arial"/>
          <w:sz w:val="18"/>
          <w:szCs w:val="18"/>
          <w:color w:val="auto"/>
        </w:rPr>
      </w:pPr>
    </w:p>
    <w:p>
      <w:pPr>
        <w:ind w:left="1460" w:right="800" w:hanging="358"/>
        <w:spacing w:after="0" w:line="255"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person provided by an employment contractor to perform employee duties for the Insured under the Insured’s supervision at any of the Insured’s offices or premises covered hereunder; and a guest student pursuing studies or duties in any of said offices or premises;</w:t>
      </w:r>
    </w:p>
    <w:p>
      <w:pPr>
        <w:spacing w:after="0" w:line="98" w:lineRule="exact"/>
        <w:rPr>
          <w:rFonts w:ascii="Arial" w:cs="Arial" w:eastAsia="Arial" w:hAnsi="Arial"/>
          <w:sz w:val="18"/>
          <w:szCs w:val="18"/>
          <w:color w:val="auto"/>
        </w:rPr>
      </w:pPr>
    </w:p>
    <w:p>
      <w:pPr>
        <w:ind w:left="1460" w:right="720" w:hanging="358"/>
        <w:spacing w:after="0" w:line="342"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 employee of an institution merged or consolidated with the Insured prior to the effective date of this bond;</w:t>
      </w:r>
    </w:p>
    <w:p>
      <w:pPr>
        <w:spacing w:after="0" w:line="29" w:lineRule="exact"/>
        <w:rPr>
          <w:rFonts w:ascii="Arial" w:cs="Arial" w:eastAsia="Arial" w:hAnsi="Arial"/>
          <w:sz w:val="16"/>
          <w:szCs w:val="16"/>
          <w:color w:val="auto"/>
        </w:rPr>
      </w:pPr>
    </w:p>
    <w:p>
      <w:pPr>
        <w:ind w:left="1460" w:right="800" w:hanging="358"/>
        <w:spacing w:after="0" w:line="287"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the Insured to perform services as data processor of checks or other accounting records of the Insured (not including preparation or modification of computer software or programs), herein called Processor. (Each such Processor, and the partners. officers and employees of such Processor shall, collectively, be deemed to be one Employee for all the purposes of this bond, excepting, however, the second paragraph of Section 12. A Federal Reserve Bank or clearing house shall not be construed to be a processor.) and</w:t>
      </w:r>
    </w:p>
    <w:p>
      <w:pPr>
        <w:spacing w:after="0" w:line="20" w:lineRule="exact"/>
        <w:rPr>
          <w:sz w:val="20"/>
          <w:szCs w:val="20"/>
          <w:color w:val="auto"/>
        </w:rPr>
      </w:pPr>
      <w:r>
        <w:rPr>
          <w:sz w:val="20"/>
          <w:szCs w:val="20"/>
          <w:color w:val="auto"/>
        </w:rPr>
        <w:br w:type="column"/>
      </w:r>
    </w:p>
    <w:p>
      <w:pPr>
        <w:ind w:left="380" w:right="200"/>
        <w:spacing w:after="0" w:line="291" w:lineRule="auto"/>
        <w:rPr>
          <w:sz w:val="20"/>
          <w:szCs w:val="20"/>
          <w:color w:val="auto"/>
        </w:rPr>
      </w:pPr>
      <w:r>
        <w:rPr>
          <w:rFonts w:ascii="Arial" w:cs="Arial" w:eastAsia="Arial" w:hAnsi="Arial"/>
          <w:sz w:val="16"/>
          <w:szCs w:val="16"/>
          <w:color w:val="auto"/>
        </w:rPr>
        <w:t>therein as partnership property, shall not be considered as liabilities) with securities, spot commodities, commodity future contracts in such proprietary accounts and all other assets marked to market or fair value and with adjustment for profits and losses at the market of contractual commitments for such proprietary accounts of the Insured; and</w:t>
      </w:r>
    </w:p>
    <w:p>
      <w:pPr>
        <w:spacing w:after="0" w:line="73" w:lineRule="exact"/>
        <w:rPr>
          <w:sz w:val="20"/>
          <w:szCs w:val="20"/>
          <w:color w:val="auto"/>
        </w:rPr>
      </w:pPr>
    </w:p>
    <w:p>
      <w:pPr>
        <w:ind w:left="380" w:right="160" w:hanging="358"/>
        <w:spacing w:after="0" w:line="297"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value of all other Money, securities and property belonging to such general partner(s), or in which such general partner(s) have a pecuniary interest, held by or in the custody of and legally available to the Insured as set-off against loss covered by this bond;</w:t>
      </w:r>
    </w:p>
    <w:p>
      <w:pPr>
        <w:spacing w:after="0" w:line="5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provided, however, that if such “net worth” adjusted to give effect to loss covered by this bond and such value of all other Money, securities and property as set forth in (g)(1)(b) preceding, plus the amount of coverage afforded by this bond on account of such loss, is not sufficient to enable the Insured</w:t>
      </w:r>
    </w:p>
    <w:p>
      <w:pPr>
        <w:spacing w:after="0" w:line="3195" w:lineRule="exact"/>
        <w:rPr>
          <w:sz w:val="20"/>
          <w:szCs w:val="20"/>
          <w:color w:val="auto"/>
        </w:rPr>
      </w:pPr>
    </w:p>
    <w:p>
      <w:pPr>
        <w:sectPr>
          <w:pgSz w:w="11900" w:h="16838" w:orient="portrait"/>
          <w:cols w:equalWidth="0" w:num="2">
            <w:col w:w="6180" w:space="720"/>
            <w:col w:w="4520"/>
          </w:cols>
          <w:pgMar w:left="240" w:top="125" w:right="239" w:bottom="1440" w:gutter="0" w:footer="0" w:header="0"/>
        </w:sectPr>
      </w:pPr>
    </w:p>
    <w:p>
      <w:pPr>
        <w:spacing w:after="0" w:line="50"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3 of 6</w:t>
      </w:r>
    </w:p>
    <w:p>
      <w:pPr>
        <w:sectPr>
          <w:pgSz w:w="11900" w:h="16838" w:orient="portrait"/>
          <w:cols w:equalWidth="0" w:num="1">
            <w:col w:w="11420"/>
          </w:cols>
          <w:pgMar w:left="240" w:top="125" w:right="239" w:bottom="1440" w:gutter="0" w:footer="0" w:header="0"/>
          <w:type w:val="continuous"/>
        </w:sectPr>
      </w:pPr>
    </w:p>
    <w:bookmarkStart w:id="9" w:name="page10"/>
    <w:bookmarkEnd w:id="9"/>
    <w:p>
      <w:pPr>
        <w:ind w:left="1072" w:right="80"/>
        <w:spacing w:after="0" w:line="270" w:lineRule="auto"/>
        <w:rPr>
          <w:sz w:val="20"/>
          <w:szCs w:val="20"/>
          <w:color w:val="auto"/>
        </w:rPr>
      </w:pPr>
      <w:r>
        <w:rPr>
          <w:rFonts w:ascii="Arial" w:cs="Arial" w:eastAsia="Arial" w:hAnsi="Arial"/>
          <w:sz w:val="17"/>
          <w:szCs w:val="17"/>
          <w:color w:val="auto"/>
        </w:rPr>
        <w:t>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w:t>
      </w:r>
    </w:p>
    <w:p>
      <w:pPr>
        <w:spacing w:after="0" w:line="83" w:lineRule="exact"/>
        <w:rPr>
          <w:sz w:val="20"/>
          <w:szCs w:val="20"/>
          <w:color w:val="auto"/>
        </w:rPr>
      </w:pPr>
    </w:p>
    <w:p>
      <w:pPr>
        <w:ind w:left="732" w:right="600" w:hanging="363"/>
        <w:spacing w:after="0" w:line="277" w:lineRule="auto"/>
        <w:tabs>
          <w:tab w:leader="none" w:pos="7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respects limited partners the value of such limited partner’s(’) investment in the Insured.</w:t>
      </w:r>
    </w:p>
    <w:p>
      <w:pPr>
        <w:spacing w:after="0" w:line="170" w:lineRule="exact"/>
        <w:rPr>
          <w:rFonts w:ascii="Arial" w:cs="Arial" w:eastAsia="Arial" w:hAnsi="Arial"/>
          <w:sz w:val="18"/>
          <w:szCs w:val="18"/>
          <w:color w:val="auto"/>
        </w:rPr>
      </w:pPr>
    </w:p>
    <w:p>
      <w:pPr>
        <w:ind w:left="-368" w:right="380" w:firstLine="368"/>
        <w:spacing w:after="0" w:line="279" w:lineRule="auto"/>
        <w:tabs>
          <w:tab w:leader="none" w:pos="247"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Forgery means the signing of the name of another person or organization with intent to deceive; it does not mean a signature which consists in whole or in part of one’s own name signed with or without authority, in any capacity, for any purpose.</w:t>
      </w:r>
    </w:p>
    <w:p>
      <w:pPr>
        <w:spacing w:after="0" w:line="171" w:lineRule="exact"/>
        <w:rPr>
          <w:rFonts w:ascii="Arial" w:cs="Arial" w:eastAsia="Arial" w:hAnsi="Arial"/>
          <w:sz w:val="17"/>
          <w:szCs w:val="17"/>
          <w:color w:val="auto"/>
        </w:rPr>
      </w:pPr>
    </w:p>
    <w:p>
      <w:pPr>
        <w:jc w:val="both"/>
        <w:ind w:left="-368" w:right="60" w:firstLine="368"/>
        <w:spacing w:after="0" w:line="279" w:lineRule="auto"/>
        <w:tabs>
          <w:tab w:leader="none" w:pos="2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Guarantee means a written undertaking obligating the signer to pay the debt of another to the Insured or its assignee or to a financial institution from which the Insured has purchased participation in the debt, if the debt is not paid in accordance with its terms.</w:t>
      </w:r>
    </w:p>
    <w:p>
      <w:pPr>
        <w:spacing w:after="0" w:line="171" w:lineRule="exact"/>
        <w:rPr>
          <w:rFonts w:ascii="Arial" w:cs="Arial" w:eastAsia="Arial" w:hAnsi="Arial"/>
          <w:sz w:val="17"/>
          <w:szCs w:val="17"/>
          <w:color w:val="auto"/>
        </w:rPr>
      </w:pPr>
    </w:p>
    <w:p>
      <w:pPr>
        <w:ind w:left="-368" w:right="100" w:firstLine="368"/>
        <w:spacing w:after="0" w:line="286" w:lineRule="auto"/>
        <w:tabs>
          <w:tab w:leader="none" w:pos="2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Instruction means a written order to the issuer of an Uncertificated Security requesting that the transfer, pledge, or release from pledge of the Uncertificated Security specified be registered.</w:t>
      </w:r>
    </w:p>
    <w:p>
      <w:pPr>
        <w:spacing w:after="0" w:line="165" w:lineRule="exact"/>
        <w:rPr>
          <w:rFonts w:ascii="Arial" w:cs="Arial" w:eastAsia="Arial" w:hAnsi="Arial"/>
          <w:sz w:val="17"/>
          <w:szCs w:val="17"/>
          <w:color w:val="auto"/>
        </w:rPr>
      </w:pPr>
    </w:p>
    <w:p>
      <w:pPr>
        <w:ind w:left="-368" w:firstLine="368"/>
        <w:spacing w:after="0" w:line="259" w:lineRule="auto"/>
        <w:tabs>
          <w:tab w:leader="none" w:pos="2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Letter of Credit means an engagement in writing by a bank or other person made at the request of a customer that the bank or other person will honor drafts or other demands for payment upon compliance with the conditions specified in the Letter of Credit.</w:t>
      </w:r>
    </w:p>
    <w:p>
      <w:pPr>
        <w:spacing w:after="0" w:line="187" w:lineRule="exact"/>
        <w:rPr>
          <w:sz w:val="20"/>
          <w:szCs w:val="20"/>
          <w:color w:val="auto"/>
        </w:rPr>
      </w:pPr>
    </w:p>
    <w:p>
      <w:pPr>
        <w:ind w:left="-368" w:right="160" w:firstLine="368"/>
        <w:spacing w:after="0" w:line="342" w:lineRule="auto"/>
        <w:tabs>
          <w:tab w:leader="none" w:pos="2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Money means a medium of exchange in current use authorized or adopted by a domestic or foreign government as a part of its currency.</w:t>
      </w:r>
    </w:p>
    <w:p>
      <w:pPr>
        <w:spacing w:after="0" w:line="124" w:lineRule="exact"/>
        <w:rPr>
          <w:sz w:val="20"/>
          <w:szCs w:val="20"/>
          <w:color w:val="auto"/>
        </w:rPr>
      </w:pPr>
    </w:p>
    <w:p>
      <w:pPr>
        <w:ind w:left="312" w:hanging="312"/>
        <w:spacing w:after="0"/>
        <w:tabs>
          <w:tab w:leader="none" w:pos="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Negotiable Instrument means any writing</w:t>
      </w:r>
    </w:p>
    <w:p>
      <w:pPr>
        <w:spacing w:after="0" w:line="130" w:lineRule="exact"/>
        <w:rPr>
          <w:rFonts w:ascii="Arial" w:cs="Arial" w:eastAsia="Arial" w:hAnsi="Arial"/>
          <w:sz w:val="18"/>
          <w:szCs w:val="18"/>
          <w:color w:val="auto"/>
        </w:rPr>
      </w:pPr>
    </w:p>
    <w:p>
      <w:pPr>
        <w:ind w:left="1092" w:hanging="358"/>
        <w:spacing w:after="0"/>
        <w:tabs>
          <w:tab w:leader="none" w:pos="10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signed by the maker or drawer; and</w:t>
      </w:r>
    </w:p>
    <w:p>
      <w:pPr>
        <w:spacing w:after="0" w:line="130" w:lineRule="exact"/>
        <w:rPr>
          <w:rFonts w:ascii="Arial" w:cs="Arial" w:eastAsia="Arial" w:hAnsi="Arial"/>
          <w:sz w:val="18"/>
          <w:szCs w:val="18"/>
          <w:color w:val="auto"/>
        </w:rPr>
      </w:pPr>
    </w:p>
    <w:p>
      <w:pPr>
        <w:ind w:left="1092" w:right="60" w:hanging="358"/>
        <w:spacing w:after="0" w:line="312" w:lineRule="auto"/>
        <w:tabs>
          <w:tab w:leader="none" w:pos="1092"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containing any unconditional promise or order to pay a sum certain in Money and no other promise, order, obligation or power given by the maker or drawer; and</w:t>
      </w:r>
    </w:p>
    <w:p>
      <w:pPr>
        <w:spacing w:after="0" w:line="52" w:lineRule="exact"/>
        <w:rPr>
          <w:rFonts w:ascii="Arial" w:cs="Arial" w:eastAsia="Arial" w:hAnsi="Arial"/>
          <w:sz w:val="16"/>
          <w:szCs w:val="16"/>
          <w:color w:val="auto"/>
        </w:rPr>
      </w:pPr>
    </w:p>
    <w:p>
      <w:pPr>
        <w:ind w:left="1092" w:hanging="358"/>
        <w:spacing w:after="0"/>
        <w:tabs>
          <w:tab w:leader="none" w:pos="10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092" w:hanging="358"/>
        <w:spacing w:after="0"/>
        <w:tabs>
          <w:tab w:leader="none" w:pos="10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Partner means a natural person who</w:t>
      </w:r>
    </w:p>
    <w:p>
      <w:pPr>
        <w:spacing w:after="0" w:line="130" w:lineRule="exact"/>
        <w:rPr>
          <w:rFonts w:ascii="Arial" w:cs="Arial" w:eastAsia="Arial" w:hAnsi="Arial"/>
          <w:sz w:val="18"/>
          <w:szCs w:val="18"/>
          <w:color w:val="auto"/>
        </w:rPr>
      </w:pPr>
    </w:p>
    <w:p>
      <w:pPr>
        <w:ind w:left="1092" w:hanging="358"/>
        <w:spacing w:after="0"/>
        <w:tabs>
          <w:tab w:leader="none" w:pos="10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is a general partner of the Insured, or</w:t>
      </w:r>
    </w:p>
    <w:p>
      <w:pPr>
        <w:spacing w:after="0" w:line="130" w:lineRule="exact"/>
        <w:rPr>
          <w:rFonts w:ascii="Arial" w:cs="Arial" w:eastAsia="Arial" w:hAnsi="Arial"/>
          <w:sz w:val="18"/>
          <w:szCs w:val="18"/>
          <w:color w:val="auto"/>
        </w:rPr>
      </w:pPr>
    </w:p>
    <w:p>
      <w:pPr>
        <w:ind w:left="1092" w:right="340" w:hanging="358"/>
        <w:spacing w:after="0" w:line="308" w:lineRule="auto"/>
        <w:tabs>
          <w:tab w:leader="none" w:pos="1092" w:val="left"/>
        </w:tabs>
        <w:numPr>
          <w:ilvl w:val="1"/>
          <w:numId w:val="27"/>
        </w:numPr>
        <w:rPr>
          <w:rFonts w:ascii="Arial" w:cs="Arial" w:eastAsia="Arial" w:hAnsi="Arial"/>
          <w:sz w:val="17"/>
          <w:szCs w:val="17"/>
          <w:color w:val="auto"/>
        </w:rPr>
      </w:pPr>
      <w:r>
        <w:rPr>
          <w:rFonts w:ascii="Arial" w:cs="Arial" w:eastAsia="Arial" w:hAnsi="Arial"/>
          <w:sz w:val="17"/>
          <w:szCs w:val="17"/>
          <w:color w:val="auto"/>
        </w:rPr>
        <w:t>is a limited partner and an Employee (as defined in Section 1 (e) (1) of the bond) of the Insured.</w:t>
      </w:r>
    </w:p>
    <w:p>
      <w:pPr>
        <w:spacing w:after="0" w:line="146" w:lineRule="exact"/>
        <w:rPr>
          <w:rFonts w:ascii="Arial" w:cs="Arial" w:eastAsia="Arial" w:hAnsi="Arial"/>
          <w:sz w:val="17"/>
          <w:szCs w:val="17"/>
          <w:color w:val="auto"/>
        </w:rPr>
      </w:pPr>
    </w:p>
    <w:p>
      <w:pPr>
        <w:ind w:left="-368" w:right="20" w:firstLine="368"/>
        <w:spacing w:after="0" w:line="270" w:lineRule="auto"/>
        <w:tabs>
          <w:tab w:leader="none" w:pos="247"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Property means Money, Certificated Securities, Uncertificated Securities of any Federal Reserve Bank of the United States,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hereinbefore enumerated.</w:t>
      </w:r>
    </w:p>
    <w:p>
      <w:pPr>
        <w:spacing w:after="0" w:line="177" w:lineRule="exact"/>
        <w:rPr>
          <w:rFonts w:ascii="Arial" w:cs="Arial" w:eastAsia="Arial" w:hAnsi="Arial"/>
          <w:sz w:val="17"/>
          <w:szCs w:val="17"/>
          <w:color w:val="auto"/>
        </w:rPr>
      </w:pPr>
    </w:p>
    <w:p>
      <w:pPr>
        <w:ind w:left="-368" w:right="100" w:firstLine="368"/>
        <w:spacing w:after="0" w:line="277" w:lineRule="auto"/>
        <w:tabs>
          <w:tab w:leader="none" w:pos="2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Statement of Uncertificated Security means a written statement of the issuer of an Uncertificated Security containing:</w:t>
      </w:r>
    </w:p>
    <w:p>
      <w:pPr>
        <w:spacing w:after="0" w:line="75" w:lineRule="exact"/>
        <w:rPr>
          <w:rFonts w:ascii="Arial" w:cs="Arial" w:eastAsia="Arial" w:hAnsi="Arial"/>
          <w:sz w:val="18"/>
          <w:szCs w:val="18"/>
          <w:color w:val="auto"/>
        </w:rPr>
      </w:pPr>
    </w:p>
    <w:p>
      <w:pPr>
        <w:ind w:left="1092" w:right="200" w:hanging="358"/>
        <w:spacing w:after="0" w:line="277" w:lineRule="auto"/>
        <w:tabs>
          <w:tab w:leader="none" w:pos="10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description of the Issue of which the Uncertificated Security is a part;</w:t>
      </w:r>
    </w:p>
    <w:p>
      <w:pPr>
        <w:spacing w:after="0" w:line="75" w:lineRule="exact"/>
        <w:rPr>
          <w:rFonts w:ascii="Arial" w:cs="Arial" w:eastAsia="Arial" w:hAnsi="Arial"/>
          <w:sz w:val="18"/>
          <w:szCs w:val="18"/>
          <w:color w:val="auto"/>
        </w:rPr>
      </w:pPr>
    </w:p>
    <w:p>
      <w:pPr>
        <w:ind w:left="1092" w:hanging="358"/>
        <w:spacing w:after="0"/>
        <w:tabs>
          <w:tab w:leader="none" w:pos="10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472" w:hanging="373"/>
        <w:spacing w:after="0"/>
        <w:tabs>
          <w:tab w:leader="none" w:pos="14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472" w:right="120" w:hanging="373"/>
        <w:spacing w:after="0" w:line="277" w:lineRule="auto"/>
        <w:tabs>
          <w:tab w:leader="none" w:pos="14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75" w:lineRule="exact"/>
        <w:rPr>
          <w:rFonts w:ascii="Arial" w:cs="Arial" w:eastAsia="Arial" w:hAnsi="Arial"/>
          <w:sz w:val="18"/>
          <w:szCs w:val="18"/>
          <w:color w:val="auto"/>
        </w:rPr>
      </w:pPr>
    </w:p>
    <w:p>
      <w:pPr>
        <w:ind w:left="1472" w:hanging="373"/>
        <w:spacing w:after="0"/>
        <w:tabs>
          <w:tab w:leader="none" w:pos="1472" w:val="left"/>
        </w:tabs>
        <w:numPr>
          <w:ilvl w:val="2"/>
          <w:numId w:val="27"/>
        </w:numPr>
        <w:rPr>
          <w:rFonts w:ascii="Arial" w:cs="Arial" w:eastAsia="Arial" w:hAnsi="Arial"/>
          <w:sz w:val="17"/>
          <w:szCs w:val="17"/>
          <w:color w:val="auto"/>
        </w:rPr>
      </w:pPr>
      <w:r>
        <w:rPr>
          <w:rFonts w:ascii="Arial" w:cs="Arial" w:eastAsia="Arial" w:hAnsi="Arial"/>
          <w:sz w:val="17"/>
          <w:szCs w:val="17"/>
          <w:color w:val="auto"/>
        </w:rPr>
        <w:t>released from pledge by the registered pledgee;</w:t>
      </w:r>
    </w:p>
    <w:p>
      <w:pPr>
        <w:spacing w:after="0" w:line="20" w:lineRule="exact"/>
        <w:rPr>
          <w:sz w:val="20"/>
          <w:szCs w:val="20"/>
          <w:color w:val="auto"/>
        </w:rPr>
      </w:pPr>
      <w:r>
        <w:rPr>
          <w:sz w:val="20"/>
          <w:szCs w:val="20"/>
          <w:color w:val="auto"/>
        </w:rPr>
        <w:br w:type="column"/>
      </w:r>
    </w:p>
    <w:p>
      <w:pPr>
        <w:ind w:left="1460" w:right="120" w:hanging="358"/>
        <w:spacing w:after="0" w:line="264"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81" w:lineRule="exact"/>
        <w:rPr>
          <w:rFonts w:ascii="Arial" w:cs="Arial" w:eastAsia="Arial" w:hAnsi="Arial"/>
          <w:sz w:val="18"/>
          <w:szCs w:val="18"/>
          <w:color w:val="auto"/>
        </w:rPr>
      </w:pPr>
    </w:p>
    <w:p>
      <w:pPr>
        <w:ind w:right="100" w:firstLine="368"/>
        <w:spacing w:after="0" w:line="312" w:lineRule="auto"/>
        <w:tabs>
          <w:tab w:leader="none" w:pos="5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Withdrawal Order means a non-negotiable instrument, other than an Instruction, signed by a customer of the Insured authorizing the Insured to debit the customer’s account in the amount of funds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-1123315</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4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EXCLUSIONS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 This bond does not cover:</w:t>
      </w:r>
    </w:p>
    <w:p>
      <w:pPr>
        <w:spacing w:after="0" w:line="117" w:lineRule="exact"/>
        <w:rPr>
          <w:sz w:val="20"/>
          <w:szCs w:val="20"/>
          <w:color w:val="auto"/>
        </w:rPr>
      </w:pPr>
    </w:p>
    <w:p>
      <w:pPr>
        <w:ind w:right="460" w:firstLine="368"/>
        <w:spacing w:after="0" w:line="342" w:lineRule="auto"/>
        <w:tabs>
          <w:tab w:leader="none" w:pos="605" w:val="left"/>
        </w:tabs>
        <w:numPr>
          <w:ilvl w:val="1"/>
          <w:numId w:val="30"/>
        </w:numPr>
        <w:rPr>
          <w:rFonts w:ascii="Arial" w:cs="Arial" w:eastAsia="Arial" w:hAnsi="Arial"/>
          <w:sz w:val="16"/>
          <w:szCs w:val="16"/>
          <w:color w:val="auto"/>
        </w:rPr>
      </w:pPr>
      <w:r>
        <w:rPr>
          <w:rFonts w:ascii="Arial" w:cs="Arial" w:eastAsia="Arial" w:hAnsi="Arial"/>
          <w:sz w:val="16"/>
          <w:szCs w:val="16"/>
          <w:color w:val="auto"/>
        </w:rPr>
        <w:t>loss resulting directly or indirectly from forgery or alteration, except when covered under Insuring Agreements (A), (D) or (E);</w:t>
      </w:r>
    </w:p>
    <w:p>
      <w:pPr>
        <w:spacing w:after="0" w:line="123" w:lineRule="exact"/>
        <w:rPr>
          <w:rFonts w:ascii="Arial" w:cs="Arial" w:eastAsia="Arial" w:hAnsi="Arial"/>
          <w:sz w:val="16"/>
          <w:szCs w:val="16"/>
          <w:color w:val="auto"/>
        </w:rPr>
      </w:pPr>
    </w:p>
    <w:p>
      <w:pPr>
        <w:ind w:firstLine="368"/>
        <w:spacing w:after="0" w:line="255" w:lineRule="auto"/>
        <w:tabs>
          <w:tab w:leader="none" w:pos="615" w:val="left"/>
        </w:tabs>
        <w:numPr>
          <w:ilvl w:val="1"/>
          <w:numId w:val="30"/>
        </w:numPr>
        <w:rPr>
          <w:rFonts w:ascii="Arial" w:cs="Arial" w:eastAsia="Arial" w:hAnsi="Arial"/>
          <w:sz w:val="18"/>
          <w:szCs w:val="18"/>
          <w:color w:val="auto"/>
        </w:rPr>
      </w:pPr>
      <w:r>
        <w:rPr>
          <w:rFonts w:ascii="Arial" w:cs="Arial" w:eastAsia="Arial" w:hAnsi="Arial"/>
          <w:sz w:val="18"/>
          <w:szCs w:val="18"/>
          <w:color w:val="auto"/>
        </w:rPr>
        <w:t>loss due to riot or civil commotion outside the United States of America and Canada; or loss due to military, naval or usurped power, war or insurrection unless such loss occurs in transit in the circumstances recited in Insuring Agreement (C), and unless, when such transit was initiated, there was no knowledge of such riot, civil commotion, military, naval or usurped power, war or insurrection on the part of any person acting for the Insured in initiating such transit;</w:t>
      </w:r>
    </w:p>
    <w:p>
      <w:pPr>
        <w:spacing w:after="0" w:line="189" w:lineRule="exact"/>
        <w:rPr>
          <w:rFonts w:ascii="Arial" w:cs="Arial" w:eastAsia="Arial" w:hAnsi="Arial"/>
          <w:sz w:val="18"/>
          <w:szCs w:val="18"/>
          <w:color w:val="auto"/>
        </w:rPr>
      </w:pPr>
    </w:p>
    <w:p>
      <w:pPr>
        <w:ind w:right="280" w:firstLine="368"/>
        <w:spacing w:after="0" w:line="312" w:lineRule="auto"/>
        <w:tabs>
          <w:tab w:leader="none" w:pos="605" w:val="left"/>
        </w:tabs>
        <w:numPr>
          <w:ilvl w:val="1"/>
          <w:numId w:val="30"/>
        </w:numPr>
        <w:rPr>
          <w:rFonts w:ascii="Arial" w:cs="Arial" w:eastAsia="Arial" w:hAnsi="Arial"/>
          <w:sz w:val="16"/>
          <w:szCs w:val="16"/>
          <w:color w:val="auto"/>
        </w:rPr>
      </w:pPr>
      <w:r>
        <w:rPr>
          <w:rFonts w:ascii="Arial" w:cs="Arial" w:eastAsia="Arial" w:hAnsi="Arial"/>
          <w:sz w:val="16"/>
          <w:szCs w:val="16"/>
          <w:color w:val="auto"/>
        </w:rPr>
        <w:t>loss resulting directly or indirectly from the effects of nuclear fission or fusion or radioactivity; provided, however, that this paragraph shall not apply to loss resulting from industrial uses of nuclear energy;</w:t>
      </w:r>
    </w:p>
    <w:p>
      <w:pPr>
        <w:spacing w:after="0" w:line="146" w:lineRule="exact"/>
        <w:rPr>
          <w:rFonts w:ascii="Arial" w:cs="Arial" w:eastAsia="Arial" w:hAnsi="Arial"/>
          <w:sz w:val="16"/>
          <w:szCs w:val="16"/>
          <w:color w:val="auto"/>
        </w:rPr>
      </w:pPr>
    </w:p>
    <w:p>
      <w:pPr>
        <w:ind w:right="120" w:firstLine="368"/>
        <w:spacing w:after="0" w:line="293" w:lineRule="auto"/>
        <w:tabs>
          <w:tab w:leader="none" w:pos="615" w:val="left"/>
        </w:tabs>
        <w:numPr>
          <w:ilvl w:val="1"/>
          <w:numId w:val="30"/>
        </w:numPr>
        <w:rPr>
          <w:rFonts w:ascii="Arial" w:cs="Arial" w:eastAsia="Arial" w:hAnsi="Arial"/>
          <w:sz w:val="16"/>
          <w:szCs w:val="16"/>
          <w:color w:val="auto"/>
        </w:rPr>
      </w:pPr>
      <w:r>
        <w:rPr>
          <w:rFonts w:ascii="Arial" w:cs="Arial" w:eastAsia="Arial" w:hAnsi="Arial"/>
          <w:sz w:val="16"/>
          <w:szCs w:val="16"/>
          <w:color w:val="auto"/>
        </w:rPr>
        <w:t>loss resulting from any act or acts of any person who is a member of the Board of Directors of the Insured or a member of any equivalent body by whatsoever name known unless such person is also an Employee or an elected official of the Insured in some other capacity, nor, in any event, loss resulting from the act or acts of any person while acting in the capacity of a member of such Board or equivalent body;</w:t>
      </w:r>
    </w:p>
    <w:p>
      <w:pPr>
        <w:spacing w:after="0" w:line="164" w:lineRule="exact"/>
        <w:rPr>
          <w:rFonts w:ascii="Arial" w:cs="Arial" w:eastAsia="Arial" w:hAnsi="Arial"/>
          <w:sz w:val="16"/>
          <w:szCs w:val="16"/>
          <w:color w:val="auto"/>
        </w:rPr>
      </w:pPr>
    </w:p>
    <w:p>
      <w:pPr>
        <w:ind w:right="320" w:firstLine="368"/>
        <w:spacing w:after="0" w:line="271" w:lineRule="auto"/>
        <w:tabs>
          <w:tab w:leader="none" w:pos="605" w:val="left"/>
        </w:tabs>
        <w:numPr>
          <w:ilvl w:val="1"/>
          <w:numId w:val="30"/>
        </w:numPr>
        <w:rPr>
          <w:rFonts w:ascii="Arial" w:cs="Arial" w:eastAsia="Arial" w:hAnsi="Arial"/>
          <w:sz w:val="17"/>
          <w:szCs w:val="17"/>
          <w:color w:val="auto"/>
        </w:rPr>
      </w:pPr>
      <w:r>
        <w:rPr>
          <w:rFonts w:ascii="Arial" w:cs="Arial" w:eastAsia="Arial" w:hAnsi="Arial"/>
          <w:sz w:val="17"/>
          <w:szCs w:val="17"/>
          <w:color w:val="auto"/>
        </w:rPr>
        <w:t>loss resulting directly or indirectly from the complete or partial non-payment of, or default upon, any loan or transaction involving the Insured as a lender or borrower, or extension of credit, including the purchase, discounting or other acquisition of false or genuine accounts, invoices, notes, agreements or Evidences of Debt, whether such loan, transaction or extension was procured in good faith or through trick, artifice, fraud or false pretenses: except when covered under Insuring Agreements (A), (D) or (E);</w:t>
      </w:r>
    </w:p>
    <w:p>
      <w:pPr>
        <w:spacing w:after="0" w:line="178" w:lineRule="exact"/>
        <w:rPr>
          <w:rFonts w:ascii="Arial" w:cs="Arial" w:eastAsia="Arial" w:hAnsi="Arial"/>
          <w:sz w:val="17"/>
          <w:szCs w:val="17"/>
          <w:color w:val="auto"/>
        </w:rPr>
      </w:pPr>
    </w:p>
    <w:p>
      <w:pPr>
        <w:ind w:right="740" w:firstLine="368"/>
        <w:spacing w:after="0" w:line="277" w:lineRule="auto"/>
        <w:tabs>
          <w:tab w:leader="none" w:pos="585" w:val="left"/>
        </w:tabs>
        <w:numPr>
          <w:ilvl w:val="1"/>
          <w:numId w:val="30"/>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75" w:lineRule="exact"/>
        <w:rPr>
          <w:rFonts w:ascii="Arial" w:cs="Arial" w:eastAsia="Arial" w:hAnsi="Arial"/>
          <w:sz w:val="18"/>
          <w:szCs w:val="18"/>
          <w:color w:val="auto"/>
        </w:rPr>
      </w:pPr>
    </w:p>
    <w:p>
      <w:pPr>
        <w:ind w:left="1100" w:right="480" w:hanging="363"/>
        <w:spacing w:after="0" w:line="302" w:lineRule="auto"/>
        <w:tabs>
          <w:tab w:leader="none" w:pos="1100" w:val="left"/>
        </w:tabs>
        <w:numPr>
          <w:ilvl w:val="2"/>
          <w:numId w:val="30"/>
        </w:numPr>
        <w:rPr>
          <w:rFonts w:ascii="Arial" w:cs="Arial" w:eastAsia="Arial" w:hAnsi="Arial"/>
          <w:sz w:val="16"/>
          <w:szCs w:val="16"/>
          <w:color w:val="auto"/>
        </w:rPr>
      </w:pPr>
      <w:r>
        <w:rPr>
          <w:rFonts w:ascii="Arial" w:cs="Arial" w:eastAsia="Arial" w:hAnsi="Arial"/>
          <w:sz w:val="16"/>
          <w:szCs w:val="16"/>
          <w:color w:val="auto"/>
        </w:rPr>
        <w:t>of law regulating (i) the issuance, purchase or sale of securities. (ii) securities transactions upon security exchanges or over the counter market, (iii) investment companies, or (iv) investment advisers, or</w:t>
      </w:r>
    </w:p>
    <w:p>
      <w:pPr>
        <w:spacing w:after="0" w:line="59" w:lineRule="exact"/>
        <w:rPr>
          <w:rFonts w:ascii="Arial" w:cs="Arial" w:eastAsia="Arial" w:hAnsi="Arial"/>
          <w:sz w:val="16"/>
          <w:szCs w:val="16"/>
          <w:color w:val="auto"/>
        </w:rPr>
      </w:pPr>
    </w:p>
    <w:p>
      <w:pPr>
        <w:ind w:left="1100" w:right="100" w:hanging="363"/>
        <w:spacing w:after="0" w:line="255" w:lineRule="auto"/>
        <w:tabs>
          <w:tab w:leader="none" w:pos="11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 unless it is established by the Insured that the act or acts which caused the said loss involved fraudulent or dishonest conduct which would have caused a loss to the Insured in a similar amount in the absence of such laws, rules or regulations;</w:t>
      </w:r>
    </w:p>
    <w:p>
      <w:pPr>
        <w:spacing w:after="0" w:line="193" w:lineRule="exact"/>
        <w:rPr>
          <w:rFonts w:ascii="Arial" w:cs="Arial" w:eastAsia="Arial" w:hAnsi="Arial"/>
          <w:sz w:val="18"/>
          <w:szCs w:val="18"/>
          <w:color w:val="auto"/>
        </w:rPr>
      </w:pPr>
    </w:p>
    <w:p>
      <w:pPr>
        <w:ind w:right="20" w:firstLine="368"/>
        <w:spacing w:after="0" w:line="302" w:lineRule="auto"/>
        <w:tabs>
          <w:tab w:leader="none" w:pos="615" w:val="left"/>
        </w:tabs>
        <w:numPr>
          <w:ilvl w:val="1"/>
          <w:numId w:val="30"/>
        </w:numPr>
        <w:rPr>
          <w:rFonts w:ascii="Arial" w:cs="Arial" w:eastAsia="Arial" w:hAnsi="Arial"/>
          <w:sz w:val="16"/>
          <w:szCs w:val="16"/>
          <w:color w:val="auto"/>
        </w:rPr>
      </w:pPr>
      <w:r>
        <w:rPr>
          <w:rFonts w:ascii="Arial" w:cs="Arial" w:eastAsia="Arial" w:hAnsi="Arial"/>
          <w:sz w:val="16"/>
          <w:szCs w:val="16"/>
          <w:color w:val="auto"/>
        </w:rPr>
        <w:t>loss resulting directly or indirectly from the failure of a financial or depository institution, or its receiver or liquidator, to pay or deliver, on demand of the Insured, funds or Property of the Insured held by it in any capacity, except when covered under Insuring Agreements (A) or (B)(1)(a);</w:t>
      </w:r>
    </w:p>
    <w:p>
      <w:pPr>
        <w:spacing w:after="0" w:line="154" w:lineRule="exact"/>
        <w:rPr>
          <w:rFonts w:ascii="Arial" w:cs="Arial" w:eastAsia="Arial" w:hAnsi="Arial"/>
          <w:sz w:val="16"/>
          <w:szCs w:val="16"/>
          <w:color w:val="auto"/>
        </w:rPr>
      </w:pPr>
    </w:p>
    <w:p>
      <w:pPr>
        <w:ind w:right="120" w:firstLine="368"/>
        <w:spacing w:after="0" w:line="274" w:lineRule="auto"/>
        <w:tabs>
          <w:tab w:leader="none" w:pos="615" w:val="left"/>
        </w:tabs>
        <w:numPr>
          <w:ilvl w:val="1"/>
          <w:numId w:val="30"/>
        </w:numPr>
        <w:rPr>
          <w:rFonts w:ascii="Arial" w:cs="Arial" w:eastAsia="Arial" w:hAnsi="Arial"/>
          <w:sz w:val="17"/>
          <w:szCs w:val="17"/>
          <w:color w:val="auto"/>
        </w:rPr>
      </w:pPr>
      <w:r>
        <w:rPr>
          <w:rFonts w:ascii="Arial" w:cs="Arial" w:eastAsia="Arial" w:hAnsi="Arial"/>
          <w:sz w:val="17"/>
          <w:szCs w:val="17"/>
          <w:color w:val="auto"/>
        </w:rPr>
        <w:t>loss caused by an Employee, except when covered under Insuring Agreement (A) or when covered under Insuring Agreement</w:t>
      </w:r>
    </w:p>
    <w:p>
      <w:pPr>
        <w:ind w:right="460" w:firstLine="8"/>
        <w:spacing w:after="0" w:line="323" w:lineRule="auto"/>
        <w:tabs>
          <w:tab w:leader="none" w:pos="285" w:val="left"/>
        </w:tabs>
        <w:numPr>
          <w:ilvl w:val="0"/>
          <w:numId w:val="31"/>
        </w:numPr>
        <w:rPr>
          <w:rFonts w:ascii="Arial" w:cs="Arial" w:eastAsia="Arial" w:hAnsi="Arial"/>
          <w:sz w:val="16"/>
          <w:szCs w:val="16"/>
          <w:color w:val="auto"/>
        </w:rPr>
      </w:pPr>
      <w:r>
        <w:rPr>
          <w:rFonts w:ascii="Arial" w:cs="Arial" w:eastAsia="Arial" w:hAnsi="Arial"/>
          <w:sz w:val="16"/>
          <w:szCs w:val="16"/>
          <w:color w:val="auto"/>
        </w:rPr>
        <w:t>or (C) and resulting directly from misplacement, mysterious unexplainable disappearance or destruction of or damage to Property:</w:t>
      </w:r>
    </w:p>
    <w:p>
      <w:pPr>
        <w:spacing w:after="0" w:line="138" w:lineRule="exact"/>
        <w:rPr>
          <w:rFonts w:ascii="Arial" w:cs="Arial" w:eastAsia="Arial" w:hAnsi="Arial"/>
          <w:sz w:val="16"/>
          <w:szCs w:val="16"/>
          <w:color w:val="auto"/>
        </w:rPr>
      </w:pPr>
    </w:p>
    <w:p>
      <w:pPr>
        <w:ind w:right="120" w:firstLine="368"/>
        <w:spacing w:after="0" w:line="255" w:lineRule="auto"/>
        <w:tabs>
          <w:tab w:leader="none" w:pos="575" w:val="left"/>
        </w:tabs>
        <w:numPr>
          <w:ilvl w:val="1"/>
          <w:numId w:val="31"/>
        </w:numPr>
        <w:rPr>
          <w:rFonts w:ascii="Arial" w:cs="Arial" w:eastAsia="Arial" w:hAnsi="Arial"/>
          <w:sz w:val="18"/>
          <w:szCs w:val="18"/>
          <w:color w:val="auto"/>
        </w:rPr>
      </w:pPr>
      <w:r>
        <w:rPr>
          <w:rFonts w:ascii="Arial" w:cs="Arial" w:eastAsia="Arial" w:hAnsi="Arial"/>
          <w:sz w:val="18"/>
          <w:szCs w:val="18"/>
          <w:color w:val="auto"/>
        </w:rPr>
        <w:t>loss resulting directly or indirectly from transactions in a customer’s account, whether authorized or unauthorized, except the unlawful withdrawal and conversion of Money, securities or precious metals, directly from a customer’s account by an Employee provided such unlawful withdrawal and conversion is covered under Insuring Agreement (A):</w:t>
      </w:r>
    </w:p>
    <w:p>
      <w:pPr>
        <w:sectPr>
          <w:pgSz w:w="11900" w:h="16838" w:orient="portrait"/>
          <w:cols w:equalWidth="0" w:num="2">
            <w:col w:w="5112" w:space="340"/>
            <w:col w:w="5480"/>
          </w:cols>
          <w:pgMar w:left="608" w:top="328" w:right="359" w:bottom="0" w:gutter="0" w:footer="0" w:header="0"/>
        </w:sectPr>
      </w:pPr>
    </w:p>
    <w:bookmarkStart w:id="10" w:name="page11"/>
    <w:bookmarkEnd w:id="10"/>
    <w:p>
      <w:pPr>
        <w:ind w:left="1840" w:right="88" w:hanging="373"/>
        <w:spacing w:after="0" w:line="277" w:lineRule="auto"/>
        <w:tabs>
          <w:tab w:leader="none" w:pos="18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75" w:lineRule="exact"/>
        <w:rPr>
          <w:rFonts w:ascii="Arial" w:cs="Arial" w:eastAsia="Arial" w:hAnsi="Arial"/>
          <w:sz w:val="18"/>
          <w:szCs w:val="18"/>
          <w:color w:val="auto"/>
        </w:rPr>
      </w:pPr>
    </w:p>
    <w:p>
      <w:pPr>
        <w:ind w:left="1840" w:hanging="373"/>
        <w:spacing w:after="0"/>
        <w:tabs>
          <w:tab w:leader="none" w:pos="1840" w:val="left"/>
        </w:tabs>
        <w:numPr>
          <w:ilvl w:val="2"/>
          <w:numId w:val="32"/>
        </w:numPr>
        <w:rPr>
          <w:rFonts w:ascii="Arial" w:cs="Arial" w:eastAsia="Arial" w:hAnsi="Arial"/>
          <w:sz w:val="17"/>
          <w:szCs w:val="17"/>
          <w:color w:val="auto"/>
        </w:rPr>
      </w:pPr>
      <w:r>
        <w:rPr>
          <w:rFonts w:ascii="Arial" w:cs="Arial" w:eastAsia="Arial" w:hAnsi="Arial"/>
          <w:sz w:val="17"/>
          <w:szCs w:val="17"/>
          <w:color w:val="auto"/>
        </w:rPr>
        <w:t>subject to pledge on the date of the statement;</w:t>
      </w:r>
    </w:p>
    <w:p>
      <w:pPr>
        <w:spacing w:after="0" w:line="142" w:lineRule="exact"/>
        <w:rPr>
          <w:rFonts w:ascii="Arial" w:cs="Arial" w:eastAsia="Arial" w:hAnsi="Arial"/>
          <w:sz w:val="17"/>
          <w:szCs w:val="17"/>
          <w:color w:val="auto"/>
        </w:rPr>
      </w:pPr>
    </w:p>
    <w:p>
      <w:pPr>
        <w:ind w:left="1460" w:right="448" w:hanging="358"/>
        <w:spacing w:after="0" w:line="277"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w:t>
      </w:r>
    </w:p>
    <w:p>
      <w:pPr>
        <w:spacing w:after="0" w:line="75" w:lineRule="exact"/>
        <w:rPr>
          <w:rFonts w:ascii="Arial" w:cs="Arial" w:eastAsia="Arial" w:hAnsi="Arial"/>
          <w:sz w:val="18"/>
          <w:szCs w:val="18"/>
          <w:color w:val="auto"/>
        </w:rPr>
      </w:pPr>
    </w:p>
    <w:p>
      <w:pPr>
        <w:ind w:left="1460" w:right="28" w:hanging="358"/>
        <w:spacing w:after="0" w:line="257"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notation of any liens and restrictions of the issuer and any adverse claims to which the Uncertificated Security is or may be subject or a statement that there are none of those liens, restrictions or adverse claims; and</w:t>
      </w:r>
    </w:p>
    <w:p>
      <w:pPr>
        <w:spacing w:after="0" w:line="93" w:lineRule="exact"/>
        <w:rPr>
          <w:rFonts w:ascii="Arial" w:cs="Arial" w:eastAsia="Arial" w:hAnsi="Arial"/>
          <w:sz w:val="18"/>
          <w:szCs w:val="18"/>
          <w:color w:val="auto"/>
        </w:rPr>
      </w:pPr>
    </w:p>
    <w:p>
      <w:pPr>
        <w:ind w:left="1460" w:hanging="358"/>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840" w:right="468" w:hanging="373"/>
        <w:spacing w:after="0" w:line="264" w:lineRule="auto"/>
        <w:tabs>
          <w:tab w:leader="none" w:pos="18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86" w:lineRule="exact"/>
        <w:rPr>
          <w:rFonts w:ascii="Arial" w:cs="Arial" w:eastAsia="Arial" w:hAnsi="Arial"/>
          <w:sz w:val="18"/>
          <w:szCs w:val="18"/>
          <w:color w:val="auto"/>
        </w:rPr>
      </w:pPr>
    </w:p>
    <w:p>
      <w:pPr>
        <w:ind w:left="1840" w:right="728" w:hanging="373"/>
        <w:spacing w:after="0" w:line="277" w:lineRule="auto"/>
        <w:tabs>
          <w:tab w:leader="none" w:pos="18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75" w:lineRule="exact"/>
        <w:rPr>
          <w:rFonts w:ascii="Arial" w:cs="Arial" w:eastAsia="Arial" w:hAnsi="Arial"/>
          <w:sz w:val="18"/>
          <w:szCs w:val="18"/>
          <w:color w:val="auto"/>
        </w:rPr>
      </w:pPr>
    </w:p>
    <w:p>
      <w:pPr>
        <w:ind w:left="1840" w:right="488" w:hanging="373"/>
        <w:spacing w:after="0" w:line="277" w:lineRule="auto"/>
        <w:tabs>
          <w:tab w:leader="none" w:pos="18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70" w:lineRule="exact"/>
        <w:rPr>
          <w:rFonts w:ascii="Arial" w:cs="Arial" w:eastAsia="Arial" w:hAnsi="Arial"/>
          <w:sz w:val="18"/>
          <w:szCs w:val="18"/>
          <w:color w:val="auto"/>
        </w:rPr>
      </w:pPr>
    </w:p>
    <w:p>
      <w:pPr>
        <w:ind w:right="148" w:firstLine="368"/>
        <w:spacing w:after="0" w:line="264" w:lineRule="auto"/>
        <w:tabs>
          <w:tab w:leader="none" w:pos="6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Transportation Company means any organization which provides its own or leased vehicles for transportation or which provides freight forwarding or air express services.</w:t>
      </w:r>
    </w:p>
    <w:p>
      <w:pPr>
        <w:spacing w:after="0" w:line="181" w:lineRule="exact"/>
        <w:rPr>
          <w:rFonts w:ascii="Arial" w:cs="Arial" w:eastAsia="Arial" w:hAnsi="Arial"/>
          <w:sz w:val="18"/>
          <w:szCs w:val="18"/>
          <w:color w:val="auto"/>
        </w:rPr>
      </w:pPr>
    </w:p>
    <w:p>
      <w:pPr>
        <w:ind w:right="168" w:firstLine="368"/>
        <w:spacing w:after="0" w:line="264" w:lineRule="auto"/>
        <w:tabs>
          <w:tab w:leader="none" w:pos="5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Uncertificated Security means a share, participation or other interest in property of or an enterprise of the issuer or an obligation of the issuer, which is:</w:t>
      </w:r>
    </w:p>
    <w:p>
      <w:pPr>
        <w:spacing w:after="0" w:line="86" w:lineRule="exact"/>
        <w:rPr>
          <w:rFonts w:ascii="Arial" w:cs="Arial" w:eastAsia="Arial" w:hAnsi="Arial"/>
          <w:sz w:val="18"/>
          <w:szCs w:val="18"/>
          <w:color w:val="auto"/>
        </w:rPr>
      </w:pPr>
    </w:p>
    <w:p>
      <w:pPr>
        <w:ind w:left="1460" w:right="288" w:hanging="358"/>
        <w:spacing w:after="0" w:line="312" w:lineRule="auto"/>
        <w:tabs>
          <w:tab w:leader="none" w:pos="14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not represented by an instrument and the transfer of which is registered upon books maintained for that purpose by or on behalf of the issuer;</w:t>
      </w:r>
    </w:p>
    <w:p>
      <w:pPr>
        <w:spacing w:after="0" w:line="52" w:lineRule="exact"/>
        <w:rPr>
          <w:rFonts w:ascii="Arial" w:cs="Arial" w:eastAsia="Arial" w:hAnsi="Arial"/>
          <w:sz w:val="16"/>
          <w:szCs w:val="16"/>
          <w:color w:val="auto"/>
        </w:rPr>
      </w:pPr>
    </w:p>
    <w:p>
      <w:pPr>
        <w:ind w:left="1460" w:right="28" w:hanging="358"/>
        <w:spacing w:after="0" w:line="27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and</w:t>
      </w:r>
    </w:p>
    <w:p>
      <w:pPr>
        <w:spacing w:after="0" w:line="20" w:lineRule="exact"/>
        <w:rPr>
          <w:sz w:val="20"/>
          <w:szCs w:val="20"/>
          <w:color w:val="auto"/>
        </w:rPr>
      </w:pPr>
      <w:r>
        <w:rPr>
          <w:sz w:val="20"/>
          <w:szCs w:val="20"/>
          <w:color w:val="auto"/>
        </w:rPr>
        <w:br w:type="column"/>
      </w:r>
    </w:p>
    <w:p>
      <w:pPr>
        <w:ind w:left="-368" w:right="200" w:firstLine="368"/>
        <w:spacing w:after="0" w:line="291" w:lineRule="auto"/>
        <w:tabs>
          <w:tab w:leader="none" w:pos="2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damages resulting from any civil, criminal or other legal proceeding in which the Insured is alleged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67" w:lineRule="exact"/>
        <w:rPr>
          <w:rFonts w:ascii="Arial" w:cs="Arial" w:eastAsia="Arial" w:hAnsi="Arial"/>
          <w:sz w:val="16"/>
          <w:szCs w:val="16"/>
          <w:color w:val="auto"/>
        </w:rPr>
      </w:pPr>
    </w:p>
    <w:p>
      <w:pPr>
        <w:ind w:left="-368" w:right="140" w:firstLine="368"/>
        <w:spacing w:after="0" w:line="264" w:lineRule="auto"/>
        <w:tabs>
          <w:tab w:leader="none" w:pos="2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identification, cash management or other cards</w:t>
      </w:r>
    </w:p>
    <w:p>
      <w:pPr>
        <w:spacing w:after="0" w:line="86" w:lineRule="exact"/>
        <w:rPr>
          <w:rFonts w:ascii="Arial" w:cs="Arial" w:eastAsia="Arial" w:hAnsi="Arial"/>
          <w:sz w:val="18"/>
          <w:szCs w:val="18"/>
          <w:color w:val="auto"/>
        </w:rPr>
      </w:pPr>
    </w:p>
    <w:p>
      <w:pPr>
        <w:ind w:left="1092" w:hanging="358"/>
        <w:spacing w:after="0"/>
        <w:tabs>
          <w:tab w:leader="none" w:pos="10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obtaining credit or funds, or</w:t>
      </w:r>
    </w:p>
    <w:p>
      <w:pPr>
        <w:spacing w:after="0" w:line="130" w:lineRule="exact"/>
        <w:rPr>
          <w:rFonts w:ascii="Arial" w:cs="Arial" w:eastAsia="Arial" w:hAnsi="Arial"/>
          <w:sz w:val="18"/>
          <w:szCs w:val="18"/>
          <w:color w:val="auto"/>
        </w:rPr>
      </w:pPr>
    </w:p>
    <w:p>
      <w:pPr>
        <w:ind w:left="1092" w:right="300" w:hanging="358"/>
        <w:spacing w:after="0" w:line="302" w:lineRule="auto"/>
        <w:tabs>
          <w:tab w:leader="none" w:pos="1092"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gaining access to automated mechanical devices which, on behalf of the Insured, disburse Money, accept deposits, cash checks, drafts or similar written instruments or make credit card loans, or</w:t>
      </w:r>
    </w:p>
    <w:p>
      <w:pPr>
        <w:spacing w:after="0" w:line="59" w:lineRule="exact"/>
        <w:rPr>
          <w:rFonts w:ascii="Arial" w:cs="Arial" w:eastAsia="Arial" w:hAnsi="Arial"/>
          <w:sz w:val="16"/>
          <w:szCs w:val="16"/>
          <w:color w:val="auto"/>
        </w:rPr>
      </w:pPr>
    </w:p>
    <w:p>
      <w:pPr>
        <w:ind w:left="1092" w:right="180" w:hanging="358"/>
        <w:spacing w:after="0" w:line="316" w:lineRule="auto"/>
        <w:tabs>
          <w:tab w:leader="none" w:pos="1092" w:val="left"/>
        </w:tabs>
        <w:numPr>
          <w:ilvl w:val="1"/>
          <w:numId w:val="35"/>
        </w:numPr>
        <w:rPr>
          <w:rFonts w:ascii="Arial" w:cs="Arial" w:eastAsia="Arial" w:hAnsi="Arial"/>
          <w:sz w:val="15"/>
          <w:szCs w:val="15"/>
          <w:color w:val="auto"/>
        </w:rPr>
      </w:pPr>
      <w:r>
        <w:rPr>
          <w:rFonts w:ascii="Arial" w:cs="Arial" w:eastAsia="Arial" w:hAnsi="Arial"/>
          <w:sz w:val="15"/>
          <w:szCs w:val="15"/>
          <w:color w:val="auto"/>
        </w:rPr>
        <w:t>in gaining access to point of sale terminals, customer-bank communication terminals, or similar electronic terminals of electronic funds transfer systems, whether such cards were issued, or purport to have been issued, by the Insured or by anyone other than the Insured, except when covered under Insuring Agreement (A);</w:t>
      </w:r>
    </w:p>
    <w:p>
      <w:pPr>
        <w:spacing w:after="0" w:line="150" w:lineRule="exact"/>
        <w:rPr>
          <w:sz w:val="20"/>
          <w:szCs w:val="20"/>
          <w:color w:val="auto"/>
        </w:rPr>
      </w:pPr>
    </w:p>
    <w:p>
      <w:pPr>
        <w:ind w:left="-368" w:right="180" w:firstLine="368"/>
        <w:spacing w:after="0" w:line="259" w:lineRule="auto"/>
        <w:tabs>
          <w:tab w:leader="none" w:pos="2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involving automated mechanical devices which, on behalf of the Insured, disburse Money, accept deposits, cash checks, drafts or similar written instruments or make credit card loans, except when covered under Insuring Agreement (A);</w:t>
      </w:r>
    </w:p>
    <w:p>
      <w:pPr>
        <w:spacing w:after="0" w:line="1810" w:lineRule="exact"/>
        <w:rPr>
          <w:sz w:val="20"/>
          <w:szCs w:val="20"/>
          <w:color w:val="auto"/>
        </w:rPr>
      </w:pPr>
    </w:p>
    <w:p>
      <w:pPr>
        <w:sectPr>
          <w:pgSz w:w="11900" w:h="16838" w:orient="portrait"/>
          <w:cols w:equalWidth="0" w:num="2">
            <w:col w:w="5468" w:space="720"/>
            <w:col w:w="5232"/>
          </w:cols>
          <w:pgMar w:left="240" w:top="125" w:right="239" w:bottom="1440" w:gutter="0" w:footer="0" w:header="0"/>
        </w:sectPr>
      </w:pPr>
    </w:p>
    <w:p>
      <w:pPr>
        <w:spacing w:after="0" w:line="51"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4 of 6</w:t>
      </w:r>
    </w:p>
    <w:p>
      <w:pPr>
        <w:sectPr>
          <w:pgSz w:w="11900" w:h="16838" w:orient="portrait"/>
          <w:cols w:equalWidth="0" w:num="1">
            <w:col w:w="11420"/>
          </w:cols>
          <w:pgMar w:left="240" w:top="125" w:right="239" w:bottom="1440" w:gutter="0" w:footer="0" w:header="0"/>
          <w:type w:val="continuous"/>
        </w:sectPr>
      </w:pPr>
    </w:p>
    <w:bookmarkStart w:id="11" w:name="page12"/>
    <w:bookmarkEnd w:id="11"/>
    <w:p>
      <w:pPr>
        <w:ind w:right="120" w:firstLine="368"/>
        <w:spacing w:after="0" w:line="277" w:lineRule="auto"/>
        <w:tabs>
          <w:tab w:leader="none" w:pos="6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197" w:lineRule="exact"/>
        <w:rPr>
          <w:rFonts w:ascii="Arial" w:cs="Arial" w:eastAsia="Arial" w:hAnsi="Arial"/>
          <w:sz w:val="18"/>
          <w:szCs w:val="18"/>
          <w:color w:val="auto"/>
        </w:rPr>
      </w:pPr>
    </w:p>
    <w:p>
      <w:pPr>
        <w:ind w:left="1460" w:right="60" w:hanging="358"/>
        <w:spacing w:after="0" w:line="257"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93" w:lineRule="exact"/>
        <w:rPr>
          <w:rFonts w:ascii="Arial" w:cs="Arial" w:eastAsia="Arial" w:hAnsi="Arial"/>
          <w:sz w:val="18"/>
          <w:szCs w:val="18"/>
          <w:color w:val="auto"/>
        </w:rPr>
      </w:pPr>
    </w:p>
    <w:p>
      <w:pPr>
        <w:ind w:left="1460" w:right="600" w:hanging="358"/>
        <w:spacing w:after="0" w:line="264"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 except when covered under Insuring Agreement (A);</w:t>
      </w:r>
    </w:p>
    <w:p>
      <w:pPr>
        <w:spacing w:after="0" w:line="181" w:lineRule="exact"/>
        <w:rPr>
          <w:rFonts w:ascii="Arial" w:cs="Arial" w:eastAsia="Arial" w:hAnsi="Arial"/>
          <w:sz w:val="18"/>
          <w:szCs w:val="18"/>
          <w:color w:val="auto"/>
        </w:rPr>
      </w:pPr>
    </w:p>
    <w:p>
      <w:pPr>
        <w:ind w:firstLine="368"/>
        <w:spacing w:after="0" w:line="255" w:lineRule="auto"/>
        <w:tabs>
          <w:tab w:leader="none" w:pos="6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resulting directly or indirectly from payments made or withdrawals from a depositor’s or customer’s account involving erroneous credits to such account, unless such payments or withdrawals are physically received by such depositor or customer or representative of such depositor or customer who is within the office of the Insured at the time of such payment or withdrawal, or except when covered under Insuring Agreement (A);</w:t>
      </w:r>
    </w:p>
    <w:p>
      <w:pPr>
        <w:spacing w:after="0" w:line="189" w:lineRule="exact"/>
        <w:rPr>
          <w:rFonts w:ascii="Arial" w:cs="Arial" w:eastAsia="Arial" w:hAnsi="Arial"/>
          <w:sz w:val="18"/>
          <w:szCs w:val="18"/>
          <w:color w:val="auto"/>
        </w:rPr>
      </w:pPr>
    </w:p>
    <w:p>
      <w:pPr>
        <w:ind w:firstLine="368"/>
        <w:spacing w:after="0" w:line="264" w:lineRule="auto"/>
        <w:tabs>
          <w:tab w:leader="none" w:pos="6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involving items of deposit which are not finally paid for any reason, including but not limited to Forgery or any other fraud, except when covered under Insuring Agreement (A);</w:t>
      </w:r>
    </w:p>
    <w:p>
      <w:pPr>
        <w:spacing w:after="0" w:line="181" w:lineRule="exact"/>
        <w:rPr>
          <w:rFonts w:ascii="Arial" w:cs="Arial" w:eastAsia="Arial" w:hAnsi="Arial"/>
          <w:sz w:val="18"/>
          <w:szCs w:val="18"/>
          <w:color w:val="auto"/>
        </w:rPr>
      </w:pPr>
    </w:p>
    <w:p>
      <w:pPr>
        <w:ind w:right="360" w:firstLine="368"/>
        <w:spacing w:after="0" w:line="277" w:lineRule="auto"/>
        <w:tabs>
          <w:tab w:leader="none" w:pos="6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resulting directly or indirectly from counterfeiting, except when covered under Insuring Agreements (A), (E) or (F);</w:t>
      </w:r>
    </w:p>
    <w:p>
      <w:pPr>
        <w:spacing w:after="0" w:line="170" w:lineRule="exact"/>
        <w:rPr>
          <w:rFonts w:ascii="Arial" w:cs="Arial" w:eastAsia="Arial" w:hAnsi="Arial"/>
          <w:sz w:val="18"/>
          <w:szCs w:val="18"/>
          <w:color w:val="auto"/>
        </w:rPr>
      </w:pPr>
    </w:p>
    <w:p>
      <w:pPr>
        <w:ind w:left="620" w:hanging="25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any tangible item of personal property which is not</w:t>
      </w:r>
    </w:p>
    <w:p>
      <w:pPr>
        <w:spacing w:after="0" w:line="23" w:lineRule="exact"/>
        <w:rPr>
          <w:rFonts w:ascii="Arial" w:cs="Arial" w:eastAsia="Arial" w:hAnsi="Arial"/>
          <w:sz w:val="18"/>
          <w:szCs w:val="18"/>
          <w:color w:val="auto"/>
        </w:rPr>
      </w:pPr>
    </w:p>
    <w:p>
      <w:pPr>
        <w:ind w:right="60"/>
        <w:spacing w:after="0" w:line="292" w:lineRule="auto"/>
        <w:rPr>
          <w:rFonts w:ascii="Arial" w:cs="Arial" w:eastAsia="Arial" w:hAnsi="Arial"/>
          <w:sz w:val="18"/>
          <w:szCs w:val="18"/>
          <w:color w:val="auto"/>
        </w:rPr>
      </w:pPr>
      <w:r>
        <w:rPr>
          <w:rFonts w:ascii="Arial" w:cs="Arial" w:eastAsia="Arial" w:hAnsi="Arial"/>
          <w:sz w:val="16"/>
          <w:szCs w:val="16"/>
          <w:color w:val="auto"/>
        </w:rPr>
        <w:t>specifically enumerated in the paragraph defining Property it such property is specifically insured by other insurance of any kind and in any amount obtained by the Insured, and in any event, loss of such property occurring more than 60 days after the Insured takes possession of such property, except when covered under Insuring Agreements (A) or (BX2);</w:t>
      </w:r>
    </w:p>
    <w:p>
      <w:pPr>
        <w:spacing w:after="0" w:line="162" w:lineRule="exact"/>
        <w:rPr>
          <w:rFonts w:ascii="Arial" w:cs="Arial" w:eastAsia="Arial" w:hAnsi="Arial"/>
          <w:sz w:val="18"/>
          <w:szCs w:val="18"/>
          <w:color w:val="auto"/>
        </w:rPr>
      </w:pPr>
    </w:p>
    <w:p>
      <w:pPr>
        <w:ind w:left="600" w:hanging="23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Property while</w:t>
      </w:r>
    </w:p>
    <w:p>
      <w:pPr>
        <w:spacing w:after="0" w:line="130" w:lineRule="exact"/>
        <w:rPr>
          <w:rFonts w:ascii="Arial" w:cs="Arial" w:eastAsia="Arial" w:hAnsi="Arial"/>
          <w:sz w:val="18"/>
          <w:szCs w:val="18"/>
          <w:color w:val="auto"/>
        </w:rPr>
      </w:pPr>
    </w:p>
    <w:p>
      <w:pPr>
        <w:ind w:left="1460" w:hanging="358"/>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mail, or</w:t>
      </w:r>
    </w:p>
    <w:p>
      <w:pPr>
        <w:spacing w:after="0" w:line="130" w:lineRule="exact"/>
        <w:rPr>
          <w:rFonts w:ascii="Arial" w:cs="Arial" w:eastAsia="Arial" w:hAnsi="Arial"/>
          <w:sz w:val="18"/>
          <w:szCs w:val="18"/>
          <w:color w:val="auto"/>
        </w:rPr>
      </w:pPr>
    </w:p>
    <w:p>
      <w:pPr>
        <w:ind w:left="1460" w:right="140" w:hanging="358"/>
        <w:spacing w:after="0" w:line="277"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custody of any Transportation Company, unless covered under Insuring Agreement (C),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when covered under Insuring Agreement (A);</w:t>
      </w:r>
    </w:p>
    <w:p>
      <w:pPr>
        <w:spacing w:after="0" w:line="225" w:lineRule="exact"/>
        <w:rPr>
          <w:sz w:val="20"/>
          <w:szCs w:val="20"/>
          <w:color w:val="auto"/>
        </w:rPr>
      </w:pPr>
    </w:p>
    <w:p>
      <w:pPr>
        <w:ind w:right="240" w:firstLine="368"/>
        <w:spacing w:after="0" w:line="342" w:lineRule="auto"/>
        <w:tabs>
          <w:tab w:leader="none" w:pos="5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potential income, including but not limited to interest and dividends, not realized by the Insured or by any customer of the Insured;</w:t>
      </w:r>
    </w:p>
    <w:p>
      <w:pPr>
        <w:spacing w:after="0" w:line="123" w:lineRule="exact"/>
        <w:rPr>
          <w:rFonts w:ascii="Arial" w:cs="Arial" w:eastAsia="Arial" w:hAnsi="Arial"/>
          <w:sz w:val="16"/>
          <w:szCs w:val="16"/>
          <w:color w:val="auto"/>
        </w:rPr>
      </w:pPr>
    </w:p>
    <w:p>
      <w:pPr>
        <w:ind w:right="120" w:firstLine="368"/>
        <w:spacing w:after="0" w:line="264" w:lineRule="auto"/>
        <w:tabs>
          <w:tab w:leader="none" w:pos="5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damages of any type for which the Insured is legally liable, except compensatory damages, but not multiples thereof, arising directly from a loss covered under this bond;</w:t>
      </w:r>
    </w:p>
    <w:p>
      <w:pPr>
        <w:spacing w:after="0" w:line="181" w:lineRule="exact"/>
        <w:rPr>
          <w:rFonts w:ascii="Arial" w:cs="Arial" w:eastAsia="Arial" w:hAnsi="Arial"/>
          <w:sz w:val="18"/>
          <w:szCs w:val="18"/>
          <w:color w:val="auto"/>
        </w:rPr>
      </w:pPr>
    </w:p>
    <w:p>
      <w:pPr>
        <w:ind w:left="620" w:hanging="25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130" w:lineRule="exact"/>
        <w:rPr>
          <w:rFonts w:ascii="Arial" w:cs="Arial" w:eastAsia="Arial" w:hAnsi="Arial"/>
          <w:sz w:val="18"/>
          <w:szCs w:val="18"/>
          <w:color w:val="auto"/>
        </w:rPr>
      </w:pPr>
    </w:p>
    <w:p>
      <w:pPr>
        <w:ind w:left="1460" w:right="500" w:hanging="358"/>
        <w:spacing w:after="0" w:line="277"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or</w:t>
      </w:r>
    </w:p>
    <w:p>
      <w:pPr>
        <w:spacing w:after="0" w:line="75" w:lineRule="exact"/>
        <w:rPr>
          <w:rFonts w:ascii="Arial" w:cs="Arial" w:eastAsia="Arial" w:hAnsi="Arial"/>
          <w:sz w:val="18"/>
          <w:szCs w:val="18"/>
          <w:color w:val="auto"/>
        </w:rPr>
      </w:pPr>
    </w:p>
    <w:p>
      <w:pPr>
        <w:ind w:left="1460" w:hanging="358"/>
        <w:spacing w:after="0" w:line="264"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as a party to any legal proceeding whether or not such legal proceeding exposes the Insured to loss covered by this bond;</w:t>
      </w:r>
    </w:p>
    <w:p>
      <w:pPr>
        <w:spacing w:after="0" w:line="181" w:lineRule="exact"/>
        <w:rPr>
          <w:rFonts w:ascii="Arial" w:cs="Arial" w:eastAsia="Arial" w:hAnsi="Arial"/>
          <w:sz w:val="18"/>
          <w:szCs w:val="18"/>
          <w:color w:val="auto"/>
        </w:rPr>
      </w:pPr>
    </w:p>
    <w:p>
      <w:pPr>
        <w:ind w:left="620" w:hanging="25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indirect or consequential loss of any nature;</w:t>
      </w:r>
    </w:p>
    <w:p>
      <w:pPr>
        <w:spacing w:after="0" w:line="225" w:lineRule="exact"/>
        <w:rPr>
          <w:rFonts w:ascii="Arial" w:cs="Arial" w:eastAsia="Arial" w:hAnsi="Arial"/>
          <w:sz w:val="18"/>
          <w:szCs w:val="18"/>
          <w:color w:val="auto"/>
        </w:rPr>
      </w:pPr>
    </w:p>
    <w:p>
      <w:pPr>
        <w:ind w:firstLine="368"/>
        <w:spacing w:after="0" w:line="26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involving any Uncertificated Security except an Uncertificated Security of any Federal Reserve Bank of the United States or when covered under Insuring Agreement (A);</w:t>
      </w:r>
    </w:p>
    <w:p>
      <w:pPr>
        <w:spacing w:after="0" w:line="181" w:lineRule="exact"/>
        <w:rPr>
          <w:rFonts w:ascii="Arial" w:cs="Arial" w:eastAsia="Arial" w:hAnsi="Arial"/>
          <w:sz w:val="18"/>
          <w:szCs w:val="18"/>
          <w:color w:val="auto"/>
        </w:rPr>
      </w:pPr>
    </w:p>
    <w:p>
      <w:pPr>
        <w:ind w:right="100" w:firstLine="368"/>
        <w:spacing w:after="0" w:line="257" w:lineRule="auto"/>
        <w:tabs>
          <w:tab w:leader="none" w:pos="6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resulting directly or indirectly from any dishonest or fraudulent act or acts committed by any non-Employee who is a securities, commodities, money. mortgage, real estate, loan, insurance, property management, investment banking broker, agent or other representative of the same general character;</w:t>
      </w:r>
    </w:p>
    <w:p>
      <w:pPr>
        <w:spacing w:after="0" w:line="188" w:lineRule="exact"/>
        <w:rPr>
          <w:rFonts w:ascii="Arial" w:cs="Arial" w:eastAsia="Arial" w:hAnsi="Arial"/>
          <w:sz w:val="18"/>
          <w:szCs w:val="18"/>
          <w:color w:val="auto"/>
        </w:rPr>
      </w:pPr>
    </w:p>
    <w:p>
      <w:pPr>
        <w:ind w:right="60" w:firstLine="368"/>
        <w:spacing w:after="0" w:line="259" w:lineRule="auto"/>
        <w:tabs>
          <w:tab w:leader="none" w:pos="6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caused directly or indirectly by a Partner of the Insured unless the amount of such loss exceeds the Financial Interest in the Insured of such Partner and the Deductible Amount applicable to this bond, and then for the excess only;</w:t>
      </w:r>
    </w:p>
    <w:p>
      <w:pPr>
        <w:spacing w:after="0" w:line="20" w:lineRule="exact"/>
        <w:rPr>
          <w:sz w:val="20"/>
          <w:szCs w:val="20"/>
          <w:color w:val="auto"/>
        </w:rPr>
      </w:pPr>
      <w:r>
        <w:rPr>
          <w:sz w:val="20"/>
          <w:szCs w:val="20"/>
          <w:color w:val="auto"/>
        </w:rPr>
        <w:br w:type="column"/>
      </w:r>
    </w:p>
    <w:p>
      <w:pPr>
        <w:ind w:left="740" w:right="120" w:hanging="368"/>
        <w:spacing w:after="0" w:line="264"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Underwriter shall have no further liability for loss or losses regardless of when discovered and whether or not previously reported to the Underwriter, and</w:t>
      </w:r>
    </w:p>
    <w:p>
      <w:pPr>
        <w:spacing w:after="0" w:line="86" w:lineRule="exact"/>
        <w:rPr>
          <w:rFonts w:ascii="Arial" w:cs="Arial" w:eastAsia="Arial" w:hAnsi="Arial"/>
          <w:sz w:val="18"/>
          <w:szCs w:val="18"/>
          <w:color w:val="auto"/>
        </w:rPr>
      </w:pPr>
    </w:p>
    <w:p>
      <w:pPr>
        <w:ind w:left="740" w:hanging="368"/>
        <w:spacing w:after="0" w:line="276"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-1321435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3"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The Aggregate Limit of Liability shall not be increased or reinstated by any recovery made and applied in accordance with subsections (a), (b) and (c) of Section 7. In the event that a loss of Property is settled by the Underwriter through the use of a lost instrument bond, such loss shall not reduce the Aggregate Limit of Liability.</w:t>
      </w:r>
    </w:p>
    <w:p>
      <w:pPr>
        <w:spacing w:after="0" w:line="37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Single Loss Limit of Liability</w:t>
      </w:r>
    </w:p>
    <w:p>
      <w:pPr>
        <w:spacing w:after="0" w:line="22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Subject to the Aggregate Limit of Liability, the Underwriter’s liability for each Single Loss shall not exceed the applicable Single Loss Limit of Liability shown in Item 4 of the Declarations. If a Single Loss is covered under more than one Insuring Agreement or Coverage, the maximum payable shall not exceed the largest applicable Single Loss Limit of Liability.</w:t>
      </w:r>
    </w:p>
    <w:p>
      <w:pPr>
        <w:spacing w:after="0" w:line="200" w:lineRule="exact"/>
        <w:rPr>
          <w:sz w:val="20"/>
          <w:szCs w:val="20"/>
          <w:color w:val="auto"/>
        </w:rPr>
      </w:pPr>
    </w:p>
    <w:p>
      <w:pPr>
        <w:spacing w:after="0" w:line="20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Single Loss Defined</w:t>
      </w:r>
    </w:p>
    <w:p>
      <w:pPr>
        <w:spacing w:after="0" w:line="225"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Single Loss means all covered loss, including court costs and attorneys’ fees incurred by the Underwriter under General Agreement F, resulting from</w:t>
      </w:r>
    </w:p>
    <w:p>
      <w:pPr>
        <w:spacing w:after="0" w:line="87" w:lineRule="exact"/>
        <w:rPr>
          <w:sz w:val="20"/>
          <w:szCs w:val="20"/>
          <w:color w:val="auto"/>
        </w:rPr>
      </w:pPr>
    </w:p>
    <w:p>
      <w:pPr>
        <w:ind w:left="740" w:right="500" w:hanging="368"/>
        <w:spacing w:after="0" w:line="342" w:lineRule="auto"/>
        <w:tabs>
          <w:tab w:leader="none" w:pos="7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one act or series of related acts of burglary, robbery or attempt thereat, in which no Employee is implicated, or</w:t>
      </w:r>
    </w:p>
    <w:p>
      <w:pPr>
        <w:spacing w:after="0" w:line="29" w:lineRule="exact"/>
        <w:rPr>
          <w:rFonts w:ascii="Arial" w:cs="Arial" w:eastAsia="Arial" w:hAnsi="Arial"/>
          <w:sz w:val="16"/>
          <w:szCs w:val="16"/>
          <w:color w:val="auto"/>
        </w:rPr>
      </w:pPr>
    </w:p>
    <w:p>
      <w:pPr>
        <w:ind w:left="740" w:right="80" w:hanging="368"/>
        <w:spacing w:after="0" w:line="259"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one act or series of related unintentional or negligent acts or omissions on the part of any person (whether an Employee or not) resulting in damage to or destruction or misplacement of Property, or</w:t>
      </w:r>
    </w:p>
    <w:p>
      <w:pPr>
        <w:spacing w:after="0" w:line="92" w:lineRule="exact"/>
        <w:rPr>
          <w:rFonts w:ascii="Arial" w:cs="Arial" w:eastAsia="Arial" w:hAnsi="Arial"/>
          <w:sz w:val="18"/>
          <w:szCs w:val="18"/>
          <w:color w:val="auto"/>
        </w:rPr>
      </w:pPr>
    </w:p>
    <w:p>
      <w:pPr>
        <w:ind w:left="740" w:right="160" w:hanging="368"/>
        <w:spacing w:after="0" w:line="286"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acts or omissions other than those specified in (a) and (b) preceding, caused by any person (whether an Employee or not) or in which such person is implicated, or</w:t>
      </w:r>
    </w:p>
    <w:p>
      <w:pPr>
        <w:spacing w:after="0" w:line="70" w:lineRule="exact"/>
        <w:rPr>
          <w:rFonts w:ascii="Arial" w:cs="Arial" w:eastAsia="Arial" w:hAnsi="Arial"/>
          <w:sz w:val="17"/>
          <w:szCs w:val="17"/>
          <w:color w:val="auto"/>
        </w:rPr>
      </w:pPr>
    </w:p>
    <w:p>
      <w:pPr>
        <w:ind w:left="740" w:right="740" w:hanging="368"/>
        <w:spacing w:after="0" w:line="277"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one casualty or event not specified in (a), (b) or (c) preceding.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NOTICE/PROOF—LEGAL PROCEEDINGS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AGAINST UNDERWRITER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both"/>
        <w:ind w:right="280" w:firstLine="368"/>
        <w:spacing w:after="0" w:line="342" w:lineRule="auto"/>
        <w:tabs>
          <w:tab w:leader="none" w:pos="6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At the earliest practicable moment, not to exceed 30 days, after discovery of loss, the Insured shall give the Underwriter notice thereof,</w:t>
      </w:r>
    </w:p>
    <w:p>
      <w:pPr>
        <w:spacing w:after="0" w:line="123" w:lineRule="exact"/>
        <w:rPr>
          <w:rFonts w:ascii="Arial" w:cs="Arial" w:eastAsia="Arial" w:hAnsi="Arial"/>
          <w:sz w:val="16"/>
          <w:szCs w:val="16"/>
          <w:color w:val="auto"/>
        </w:rPr>
      </w:pPr>
    </w:p>
    <w:p>
      <w:pPr>
        <w:ind w:right="120" w:firstLine="368"/>
        <w:spacing w:after="0" w:line="308" w:lineRule="auto"/>
        <w:tabs>
          <w:tab w:leader="none" w:pos="612"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Within 6 months after such discovery, the Insured shall furnish to the Underwriter proof of loss, duly sworn to, with full particulars.</w:t>
      </w:r>
    </w:p>
    <w:p>
      <w:pPr>
        <w:spacing w:after="0" w:line="146" w:lineRule="exact"/>
        <w:rPr>
          <w:rFonts w:ascii="Arial" w:cs="Arial" w:eastAsia="Arial" w:hAnsi="Arial"/>
          <w:sz w:val="17"/>
          <w:szCs w:val="17"/>
          <w:color w:val="auto"/>
        </w:rPr>
      </w:pPr>
    </w:p>
    <w:p>
      <w:pPr>
        <w:ind w:right="360" w:firstLine="368"/>
        <w:spacing w:after="0" w:line="264" w:lineRule="auto"/>
        <w:tabs>
          <w:tab w:leader="none" w:pos="6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Lost Certificated Securities listed in a proof of loss shall be identified by certificate or bond numbers ii such securities were issued therewith.</w:t>
      </w:r>
    </w:p>
    <w:p>
      <w:pPr>
        <w:spacing w:after="0" w:line="181" w:lineRule="exact"/>
        <w:rPr>
          <w:rFonts w:ascii="Arial" w:cs="Arial" w:eastAsia="Arial" w:hAnsi="Arial"/>
          <w:sz w:val="18"/>
          <w:szCs w:val="18"/>
          <w:color w:val="auto"/>
        </w:rPr>
      </w:pPr>
    </w:p>
    <w:p>
      <w:pPr>
        <w:jc w:val="both"/>
        <w:ind w:right="40" w:firstLine="368"/>
        <w:spacing w:after="0" w:line="259" w:lineRule="auto"/>
        <w:tabs>
          <w:tab w:leader="none" w:pos="6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shall not be brought prior to the expiration of 60 days after the original proof of loss is filed with the Underwriter or after the expiration of 24 months from the discovery of such loss.</w:t>
      </w:r>
    </w:p>
    <w:p>
      <w:pPr>
        <w:spacing w:after="0" w:line="186" w:lineRule="exact"/>
        <w:rPr>
          <w:rFonts w:ascii="Arial" w:cs="Arial" w:eastAsia="Arial" w:hAnsi="Arial"/>
          <w:sz w:val="18"/>
          <w:szCs w:val="18"/>
          <w:color w:val="auto"/>
        </w:rPr>
      </w:pPr>
    </w:p>
    <w:p>
      <w:pPr>
        <w:jc w:val="both"/>
        <w:ind w:right="20" w:firstLine="368"/>
        <w:spacing w:after="0" w:line="259" w:lineRule="auto"/>
        <w:tabs>
          <w:tab w:leader="none" w:pos="6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shall be deemed to be amended so as to equal the minimum period of limitation provided by such law.</w:t>
      </w:r>
    </w:p>
    <w:p>
      <w:pPr>
        <w:spacing w:after="0" w:line="187" w:lineRule="exact"/>
        <w:rPr>
          <w:sz w:val="20"/>
          <w:szCs w:val="20"/>
          <w:color w:val="auto"/>
        </w:rPr>
      </w:pPr>
    </w:p>
    <w:p>
      <w:pPr>
        <w:ind w:right="200" w:firstLine="368"/>
        <w:spacing w:after="0" w:line="264" w:lineRule="auto"/>
        <w:tabs>
          <w:tab w:leader="none" w:pos="5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bond affords coverage only in favor of the Insured. No suit, action or legal proceedings shall be brought hereunder by any one other than the named Insured.</w:t>
      </w:r>
    </w:p>
    <w:p>
      <w:pPr>
        <w:sectPr>
          <w:pgSz w:w="11900" w:h="16838" w:orient="portrait"/>
          <w:cols w:equalWidth="0" w:num="2">
            <w:col w:w="5480" w:space="340"/>
            <w:col w:w="5440"/>
          </w:cols>
          <w:pgMar w:left="240" w:top="328" w:right="399" w:bottom="0" w:gutter="0" w:footer="0" w:header="0"/>
        </w:sectPr>
      </w:pPr>
    </w:p>
    <w:bookmarkStart w:id="12" w:name="page13"/>
    <w:bookmarkEnd w:id="12"/>
    <w:p>
      <w:pPr>
        <w:ind w:right="80" w:firstLine="368"/>
        <w:spacing w:after="0" w:line="264" w:lineRule="auto"/>
        <w:tabs>
          <w:tab w:leader="none" w:pos="6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actual or alleged representation, advice, warranty or guarantee as to the performance of any investments;</w:t>
      </w:r>
    </w:p>
    <w:p>
      <w:pPr>
        <w:spacing w:after="0" w:line="181" w:lineRule="exact"/>
        <w:rPr>
          <w:sz w:val="20"/>
          <w:szCs w:val="20"/>
          <w:color w:val="auto"/>
        </w:rPr>
      </w:pPr>
    </w:p>
    <w:p>
      <w:pPr>
        <w:jc w:val="both"/>
        <w:ind w:right="200" w:firstLine="368"/>
        <w:spacing w:after="0" w:line="279" w:lineRule="auto"/>
        <w:tabs>
          <w:tab w:leader="none" w:pos="6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388"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DISCOVERY</w:t>
      </w:r>
    </w:p>
    <w:p>
      <w:pPr>
        <w:spacing w:after="0" w:line="225"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Section 3. This bond applies to loss discovered by the Insured during the Bond Period. Discovery occurs when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16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Discovery also occurs when the Insured receives notice of an actual or potential claim in which it is alleged that the Insured is liable to a third party under circumstances which, if true, would constitute a loss under this bond.</w:t>
      </w:r>
    </w:p>
    <w:p>
      <w:pPr>
        <w:spacing w:after="0" w:line="200" w:lineRule="exact"/>
        <w:rPr>
          <w:sz w:val="20"/>
          <w:szCs w:val="20"/>
          <w:color w:val="auto"/>
        </w:rPr>
      </w:pP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LIMIT OF LIABILITY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Aggregate Limit of Liability</w:t>
      </w:r>
    </w:p>
    <w:p>
      <w:pPr>
        <w:spacing w:after="0" w:line="225" w:lineRule="exact"/>
        <w:rPr>
          <w:sz w:val="20"/>
          <w:szCs w:val="20"/>
          <w:color w:val="auto"/>
        </w:rPr>
      </w:pPr>
    </w:p>
    <w:p>
      <w:pPr>
        <w:ind w:right="260" w:firstLine="360"/>
        <w:spacing w:after="0" w:line="276" w:lineRule="auto"/>
        <w:rPr>
          <w:sz w:val="20"/>
          <w:szCs w:val="20"/>
          <w:color w:val="auto"/>
        </w:rPr>
      </w:pPr>
      <w:r>
        <w:rPr>
          <w:rFonts w:ascii="Arial" w:cs="Arial" w:eastAsia="Arial" w:hAnsi="Arial"/>
          <w:sz w:val="17"/>
          <w:szCs w:val="17"/>
          <w:color w:val="auto"/>
        </w:rPr>
        <w:t>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w:t>
      </w:r>
    </w:p>
    <w:p>
      <w:pPr>
        <w:spacing w:after="0" w:line="173"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Upon exhaustion of the Aggregate Limit of Liability by such payments:</w:t>
      </w:r>
    </w:p>
    <w:p>
      <w:pPr>
        <w:spacing w:after="0" w:line="20" w:lineRule="exact"/>
        <w:rPr>
          <w:sz w:val="20"/>
          <w:szCs w:val="20"/>
          <w:color w:val="auto"/>
        </w:rPr>
      </w:pPr>
      <w:r>
        <w:rPr>
          <w:sz w:val="20"/>
          <w:szCs w:val="20"/>
          <w:color w:val="auto"/>
        </w:rPr>
        <w:br w:type="column"/>
      </w:r>
    </w:p>
    <w:p>
      <w:pPr>
        <w:ind w:left="2240"/>
        <w:spacing w:after="0"/>
        <w:rPr>
          <w:sz w:val="20"/>
          <w:szCs w:val="20"/>
          <w:color w:val="auto"/>
        </w:rPr>
      </w:pPr>
      <w:r>
        <w:rPr>
          <w:rFonts w:ascii="Arial" w:cs="Arial" w:eastAsia="Arial" w:hAnsi="Arial"/>
          <w:sz w:val="18"/>
          <w:szCs w:val="18"/>
          <w:color w:val="auto"/>
        </w:rPr>
        <w:t>VALUATION</w:t>
      </w:r>
    </w:p>
    <w:p>
      <w:pPr>
        <w:spacing w:after="0" w:line="225"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Section 6. Any loss of Money, or loss payable in Money, shall be paid, at the option of the Insured, in the Money of the country in which the loss was sustained or in the United States of America dollar equivalent thereof determined at the rate of exchange at the time of payment of such loss.</w:t>
      </w: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Securities</w:t>
      </w:r>
    </w:p>
    <w:p>
      <w:pPr>
        <w:spacing w:after="0" w:line="225" w:lineRule="exact"/>
        <w:rPr>
          <w:sz w:val="20"/>
          <w:szCs w:val="20"/>
          <w:color w:val="auto"/>
        </w:rPr>
      </w:pPr>
    </w:p>
    <w:p>
      <w:pPr>
        <w:ind w:right="140" w:firstLine="360"/>
        <w:spacing w:after="0" w:line="268" w:lineRule="auto"/>
        <w:rPr>
          <w:sz w:val="20"/>
          <w:szCs w:val="20"/>
          <w:color w:val="auto"/>
        </w:rPr>
      </w:pPr>
      <w:r>
        <w:rPr>
          <w:rFonts w:ascii="Arial" w:cs="Arial" w:eastAsia="Arial" w:hAnsi="Arial"/>
          <w:sz w:val="17"/>
          <w:szCs w:val="17"/>
          <w:color w:val="auto"/>
        </w:rPr>
        <w:t>The Underwriter shall settle in kind its liability under this bond on account of a loss of any securities or, at the option of the Insured, shall pay to the Insured the cost of replacing such securities, determined by the market value thereof at the time of such settlement. However, if prior to such settlement the Insured shall be compelled by the demands of a third party or by market rules to purchase equivalent securities, and gives written notification of this to the Underwriter, the cost incurred by the Insured shall be taken as the value of those securities. In case of a loss of subscription, conversion or redemption privileges through the misplacement or loss of securities, the amount of such loss shall be the value of such privileges immediately preceding the expiration thereof. If such securities cannot be replaced or have no quoted market value, or if such privileges have no quoted market value, their value shall be determined by agreement or arbitration.</w:t>
      </w:r>
    </w:p>
    <w:p>
      <w:pPr>
        <w:spacing w:after="0" w:line="185" w:lineRule="exact"/>
        <w:rPr>
          <w:sz w:val="20"/>
          <w:szCs w:val="20"/>
          <w:color w:val="auto"/>
        </w:rPr>
      </w:pPr>
    </w:p>
    <w:p>
      <w:pPr>
        <w:ind w:right="220" w:firstLine="360"/>
        <w:spacing w:after="0" w:line="255" w:lineRule="auto"/>
        <w:rPr>
          <w:sz w:val="20"/>
          <w:szCs w:val="20"/>
          <w:color w:val="auto"/>
        </w:rPr>
      </w:pPr>
      <w:r>
        <w:rPr>
          <w:rFonts w:ascii="Arial" w:cs="Arial" w:eastAsia="Arial" w:hAnsi="Arial"/>
          <w:sz w:val="18"/>
          <w:szCs w:val="18"/>
          <w:color w:val="auto"/>
        </w:rPr>
        <w:t>If the applicable coverage of this bond is subject to a Deductible Amount and/or is not sufficient in amount to indemnify the Insured in full for the loss of securities for which claim is made hereunder, the liability of the Underwriter under this bond is limited to the payment for, or the duplication of, so much of such securities as has a value equal to the amount of such applicable coverage.</w:t>
      </w:r>
    </w:p>
    <w:p>
      <w:pPr>
        <w:spacing w:after="0" w:line="1951" w:lineRule="exact"/>
        <w:rPr>
          <w:sz w:val="20"/>
          <w:szCs w:val="20"/>
          <w:color w:val="auto"/>
        </w:rPr>
      </w:pPr>
    </w:p>
    <w:p>
      <w:pPr>
        <w:sectPr>
          <w:pgSz w:w="11900" w:h="16838" w:orient="portrait"/>
          <w:cols w:equalWidth="0" w:num="2">
            <w:col w:w="5440" w:space="380"/>
            <w:col w:w="5600"/>
          </w:cols>
          <w:pgMar w:left="240" w:top="125" w:right="239" w:bottom="1440" w:gutter="0" w:footer="0" w:header="0"/>
        </w:sectPr>
      </w:pPr>
    </w:p>
    <w:p>
      <w:pPr>
        <w:spacing w:after="0" w:line="51"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5 of 6</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line="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Books of Account and Other Records</w:t>
      </w:r>
    </w:p>
    <w:p>
      <w:pPr>
        <w:spacing w:after="0" w:line="22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In case of loss of, or damage to, any books of account or other records used by the Insured in its business, the Underwriter shall be liable under this bond only if such books or records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Property other than Money, Securities or Records</w:t>
      </w:r>
    </w:p>
    <w:p>
      <w:pPr>
        <w:spacing w:after="0" w:line="225"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In case of loss of, or damage to, any Property other than Money, securities, books of account or other records, or damage covered under Insuring Agreement (B)(2),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w:t>
      </w:r>
    </w:p>
    <w:p>
      <w:pPr>
        <w:spacing w:after="0" w:line="39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Set-Off</w:t>
      </w:r>
    </w:p>
    <w:p>
      <w:pPr>
        <w:spacing w:after="0" w:line="225"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Any loss covered under this bond shall be reduced by a set-off consisting of any amount owed to the Employee causing the loss if such loss is covered under Insuring Agreement (A).</w:t>
      </w:r>
    </w:p>
    <w:p>
      <w:pPr>
        <w:spacing w:after="0" w:line="39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ASSIGNMENT— SUBROGATION – RECOVERY – COOPERATION</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7.</w:t>
      </w:r>
    </w:p>
    <w:p>
      <w:pPr>
        <w:spacing w:after="0" w:line="117" w:lineRule="exact"/>
        <w:rPr>
          <w:sz w:val="20"/>
          <w:szCs w:val="20"/>
          <w:color w:val="auto"/>
        </w:rPr>
      </w:pPr>
    </w:p>
    <w:p>
      <w:pPr>
        <w:jc w:val="both"/>
        <w:ind w:right="100" w:firstLine="368"/>
        <w:spacing w:after="0" w:line="259" w:lineRule="auto"/>
        <w:tabs>
          <w:tab w:leader="none" w:pos="6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of payment under this bond, the Insured shall deliver, if so requested by the Underwriter, an assignment of such of the Insured’s rights, title and interest and causes of action as it has against any person or entity to the extent of the loss payment.</w:t>
      </w:r>
    </w:p>
    <w:p>
      <w:pPr>
        <w:spacing w:after="0" w:line="186" w:lineRule="exact"/>
        <w:rPr>
          <w:rFonts w:ascii="Arial" w:cs="Arial" w:eastAsia="Arial" w:hAnsi="Arial"/>
          <w:sz w:val="18"/>
          <w:szCs w:val="18"/>
          <w:color w:val="auto"/>
        </w:rPr>
      </w:pPr>
    </w:p>
    <w:p>
      <w:pPr>
        <w:ind w:right="140" w:firstLine="368"/>
        <w:spacing w:after="0" w:line="286" w:lineRule="auto"/>
        <w:tabs>
          <w:tab w:leader="none" w:pos="615"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the event of payment under this bond, the Underwriter shall be subrogated to all of the Insured’s rights of recovery therefor against any person or entity to the extent of such payment.</w:t>
      </w:r>
    </w:p>
    <w:p>
      <w:pPr>
        <w:spacing w:after="0" w:line="165" w:lineRule="exact"/>
        <w:rPr>
          <w:rFonts w:ascii="Arial" w:cs="Arial" w:eastAsia="Arial" w:hAnsi="Arial"/>
          <w:sz w:val="17"/>
          <w:szCs w:val="17"/>
          <w:color w:val="auto"/>
        </w:rPr>
      </w:pPr>
    </w:p>
    <w:p>
      <w:pPr>
        <w:ind w:firstLine="368"/>
        <w:spacing w:after="0" w:line="270" w:lineRule="auto"/>
        <w:tabs>
          <w:tab w:leader="none" w:pos="605"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Recoveries. whether effected by the Underwriter or by the Insured, shall be applied net of the expense of such recovery first to the satisfaction of the Insured’s loss which would otherwise have been paid but for the fact that it is in excess of either the Single or Aggregate Limit of Liability, secondly, to the Underwriter as reimbursement of amounts paid in settlement of the Insured’s claim, and thirdly, to the Insured in satisfaction of any Deductible Amount. Recovery on account of loss of securities as set forth in the second paragraph of Section 6 or recovery from reinsurance and/or indemnity of the Underwriter shall not be deemed a recovery as used herein</w:t>
      </w:r>
    </w:p>
    <w:p>
      <w:pPr>
        <w:spacing w:after="0" w:line="177" w:lineRule="exact"/>
        <w:rPr>
          <w:rFonts w:ascii="Arial" w:cs="Arial" w:eastAsia="Arial" w:hAnsi="Arial"/>
          <w:sz w:val="17"/>
          <w:szCs w:val="17"/>
          <w:color w:val="auto"/>
        </w:rPr>
      </w:pPr>
    </w:p>
    <w:p>
      <w:pPr>
        <w:ind w:right="40" w:firstLine="368"/>
        <w:spacing w:after="0" w:line="277" w:lineRule="auto"/>
        <w:tabs>
          <w:tab w:leader="none" w:pos="6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the Underwriter’s request and at reasonable times and places designated by the Underwriter the Insured shall</w:t>
      </w:r>
    </w:p>
    <w:p>
      <w:pPr>
        <w:spacing w:after="0" w:line="75" w:lineRule="exact"/>
        <w:rPr>
          <w:rFonts w:ascii="Arial" w:cs="Arial" w:eastAsia="Arial" w:hAnsi="Arial"/>
          <w:sz w:val="18"/>
          <w:szCs w:val="18"/>
          <w:color w:val="auto"/>
        </w:rPr>
      </w:pPr>
    </w:p>
    <w:p>
      <w:pPr>
        <w:ind w:left="1100" w:right="140" w:hanging="363"/>
        <w:spacing w:after="0" w:line="277" w:lineRule="auto"/>
        <w:tabs>
          <w:tab w:leader="none" w:pos="11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submit to examination by the Underwriter and subscribe to the same under oath, and</w:t>
      </w:r>
    </w:p>
    <w:p>
      <w:pPr>
        <w:spacing w:after="0" w:line="75" w:lineRule="exact"/>
        <w:rPr>
          <w:rFonts w:ascii="Arial" w:cs="Arial" w:eastAsia="Arial" w:hAnsi="Arial"/>
          <w:sz w:val="18"/>
          <w:szCs w:val="18"/>
          <w:color w:val="auto"/>
        </w:rPr>
      </w:pPr>
    </w:p>
    <w:p>
      <w:pPr>
        <w:ind w:left="1100" w:right="380" w:hanging="363"/>
        <w:spacing w:after="0" w:line="277" w:lineRule="auto"/>
        <w:tabs>
          <w:tab w:leader="none" w:pos="11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produce for the Underwriter’s examination all pertinent records; and</w:t>
      </w:r>
    </w:p>
    <w:p>
      <w:pPr>
        <w:spacing w:after="0" w:line="75" w:lineRule="exact"/>
        <w:rPr>
          <w:rFonts w:ascii="Arial" w:cs="Arial" w:eastAsia="Arial" w:hAnsi="Arial"/>
          <w:sz w:val="18"/>
          <w:szCs w:val="18"/>
          <w:color w:val="auto"/>
        </w:rPr>
      </w:pPr>
    </w:p>
    <w:p>
      <w:pPr>
        <w:ind w:left="1100" w:right="180" w:hanging="363"/>
        <w:spacing w:after="0" w:line="277" w:lineRule="auto"/>
        <w:tabs>
          <w:tab w:leader="none" w:pos="11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cooperate with the Underwriter in all matters pertaining to the loss.</w:t>
      </w:r>
    </w:p>
    <w:p>
      <w:pPr>
        <w:spacing w:after="0" w:line="170" w:lineRule="exact"/>
        <w:rPr>
          <w:rFonts w:ascii="Arial" w:cs="Arial" w:eastAsia="Arial" w:hAnsi="Arial"/>
          <w:sz w:val="18"/>
          <w:szCs w:val="18"/>
          <w:color w:val="auto"/>
        </w:rPr>
      </w:pPr>
    </w:p>
    <w:p>
      <w:pPr>
        <w:ind w:right="20" w:firstLine="368"/>
        <w:spacing w:after="0" w:line="259" w:lineRule="auto"/>
        <w:tabs>
          <w:tab w:leader="none" w:pos="6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Insured shall execute all papers and render assistance to secure to the Underwriter the rights and causes of action provided for herein. The insured shall do nothing after discovery of loss to prejudice such rights or causes of action.</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LIMIT OF LIABILITY UNDER THIS BOND AND PRIOR INSURANCE</w:t>
      </w:r>
    </w:p>
    <w:p>
      <w:pPr>
        <w:spacing w:after="0" w:line="237"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Section 8. With respect to any loss set forth in sub-section (c) of Section 4 of this bond which is recoverable or recovered in whole or in part under any other bonds or policies issued by the Underwriter to the Insured</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such other bonds or policies, as limited by the terms and conditions thereof, for any such loss if the latter amount be the larger.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-422275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0"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If the coverage of this bond supersedes in whole or in part the coverage of any other bond or policy of insurance issued by an Insurer other than the Underwriter and terminated, canceled or allowed to expire, the Underwriter, with respect to any loss sustained prior to such termination, cancelation or expiration and discovered within the period permitted under such other bond or policy for the discovery of loss thereunder, shall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INSURANCE OR INDEMNITY</w:t>
      </w:r>
    </w:p>
    <w:p>
      <w:pPr>
        <w:spacing w:after="0" w:line="225" w:lineRule="exact"/>
        <w:rPr>
          <w:sz w:val="20"/>
          <w:szCs w:val="20"/>
          <w:color w:val="auto"/>
        </w:rPr>
      </w:pPr>
    </w:p>
    <w:p>
      <w:pPr>
        <w:ind w:right="180" w:firstLine="360"/>
        <w:spacing w:after="0" w:line="288" w:lineRule="auto"/>
        <w:rPr>
          <w:sz w:val="20"/>
          <w:szCs w:val="20"/>
          <w:color w:val="auto"/>
        </w:rPr>
      </w:pPr>
      <w:r>
        <w:rPr>
          <w:rFonts w:ascii="Arial" w:cs="Arial" w:eastAsia="Arial" w:hAnsi="Arial"/>
          <w:sz w:val="16"/>
          <w:szCs w:val="16"/>
          <w:color w:val="auto"/>
        </w:rPr>
        <w:t>Section 9. Coverage afforded hereunder shall apply only as excess over any valid and collectible insurance or indemnity obtained by the Insured, or by one other than the Insured on Property subject to exclusion</w:t>
      </w:r>
    </w:p>
    <w:p>
      <w:pPr>
        <w:ind w:right="160" w:firstLine="8"/>
        <w:spacing w:after="0" w:line="255"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 by a Transportation Company, or by another entity on whose premises the loss occurred or which employed the person causing the loss or the messenger conveying the Property involved.</w:t>
      </w: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OWNERSHIP</w:t>
      </w:r>
    </w:p>
    <w:p>
      <w:pPr>
        <w:spacing w:after="0" w:line="22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Section 10. This bond shall apply to loss of Property (1) owned by the Insured, (2) held by the Insured in any capacity, or (3) for which the Insured is legally liable. This bond shall be for the sole use and benefit of the Insured named in the Declarations.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DEDUCTIBLE AMOUNT</w:t>
      </w:r>
    </w:p>
    <w:p>
      <w:pPr>
        <w:spacing w:after="0" w:line="225"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Section 11. The Underwriter shall be liable hereunder only for the amount by which any single loss, as defined in Section 4, exceeds the Single Loss Deductible amount for the Insuring Agreement or Coverage applicable to such loss, subject to the Aggregate Limit of Liability and the applicable Single Loss Limit of Liability.</w:t>
      </w:r>
    </w:p>
    <w:p>
      <w:pPr>
        <w:spacing w:after="0" w:line="173"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The Insured shall, in the time and in the manner prescribed in this bond, give the Underwriter notice of any loss of the kind covered by the terms of this bond, whether or not the Underwriter is liable therefore, and upon the request of the Underwriter shall file with it a brief statement giving the particulars concerning such loss.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OR CANCELATION</w:t>
      </w:r>
    </w:p>
    <w:p>
      <w:pPr>
        <w:spacing w:after="0" w:line="225"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Section 12. This bond terminates as an entirety upon occurrence of any of the following: — (a) 60 days after the receipt by the insured of a written notice from the Underwriter of its desire to cancel this bond, or (b) immediately upon the receipt by the Underwriter of a written notice from the Insured of its desire to cancel this bond, or (c) immediately upon the taking over of the Insured by a receiver or other liquidator or by State or Federal officials, or (d) immediately upon the taking over of the Insured by another institution, or (e) immediately upon exhaustion of the Aggregate Limit of Liability, or (f) immediately upon expiration of the Bond Period as set forth in Item 2 of the Declarations.</w:t>
      </w:r>
    </w:p>
    <w:p>
      <w:pPr>
        <w:spacing w:after="0" w:line="178"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This bond terminates as to any Employee or any partner, officer or employee of any Processor — (a) as soon as any Insured, or any director or officer not in collusion with such person, learns of any dishonest or fraudulent act committed by such person at any time, whether in the employment of the Insured or otherwise, whether or not of the type covered under Insuring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w:t>
      </w:r>
    </w:p>
    <w:p>
      <w:pPr>
        <w:spacing w:after="0" w:line="195"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which is discovered after the effective date of such termination.</w:t>
      </w:r>
    </w:p>
    <w:p>
      <w:pPr>
        <w:sectPr>
          <w:pgSz w:w="11900" w:h="16844" w:orient="portrait"/>
          <w:cols w:equalWidth="0" w:num="2">
            <w:col w:w="5480" w:space="340"/>
            <w:col w:w="5480"/>
          </w:cols>
          <w:pgMar w:left="240" w:top="328" w:right="35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or to any predecessor in interest of the Insured and terminated or canceled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allowed to expire and in which the period for discovery has not expired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the time any such loss thereunder is discovered, the total liability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 under this bond and under such other bonds or policies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exceed, in the aggregate, the amount carried hereunder on such loss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amount available to the Insured under</w:t>
      </w:r>
    </w:p>
    <w:p>
      <w:pPr>
        <w:spacing w:after="0" w:line="3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pacing w:after="0" w:line="158"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6 of 6</w:t>
      </w:r>
    </w:p>
    <w:p>
      <w:pPr>
        <w:sectPr>
          <w:pgSz w:w="11900" w:h="16838" w:orient="portrait"/>
          <w:cols w:equalWidth="0" w:num="1">
            <w:col w:w="11420"/>
          </w:cols>
          <w:pgMar w:left="240" w:top="125" w:right="2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ONLY SIGNATURES APPLICABLE TO THIS POLICY ARE THOSE REPRESENTING THE COMPANY NAMED ON THE FIRST PAGE OF THE DECLARATIONS.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signing and delivering the policy to you, we state that it is a valid contract.</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INDEMNITY INSURANCE COMPANY OF NORTH AMERICA </w:t>
      </w:r>
      <w:r>
        <w:rPr>
          <w:rFonts w:ascii="Arial" w:cs="Arial" w:eastAsia="Arial" w:hAnsi="Arial"/>
          <w:sz w:val="18"/>
          <w:szCs w:val="18"/>
          <w:color w:val="auto"/>
        </w:rPr>
        <w:t>(A stock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FIRE AND MARINE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AMERICAN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PROPERTY AND CASUALTY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INSURANCE COMPANY OF NORTH AMERICA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PACIFIC EMPLOYERS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FIRE UNDERWRITERS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WESTCHESTER FIRE INSURANCE COMPANY </w:t>
      </w:r>
      <w:r>
        <w:rPr>
          <w:rFonts w:ascii="Arial" w:cs="Arial" w:eastAsia="Arial" w:hAnsi="Arial"/>
          <w:sz w:val="18"/>
          <w:szCs w:val="18"/>
          <w:color w:val="auto"/>
        </w:rPr>
        <w:t>(A stock company)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436 Walnut Street, P.O. Box 1000, Philadelphia, Pennsylvania 19106-3703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1207135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2058035" cy="454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8035" cy="45466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169545</wp:posOffset>
            </wp:positionV>
            <wp:extent cx="1878330" cy="746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7833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CC-1K11h (03/14)</w:t>
      </w:r>
    </w:p>
    <w:p>
      <w:pPr>
        <w:sectPr>
          <w:pgSz w:w="11900" w:h="16838" w:orient="portrait"/>
          <w:cols w:equalWidth="0" w:num="1">
            <w:col w:w="11440"/>
          </w:cols>
          <w:pgMar w:left="240" w:top="270" w:right="2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 be attached to and form part of Financial Institution Bond, Standard Form No. 14 in favor of TPG Specialty Lending,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2380" w:right="20" w:hanging="441"/>
        <w:spacing w:after="0" w:line="277" w:lineRule="auto"/>
        <w:tabs>
          <w:tab w:leader="none" w:pos="2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Subparagraph (d) of Section 5 NOTICE/PROOF – LEGAL PROCEEDINGS AGAINST UNDERWRITER of the Conditions and Limitations of the bond is deleted and replaced by the following:</w:t>
      </w:r>
    </w:p>
    <w:p>
      <w:pPr>
        <w:spacing w:after="0" w:line="62" w:lineRule="exact"/>
        <w:rPr>
          <w:rFonts w:ascii="Arial" w:cs="Arial" w:eastAsia="Arial" w:hAnsi="Arial"/>
          <w:sz w:val="18"/>
          <w:szCs w:val="18"/>
          <w:color w:val="auto"/>
        </w:rPr>
      </w:pPr>
    </w:p>
    <w:p>
      <w:pPr>
        <w:ind w:left="2400" w:right="120" w:firstLine="4"/>
        <w:spacing w:after="0" w:line="342" w:lineRule="auto"/>
        <w:tabs>
          <w:tab w:leader="none" w:pos="2655" w:val="left"/>
        </w:tabs>
        <w:numPr>
          <w:ilvl w:val="1"/>
          <w:numId w:val="47"/>
        </w:numPr>
        <w:rPr>
          <w:rFonts w:ascii="Arial" w:cs="Arial" w:eastAsia="Arial" w:hAnsi="Arial"/>
          <w:sz w:val="16"/>
          <w:szCs w:val="16"/>
          <w:color w:val="auto"/>
        </w:rPr>
      </w:pPr>
      <w:r>
        <w:rPr>
          <w:rFonts w:ascii="Arial" w:cs="Arial" w:eastAsia="Arial" w:hAnsi="Arial"/>
          <w:sz w:val="16"/>
          <w:szCs w:val="16"/>
          <w:color w:val="auto"/>
        </w:rPr>
        <w:t>Legal proceedings for the recovery of any loss hereunder shall not be brought more than two years and one day after the earlier of (1) the date the original proof of loss is filed with the Underwriter, or (2) 6 months after discovery of such loss.</w:t>
      </w:r>
    </w:p>
    <w:p>
      <w:pPr>
        <w:spacing w:after="0" w:line="29" w:lineRule="exact"/>
        <w:rPr>
          <w:rFonts w:ascii="Arial" w:cs="Arial" w:eastAsia="Arial" w:hAnsi="Arial"/>
          <w:sz w:val="16"/>
          <w:szCs w:val="16"/>
          <w:color w:val="auto"/>
        </w:rPr>
      </w:pPr>
    </w:p>
    <w:p>
      <w:pPr>
        <w:ind w:left="2380" w:right="160" w:hanging="441"/>
        <w:spacing w:after="0" w:line="277" w:lineRule="auto"/>
        <w:tabs>
          <w:tab w:leader="none" w:pos="2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new Subparagraph (g) is added to Section 5 NOTICE/PROOF – LEGAL PROCEEDINGS AGAINST UNDERWRITER of the Conditions and Limitations of the bond as follows:</w:t>
      </w:r>
    </w:p>
    <w:p>
      <w:pPr>
        <w:spacing w:after="0" w:line="62" w:lineRule="exact"/>
        <w:rPr>
          <w:rFonts w:ascii="Arial" w:cs="Arial" w:eastAsia="Arial" w:hAnsi="Arial"/>
          <w:sz w:val="18"/>
          <w:szCs w:val="18"/>
          <w:color w:val="auto"/>
        </w:rPr>
      </w:pPr>
    </w:p>
    <w:p>
      <w:pPr>
        <w:ind w:left="2400" w:right="160" w:firstLine="4"/>
        <w:spacing w:after="0" w:line="257" w:lineRule="auto"/>
        <w:tabs>
          <w:tab w:leader="none" w:pos="26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event of a legal proceeding against the Insured as described in the NOTICE OF LEGAL PROCEEDINGS – ELECTION TO DEFEND General Agreement of the Bond, the time in which to file a proof of loss pursuant to subparagraph (b) of this Section 5 and the time in which to file suite pursuant to part (2) of subparagraph (d) of this Section 5 shall commence upon the entry of a judgment against the Insured in, or a settlement by the Insured of, such legal proceeding instead of upon discovery of loss.</w:t>
      </w:r>
    </w:p>
    <w:p>
      <w:pPr>
        <w:spacing w:after="0" w:line="93" w:lineRule="exact"/>
        <w:rPr>
          <w:rFonts w:ascii="Arial" w:cs="Arial" w:eastAsia="Arial" w:hAnsi="Arial"/>
          <w:sz w:val="18"/>
          <w:szCs w:val="18"/>
          <w:color w:val="auto"/>
        </w:rPr>
      </w:pPr>
    </w:p>
    <w:p>
      <w:pPr>
        <w:ind w:left="2380" w:right="340" w:hanging="441"/>
        <w:spacing w:after="0" w:line="277" w:lineRule="auto"/>
        <w:tabs>
          <w:tab w:leader="none" w:pos="2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last paragraph of the NOTICE OF LEGAL PROCEEDINGS – ELECTION TO DEFEND General Agreement of the bond is deleted and replaced by the following:</w:t>
      </w:r>
    </w:p>
    <w:p>
      <w:pPr>
        <w:spacing w:after="0" w:line="62" w:lineRule="exact"/>
        <w:rPr>
          <w:rFonts w:ascii="Arial" w:cs="Arial" w:eastAsia="Arial" w:hAnsi="Arial"/>
          <w:sz w:val="18"/>
          <w:szCs w:val="18"/>
          <w:color w:val="auto"/>
        </w:rPr>
      </w:pPr>
    </w:p>
    <w:p>
      <w:pPr>
        <w:ind w:left="2400" w:right="180"/>
        <w:spacing w:after="0" w:line="277" w:lineRule="auto"/>
        <w:rPr>
          <w:rFonts w:ascii="Arial" w:cs="Arial" w:eastAsia="Arial" w:hAnsi="Arial"/>
          <w:sz w:val="18"/>
          <w:szCs w:val="18"/>
          <w:color w:val="auto"/>
        </w:rPr>
      </w:pPr>
      <w:r>
        <w:rPr>
          <w:rFonts w:ascii="Arial" w:cs="Arial" w:eastAsia="Arial" w:hAnsi="Arial"/>
          <w:sz w:val="18"/>
          <w:szCs w:val="18"/>
          <w:color w:val="auto"/>
        </w:rPr>
        <w:t>The Insured must notify the Underwriter within 30 days after such judgment is entered against it or after the insured settles such legal proceeding.</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is added to the Conditions and Limitations of the bond:</w:t>
      </w:r>
    </w:p>
    <w:p>
      <w:pPr>
        <w:spacing w:after="0" w:line="117" w:lineRule="exact"/>
        <w:rPr>
          <w:rFonts w:ascii="Arial" w:cs="Arial" w:eastAsia="Arial" w:hAnsi="Arial"/>
          <w:sz w:val="18"/>
          <w:szCs w:val="18"/>
          <w:color w:val="auto"/>
        </w:rPr>
      </w:pPr>
    </w:p>
    <w:p>
      <w:pPr>
        <w:ind w:left="2400"/>
        <w:spacing w:after="0"/>
        <w:rPr>
          <w:rFonts w:ascii="Arial" w:cs="Arial" w:eastAsia="Arial" w:hAnsi="Arial"/>
          <w:sz w:val="18"/>
          <w:szCs w:val="18"/>
          <w:color w:val="auto"/>
        </w:rPr>
      </w:pPr>
      <w:r>
        <w:rPr>
          <w:rFonts w:ascii="Arial" w:cs="Arial" w:eastAsia="Arial" w:hAnsi="Arial"/>
          <w:sz w:val="16"/>
          <w:szCs w:val="16"/>
          <w:color w:val="auto"/>
        </w:rPr>
        <w:t>The Underwriter may not cancel or refuse to renew this bond based solely on the fact that any Insured is an elected official.</w:t>
      </w:r>
    </w:p>
    <w:p>
      <w:pPr>
        <w:spacing w:after="0" w:line="153" w:lineRule="exact"/>
        <w:rPr>
          <w:rFonts w:ascii="Arial" w:cs="Arial" w:eastAsia="Arial" w:hAnsi="Arial"/>
          <w:sz w:val="18"/>
          <w:szCs w:val="18"/>
          <w:color w:val="auto"/>
        </w:rPr>
      </w:pPr>
    </w:p>
    <w:p>
      <w:pPr>
        <w:ind w:left="2380" w:hanging="441"/>
        <w:spacing w:after="0"/>
        <w:tabs>
          <w:tab w:leader="none" w:pos="2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rider is effective as of 12:01 a.m. on 03/08/2016.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RIDER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STANDARD FORM NOS. 14, 15, 24 AND 25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ADOPTED MARCH, 2008.</w:t>
      </w:r>
    </w:p>
    <w:p>
      <w:pPr>
        <w:spacing w:after="0" w:line="131" w:lineRule="exact"/>
        <w:rPr>
          <w:sz w:val="20"/>
          <w:szCs w:val="20"/>
          <w:color w:val="auto"/>
        </w:rPr>
      </w:pPr>
    </w:p>
    <w:p>
      <w:pPr>
        <w:spacing w:after="0"/>
        <w:tabs>
          <w:tab w:leader="none" w:pos="3420" w:val="left"/>
          <w:tab w:leader="none" w:pos="10580" w:val="left"/>
        </w:tabs>
        <w:rPr>
          <w:sz w:val="20"/>
          <w:szCs w:val="20"/>
          <w:color w:val="auto"/>
        </w:rPr>
      </w:pPr>
      <w:r>
        <w:rPr>
          <w:rFonts w:ascii="Arial" w:cs="Arial" w:eastAsia="Arial" w:hAnsi="Arial"/>
          <w:sz w:val="18"/>
          <w:szCs w:val="18"/>
          <w:color w:val="auto"/>
        </w:rPr>
        <w:t>SR 6290</w:t>
      </w:r>
      <w:r>
        <w:rPr>
          <w:sz w:val="20"/>
          <w:szCs w:val="20"/>
          <w:color w:val="auto"/>
        </w:rPr>
        <w:tab/>
      </w:r>
      <w:r>
        <w:rPr>
          <w:rFonts w:ascii="Arial" w:cs="Arial" w:eastAsia="Arial" w:hAnsi="Arial"/>
          <w:sz w:val="18"/>
          <w:szCs w:val="18"/>
          <w:color w:val="auto"/>
        </w:rPr>
        <w:t>Copyright The Surety &amp; Fidelity Association of America, 2008</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ADD CERTAIN COMPUTER CRIME INSURING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to add the following:</w:t>
      </w:r>
    </w:p>
    <w:p>
      <w:pPr>
        <w:spacing w:after="0" w:line="13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section entitled Insuring Agreements is amended to add the following:</w:t>
      </w:r>
    </w:p>
    <w:p>
      <w:pPr>
        <w:spacing w:after="0" w:line="370" w:lineRule="exact"/>
        <w:rPr>
          <w:sz w:val="20"/>
          <w:szCs w:val="20"/>
          <w:color w:val="auto"/>
        </w:rPr>
      </w:pPr>
    </w:p>
    <w:p>
      <w:pPr>
        <w:ind w:left="920" w:right="7600" w:hanging="345"/>
        <w:spacing w:after="0" w:line="408" w:lineRule="auto"/>
        <w:tabs>
          <w:tab w:leader="none" w:pos="898"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 xml:space="preserve">COMPUTER SYSTEMS FRAUD </w:t>
      </w:r>
      <w:r>
        <w:rPr>
          <w:rFonts w:ascii="Arial" w:cs="Arial" w:eastAsia="Arial" w:hAnsi="Arial"/>
          <w:sz w:val="17"/>
          <w:szCs w:val="17"/>
          <w:color w:val="auto"/>
        </w:rPr>
        <w:t>Loss resulting directly from a fraudulent</w:t>
      </w:r>
    </w:p>
    <w:p>
      <w:pPr>
        <w:spacing w:after="0" w:line="1" w:lineRule="exact"/>
        <w:rPr>
          <w:rFonts w:ascii="Arial" w:cs="Arial" w:eastAsia="Arial" w:hAnsi="Arial"/>
          <w:sz w:val="17"/>
          <w:szCs w:val="17"/>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entry of Electronic Data or Computer Program into,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change of Electronic Data or Computer Program within</w:t>
      </w:r>
    </w:p>
    <w:p>
      <w:pPr>
        <w:spacing w:after="0" w:line="117" w:lineRule="exact"/>
        <w:rPr>
          <w:sz w:val="20"/>
          <w:szCs w:val="20"/>
          <w:color w:val="auto"/>
        </w:rPr>
      </w:pPr>
    </w:p>
    <w:p>
      <w:pPr>
        <w:ind w:left="920" w:right="40"/>
        <w:spacing w:after="0" w:line="342" w:lineRule="auto"/>
        <w:rPr>
          <w:sz w:val="20"/>
          <w:szCs w:val="20"/>
          <w:color w:val="auto"/>
        </w:rPr>
      </w:pPr>
      <w:r>
        <w:rPr>
          <w:rFonts w:ascii="Arial" w:cs="Arial" w:eastAsia="Arial" w:hAnsi="Arial"/>
          <w:sz w:val="16"/>
          <w:szCs w:val="16"/>
          <w:color w:val="auto"/>
        </w:rPr>
        <w:t>any Computer System operated by the Insured, whether owned or leased; or any Computer System identified in the application for this bond; or a Computer System first used by the Insured during the bond period, as provided by General Agreement B; provided the entry or change causes</w:t>
      </w:r>
    </w:p>
    <w:p>
      <w:pPr>
        <w:spacing w:after="0" w:line="29" w:lineRule="exact"/>
        <w:rPr>
          <w:sz w:val="20"/>
          <w:szCs w:val="20"/>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117"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In this Insuring Agreement, fraudulent entry or change shall include such entry or change made by an employee of the Insured acting in good faith</w:t>
      </w:r>
    </w:p>
    <w:p>
      <w:pPr>
        <w:spacing w:after="0" w:line="76" w:lineRule="exact"/>
        <w:rPr>
          <w:sz w:val="20"/>
          <w:szCs w:val="20"/>
          <w:color w:val="auto"/>
        </w:rPr>
      </w:pPr>
    </w:p>
    <w:p>
      <w:pPr>
        <w:ind w:left="1480" w:right="120" w:hanging="567"/>
        <w:spacing w:after="0" w:line="277"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75" w:lineRule="exact"/>
        <w:rPr>
          <w:rFonts w:ascii="Arial" w:cs="Arial" w:eastAsia="Arial" w:hAnsi="Arial"/>
          <w:sz w:val="18"/>
          <w:szCs w:val="18"/>
          <w:color w:val="auto"/>
        </w:rPr>
      </w:pPr>
    </w:p>
    <w:p>
      <w:pPr>
        <w:ind w:left="1480" w:right="560" w:hanging="567"/>
        <w:spacing w:after="0" w:line="277"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policy purportedly sent by a customer, financial institution, or automated clearing house.</w:t>
      </w:r>
    </w:p>
    <w:p>
      <w:pPr>
        <w:spacing w:after="0" w:line="31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DAT A PROCESSING SERVICE OPERATIONS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sustained by a Client of the Insured resulting directly from a fraudulent</w:t>
      </w:r>
    </w:p>
    <w:p>
      <w:pPr>
        <w:spacing w:after="0" w:line="131" w:lineRule="exact"/>
        <w:rPr>
          <w:sz w:val="20"/>
          <w:szCs w:val="20"/>
          <w:color w:val="auto"/>
        </w:rPr>
      </w:pPr>
    </w:p>
    <w:p>
      <w:pPr>
        <w:ind w:left="1480" w:hanging="56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entry of Electronic Data or a Computer Program into, or</w:t>
      </w:r>
    </w:p>
    <w:p>
      <w:pPr>
        <w:spacing w:after="0" w:line="130" w:lineRule="exact"/>
        <w:rPr>
          <w:rFonts w:ascii="Arial" w:cs="Arial" w:eastAsia="Arial" w:hAnsi="Arial"/>
          <w:sz w:val="18"/>
          <w:szCs w:val="18"/>
          <w:color w:val="auto"/>
        </w:rPr>
      </w:pPr>
    </w:p>
    <w:p>
      <w:pPr>
        <w:ind w:left="1480" w:right="260" w:hanging="567"/>
        <w:spacing w:after="0" w:line="277"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of Electronic Data or a Computer Program within a Computer System covered under the terms of the Computer Systems Fraud Insuring Agreement 1, or</w:t>
      </w:r>
    </w:p>
    <w:p>
      <w:pPr>
        <w:spacing w:after="0" w:line="62" w:lineRule="exact"/>
        <w:rPr>
          <w:rFonts w:ascii="Arial" w:cs="Arial" w:eastAsia="Arial" w:hAnsi="Arial"/>
          <w:sz w:val="18"/>
          <w:szCs w:val="18"/>
          <w:color w:val="auto"/>
        </w:rPr>
      </w:pPr>
    </w:p>
    <w:p>
      <w:pPr>
        <w:ind w:left="1100" w:hanging="179"/>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entry or change of Electronic Data during electronic transmission or physical transit from the Insured to its Client,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provided that the entry or change causes</w:t>
      </w:r>
    </w:p>
    <w:p>
      <w:pPr>
        <w:spacing w:after="0" w:line="131" w:lineRule="exact"/>
        <w:rPr>
          <w:sz w:val="20"/>
          <w:szCs w:val="20"/>
          <w:color w:val="auto"/>
        </w:rPr>
      </w:pPr>
    </w:p>
    <w:p>
      <w:pPr>
        <w:ind w:left="1480" w:hanging="567"/>
        <w:spacing w:after="0"/>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account of the Client, or a customer of the Client, to be added, deleted, debited or credited,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for which loss the Insured is legally liable to the Client as a provider of data processing services for such Client.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7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1 of 6</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492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8" w:name="page19"/>
    <w:bookmarkEnd w:id="18"/>
    <w:p>
      <w:pPr>
        <w:ind w:left="920"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Data Processing Servicing Operations Insuring Agreement, fraudulent entry or change shall include such entry or change made by an employee of the Insured acting in good faith</w:t>
      </w:r>
    </w:p>
    <w:p>
      <w:pPr>
        <w:spacing w:after="0" w:line="76" w:lineRule="exact"/>
        <w:rPr>
          <w:sz w:val="20"/>
          <w:szCs w:val="20"/>
          <w:color w:val="auto"/>
        </w:rPr>
      </w:pPr>
    </w:p>
    <w:p>
      <w:pPr>
        <w:ind w:left="1480" w:right="20" w:hanging="567"/>
        <w:spacing w:after="0" w:line="277" w:lineRule="auto"/>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75" w:lineRule="exact"/>
        <w:rPr>
          <w:rFonts w:ascii="Arial" w:cs="Arial" w:eastAsia="Arial" w:hAnsi="Arial"/>
          <w:sz w:val="18"/>
          <w:szCs w:val="18"/>
          <w:color w:val="auto"/>
        </w:rPr>
      </w:pPr>
    </w:p>
    <w:p>
      <w:pPr>
        <w:ind w:left="1480" w:right="540" w:hanging="567"/>
        <w:spacing w:after="0" w:line="277" w:lineRule="auto"/>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policy purportedly sent by a customer, financial institution, or automated clearing house.</w:t>
      </w:r>
    </w:p>
    <w:p>
      <w:pPr>
        <w:spacing w:after="0" w:line="62"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In this Data Processing Servicing Operations Insuring Agreement, Client means an entity for whom the Insured serves as data processor under the terms of a written agreement</w:t>
      </w:r>
    </w:p>
    <w:p>
      <w:pPr>
        <w:spacing w:after="0" w:line="315"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VOICE INITIATED TRANSFER FRAUD</w:t>
      </w:r>
    </w:p>
    <w:p>
      <w:pPr>
        <w:spacing w:after="0" w:line="121"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Loss resulting directly from the Insured having, in good faith, transferred Funds from a Customer’s account through a Computer System covered under the terms of the Computer Systems Fraud Insuring Agreement in reliance upon a fraudulent voice instruction transmitted by telephone which was purported to be from</w:t>
      </w:r>
    </w:p>
    <w:p>
      <w:pPr>
        <w:spacing w:after="0" w:line="87" w:lineRule="exact"/>
        <w:rPr>
          <w:sz w:val="20"/>
          <w:szCs w:val="20"/>
          <w:color w:val="auto"/>
        </w:rPr>
      </w:pPr>
    </w:p>
    <w:p>
      <w:pPr>
        <w:ind w:left="1480" w:hanging="567"/>
        <w:spacing w:after="0" w:line="277" w:lineRule="auto"/>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of the Insured who was authorized by the Customer to instruct the Insured to make such transfer,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individual person who is a Customer of the Insured, or</w:t>
      </w:r>
    </w:p>
    <w:p>
      <w:pPr>
        <w:spacing w:after="0" w:line="130" w:lineRule="exact"/>
        <w:rPr>
          <w:rFonts w:ascii="Arial" w:cs="Arial" w:eastAsia="Arial" w:hAnsi="Arial"/>
          <w:sz w:val="18"/>
          <w:szCs w:val="18"/>
          <w:color w:val="auto"/>
        </w:rPr>
      </w:pPr>
    </w:p>
    <w:p>
      <w:pPr>
        <w:jc w:val="both"/>
        <w:ind w:left="1480" w:right="100" w:hanging="567"/>
        <w:spacing w:after="0" w:line="264" w:lineRule="auto"/>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employee of the Insured in another office of the Insured who was authorized by the Insured to instruct other employees of the Insured to transfer Funds, and was received by an employees of the Insured specifically designated to receive and act upon such instructions, but the voice instruction was not from a person described in (1), (2), or (3) above,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required password(s) or code word(s) given;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transfer was in excess of $</w:t>
      </w:r>
      <w:r>
        <w:rPr>
          <w:rFonts w:ascii="Arial" w:cs="Arial" w:eastAsia="Arial" w:hAnsi="Arial"/>
          <w:sz w:val="18"/>
          <w:szCs w:val="18"/>
          <w:u w:val="single" w:color="auto"/>
          <w:color w:val="auto"/>
        </w:rPr>
        <w:t>50,000</w:t>
      </w:r>
      <w:r>
        <w:rPr>
          <w:rFonts w:ascii="Arial" w:cs="Arial" w:eastAsia="Arial" w:hAnsi="Arial"/>
          <w:sz w:val="18"/>
          <w:szCs w:val="18"/>
          <w:color w:val="auto"/>
        </w:rPr>
        <w:t>, the voice instruction was verified by a call-back according to a prearranged procedure.</w:t>
      </w:r>
    </w:p>
    <w:p>
      <w:pPr>
        <w:spacing w:after="0" w:line="117" w:lineRule="exact"/>
        <w:rPr>
          <w:sz w:val="20"/>
          <w:szCs w:val="20"/>
          <w:color w:val="auto"/>
        </w:rPr>
      </w:pPr>
    </w:p>
    <w:p>
      <w:pPr>
        <w:ind w:left="460" w:right="200"/>
        <w:spacing w:after="0" w:line="286" w:lineRule="auto"/>
        <w:rPr>
          <w:sz w:val="20"/>
          <w:szCs w:val="20"/>
          <w:color w:val="auto"/>
        </w:rPr>
      </w:pPr>
      <w:r>
        <w:rPr>
          <w:rFonts w:ascii="Arial" w:cs="Arial" w:eastAsia="Arial" w:hAnsi="Arial"/>
          <w:sz w:val="17"/>
          <w:szCs w:val="17"/>
          <w:color w:val="auto"/>
        </w:rPr>
        <w:t>As used in this Voice Initiated Transfer Fraud Insuring Agreement, Customer means an entity or individual which has a written agreement with the Insured authorizing the Insured to rely on voice instructions to initiate transfers and had provided the Insured with the names of persons authorized to initiate such transfers, and with which the Insured has established an instruction verification mechanism.</w:t>
      </w:r>
    </w:p>
    <w:p>
      <w:pPr>
        <w:spacing w:after="0" w:line="310"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TELEFACSIMILE TRANSFER FRAUD</w:t>
      </w:r>
    </w:p>
    <w:p>
      <w:pPr>
        <w:spacing w:after="0" w:line="121"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Loss resulting directly from the Insured having, in good faith, transferred or delivered Funds, Certificated Securities or Uncertificated Securities through a Computer System covered under the terms of Insuring Agreement 1 in reliance upon a fraudulent instruction received though a Telefacsimile Device, and which instruction</w:t>
      </w:r>
    </w:p>
    <w:p>
      <w:pPr>
        <w:spacing w:after="0" w:line="87"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but, in fact, was not originated by the Customer or entity whose identification it bears and</w:t>
      </w:r>
    </w:p>
    <w:p>
      <w:pPr>
        <w:spacing w:after="0" w:line="13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that, if the transfer was in excess of $</w:t>
      </w:r>
      <w:r>
        <w:rPr>
          <w:rFonts w:ascii="Arial" w:cs="Arial" w:eastAsia="Arial" w:hAnsi="Arial"/>
          <w:sz w:val="18"/>
          <w:szCs w:val="18"/>
          <w:u w:val="single" w:color="auto"/>
          <w:color w:val="auto"/>
        </w:rPr>
        <w:t>50,000</w:t>
      </w:r>
      <w:r>
        <w:rPr>
          <w:rFonts w:ascii="Arial" w:cs="Arial" w:eastAsia="Arial" w:hAnsi="Arial"/>
          <w:sz w:val="18"/>
          <w:szCs w:val="18"/>
          <w:color w:val="auto"/>
        </w:rPr>
        <w:t>, the instruction was verified by a call-back according to a prearranged procedure.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7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2 of 6</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492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ind w:left="460"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Telefacsimile Transfer Fraud Insuring Agreement, Customer means an entity or individual which has a written agreement with the Insured authorizing the Insured to rely on Telefacsimile Device instruction to initiate transfers and had provided the Insured with the names of persons authorized to initiate such transfers, and with which the Insured has established an instruction verification mechanism.</w:t>
      </w:r>
    </w:p>
    <w:p>
      <w:pPr>
        <w:spacing w:after="0" w:line="310"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DESTRUCTION OF DATA OR PROGRAMS BY HACKER</w:t>
      </w:r>
    </w:p>
    <w:p>
      <w:pPr>
        <w:spacing w:after="0" w:line="121" w:lineRule="exact"/>
        <w:rPr>
          <w:sz w:val="20"/>
          <w:szCs w:val="20"/>
          <w:color w:val="auto"/>
        </w:rPr>
      </w:pPr>
    </w:p>
    <w:p>
      <w:pPr>
        <w:ind w:left="460" w:right="160"/>
        <w:spacing w:after="0" w:line="342" w:lineRule="auto"/>
        <w:rPr>
          <w:sz w:val="20"/>
          <w:szCs w:val="20"/>
          <w:color w:val="auto"/>
        </w:rPr>
      </w:pPr>
      <w:r>
        <w:rPr>
          <w:rFonts w:ascii="Arial" w:cs="Arial" w:eastAsia="Arial" w:hAnsi="Arial"/>
          <w:sz w:val="16"/>
          <w:szCs w:val="16"/>
          <w:color w:val="auto"/>
        </w:rPr>
        <w:t>Loss resulting directly from the malicious destruction of, or damage to, Electronic Data or Computer Programs owned by the Insured or for which the Insured is legally liable while stored within a Computer System covered under the terms of the Computer Systems Fraud Insuring Agreement.</w:t>
      </w:r>
    </w:p>
    <w:p>
      <w:pPr>
        <w:spacing w:after="0" w:line="16"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The liability of the Company shall be limited to the cost of duplication of such Electronic Data or Computer Programs from other Electronic Data or Computer Programs which shall have been furnished by the Insured.</w:t>
      </w:r>
    </w:p>
    <w:p>
      <w:pPr>
        <w:spacing w:after="0" w:line="62"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Company will pay the cost incurred for computer time, computer programmers, consultants or other technical specialists as is reasonably necessary to restore the Computer Programs to substantially the previous level of operational capability.</w:t>
      </w:r>
    </w:p>
    <w:p>
      <w:pPr>
        <w:spacing w:after="0" w:line="32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DESTRUCTION OF DATA OR PROGRAMS BY VIRUS</w:t>
      </w:r>
    </w:p>
    <w:p>
      <w:pPr>
        <w:spacing w:after="0" w:line="121"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Loss resulting directly from the malicious destruction of, or damage to, Electronic Data or Computer Programs owned by the Insured or for which the Insured is legally liable while stored within a Computer System covered under the terms of the Computer Systems Fraud Insuring Agreement if such destruction or damage was caused by a computer program or similar instruction which was written or altered to incorporate a hidden instruction designed to destroy or damage Electronic Data or Computer Programs in the Computer System in which the computer program or instruction so written or so altered is used.</w:t>
      </w:r>
    </w:p>
    <w:p>
      <w:pPr>
        <w:spacing w:after="0" w:line="80"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liability of the Underwriter shall be limited to the cost of duplication of such Electronic Data or Computer Programs from other Electronic Data or Computer Programs which shall have been furnished by the Insured.</w:t>
      </w:r>
    </w:p>
    <w:p>
      <w:pPr>
        <w:spacing w:after="0" w:line="62"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Underwriter will pay the cost incurred for computer time, computer programmers, consultants, or other technical specialists as is reasonably necessary to restore the Computer Programs to substantially the previous level of operational capability.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Condition:</w:t>
      </w:r>
    </w:p>
    <w:p>
      <w:pPr>
        <w:spacing w:after="0" w:line="117" w:lineRule="exact"/>
        <w:rPr>
          <w:sz w:val="20"/>
          <w:szCs w:val="20"/>
          <w:color w:val="auto"/>
        </w:rPr>
      </w:pPr>
    </w:p>
    <w:p>
      <w:pPr>
        <w:ind w:left="460" w:right="80"/>
        <w:spacing w:after="0" w:line="286" w:lineRule="auto"/>
        <w:rPr>
          <w:sz w:val="20"/>
          <w:szCs w:val="20"/>
          <w:color w:val="auto"/>
        </w:rPr>
      </w:pPr>
      <w:r>
        <w:rPr>
          <w:rFonts w:ascii="Arial" w:cs="Arial" w:eastAsia="Arial" w:hAnsi="Arial"/>
          <w:sz w:val="17"/>
          <w:szCs w:val="17"/>
          <w:color w:val="auto"/>
        </w:rPr>
        <w:t>Under this Destruction Of Data Or Programs By Virus Insuring Agreement, “Single Loss” means all covered costs incurred by the Insured between the time destruction or damage is discovered and the time the Computer System is restored to substantially the previous level of operational capability. Recurrence of destruction or damage after the Computer System is restored shall constitute a separate “Single Loss”.</w:t>
      </w:r>
    </w:p>
    <w:p>
      <w:pPr>
        <w:spacing w:after="0" w:line="310"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VOICE COMPUTER SYSTEM FRAUD</w:t>
      </w:r>
    </w:p>
    <w:p>
      <w:pPr>
        <w:spacing w:after="0" w:line="12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Loss resulting directly from charges for voice telephone long-distance toll calls which were incurred due to the fraudulent use or fraudulent manipulation of an Account Code or System Password required to obtain access to a Voice Computer System owned or leased by the Insured, installed on the Insured’s premises, whose System Administration is performed and controlled by the Insured; provided, however, that the unauthorized access was not made possible by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7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3 of 6</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492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ind w:left="900" w:hanging="446"/>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to incorporate a System Password feature or failure to change the System Password at least once every 30 days thereafter, or</w:t>
      </w:r>
    </w:p>
    <w:p>
      <w:pPr>
        <w:spacing w:after="0" w:line="142"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to have a call-disconnect feature in operation to automatically terminate a caller’s access to the Voice Computer System after not more than three unsuccessful attempts to input an Account Code.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Special Condition:</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Under this Voice Computer System Fraud Insuring Agreement, “Single Loss” means loss resulting from toll call charges made only on telephone lines directly controlled by one Voice Computer System and only toll call charges occurring for a period of not more than 30 days inclusive of the date on which the first such toll call charge was made.</w:t>
      </w:r>
    </w:p>
    <w:p>
      <w:pPr>
        <w:spacing w:after="0" w:line="87" w:lineRule="exact"/>
        <w:rPr>
          <w:sz w:val="20"/>
          <w:szCs w:val="20"/>
          <w:color w:val="auto"/>
        </w:rPr>
      </w:pPr>
    </w:p>
    <w:p>
      <w:pPr>
        <w:ind w:left="460" w:right="1560" w:hanging="452"/>
        <w:spacing w:after="0" w:line="383" w:lineRule="auto"/>
        <w:tabs>
          <w:tab w:leader="none" w:pos="449"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Subsection B, Additional Offices Or Employees – Consolidation, Merger Or Purchase Of Assets, is amended to add the following: As used in this subsection, “assets” includes a Computer System.</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Section I, Definitions, of the Conditions And Limitations, is amended to add the following</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Account Code means a confidential and protected string of characters which identifies or authenticates a person and permits that person to gain access to a Voice Computer System for the purpose of making toll calls or utilizing voice mail box messaging capabilities or other similar functional features of the System.</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Computer Program means a set of related electronic instructions which direct the operations and functions of a computer or devices connected to it which enable the computer or devices to receive, process, store or send Electronic Data.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Computer System means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systems and applications software,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terminal devices,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related communication networks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which Electronic Data are electronically collected, transmitted, processed, stored and retrieved.</w:t>
      </w:r>
    </w:p>
    <w:p>
      <w:pPr>
        <w:spacing w:after="0" w:line="131" w:lineRule="exact"/>
        <w:rPr>
          <w:sz w:val="20"/>
          <w:szCs w:val="20"/>
          <w:color w:val="auto"/>
        </w:rPr>
      </w:pPr>
    </w:p>
    <w:p>
      <w:pPr>
        <w:ind w:left="900" w:right="42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Electronic Data means facts or information converted to a form usable in a Computer System by Computer Programs and which is stored on magnetic tapes or disks, or optical storage disks or other bulk media.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Funds means Money on deposit in an account.</w:t>
      </w:r>
    </w:p>
    <w:p>
      <w:pPr>
        <w:spacing w:after="0" w:line="130" w:lineRule="exact"/>
        <w:rPr>
          <w:rFonts w:ascii="Arial" w:cs="Arial" w:eastAsia="Arial" w:hAnsi="Arial"/>
          <w:sz w:val="18"/>
          <w:szCs w:val="18"/>
          <w:color w:val="auto"/>
        </w:rPr>
      </w:pPr>
    </w:p>
    <w:p>
      <w:pPr>
        <w:ind w:left="900" w:right="140" w:hanging="446"/>
        <w:spacing w:after="0" w:line="276"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System Administration means the performance of security functions including but not limited to defining authorized persons to access a Voice Computer System and adding, changing and deleting Account Codes or passwords in connection therewith; and invoking or revoking a System option which directs telephone call routing or which adds, moves or drops telephone lines or which performs any other similar activity allowed by a hardware or software-based System option that has been incorporated by a manufacturer or vendor into a System or any component thereof provided said System option is not intended for the sole use of such manufacturer or vendor.</w:t>
      </w:r>
    </w:p>
    <w:p>
      <w:pPr>
        <w:spacing w:after="0" w:line="77" w:lineRule="exact"/>
        <w:rPr>
          <w:rFonts w:ascii="Arial" w:cs="Arial" w:eastAsia="Arial" w:hAnsi="Arial"/>
          <w:sz w:val="17"/>
          <w:szCs w:val="17"/>
          <w:color w:val="auto"/>
        </w:rPr>
      </w:pPr>
    </w:p>
    <w:p>
      <w:pPr>
        <w:jc w:val="both"/>
        <w:ind w:left="900" w:right="32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System Maintenance means the performance of hard-ware and software installation, diagnostics and corrections and similar activities that are performed in the usual custom and practice by a manufacturer or vendor to establish or maintain the basic operational functionality of a Voice Computer System or any component thereof.</w:t>
      </w:r>
    </w:p>
    <w:p>
      <w:pPr>
        <w:spacing w:after="0" w:line="86" w:lineRule="exact"/>
        <w:rPr>
          <w:rFonts w:ascii="Arial" w:cs="Arial" w:eastAsia="Arial" w:hAnsi="Arial"/>
          <w:sz w:val="18"/>
          <w:szCs w:val="18"/>
          <w:color w:val="auto"/>
        </w:rPr>
      </w:pPr>
    </w:p>
    <w:p>
      <w:pPr>
        <w:jc w:val="both"/>
        <w:ind w:left="900" w:right="28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System Password means a confidential and protected string of characters, which identifies or authenticates a person and permits that person to gain access to a Voice Computer System or any portion thereof for the purpose of performing System Administration or System Maintenance activities.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7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4 of 6</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492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ind w:left="900" w:right="66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Telefacsimile Device means a machine capable of sending or receiving a duplicate image of a document by means of electronic impulses transmitted through a telephone line and which reproduces the duplicate image on paper.</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Tested means a method of authenticating the contents of a communication by placing a valid test key on it which has been agreed upon by the Insured and a customer, automated clearing house, or another financial institution for the purpose of protecting the integrity of the communication in the ordinary course of business.</w:t>
      </w:r>
    </w:p>
    <w:p>
      <w:pPr>
        <w:spacing w:after="0" w:line="73" w:lineRule="exact"/>
        <w:rPr>
          <w:sz w:val="20"/>
          <w:szCs w:val="20"/>
          <w:color w:val="auto"/>
        </w:rPr>
      </w:pPr>
    </w:p>
    <w:p>
      <w:pPr>
        <w:ind w:left="920" w:right="320"/>
        <w:spacing w:after="0" w:line="264" w:lineRule="auto"/>
        <w:rPr>
          <w:sz w:val="20"/>
          <w:szCs w:val="20"/>
          <w:color w:val="auto"/>
        </w:rPr>
      </w:pPr>
      <w:r>
        <w:rPr>
          <w:rFonts w:ascii="Arial" w:cs="Arial" w:eastAsia="Arial" w:hAnsi="Arial"/>
          <w:sz w:val="18"/>
          <w:szCs w:val="18"/>
          <w:color w:val="auto"/>
        </w:rPr>
        <w:t>Voice Computer System means a Computer System installed in one location which functions as a private branch exchange (PBX), voice mail processor, auto-mated call attendant or provides a similar capability used for the direction or routing of telephone calls in a voice communications network.</w:t>
      </w:r>
    </w:p>
    <w:p>
      <w:pPr>
        <w:spacing w:after="0" w:line="87"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 2, Exclusions, of the Conditions And Limitations, is amended to add the following:</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loss resulting directly or indirectly from entry or change of Electronic Data or Computer Programs in a Computer System, unless covered under the Computer Systems Fraud Insuring Agreement or the Data Processing Service Operations Insuring Agreement;</w:t>
      </w:r>
    </w:p>
    <w:p>
      <w:pPr>
        <w:spacing w:after="0" w:line="75" w:lineRule="exact"/>
        <w:rPr>
          <w:rFonts w:ascii="Arial" w:cs="Arial" w:eastAsia="Arial" w:hAnsi="Arial"/>
          <w:sz w:val="18"/>
          <w:szCs w:val="18"/>
          <w:color w:val="auto"/>
        </w:rPr>
      </w:pPr>
    </w:p>
    <w:p>
      <w:pPr>
        <w:ind w:left="900" w:right="340" w:hanging="446"/>
        <w:spacing w:after="0" w:line="308" w:lineRule="auto"/>
        <w:tabs>
          <w:tab w:leader="none" w:pos="9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loss resulting directly or indirectly from the Insured having transferred Funds in reliance on the validity of a voice instruction, unless covered under the Computer Systems Fraud Insuring Agreement or the Voice Initiated Transfer Fraud Insuring Agreement;</w:t>
      </w:r>
    </w:p>
    <w:p>
      <w:pPr>
        <w:spacing w:after="0" w:line="51" w:lineRule="exact"/>
        <w:rPr>
          <w:rFonts w:ascii="Arial" w:cs="Arial" w:eastAsia="Arial" w:hAnsi="Arial"/>
          <w:sz w:val="17"/>
          <w:szCs w:val="17"/>
          <w:color w:val="auto"/>
        </w:rPr>
      </w:pPr>
    </w:p>
    <w:p>
      <w:pPr>
        <w:ind w:left="900" w:right="300" w:hanging="446"/>
        <w:spacing w:after="0" w:line="342" w:lineRule="auto"/>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loss resulting directly or indirectly by the Insured having transferred or delivered Funds, Certificated Securities or Uncertificated Securities in reliance on an instruction received through a Telefacsimile Device unless covered under Telefacsimile Transfer Fraud Insuring Agreement;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loss resulting directly or indirectly from theft of confidential information;</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cost of duplication of Electronic Data or Computer Programs, unless covered under the Destruction Of Data Programs By Hacker Insuring Agreement or the Destruction Of Data Programs By Virus Insuring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loss involving a Voice Computer System, unless covered under the Voice Computer Systems Fraud Insuring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written instructions or advices,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telegraphic or cable instructions or advices;</w:t>
      </w:r>
    </w:p>
    <w:p>
      <w:pPr>
        <w:spacing w:after="0" w:line="117" w:lineRule="exact"/>
        <w:rPr>
          <w:sz w:val="20"/>
          <w:szCs w:val="20"/>
          <w:color w:val="auto"/>
        </w:rPr>
      </w:pPr>
    </w:p>
    <w:p>
      <w:pPr>
        <w:ind w:left="920" w:right="740"/>
        <w:spacing w:after="0" w:line="277" w:lineRule="auto"/>
        <w:rPr>
          <w:sz w:val="20"/>
          <w:szCs w:val="20"/>
          <w:color w:val="auto"/>
        </w:rPr>
      </w:pPr>
      <w:r>
        <w:rPr>
          <w:rFonts w:ascii="Arial" w:cs="Arial" w:eastAsia="Arial" w:hAnsi="Arial"/>
          <w:sz w:val="18"/>
          <w:szCs w:val="18"/>
          <w:color w:val="auto"/>
        </w:rPr>
        <w:t>unless the instructions or advices are Tested and the loss is covered under the Computer Systems Fraud Insuring Agreement or the Data Processing Service Operations Insuring Agreement;</w:t>
      </w:r>
    </w:p>
    <w:p>
      <w:pPr>
        <w:spacing w:after="0" w:line="76" w:lineRule="exact"/>
        <w:rPr>
          <w:sz w:val="20"/>
          <w:szCs w:val="20"/>
          <w:color w:val="auto"/>
        </w:rPr>
      </w:pPr>
    </w:p>
    <w:p>
      <w:pPr>
        <w:ind w:left="900" w:right="60" w:hanging="446"/>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loss resulting directly or indirectly from negotiable instruments, securities, documents or other written instruments which bear a forged signature, or are counterfeit, altered or otherwise fraudulent and which are used as source documentation in the preparation of Electronic Data or manually keyed into a data terminal;</w:t>
      </w:r>
    </w:p>
    <w:p>
      <w:pPr>
        <w:spacing w:after="0" w:line="86"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loss resulting directly or indirectly from the fraudulent preparation, or fraudulent modification of Computer Programs unless covered under the Computer Systems Fraud Insuring Agreement or the Data Processing Service Operations Insuring Agreement;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130" w:lineRule="exact"/>
        <w:rPr>
          <w:rFonts w:ascii="Arial" w:cs="Arial" w:eastAsia="Arial" w:hAnsi="Arial"/>
          <w:sz w:val="18"/>
          <w:szCs w:val="18"/>
          <w:color w:val="auto"/>
        </w:rPr>
      </w:pPr>
    </w:p>
    <w:p>
      <w:pPr>
        <w:ind w:left="1480" w:right="360" w:hanging="567"/>
        <w:spacing w:after="0" w:line="277"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mechanical failure, faulty construction, error in design, latent defect, fire, wear or tear, gradual deterioration, electrical disturbance or electrical surge which affects a Computer System,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failure or breakdown of electronic data processing media, 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error or omission in programming or processing;</w:t>
      </w:r>
    </w:p>
    <w:p>
      <w:pPr>
        <w:spacing w:after="0" w:line="13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loss as a result of a threat</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to do bodily harm to any person, or</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to do damage to the premises or property of the Insured, or</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to Computer System operations;</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5 of 6</w:t>
      </w:r>
    </w:p>
    <w:p>
      <w:pPr>
        <w:sectPr>
          <w:pgSz w:w="11900" w:h="16838" w:orient="portrait"/>
          <w:cols w:equalWidth="0" w:num="1">
            <w:col w:w="11420"/>
          </w:cols>
          <w:pgMar w:left="240" w:top="274" w:right="239" w:bottom="1440" w:gutter="0" w:footer="0" w:header="0"/>
        </w:sectPr>
      </w:pPr>
    </w:p>
    <w:bookmarkStart w:id="22" w:name="page23"/>
    <w:bookmarkEnd w:id="22"/>
    <w:p>
      <w:pPr>
        <w:ind w:left="900" w:right="22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loss resulting directly or indirectly from the use of a telephone credit, debit, charge, identification or similar card to gain access to the Insured’s Voice Computer System;</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customer identification or other cards;</w:t>
      </w:r>
    </w:p>
    <w:p>
      <w:pPr>
        <w:spacing w:after="0" w:line="75" w:lineRule="exact"/>
        <w:rPr>
          <w:rFonts w:ascii="Arial" w:cs="Arial" w:eastAsia="Arial" w:hAnsi="Arial"/>
          <w:sz w:val="18"/>
          <w:szCs w:val="18"/>
          <w:color w:val="auto"/>
        </w:rPr>
      </w:pPr>
    </w:p>
    <w:p>
      <w:pPr>
        <w:ind w:left="900" w:right="700" w:hanging="446"/>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loss resulting directly or indirectly from the input of Electronic Data into a Computer System terminal device either on the premises of a customer of the Insured or under the control of such customer by a person who had authorized access to the customer’s authentification mechanism.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356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6 of 6</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RICO EXCLUSION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Conditions And Limitations, Section 2, Exclusions, subsection (j), is deleted in its entirety and the following is inserted:</w:t>
      </w:r>
    </w:p>
    <w:p>
      <w:pPr>
        <w:spacing w:after="0" w:line="131" w:lineRule="exact"/>
        <w:rPr>
          <w:sz w:val="20"/>
          <w:szCs w:val="20"/>
          <w:color w:val="auto"/>
        </w:rPr>
      </w:pPr>
    </w:p>
    <w:p>
      <w:pPr>
        <w:jc w:val="both"/>
        <w:ind w:left="900" w:right="8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damages resulting from any civil, criminal or other legal proceeding in which the Insured is adjudicated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PF-37675 (05/12)</w:t>
            </w:r>
          </w:p>
        </w:tc>
        <w:tc>
          <w:tcPr>
            <w:tcW w:w="356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COUNTERFEIT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Insuring Agreements, Section (F), Counterfeit Currency, is deleted in its entirety, and the following is inserted:</w:t>
      </w:r>
    </w:p>
    <w:p>
      <w:pPr>
        <w:spacing w:after="0" w:line="131" w:lineRule="exact"/>
        <w:rPr>
          <w:sz w:val="20"/>
          <w:szCs w:val="20"/>
          <w:color w:val="auto"/>
        </w:rPr>
      </w:pPr>
    </w:p>
    <w:p>
      <w:pPr>
        <w:ind w:left="900" w:right="68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Loss resulting directly from the receipt by the Insured, in good faith, of any Counterfeit Money, Coin or Currency of the United States of America, Canada or any other country.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PF-33849 (05/11)</w:t>
            </w:r>
          </w:p>
        </w:tc>
        <w:tc>
          <w:tcPr>
            <w:tcW w:w="356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2011</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6</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252"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Insuring Agreements, Section A, Fidelity, is amended to add the following:</w:t>
      </w:r>
    </w:p>
    <w:p>
      <w:pPr>
        <w:spacing w:after="0" w:line="117" w:lineRule="exact"/>
        <w:rPr>
          <w:rFonts w:ascii="Arial" w:cs="Arial" w:eastAsia="Arial" w:hAnsi="Arial"/>
          <w:sz w:val="18"/>
          <w:szCs w:val="18"/>
          <w:color w:val="auto"/>
        </w:rPr>
      </w:pPr>
    </w:p>
    <w:p>
      <w:pPr>
        <w:ind w:left="460" w:right="200"/>
        <w:spacing w:after="0" w:line="277" w:lineRule="auto"/>
        <w:rPr>
          <w:rFonts w:ascii="Arial" w:cs="Arial" w:eastAsia="Arial" w:hAnsi="Arial"/>
          <w:sz w:val="18"/>
          <w:szCs w:val="18"/>
          <w:color w:val="auto"/>
        </w:rPr>
      </w:pPr>
      <w:r>
        <w:rPr>
          <w:rFonts w:ascii="Arial" w:cs="Arial" w:eastAsia="Arial" w:hAnsi="Arial"/>
          <w:sz w:val="18"/>
          <w:szCs w:val="18"/>
          <w:color w:val="auto"/>
        </w:rPr>
        <w:t>Audit Expense Coverage $50,000 in the aggregate, which is part of, and not in addition to, the Aggregate Limit of Liability shown on the Declaration Page of this bond, with a deductible of $5,000 applicable to each and every loss</w:t>
      </w:r>
    </w:p>
    <w:p>
      <w:pPr>
        <w:spacing w:after="0" w:line="62" w:lineRule="exact"/>
        <w:rPr>
          <w:rFonts w:ascii="Arial" w:cs="Arial" w:eastAsia="Arial" w:hAnsi="Arial"/>
          <w:sz w:val="18"/>
          <w:szCs w:val="18"/>
          <w:color w:val="auto"/>
        </w:rPr>
      </w:pPr>
    </w:p>
    <w:p>
      <w:pPr>
        <w:ind w:left="460" w:right="40"/>
        <w:spacing w:after="0" w:line="272" w:lineRule="auto"/>
        <w:rPr>
          <w:rFonts w:ascii="Arial" w:cs="Arial" w:eastAsia="Arial" w:hAnsi="Arial"/>
          <w:sz w:val="18"/>
          <w:szCs w:val="18"/>
          <w:color w:val="auto"/>
        </w:rPr>
      </w:pPr>
      <w:r>
        <w:rPr>
          <w:rFonts w:ascii="Arial" w:cs="Arial" w:eastAsia="Arial" w:hAnsi="Arial"/>
          <w:sz w:val="17"/>
          <w:szCs w:val="17"/>
          <w:color w:val="auto"/>
        </w:rPr>
        <w:t>Expense incurred by the Insured for that part of the cost of audits or examinations required by State of Federal supervisory authorities to be conducted either by such authorities or by independent accountants by reason of the discovery of loss sustained by the Insured through dishonest or fraudulent acts of any of the Employees. The total liability of the Underwriter for such expense by reason of such acts of any Employee or in which such Employee is concerned or implicated or with respect to any one audit or examination is limited to the amount stated opposite “Audit Expense Coverage”; it being understood, however, that such expense shall be deemed to be loss sustained by the Insured through dishonest or fraudulent acts of one or more of the Employees and the liability of the Underwriter under this paragraph of Insuring Agreement (A) shall be part of, and not in addition to, the Single Loss Limit of Liability stated in Item 4 of the Declarations.</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(d), is deleted in its entirety and the following is inserted:</w:t>
      </w:r>
    </w:p>
    <w:p>
      <w:pPr>
        <w:spacing w:after="0" w:line="117" w:lineRule="exact"/>
        <w:rPr>
          <w:rFonts w:ascii="Arial" w:cs="Arial" w:eastAsia="Arial" w:hAnsi="Arial"/>
          <w:sz w:val="18"/>
          <w:szCs w:val="18"/>
          <w:color w:val="auto"/>
        </w:rPr>
      </w:pPr>
    </w:p>
    <w:p>
      <w:pPr>
        <w:ind w:left="460" w:right="20" w:firstLine="4"/>
        <w:spacing w:after="0" w:line="259" w:lineRule="auto"/>
        <w:tabs>
          <w:tab w:leader="none" w:pos="715" w:val="left"/>
        </w:tabs>
        <w:numPr>
          <w:ilvl w:val="1"/>
          <w:numId w:val="76"/>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acts of any director or trustee of the Insured other than one employed as a salaried, pensioned or elected official or an Employee of the Insured, except when performing acts coming within the scope of the usual duties of an Employee, or while acting as a member of any committee duly elected or appointed by resolution of the board of directors or trustees of the Insured to perform specific, as distinguished from general, directorial acts on behalf of the Insured;</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(u), is deleted in its entirety and the following is inserted: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2"/>
          <w:numId w:val="76"/>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130" w:lineRule="exact"/>
        <w:rPr>
          <w:rFonts w:ascii="Arial" w:cs="Arial" w:eastAsia="Arial" w:hAnsi="Arial"/>
          <w:sz w:val="18"/>
          <w:szCs w:val="18"/>
          <w:color w:val="auto"/>
        </w:rPr>
      </w:pPr>
    </w:p>
    <w:p>
      <w:pPr>
        <w:ind w:left="1920" w:right="620" w:hanging="440"/>
        <w:spacing w:after="0" w:line="277" w:lineRule="auto"/>
        <w:tabs>
          <w:tab w:leader="none" w:pos="1920" w:val="left"/>
        </w:tabs>
        <w:numPr>
          <w:ilvl w:val="3"/>
          <w:numId w:val="76"/>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except to the extent covered under the portion of Insuring Agreement (A) entitled Audit Expense; or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3"/>
          <w:numId w:val="76"/>
        </w:numPr>
        <w:rPr>
          <w:rFonts w:ascii="Arial" w:cs="Arial" w:eastAsia="Arial" w:hAnsi="Arial"/>
          <w:sz w:val="17"/>
          <w:szCs w:val="17"/>
          <w:color w:val="auto"/>
        </w:rPr>
      </w:pPr>
      <w:r>
        <w:rPr>
          <w:rFonts w:ascii="Arial" w:cs="Arial" w:eastAsia="Arial" w:hAnsi="Arial"/>
          <w:sz w:val="17"/>
          <w:szCs w:val="17"/>
          <w:color w:val="auto"/>
        </w:rPr>
        <w:t>as a party to any legal proceeding whether or not such legal proceeding exposes the Insured to loss covered by this bond.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PF-33839 (05/11)</w:t>
            </w:r>
          </w:p>
        </w:tc>
        <w:tc>
          <w:tcPr>
            <w:tcW w:w="356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2011</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be attached to and form part of Financial Institution Bond, Standard Form No. 14 No. G25562823 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favor of TPG Specialty Lending, Inc.</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1480" w:right="560" w:hanging="567"/>
        <w:spacing w:after="0" w:line="277" w:lineRule="auto"/>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Those premises of Depositories listed in the following Schedule shall be deemed to be premises of the Insured but only as respects coverage on Certificated Securities: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w:t>
      </w:r>
    </w:p>
    <w:p>
      <w:pPr>
        <w:spacing w:after="0" w:line="225" w:lineRule="exact"/>
        <w:rPr>
          <w:sz w:val="20"/>
          <w:szCs w:val="20"/>
          <w:color w:val="auto"/>
        </w:rPr>
      </w:pPr>
    </w:p>
    <w:p>
      <w:pPr>
        <w:ind w:left="3260"/>
        <w:spacing w:after="0"/>
        <w:tabs>
          <w:tab w:leader="none" w:pos="6880" w:val="left"/>
        </w:tabs>
        <w:rPr>
          <w:sz w:val="20"/>
          <w:szCs w:val="20"/>
          <w:color w:val="auto"/>
        </w:rPr>
      </w:pPr>
      <w:r>
        <w:rPr>
          <w:rFonts w:ascii="Arial" w:cs="Arial" w:eastAsia="Arial" w:hAnsi="Arial"/>
          <w:sz w:val="18"/>
          <w:szCs w:val="18"/>
          <w:color w:val="auto"/>
        </w:rPr>
        <w:t>DEPOSITORY</w:t>
      </w:r>
      <w:r>
        <w:rPr>
          <w:sz w:val="20"/>
          <w:szCs w:val="20"/>
          <w:color w:val="auto"/>
        </w:rPr>
        <w:tab/>
      </w:r>
      <w:r>
        <w:rPr>
          <w:rFonts w:ascii="Arial" w:cs="Arial" w:eastAsia="Arial" w:hAnsi="Arial"/>
          <w:sz w:val="18"/>
          <w:szCs w:val="18"/>
          <w:color w:val="auto"/>
        </w:rPr>
        <w:t>LOCATION COVERED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ALL DEPOSITORIES USED BY THE INSURED</w:t>
      </w:r>
    </w:p>
    <w:p>
      <w:pPr>
        <w:spacing w:after="0" w:line="252" w:lineRule="exact"/>
        <w:rPr>
          <w:sz w:val="20"/>
          <w:szCs w:val="20"/>
          <w:color w:val="auto"/>
        </w:rPr>
      </w:pPr>
    </w:p>
    <w:p>
      <w:pPr>
        <w:ind w:left="1480" w:right="620" w:hanging="567"/>
        <w:spacing w:after="0" w:line="342" w:lineRule="auto"/>
        <w:tabs>
          <w:tab w:leader="none" w:pos="14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Certificated Securities held by such Depository shall be deemed to be Property as defined in the attached bond to the extent of the Insured’s interest therein as effected by the making of appropriate entries on the books and records of such Depository.</w:t>
      </w:r>
    </w:p>
    <w:p>
      <w:pPr>
        <w:spacing w:after="0" w:line="29" w:lineRule="exact"/>
        <w:rPr>
          <w:rFonts w:ascii="Arial" w:cs="Arial" w:eastAsia="Arial" w:hAnsi="Arial"/>
          <w:sz w:val="16"/>
          <w:szCs w:val="16"/>
          <w:color w:val="auto"/>
        </w:rPr>
      </w:pPr>
    </w:p>
    <w:p>
      <w:pPr>
        <w:ind w:left="1480" w:right="80" w:hanging="567"/>
        <w:spacing w:after="0" w:line="286" w:lineRule="auto"/>
        <w:tabs>
          <w:tab w:leader="none" w:pos="14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attached bond does not afford coverage in favor of any Depository listed in the Schedule above. When the Underwriter indemnifies the Insured for a loss covered hereunder, the Insured will assign the rights and causes of action to the extent of the claim payment against the Depository, or any other entity or person against whom it has a cause of action, to the Underwriter.</w:t>
      </w:r>
    </w:p>
    <w:p>
      <w:pPr>
        <w:spacing w:after="0" w:line="70" w:lineRule="exact"/>
        <w:rPr>
          <w:rFonts w:ascii="Arial" w:cs="Arial" w:eastAsia="Arial" w:hAnsi="Arial"/>
          <w:sz w:val="17"/>
          <w:szCs w:val="17"/>
          <w:color w:val="auto"/>
        </w:rPr>
      </w:pPr>
    </w:p>
    <w:p>
      <w:pPr>
        <w:ind w:left="1480" w:right="260" w:hanging="567"/>
        <w:spacing w:after="0" w:line="259"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rules of the Depository named in the Schedule above provide that the Insured shall be assessed for a portion of the judgment (or agreed settlement) taken by the Underwriter based upon the assignment set forth in part 3 above and the Insured actually pays such assessment, then the Underwriter will reimburse the Insured for the amount of the assessment but not exceeding the amount of the loss payment by the Underwriter.</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rider shall become effective as of 12:01 a.m. on 03/08/2016 standard time.</w:t>
      </w: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CENTRAL HANDLING OF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 STANDARD FORMS NOS. 14,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25 TO SCHEDULE THE PREMISES OF DEPOSITORIES.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REVISED TO OCTOBER, 1987.</w:t>
      </w:r>
    </w:p>
    <w:p>
      <w:pPr>
        <w:spacing w:after="0" w:line="116"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SR 5967e Printed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8</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UNAUTHORIZED SIGNATURES</w:t>
      </w:r>
    </w:p>
    <w:p>
      <w:pPr>
        <w:spacing w:after="0" w:line="256"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Section entitled Insuring Agreements is amended to add the following: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Unauthorized Signatures</w:t>
      </w:r>
    </w:p>
    <w:p>
      <w:pPr>
        <w:spacing w:after="0" w:line="130" w:lineRule="exact"/>
        <w:rPr>
          <w:rFonts w:ascii="Arial" w:cs="Arial" w:eastAsia="Arial" w:hAnsi="Arial"/>
          <w:sz w:val="18"/>
          <w:szCs w:val="18"/>
          <w:color w:val="auto"/>
        </w:rPr>
      </w:pPr>
    </w:p>
    <w:p>
      <w:pPr>
        <w:jc w:val="both"/>
        <w:ind w:left="900" w:right="120" w:hanging="325"/>
        <w:spacing w:after="0" w:line="259"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made or drawn on a customer’s account which bears the signature or endorsement of one other than a person whose name and signature is on file with the Insured as a signatory on such account. It shall be a condition precedent to the Insured’s right of recovery under this Coverage that the Insured shall have on file signature of all persons who are signatories on such account.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aggregate Limit of Liability on the Unauthorized Signatures Agreement is $100,000, and the deductible is $10,000.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PF-33854 (05/11)</w:t>
            </w:r>
          </w:p>
        </w:tc>
        <w:tc>
          <w:tcPr>
            <w:tcW w:w="356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2011</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9</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DISCOVERY AND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right="80" w:hanging="452"/>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first paragraph of General Agreements, Section F, Notice Of Legal Proceedings Against Insured – Election To Defend, is deleted in its entirety and the following is inserted:</w:t>
      </w:r>
    </w:p>
    <w:p>
      <w:pPr>
        <w:spacing w:after="0" w:line="62"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Office of General Counsel, Risk Management Department, or Human Resources Department</w:t>
      </w:r>
      <w:r>
        <w:rPr>
          <w:rFonts w:ascii="Arial" w:cs="Arial" w:eastAsia="Arial" w:hAnsi="Arial"/>
          <w:sz w:val="18"/>
          <w:szCs w:val="18"/>
          <w:color w:val="auto"/>
        </w:rPr>
        <w:t xml:space="preserve"> shall notify the Underwriter at the earliest practicable moment, not to exceed </w:t>
      </w:r>
      <w:r>
        <w:rPr>
          <w:rFonts w:ascii="Arial" w:cs="Arial" w:eastAsia="Arial" w:hAnsi="Arial"/>
          <w:sz w:val="18"/>
          <w:szCs w:val="18"/>
          <w:u w:val="single" w:color="auto"/>
          <w:color w:val="auto"/>
        </w:rPr>
        <w:t>90</w:t>
      </w:r>
      <w:r>
        <w:rPr>
          <w:rFonts w:ascii="Arial" w:cs="Arial" w:eastAsia="Arial" w:hAnsi="Arial"/>
          <w:sz w:val="18"/>
          <w:szCs w:val="18"/>
          <w:color w:val="auto"/>
        </w:rPr>
        <w:t xml:space="preserve">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Conditions And Limitations, Section 3, Discovery, is deleted in its entirety and the following is inserted:</w:t>
      </w:r>
    </w:p>
    <w:p>
      <w:pPr>
        <w:spacing w:after="0" w:line="117" w:lineRule="exact"/>
        <w:rPr>
          <w:rFonts w:ascii="Arial" w:cs="Arial" w:eastAsia="Arial" w:hAnsi="Arial"/>
          <w:sz w:val="18"/>
          <w:szCs w:val="18"/>
          <w:color w:val="auto"/>
        </w:rPr>
      </w:pPr>
    </w:p>
    <w:p>
      <w:pPr>
        <w:ind w:left="460" w:right="60"/>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This bond applies to loss discovered by the Insured during the Bond Period. Discovery occurs when the </w:t>
      </w:r>
      <w:r>
        <w:rPr>
          <w:rFonts w:ascii="Arial" w:cs="Arial" w:eastAsia="Arial" w:hAnsi="Arial"/>
          <w:sz w:val="17"/>
          <w:szCs w:val="17"/>
          <w:u w:val="single" w:color="auto"/>
          <w:color w:val="auto"/>
        </w:rPr>
        <w:t>Office of General Counsel, Risk Management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Department, or Human Resources Department</w:t>
      </w:r>
      <w:r>
        <w:rPr>
          <w:rFonts w:ascii="Arial" w:cs="Arial" w:eastAsia="Arial" w:hAnsi="Arial"/>
          <w:sz w:val="17"/>
          <w:szCs w:val="17"/>
          <w:color w:val="auto"/>
        </w:rPr>
        <w:t xml:space="preserve"> becomes aware of facts which would cause a reasonable person to assume that a loss of the type covered by this bond has been or will be incurred, even though the exact amount or details of loss may not then be known.</w:t>
      </w:r>
    </w:p>
    <w:p>
      <w:pPr>
        <w:spacing w:after="0" w:line="57"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Discovery also occurs when the </w:t>
      </w:r>
      <w:r>
        <w:rPr>
          <w:rFonts w:ascii="Arial" w:cs="Arial" w:eastAsia="Arial" w:hAnsi="Arial"/>
          <w:sz w:val="18"/>
          <w:szCs w:val="18"/>
          <w:u w:val="single" w:color="auto"/>
          <w:color w:val="auto"/>
        </w:rPr>
        <w:t>Office of General Counsel, Risk Management Department, or Human Resources Department</w:t>
      </w:r>
      <w:r>
        <w:rPr>
          <w:rFonts w:ascii="Arial" w:cs="Arial" w:eastAsia="Arial" w:hAnsi="Arial"/>
          <w:sz w:val="18"/>
          <w:szCs w:val="18"/>
          <w:color w:val="auto"/>
        </w:rPr>
        <w:t xml:space="preserve"> receives notice of an actual or potential claim in which it is alleged that the Insured is liable to a third party under circumstances which, if true, would constitute a loss under this bond.</w:t>
      </w:r>
    </w:p>
    <w:p>
      <w:pPr>
        <w:spacing w:after="0" w:line="8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first paragraph of Conditions And Limitations, Section 5, Notice/Proof – Legal Proceedings Against Underwriter, is deleted in its entirety and the following is inserted:</w:t>
      </w:r>
    </w:p>
    <w:p>
      <w:pPr>
        <w:spacing w:after="0" w:line="75" w:lineRule="exact"/>
        <w:rPr>
          <w:rFonts w:ascii="Arial" w:cs="Arial" w:eastAsia="Arial" w:hAnsi="Arial"/>
          <w:sz w:val="18"/>
          <w:szCs w:val="18"/>
          <w:color w:val="auto"/>
        </w:rPr>
      </w:pPr>
    </w:p>
    <w:p>
      <w:pPr>
        <w:jc w:val="both"/>
        <w:ind w:left="900" w:right="940" w:hanging="446"/>
        <w:spacing w:after="0" w:line="342" w:lineRule="auto"/>
        <w:tabs>
          <w:tab w:leader="none" w:pos="9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At the earliest practicable moment, not to exceed </w:t>
      </w:r>
      <w:r>
        <w:rPr>
          <w:rFonts w:ascii="Arial" w:cs="Arial" w:eastAsia="Arial" w:hAnsi="Arial"/>
          <w:sz w:val="16"/>
          <w:szCs w:val="16"/>
          <w:u w:val="single" w:color="auto"/>
          <w:color w:val="auto"/>
        </w:rPr>
        <w:t>90</w:t>
      </w:r>
      <w:r>
        <w:rPr>
          <w:rFonts w:ascii="Arial" w:cs="Arial" w:eastAsia="Arial" w:hAnsi="Arial"/>
          <w:sz w:val="16"/>
          <w:szCs w:val="16"/>
          <w:color w:val="auto"/>
        </w:rPr>
        <w:t xml:space="preserve"> days after discovery of loss by the </w:t>
      </w:r>
      <w:r>
        <w:rPr>
          <w:rFonts w:ascii="Arial" w:cs="Arial" w:eastAsia="Arial" w:hAnsi="Arial"/>
          <w:sz w:val="16"/>
          <w:szCs w:val="16"/>
          <w:u w:val="single" w:color="auto"/>
          <w:color w:val="auto"/>
        </w:rPr>
        <w:t>Office of General Counsel, Risk Management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Department, or Human Resources Department</w:t>
      </w:r>
      <w:r>
        <w:rPr>
          <w:rFonts w:ascii="Arial" w:cs="Arial" w:eastAsia="Arial" w:hAnsi="Arial"/>
          <w:sz w:val="16"/>
          <w:szCs w:val="16"/>
          <w:color w:val="auto"/>
        </w:rPr>
        <w:t xml:space="preserve"> the Insured shall give the Underwriter notice of all such losses which exceed $</w:t>
      </w:r>
      <w:r>
        <w:rPr>
          <w:rFonts w:ascii="Arial" w:cs="Arial" w:eastAsia="Arial" w:hAnsi="Arial"/>
          <w:sz w:val="16"/>
          <w:szCs w:val="16"/>
          <w:u w:val="single" w:color="auto"/>
          <w:color w:val="auto"/>
        </w:rPr>
        <w:t>25,000</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PF-39758 (04/13)</w:t>
            </w:r>
          </w:p>
        </w:tc>
        <w:tc>
          <w:tcPr>
            <w:tcW w:w="356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2013</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10</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CLAIMS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Insuring Agreements, is amended to add the following:</w:t>
      </w:r>
    </w:p>
    <w:p>
      <w:pPr>
        <w:spacing w:after="0" w:line="131"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CLAIMS EXPENSE</w:t>
      </w:r>
    </w:p>
    <w:p>
      <w:pPr>
        <w:spacing w:after="0" w:line="117" w:lineRule="exact"/>
        <w:rPr>
          <w:sz w:val="20"/>
          <w:szCs w:val="20"/>
          <w:color w:val="auto"/>
        </w:rPr>
      </w:pPr>
    </w:p>
    <w:p>
      <w:pPr>
        <w:ind w:left="920" w:right="360"/>
        <w:spacing w:after="0" w:line="312" w:lineRule="auto"/>
        <w:rPr>
          <w:sz w:val="20"/>
          <w:szCs w:val="20"/>
          <w:color w:val="auto"/>
        </w:rPr>
      </w:pPr>
      <w:r>
        <w:rPr>
          <w:rFonts w:ascii="Arial" w:cs="Arial" w:eastAsia="Arial" w:hAnsi="Arial"/>
          <w:sz w:val="16"/>
          <w:szCs w:val="16"/>
          <w:color w:val="auto"/>
        </w:rPr>
        <w:t>Reasonable expenses necessarily incurred and paid by the Insured in preparing any valid claim for loss as set forth in Insuring Agreements A through F, and any other valid coverage added by endorsement, which loss exceeds the Single Loss Deductible Amount of $</w:t>
      </w:r>
      <w:r>
        <w:rPr>
          <w:rFonts w:ascii="Arial" w:cs="Arial" w:eastAsia="Arial" w:hAnsi="Arial"/>
          <w:sz w:val="16"/>
          <w:szCs w:val="16"/>
          <w:u w:val="single" w:color="auto"/>
          <w:color w:val="auto"/>
        </w:rPr>
        <w:t>50,000</w:t>
      </w:r>
      <w:r>
        <w:rPr>
          <w:rFonts w:ascii="Arial" w:cs="Arial" w:eastAsia="Arial" w:hAnsi="Arial"/>
          <w:sz w:val="16"/>
          <w:szCs w:val="16"/>
          <w:color w:val="auto"/>
        </w:rPr>
        <w:t>. The Underwriter’s maximum liability for such expenses paid by the Insured in preparing all such claims shall be limited to $</w:t>
      </w:r>
      <w:r>
        <w:rPr>
          <w:rFonts w:ascii="Arial" w:cs="Arial" w:eastAsia="Arial" w:hAnsi="Arial"/>
          <w:sz w:val="16"/>
          <w:szCs w:val="16"/>
          <w:u w:val="single" w:color="auto"/>
          <w:color w:val="auto"/>
        </w:rPr>
        <w:t>50,000</w:t>
      </w:r>
      <w:r>
        <w:rPr>
          <w:rFonts w:ascii="Arial" w:cs="Arial" w:eastAsia="Arial" w:hAnsi="Arial"/>
          <w:sz w:val="16"/>
          <w:szCs w:val="16"/>
          <w:color w:val="auto"/>
        </w:rPr>
        <w:t>.</w:t>
      </w:r>
    </w:p>
    <w:p>
      <w:pPr>
        <w:spacing w:after="0" w:line="52"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(u), is deleted in its entirety and the following is inserted:</w:t>
      </w:r>
    </w:p>
    <w:p>
      <w:pPr>
        <w:spacing w:after="0" w:line="130" w:lineRule="exact"/>
        <w:rPr>
          <w:rFonts w:ascii="Arial" w:cs="Arial" w:eastAsia="Arial" w:hAnsi="Arial"/>
          <w:sz w:val="18"/>
          <w:szCs w:val="18"/>
          <w:color w:val="auto"/>
        </w:rPr>
      </w:pPr>
    </w:p>
    <w:p>
      <w:pPr>
        <w:ind w:left="1480" w:right="220" w:hanging="567"/>
        <w:spacing w:after="0" w:line="277"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 as a party to any legal proceeding whether or not such legal proceeding exposes the Insured to loss covered by this bond.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PF-37674 (05/12)</w:t>
            </w:r>
          </w:p>
        </w:tc>
        <w:tc>
          <w:tcPr>
            <w:tcW w:w="356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11</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be attached to and form part of Financial Institution Bond, Standard Form No. 14, No. G25562823 002 in favor of TPG Specialty Lending,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1480" w:right="420" w:hanging="567"/>
        <w:spacing w:after="0" w:line="312" w:lineRule="auto"/>
        <w:tabs>
          <w:tab w:leader="none" w:pos="14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attached bond shall not be canceled as provided in parts (a) and (b) of the Termination or Cancelation Condition, or modified by rider, except after written notice shall have been given by the acting party to the affected party, and to the Securities and Exchange Commission, Washington, D.C., not less than sixty days prior to the effective date of such cancelation or modification.</w:t>
      </w:r>
    </w:p>
    <w:p>
      <w:pPr>
        <w:spacing w:after="0" w:line="52" w:lineRule="exact"/>
        <w:rPr>
          <w:rFonts w:ascii="Arial" w:cs="Arial" w:eastAsia="Arial" w:hAnsi="Arial"/>
          <w:sz w:val="16"/>
          <w:szCs w:val="16"/>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rider shall become effective when the bond becomes effective.</w:t>
      </w:r>
    </w:p>
    <w:p>
      <w:pPr>
        <w:spacing w:after="0" w:line="200" w:lineRule="exact"/>
        <w:rPr>
          <w:sz w:val="20"/>
          <w:szCs w:val="20"/>
          <w:color w:val="auto"/>
        </w:rPr>
      </w:pPr>
    </w:p>
    <w:p>
      <w:pPr>
        <w:spacing w:after="0" w:line="23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S.E.C.-SOLE INSURED CANCELATION CLAUSE RIDER</w:t>
      </w:r>
    </w:p>
    <w:p>
      <w:pPr>
        <w:spacing w:after="0" w:line="229" w:lineRule="exact"/>
        <w:rPr>
          <w:sz w:val="20"/>
          <w:szCs w:val="20"/>
          <w:color w:val="auto"/>
        </w:rPr>
      </w:pPr>
    </w:p>
    <w:p>
      <w:pPr>
        <w:ind w:left="460" w:right="4100"/>
        <w:spacing w:after="0" w:line="259" w:lineRule="auto"/>
        <w:rPr>
          <w:sz w:val="20"/>
          <w:szCs w:val="20"/>
          <w:color w:val="auto"/>
        </w:rPr>
      </w:pPr>
      <w:r>
        <w:rPr>
          <w:rFonts w:ascii="Arial" w:cs="Arial" w:eastAsia="Arial" w:hAnsi="Arial"/>
          <w:sz w:val="18"/>
          <w:szCs w:val="18"/>
          <w:color w:val="auto"/>
        </w:rPr>
        <w:t>FOR USE WITH FINANCIAL INSTITUTION BOND, STANDARD FORM NO. 14, WHEN ISSUED TO A REGISTERED MANAGEMENT INVESTMENT COMPANY COVERED AS A SOLE INSURED, TO COMPLY WITH THE RULES OF THE SECURITIES AND EXCHANGE COMMISION.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ind w:left="460"/>
              <w:spacing w:after="0"/>
              <w:rPr>
                <w:sz w:val="20"/>
                <w:szCs w:val="20"/>
                <w:color w:val="auto"/>
              </w:rPr>
            </w:pPr>
            <w:r>
              <w:rPr>
                <w:rFonts w:ascii="Arial" w:cs="Arial" w:eastAsia="Arial" w:hAnsi="Arial"/>
                <w:sz w:val="18"/>
                <w:szCs w:val="18"/>
                <w:color w:val="auto"/>
              </w:rPr>
              <w:t>REVISED TO MAY, 2011</w:t>
            </w:r>
          </w:p>
        </w:tc>
        <w:tc>
          <w:tcPr>
            <w:tcW w:w="6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920" w:type="dxa"/>
            <w:vAlign w:val="bottom"/>
            <w:vMerge w:val="restart"/>
          </w:tcPr>
          <w:p>
            <w:pPr>
              <w:spacing w:after="0"/>
              <w:rPr>
                <w:sz w:val="20"/>
                <w:szCs w:val="20"/>
                <w:color w:val="auto"/>
              </w:rPr>
            </w:pPr>
            <w:r>
              <w:rPr>
                <w:rFonts w:ascii="Arial" w:cs="Arial" w:eastAsia="Arial" w:hAnsi="Arial"/>
                <w:sz w:val="18"/>
                <w:szCs w:val="18"/>
                <w:color w:val="auto"/>
              </w:rPr>
              <w:t>SR 5834d</w:t>
            </w:r>
          </w:p>
        </w:tc>
        <w:tc>
          <w:tcPr>
            <w:tcW w:w="6380" w:type="dxa"/>
            <w:vAlign w:val="bottom"/>
          </w:tcPr>
          <w:p>
            <w:pPr>
              <w:jc w:val="center"/>
              <w:ind w:right="690"/>
              <w:spacing w:after="0"/>
              <w:rPr>
                <w:sz w:val="20"/>
                <w:szCs w:val="20"/>
                <w:color w:val="auto"/>
              </w:rPr>
            </w:pPr>
            <w:r>
              <w:rPr>
                <w:rFonts w:ascii="Arial" w:cs="Arial" w:eastAsia="Arial" w:hAnsi="Arial"/>
                <w:sz w:val="18"/>
                <w:szCs w:val="18"/>
                <w:color w:val="auto"/>
                <w:w w:val="93"/>
              </w:rPr>
              <w:t>Copyright The Surety &amp; Fidelity Association of America, 2011</w:t>
            </w:r>
          </w:p>
        </w:tc>
        <w:tc>
          <w:tcPr>
            <w:tcW w:w="2120" w:type="dxa"/>
            <w:vAlign w:val="bottom"/>
            <w:vMerge w:val="restart"/>
          </w:tcPr>
          <w:p>
            <w:pPr>
              <w:ind w:left="130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6380" w:type="dxa"/>
            <w:vAlign w:val="bottom"/>
            <w:vMerge w:val="restart"/>
          </w:tcPr>
          <w:p>
            <w:pPr>
              <w:jc w:val="center"/>
              <w:ind w:right="670"/>
              <w:spacing w:after="0"/>
              <w:rPr>
                <w:sz w:val="20"/>
                <w:szCs w:val="20"/>
                <w:color w:val="auto"/>
              </w:rPr>
            </w:pPr>
            <w:r>
              <w:rPr>
                <w:rFonts w:ascii="Arial" w:cs="Arial" w:eastAsia="Arial" w:hAnsi="Arial"/>
                <w:sz w:val="18"/>
                <w:szCs w:val="18"/>
                <w:b w:val="1"/>
                <w:bCs w:val="1"/>
                <w:color w:val="auto"/>
              </w:rPr>
              <w:t>FI-A-36</w:t>
            </w: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638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12</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ERISA RIDER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employee benefit or welfare plan, now existing or hereinafter created or acquired, whether or not required, to be bonded under the Employee Retirement Income Security Act of 1974, as amended.</w:t>
      </w:r>
    </w:p>
    <w:p>
      <w:pPr>
        <w:spacing w:after="0" w:line="76" w:lineRule="exact"/>
        <w:rPr>
          <w:sz w:val="20"/>
          <w:szCs w:val="20"/>
          <w:color w:val="auto"/>
        </w:rPr>
      </w:pPr>
    </w:p>
    <w:p>
      <w:pPr>
        <w:jc w:val="both"/>
        <w:ind w:left="460" w:right="340" w:hanging="452"/>
        <w:spacing w:after="0" w:line="26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“Employee” as used in the attached bond shall include any natural person who is a director or trustee of the Insured while such director or trustee is engaged in handling funds or other property of any Employees Welfare or Pension Benefit Plan owned, controlled or operated by the Insured or any natural person who is a trustee, manager, officer or employee of any such Plan.</w:t>
      </w:r>
    </w:p>
    <w:p>
      <w:pPr>
        <w:spacing w:after="0" w:line="86" w:lineRule="exact"/>
        <w:rPr>
          <w:rFonts w:ascii="Arial" w:cs="Arial" w:eastAsia="Arial" w:hAnsi="Arial"/>
          <w:sz w:val="18"/>
          <w:szCs w:val="18"/>
          <w:color w:val="auto"/>
        </w:rPr>
      </w:pPr>
    </w:p>
    <w:p>
      <w:pPr>
        <w:ind w:left="460" w:right="140" w:hanging="452"/>
        <w:spacing w:after="0" w:line="276"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Plans Disclosure Act of 1958 to obtain under one or more bonds issued by one or more Insurers an amount of coverage for each such Plan at least equal to that which would be required if such Plans were bonded separately.</w:t>
      </w:r>
    </w:p>
    <w:p>
      <w:pPr>
        <w:spacing w:after="0" w:line="77" w:lineRule="exact"/>
        <w:rPr>
          <w:rFonts w:ascii="Arial" w:cs="Arial" w:eastAsia="Arial" w:hAnsi="Arial"/>
          <w:sz w:val="17"/>
          <w:szCs w:val="17"/>
          <w:color w:val="auto"/>
        </w:rPr>
      </w:pPr>
    </w:p>
    <w:p>
      <w:pPr>
        <w:ind w:left="460" w:right="60" w:hanging="452"/>
        <w:spacing w:after="0" w:line="257"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93"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70" w:lineRule="exact"/>
        <w:rPr>
          <w:rFonts w:ascii="Arial" w:cs="Arial" w:eastAsia="Arial" w:hAnsi="Arial"/>
          <w:sz w:val="17"/>
          <w:szCs w:val="17"/>
          <w:color w:val="auto"/>
        </w:rPr>
      </w:pPr>
    </w:p>
    <w:p>
      <w:pPr>
        <w:jc w:val="both"/>
        <w:ind w:left="460" w:right="300" w:hanging="452"/>
        <w:spacing w:after="0" w:line="26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86"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conditions, provisions, agreements or limitations of the bond, other than as stated herein.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rider is effective as of 12:01 a.m. on 03/08/2016.</w:t>
      </w:r>
    </w:p>
    <w:p>
      <w:pPr>
        <w:spacing w:after="0" w:line="117" w:lineRule="exact"/>
        <w:rPr>
          <w:rFonts w:ascii="Arial" w:cs="Arial" w:eastAsia="Arial" w:hAnsi="Arial"/>
          <w:sz w:val="18"/>
          <w:szCs w:val="18"/>
          <w:color w:val="auto"/>
        </w:rPr>
      </w:pPr>
    </w:p>
    <w:p>
      <w:pPr>
        <w:ind w:left="460" w:right="6260"/>
        <w:spacing w:after="0" w:line="269" w:lineRule="auto"/>
        <w:rPr>
          <w:rFonts w:ascii="Arial" w:cs="Arial" w:eastAsia="Arial" w:hAnsi="Arial"/>
          <w:sz w:val="18"/>
          <w:szCs w:val="18"/>
          <w:color w:val="auto"/>
        </w:rPr>
      </w:pPr>
      <w:r>
        <w:rPr>
          <w:rFonts w:ascii="Arial" w:cs="Arial" w:eastAsia="Arial" w:hAnsi="Arial"/>
          <w:sz w:val="17"/>
          <w:szCs w:val="17"/>
          <w:color w:val="auto"/>
        </w:rPr>
        <w:t>TO COMPLY WITH BONDING REGULATIONS MADE APPLICABLE TO THE EMPLOYEE RETIREMENT INCOME SECURITY ACT OF 1974. NOTE: This rider should not be used for any insured exempted from the bonding provisions</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of the Act.</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REVISED TO JUNE, 1990.</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080" w:val="left"/>
          <w:tab w:leader="none" w:pos="10580" w:val="left"/>
        </w:tabs>
        <w:rPr>
          <w:sz w:val="20"/>
          <w:szCs w:val="20"/>
          <w:color w:val="auto"/>
        </w:rPr>
      </w:pPr>
      <w:r>
        <w:rPr>
          <w:rFonts w:ascii="Arial" w:cs="Arial" w:eastAsia="Arial" w:hAnsi="Arial"/>
          <w:sz w:val="18"/>
          <w:szCs w:val="18"/>
          <w:color w:val="auto"/>
        </w:rPr>
        <w:t>SR 6145b</w:t>
      </w:r>
      <w:r>
        <w:rPr>
          <w:sz w:val="20"/>
          <w:szCs w:val="20"/>
          <w:color w:val="auto"/>
        </w:rPr>
        <w:tab/>
      </w:r>
      <w:r>
        <w:rPr>
          <w:rFonts w:ascii="Arial" w:cs="Arial" w:eastAsia="Arial" w:hAnsi="Arial"/>
          <w:sz w:val="18"/>
          <w:szCs w:val="18"/>
          <w:color w:val="auto"/>
        </w:rPr>
        <w:t>Printed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13</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REPRESENTATION OF THE INSURED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General Agreements, Section (D), REPRESENTATION OF INSURED, is deleted in its entirety and the following is inserted: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REPRESENTATION OF INSURED</w:t>
      </w:r>
    </w:p>
    <w:p>
      <w:pPr>
        <w:spacing w:after="0" w:line="252" w:lineRule="exact"/>
        <w:rPr>
          <w:sz w:val="20"/>
          <w:szCs w:val="20"/>
          <w:color w:val="auto"/>
        </w:rPr>
      </w:pPr>
    </w:p>
    <w:p>
      <w:pPr>
        <w:ind w:left="1480" w:right="480" w:hanging="567"/>
        <w:spacing w:after="0" w:line="277" w:lineRule="auto"/>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Insured represents that the information furnished in the application for this bond is complete, true and correct. Such application constitutes part of this bond.</w:t>
      </w:r>
    </w:p>
    <w:p>
      <w:pPr>
        <w:spacing w:after="0" w:line="62" w:lineRule="exact"/>
        <w:rPr>
          <w:rFonts w:ascii="Arial" w:cs="Arial" w:eastAsia="Arial" w:hAnsi="Arial"/>
          <w:sz w:val="18"/>
          <w:szCs w:val="18"/>
          <w:color w:val="auto"/>
        </w:rPr>
      </w:pPr>
    </w:p>
    <w:p>
      <w:pPr>
        <w:ind w:left="1500" w:right="240"/>
        <w:spacing w:after="0" w:line="277" w:lineRule="auto"/>
        <w:rPr>
          <w:rFonts w:ascii="Arial" w:cs="Arial" w:eastAsia="Arial" w:hAnsi="Arial"/>
          <w:sz w:val="18"/>
          <w:szCs w:val="18"/>
          <w:color w:val="auto"/>
        </w:rPr>
      </w:pPr>
      <w:r>
        <w:rPr>
          <w:rFonts w:ascii="Arial" w:cs="Arial" w:eastAsia="Arial" w:hAnsi="Arial"/>
          <w:sz w:val="18"/>
          <w:szCs w:val="18"/>
          <w:color w:val="auto"/>
        </w:rPr>
        <w:t>Any intentional misrepresentation, omission, concealment or any incorrect statement of a material fact, in the application or otherwise, shall be grounds for the rescission of this bond.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PF-37678 (05/12)</w:t>
            </w:r>
          </w:p>
        </w:tc>
        <w:tc>
          <w:tcPr>
            <w:tcW w:w="356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14</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be attached to and form part of Financial Institution Bond, Standard Form No. 14, No. G25562823 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favor of TPG Specialty Lending,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attached bond is hereby amended by adding an additional Insuring Agreement as follows:</w:t>
      </w:r>
    </w:p>
    <w:p>
      <w:pPr>
        <w:spacing w:after="0" w:line="117"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“(G) Loss resulting directly from the fact that an issuer of securities, transfer agent, bank, banker or trust company received from the Insured or the New York Stock Exchange specimen copies of the Insured’s mechanically reproduced facsimile signature and acted in reliance upon any false, fraudulent or unauthorized reproduction of such facsimile signature, whether such facsimile signature is the facsimile signature duly adopted by the Insured or is one resembling or purporting to be such facsimile signature, regardless of by whom or by what means the same may have been imprinted, and whether or not such loss is sustained by reason of the Insured’s having entered into an agreement to be legally liable when such facsimile signature or one resembling or purporting to be such facsimile signature is used, provided, however, that</w:t>
      </w:r>
    </w:p>
    <w:p>
      <w:pPr>
        <w:spacing w:after="0" w:line="70"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9440" w:type="dxa"/>
            <w:vAlign w:val="bottom"/>
            <w:gridSpan w:val="2"/>
          </w:tcPr>
          <w:p>
            <w:pPr>
              <w:ind w:left="80"/>
              <w:spacing w:after="0"/>
              <w:rPr>
                <w:sz w:val="20"/>
                <w:szCs w:val="20"/>
                <w:color w:val="auto"/>
              </w:rPr>
            </w:pPr>
            <w:r>
              <w:rPr>
                <w:rFonts w:ascii="Arial" w:cs="Arial" w:eastAsia="Arial" w:hAnsi="Arial"/>
                <w:sz w:val="18"/>
                <w:szCs w:val="18"/>
                <w:color w:val="auto"/>
              </w:rPr>
              <w:t>such facsimile signature is used on a document</w:t>
            </w:r>
          </w:p>
        </w:tc>
      </w:tr>
      <w:tr>
        <w:trPr>
          <w:trHeight w:val="323"/>
        </w:trPr>
        <w:tc>
          <w:tcPr>
            <w:tcW w:w="36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(1)</w:t>
            </w:r>
          </w:p>
        </w:tc>
        <w:tc>
          <w:tcPr>
            <w:tcW w:w="9020" w:type="dxa"/>
            <w:vAlign w:val="bottom"/>
          </w:tcPr>
          <w:p>
            <w:pPr>
              <w:ind w:left="120"/>
              <w:spacing w:after="0"/>
              <w:rPr>
                <w:sz w:val="20"/>
                <w:szCs w:val="20"/>
                <w:color w:val="auto"/>
              </w:rPr>
            </w:pPr>
            <w:r>
              <w:rPr>
                <w:rFonts w:ascii="Arial" w:cs="Arial" w:eastAsia="Arial" w:hAnsi="Arial"/>
                <w:sz w:val="18"/>
                <w:szCs w:val="18"/>
                <w:color w:val="auto"/>
                <w:w w:val="95"/>
              </w:rPr>
              <w:t>as the signature to an assignment or other instrument authorizing or effecting the transfer of shares of stock, or other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w w:val="91"/>
              </w:rPr>
              <w:t>registered securities, which may now or at any time hereafter be registered in the name of the insured on the books of the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association, company or corporation issuing the same; or</w:t>
            </w:r>
          </w:p>
        </w:tc>
      </w:tr>
      <w:tr>
        <w:trPr>
          <w:trHeight w:val="323"/>
        </w:trPr>
        <w:tc>
          <w:tcPr>
            <w:tcW w:w="36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(2)</w:t>
            </w:r>
          </w:p>
        </w:tc>
        <w:tc>
          <w:tcPr>
            <w:tcW w:w="9020" w:type="dxa"/>
            <w:vAlign w:val="bottom"/>
          </w:tcPr>
          <w:p>
            <w:pPr>
              <w:ind w:left="120"/>
              <w:spacing w:after="0"/>
              <w:rPr>
                <w:sz w:val="20"/>
                <w:szCs w:val="20"/>
                <w:color w:val="auto"/>
              </w:rPr>
            </w:pPr>
            <w:r>
              <w:rPr>
                <w:rFonts w:ascii="Arial" w:cs="Arial" w:eastAsia="Arial" w:hAnsi="Arial"/>
                <w:sz w:val="18"/>
                <w:szCs w:val="18"/>
                <w:color w:val="auto"/>
                <w:w w:val="89"/>
              </w:rPr>
              <w:t>as the signature to a power of substitution, designating a substitute or substitutes to make the actual transfer on the books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w w:val="90"/>
              </w:rPr>
              <w:t>the issuer of shares of stock, or other registered securities, in respect of which the insured may now or at any time hereafter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w w:val="94"/>
              </w:rPr>
              <w:t>be named as attorney to effect said transfer, whether said power of substitution is embodied in an endorsement on the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certificate for said shares of stock or other registered security or in a separate instrument;</w:t>
            </w:r>
          </w:p>
        </w:tc>
      </w:tr>
      <w:tr>
        <w:trPr>
          <w:trHeight w:val="323"/>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9440" w:type="dxa"/>
            <w:vAlign w:val="bottom"/>
            <w:gridSpan w:val="2"/>
          </w:tcPr>
          <w:p>
            <w:pPr>
              <w:ind w:left="80"/>
              <w:spacing w:after="0"/>
              <w:rPr>
                <w:sz w:val="20"/>
                <w:szCs w:val="20"/>
                <w:color w:val="auto"/>
              </w:rPr>
            </w:pPr>
            <w:r>
              <w:rPr>
                <w:rFonts w:ascii="Arial" w:cs="Arial" w:eastAsia="Arial" w:hAnsi="Arial"/>
                <w:sz w:val="18"/>
                <w:szCs w:val="18"/>
                <w:color w:val="auto"/>
                <w:w w:val="92"/>
              </w:rPr>
              <w:t>the New York Stock Exchange has not interposed any objections to the use by the Insured of such facsimile signature and such</w:t>
            </w:r>
          </w:p>
        </w:tc>
      </w:tr>
      <w:tr>
        <w:trPr>
          <w:trHeight w:val="230"/>
        </w:trPr>
        <w:tc>
          <w:tcPr>
            <w:tcW w:w="360" w:type="dxa"/>
            <w:vAlign w:val="bottom"/>
          </w:tcPr>
          <w:p>
            <w:pPr>
              <w:spacing w:after="0"/>
              <w:rPr>
                <w:sz w:val="20"/>
                <w:szCs w:val="20"/>
                <w:color w:val="auto"/>
              </w:rPr>
            </w:pPr>
          </w:p>
        </w:tc>
        <w:tc>
          <w:tcPr>
            <w:tcW w:w="9440" w:type="dxa"/>
            <w:vAlign w:val="bottom"/>
            <w:gridSpan w:val="2"/>
          </w:tcPr>
          <w:p>
            <w:pPr>
              <w:ind w:left="80"/>
              <w:spacing w:after="0"/>
              <w:rPr>
                <w:sz w:val="20"/>
                <w:szCs w:val="20"/>
                <w:color w:val="auto"/>
              </w:rPr>
            </w:pPr>
            <w:r>
              <w:rPr>
                <w:rFonts w:ascii="Arial" w:cs="Arial" w:eastAsia="Arial" w:hAnsi="Arial"/>
                <w:sz w:val="18"/>
                <w:szCs w:val="18"/>
                <w:color w:val="auto"/>
              </w:rPr>
              <w:t>agreement, if any, was required by the said Exchange as a condition to its failing to interpose any such objection; and</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rPr>
              <w:t>“(c)</w:t>
            </w:r>
          </w:p>
        </w:tc>
        <w:tc>
          <w:tcPr>
            <w:tcW w:w="9440" w:type="dxa"/>
            <w:vAlign w:val="bottom"/>
            <w:gridSpan w:val="2"/>
          </w:tcPr>
          <w:p>
            <w:pPr>
              <w:ind w:left="80"/>
              <w:spacing w:after="0"/>
              <w:rPr>
                <w:sz w:val="20"/>
                <w:szCs w:val="20"/>
                <w:color w:val="auto"/>
              </w:rPr>
            </w:pPr>
            <w:r>
              <w:rPr>
                <w:rFonts w:ascii="Arial" w:cs="Arial" w:eastAsia="Arial" w:hAnsi="Arial"/>
                <w:sz w:val="18"/>
                <w:szCs w:val="18"/>
                <w:color w:val="auto"/>
              </w:rPr>
              <w:t>this Insuring Agreement (G) shall not apply to any Certificated Securities which are Counterfeit”.</w:t>
            </w:r>
          </w:p>
        </w:tc>
      </w:tr>
    </w:tbl>
    <w:p>
      <w:pPr>
        <w:spacing w:after="0" w:line="107"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Sub-sections (a) and (e) of Section 2 of the attached bond shall not apply to Insuring Agreement (G).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rider shall become effective as of 12:01 a.m. on 03/08/2016.</w:t>
      </w:r>
    </w:p>
    <w:p>
      <w:pPr>
        <w:spacing w:after="0" w:line="15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INSURING AGREEMENT (G) RIDER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 STANDARD FORM NO. 14, WHEN ISSUED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 ELIGIBLE INSURED TO ADD INSURING AGREEMENT (G) TO PERMIT THE USE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SIGNATURES AS THE SIGNATURE TO AN ASSIGNMENT OR TO A POWER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SUBSTITUTION.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REVISED TO NOVEMBER, 1988.</w:t>
      </w:r>
    </w:p>
    <w:p>
      <w:pPr>
        <w:spacing w:after="0" w:line="131" w:lineRule="exact"/>
        <w:rPr>
          <w:sz w:val="20"/>
          <w:szCs w:val="20"/>
          <w:color w:val="auto"/>
        </w:rPr>
      </w:pPr>
    </w:p>
    <w:p>
      <w:pPr>
        <w:spacing w:after="0"/>
        <w:tabs>
          <w:tab w:leader="none" w:pos="1360" w:val="left"/>
          <w:tab w:leader="none" w:pos="10580" w:val="left"/>
        </w:tabs>
        <w:rPr>
          <w:sz w:val="20"/>
          <w:szCs w:val="20"/>
          <w:color w:val="auto"/>
        </w:rPr>
      </w:pPr>
      <w:r>
        <w:rPr>
          <w:rFonts w:ascii="Arial" w:cs="Arial" w:eastAsia="Arial" w:hAnsi="Arial"/>
          <w:sz w:val="18"/>
          <w:szCs w:val="18"/>
          <w:color w:val="auto"/>
        </w:rPr>
        <w:t>SR 5907a</w:t>
      </w:r>
      <w:r>
        <w:rPr>
          <w:sz w:val="20"/>
          <w:szCs w:val="20"/>
          <w:color w:val="auto"/>
        </w:rPr>
        <w:tab/>
      </w:r>
      <w:r>
        <w:rPr>
          <w:rFonts w:ascii="Arial" w:cs="Arial" w:eastAsia="Arial" w:hAnsi="Arial"/>
          <w:sz w:val="18"/>
          <w:szCs w:val="18"/>
          <w:color w:val="auto"/>
        </w:rPr>
        <w:t>Printed In the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15</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UNCERTIFICATED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Insuring Agreements, Section (E) – SECURITIES, Item (1) (e), is deleted in its entirety and the following is inserted: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Statement of Uncertificated Security in any book entry form.</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(w) is deleted in its entirety.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PF-37679 (05/12)</w:t>
            </w:r>
          </w:p>
        </w:tc>
        <w:tc>
          <w:tcPr>
            <w:tcW w:w="356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16</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DEFINITION OF EMPLOYEE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 Definitions, subsection (e), Employee, of the Conditions and Limitations, is amended to add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also means:</w:t>
      </w:r>
    </w:p>
    <w:p>
      <w:pPr>
        <w:spacing w:after="0" w:line="131" w:lineRule="exact"/>
        <w:rPr>
          <w:sz w:val="20"/>
          <w:szCs w:val="20"/>
          <w:color w:val="auto"/>
        </w:rPr>
      </w:pPr>
    </w:p>
    <w:p>
      <w:pPr>
        <w:ind w:left="900" w:hanging="446"/>
        <w:spacing w:after="0"/>
        <w:tabs>
          <w:tab w:leader="none" w:pos="90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Any natural person retained as a consultant of the Insured and supervised by the Insured under written contract with the Insured.</w:t>
      </w:r>
    </w:p>
    <w:p>
      <w:pPr>
        <w:spacing w:after="0" w:line="130" w:lineRule="exact"/>
        <w:rPr>
          <w:rFonts w:ascii="MS PGothic" w:cs="MS PGothic" w:eastAsia="MS PGothic" w:hAnsi="MS PGothic"/>
          <w:sz w:val="18"/>
          <w:szCs w:val="18"/>
          <w:color w:val="auto"/>
        </w:rPr>
      </w:pPr>
    </w:p>
    <w:p>
      <w:pPr>
        <w:ind w:left="900" w:right="60" w:hanging="446"/>
        <w:spacing w:after="0" w:line="277" w:lineRule="auto"/>
        <w:tabs>
          <w:tab w:leader="none" w:pos="90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Any person set forth in (1) through (6) above, who resigned, retires or is terminated from service of the Insured during the Bond period. Provided that this extension applies only:</w:t>
      </w:r>
    </w:p>
    <w:p>
      <w:pPr>
        <w:spacing w:after="0" w:line="75" w:lineRule="exact"/>
        <w:rPr>
          <w:rFonts w:ascii="MS PGothic" w:cs="MS PGothic" w:eastAsia="MS PGothic" w:hAnsi="MS PGothic"/>
          <w:sz w:val="18"/>
          <w:szCs w:val="18"/>
          <w:color w:val="auto"/>
        </w:rPr>
      </w:pPr>
    </w:p>
    <w:p>
      <w:pPr>
        <w:ind w:left="1480" w:hanging="567"/>
        <w:spacing w:after="0"/>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for a period of </w:t>
      </w:r>
      <w:r>
        <w:rPr>
          <w:rFonts w:ascii="Arial" w:cs="Arial" w:eastAsia="Arial" w:hAnsi="Arial"/>
          <w:sz w:val="18"/>
          <w:szCs w:val="18"/>
          <w:u w:val="single" w:color="auto"/>
          <w:color w:val="auto"/>
        </w:rPr>
        <w:t>60</w:t>
      </w:r>
      <w:r>
        <w:rPr>
          <w:rFonts w:ascii="Arial" w:cs="Arial" w:eastAsia="Arial" w:hAnsi="Arial"/>
          <w:sz w:val="18"/>
          <w:szCs w:val="18"/>
          <w:color w:val="auto"/>
        </w:rPr>
        <w:t xml:space="preserve"> days subsequent to such resignation, retirement or termination; and</w:t>
      </w:r>
    </w:p>
    <w:p>
      <w:pPr>
        <w:spacing w:after="0" w:line="130" w:lineRule="exact"/>
        <w:rPr>
          <w:rFonts w:ascii="Arial" w:cs="Arial" w:eastAsia="Arial" w:hAnsi="Arial"/>
          <w:sz w:val="18"/>
          <w:szCs w:val="18"/>
          <w:color w:val="auto"/>
        </w:rPr>
      </w:pPr>
    </w:p>
    <w:p>
      <w:pPr>
        <w:ind w:left="1480" w:right="460" w:hanging="567"/>
        <w:spacing w:after="0" w:line="277"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such resignation, retirement or termination has not arisen from or in connection with the discovery by the Insured of any actual or alleged dishonest, fraudulent or criminal act(s) of such person.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Employees on Leave or Military Service.</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Guest Students.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PF-39751 (04/13)</w:t>
            </w:r>
          </w:p>
        </w:tc>
        <w:tc>
          <w:tcPr>
            <w:tcW w:w="356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2013</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17</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OMNIBUS NAMED INSURED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Item 1 of the Declarations is deleted in its entirety and the following is inserted:</w:t>
      </w:r>
    </w:p>
    <w:p>
      <w:pPr>
        <w:spacing w:after="0" w:line="117" w:lineRule="exact"/>
        <w:rPr>
          <w:sz w:val="20"/>
          <w:szCs w:val="20"/>
          <w:color w:val="auto"/>
        </w:rPr>
      </w:pPr>
    </w:p>
    <w:p>
      <w:pPr>
        <w:ind w:left="460" w:right="120"/>
        <w:spacing w:after="0" w:line="276" w:lineRule="auto"/>
        <w:rPr>
          <w:sz w:val="20"/>
          <w:szCs w:val="20"/>
          <w:color w:val="auto"/>
        </w:rPr>
      </w:pPr>
      <w:r>
        <w:rPr>
          <w:rFonts w:ascii="Arial" w:cs="Arial" w:eastAsia="Arial" w:hAnsi="Arial"/>
          <w:sz w:val="17"/>
          <w:szCs w:val="17"/>
          <w:color w:val="auto"/>
        </w:rPr>
        <w:t>Item 1. Name of Insured (herein called Insured): TPG Specialty Lending, Inc., Subject to the provisions of General Agreement B, as amended, Insured also means: (i) any subsidiary, joint venture, limited liability company, limited partnership, or general partnership, in which 50% or more of the voting interests are owned directly or indirectly by TPG Specialty Lending, Inc., and only while such interest existed or continues to exist; and, (ii) any employee benefit or welfare plan sponsored by the Insured now existing or hereafter created or acquired, that is required to be bonded under the Employee Retirement Income Security Act of 1974, as amended, so long as the Insured sponsors such plan.</w:t>
      </w:r>
    </w:p>
    <w:p>
      <w:pPr>
        <w:sectPr>
          <w:pgSz w:w="11900" w:h="16838" w:orient="portrait"/>
          <w:cols w:equalWidth="0" w:num="1">
            <w:col w:w="11440"/>
          </w:cols>
          <w:pgMar w:left="240" w:top="270" w:right="219" w:bottom="1440" w:gutter="0" w:footer="0" w:header="0"/>
        </w:sectPr>
      </w:pP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Principal Address: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301 Commerce Street, Suite 3300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Fort Worth, TX 76102</w:t>
      </w:r>
    </w:p>
    <w:p>
      <w:pPr>
        <w:spacing w:after="0" w:line="200" w:lineRule="exact"/>
        <w:rPr>
          <w:sz w:val="20"/>
          <w:szCs w:val="20"/>
          <w:color w:val="auto"/>
        </w:rPr>
      </w:pPr>
    </w:p>
    <w:p>
      <w:pPr>
        <w:sectPr>
          <w:pgSz w:w="11900" w:h="16838" w:orient="portrait"/>
          <w:cols w:equalWidth="0" w:num="2">
            <w:col w:w="1780" w:space="600"/>
            <w:col w:w="9060"/>
          </w:cols>
          <w:pgMar w:left="240" w:top="270" w:right="2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PF-39759 (04/13)</w:t>
            </w:r>
          </w:p>
        </w:tc>
        <w:tc>
          <w:tcPr>
            <w:tcW w:w="356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2013</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type w:val="continuous"/>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18</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PRIVACY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Conditions And Limitations, section 2, Exclusions, is amended to add the following:</w:t>
      </w:r>
    </w:p>
    <w:p>
      <w:pPr>
        <w:spacing w:after="0" w:line="130" w:lineRule="exact"/>
        <w:rPr>
          <w:rFonts w:ascii="Arial" w:cs="Arial" w:eastAsia="Arial" w:hAnsi="Arial"/>
          <w:sz w:val="18"/>
          <w:szCs w:val="18"/>
          <w:color w:val="auto"/>
        </w:rPr>
      </w:pPr>
    </w:p>
    <w:p>
      <w:pPr>
        <w:ind w:left="900" w:right="100" w:hanging="446"/>
        <w:spacing w:after="0" w:line="276" w:lineRule="auto"/>
        <w:tabs>
          <w:tab w:leader="none" w:pos="9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loss resulting from the theft, disappearance, or destruction of, or access to, or disclosure or use of, or purported use or disclosure of, the Insured’s or another person’s or entity’s confidential or personal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77" w:lineRule="exact"/>
        <w:rPr>
          <w:rFonts w:ascii="Arial" w:cs="Arial" w:eastAsia="Arial" w:hAnsi="Arial"/>
          <w:sz w:val="17"/>
          <w:szCs w:val="17"/>
          <w:color w:val="auto"/>
        </w:rPr>
      </w:pPr>
    </w:p>
    <w:p>
      <w:pPr>
        <w:ind w:left="900" w:right="120" w:hanging="446"/>
        <w:spacing w:after="0" w:line="308" w:lineRule="auto"/>
        <w:tabs>
          <w:tab w:leader="none" w:pos="9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loss resulting from the theft, disappearance, or destruction of, or access to, or use or disclosure of, or purported use or disclosure of, credit, debit, charge, access, convenience, identification, stored-value or other cards or the information contained on such cards.</w:t>
      </w:r>
    </w:p>
    <w:p>
      <w:pPr>
        <w:spacing w:after="0" w:line="51" w:lineRule="exact"/>
        <w:rPr>
          <w:rFonts w:ascii="Arial" w:cs="Arial" w:eastAsia="Arial" w:hAnsi="Arial"/>
          <w:sz w:val="17"/>
          <w:szCs w:val="17"/>
          <w:color w:val="auto"/>
        </w:rPr>
      </w:pPr>
    </w:p>
    <w:p>
      <w:pPr>
        <w:ind w:left="900" w:right="200" w:hanging="446"/>
        <w:spacing w:after="0" w:line="255"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fees, costs, fines, penalties and other expenses incurred by an Insured arising out of the theft, disappearance, or destruction of, or access to, or disclosure or use of, or purported use or disclosure of, the Insured’s or another person’s or entity’s confidential or person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98" w:lineRule="exact"/>
        <w:rPr>
          <w:rFonts w:ascii="Arial" w:cs="Arial" w:eastAsia="Arial" w:hAnsi="Arial"/>
          <w:sz w:val="18"/>
          <w:szCs w:val="18"/>
          <w:color w:val="auto"/>
        </w:rPr>
      </w:pPr>
    </w:p>
    <w:p>
      <w:pPr>
        <w:ind w:left="900" w:right="220" w:hanging="446"/>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expenses related to the Insured’s obligations to comply with federal and state privacy laws and Payment Card Industry Data Security Standards (if applicable) arising from a data security breach, including, but not limited to, forensic audit expenses, fines, penalties and expenses related to notifying affected individuals when the affected individuals’ personally identifiable financial or medical information was stolen, accessed, downloaded or misappropriated while in the Insured’s care, custody or control.</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Conditions And Limitations, is amended to add the following:</w:t>
      </w:r>
    </w:p>
    <w:p>
      <w:pPr>
        <w:spacing w:after="0" w:line="117" w:lineRule="exact"/>
        <w:rPr>
          <w:rFonts w:ascii="Arial" w:cs="Arial" w:eastAsia="Arial" w:hAnsi="Arial"/>
          <w:sz w:val="18"/>
          <w:szCs w:val="18"/>
          <w:color w:val="auto"/>
        </w:rPr>
      </w:pPr>
    </w:p>
    <w:p>
      <w:pPr>
        <w:ind w:left="460" w:right="80"/>
        <w:spacing w:after="0" w:line="255" w:lineRule="auto"/>
        <w:rPr>
          <w:rFonts w:ascii="Arial" w:cs="Arial" w:eastAsia="Arial" w:hAnsi="Arial"/>
          <w:sz w:val="18"/>
          <w:szCs w:val="18"/>
          <w:color w:val="auto"/>
        </w:rPr>
      </w:pPr>
      <w:r>
        <w:rPr>
          <w:rFonts w:ascii="Arial" w:cs="Arial" w:eastAsia="Arial" w:hAnsi="Arial"/>
          <w:sz w:val="18"/>
          <w:szCs w:val="18"/>
          <w:color w:val="auto"/>
        </w:rPr>
        <w:t>Notwithstanding anything in this Bond to the contrary, including but not limited to any Insuring Agreement or endorsement providing for any coverage whatsoever for fees, costs or expenses, in no event shall there be any coverage under this Bond for fees, costs and expenses arising out of the theft, disappearance, or destruction of, or access to, or disclosure or use of, or purported use or disclosure of, the Insured’s or another person’s or entity’s confidential or person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policy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49"/>
        </w:trPr>
        <w:tc>
          <w:tcPr>
            <w:tcW w:w="3320" w:type="dxa"/>
            <w:vAlign w:val="bottom"/>
          </w:tcPr>
          <w:p>
            <w:pPr>
              <w:spacing w:after="0"/>
              <w:rPr>
                <w:sz w:val="20"/>
                <w:szCs w:val="20"/>
                <w:color w:val="auto"/>
              </w:rPr>
            </w:pPr>
            <w:r>
              <w:rPr>
                <w:rFonts w:ascii="Arial" w:cs="Arial" w:eastAsia="Arial" w:hAnsi="Arial"/>
                <w:sz w:val="18"/>
                <w:szCs w:val="18"/>
                <w:color w:val="auto"/>
              </w:rPr>
              <w:t>PF-42750 (07/14)</w:t>
            </w:r>
          </w:p>
        </w:tc>
        <w:tc>
          <w:tcPr>
            <w:tcW w:w="354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2014</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95"/>
        </w:trPr>
        <w:tc>
          <w:tcPr>
            <w:tcW w:w="3320" w:type="dxa"/>
            <w:vAlign w:val="bottom"/>
            <w:vMerge w:val="restart"/>
          </w:tcPr>
          <w:p>
            <w:pPr>
              <w:spacing w:after="0"/>
              <w:rPr>
                <w:sz w:val="20"/>
                <w:szCs w:val="20"/>
                <w:color w:val="auto"/>
              </w:rPr>
            </w:pPr>
            <w:r>
              <w:rPr>
                <w:rFonts w:ascii="Arial" w:cs="Arial" w:eastAsia="Arial" w:hAnsi="Arial"/>
                <w:sz w:val="18"/>
                <w:szCs w:val="18"/>
                <w:color w:val="auto"/>
              </w:rPr>
              <w:t>FI Bonds 14 &amp; 24</w:t>
            </w:r>
          </w:p>
        </w:tc>
        <w:tc>
          <w:tcPr>
            <w:tcW w:w="354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vMerge w:val="continue"/>
          </w:tcPr>
          <w:p>
            <w:pPr>
              <w:spacing w:after="0"/>
              <w:rPr>
                <w:sz w:val="11"/>
                <w:szCs w:val="11"/>
                <w:color w:val="auto"/>
              </w:rPr>
            </w:pPr>
          </w:p>
        </w:tc>
        <w:tc>
          <w:tcPr>
            <w:tcW w:w="35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-273685</wp:posOffset>
            </wp:positionV>
            <wp:extent cx="15430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19</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DEDUCTIBLE AMOUNT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11., DEDUCTIBLE AMOUNT, of the attached bond is amended to include the following:</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shall be no Single Loss Deductible amount applicable to any loss under Insuring Agreement (A), Employee Dishonesty, sustained by any business development company in compliance with Section 54 of the Investment Company Act of 1940.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40" w:type="dxa"/>
            <w:vAlign w:val="bottom"/>
          </w:tcPr>
          <w:p>
            <w:pPr>
              <w:spacing w:after="0"/>
              <w:rPr>
                <w:sz w:val="20"/>
                <w:szCs w:val="20"/>
                <w:color w:val="auto"/>
              </w:rPr>
            </w:pPr>
            <w:r>
              <w:rPr>
                <w:rFonts w:ascii="Arial" w:cs="Arial" w:eastAsia="Arial" w:hAnsi="Arial"/>
                <w:sz w:val="18"/>
                <w:szCs w:val="18"/>
                <w:color w:val="auto"/>
              </w:rPr>
              <w:t>MS-47981 (03/16)</w:t>
            </w:r>
          </w:p>
        </w:tc>
        <w:tc>
          <w:tcPr>
            <w:tcW w:w="3520" w:type="dxa"/>
            <w:vAlign w:val="bottom"/>
            <w:vMerge w:val="restart"/>
          </w:tcPr>
          <w:p>
            <w:pPr>
              <w:jc w:val="right"/>
              <w:ind w:right="910"/>
              <w:spacing w:after="0"/>
              <w:rPr>
                <w:sz w:val="20"/>
                <w:szCs w:val="20"/>
                <w:color w:val="auto"/>
              </w:rPr>
            </w:pPr>
            <w:r>
              <w:rPr>
                <w:rFonts w:ascii="Arial" w:cs="Arial" w:eastAsia="Arial" w:hAnsi="Arial"/>
                <w:sz w:val="18"/>
                <w:szCs w:val="18"/>
                <w:color w:val="auto"/>
              </w:rPr>
              <w:t>© 2016</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3520" w:type="dxa"/>
            <w:vAlign w:val="bottom"/>
            <w:vMerge w:val="continue"/>
          </w:tcPr>
          <w:p>
            <w:pPr>
              <w:spacing w:after="0"/>
              <w:rPr>
                <w:sz w:val="7"/>
                <w:szCs w:val="7"/>
                <w:color w:val="auto"/>
              </w:rPr>
            </w:pPr>
          </w:p>
        </w:tc>
        <w:tc>
          <w:tcPr>
            <w:tcW w:w="4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-187960</wp:posOffset>
            </wp:positionV>
            <wp:extent cx="154305"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002</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03/08/2016 to 03/08/2017</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03/08/2016</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TRADE OR ECONOMIC SANCTIONS ENDORSEMENT</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insurance does not apply to the extent that trade or economic sanctions or other laws or regulations prohibit us from providing insurance, including, but not limited to, the payment of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the policy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Authorized Agent</w:t>
      </w:r>
    </w:p>
    <w:p>
      <w:pPr>
        <w:spacing w:after="0" w:line="158"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ALL-21101 (11/06) Ptd.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ACE Producer Compensation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Practices &amp; Policies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ACE believes that policyholders should have access to information about ACE’s practices and policies related to the payment of compensation to brokers and independent agents. You can obtain that information by accessing our website at </w:t>
      </w:r>
      <w:r>
        <w:rPr>
          <w:rFonts w:ascii="Arial" w:cs="Arial" w:eastAsia="Arial" w:hAnsi="Arial"/>
          <w:sz w:val="18"/>
          <w:szCs w:val="18"/>
          <w:u w:val="single" w:color="auto"/>
          <w:color w:val="auto"/>
        </w:rPr>
        <w:t>http://www.aceproducercompensation.com</w:t>
      </w:r>
      <w:r>
        <w:rPr>
          <w:rFonts w:ascii="Arial" w:cs="Arial" w:eastAsia="Arial" w:hAnsi="Arial"/>
          <w:sz w:val="18"/>
          <w:szCs w:val="18"/>
          <w:color w:val="auto"/>
        </w:rPr>
        <w:t xml:space="preserve"> or by calling the following toll-free telephone number: 1-866-512-2862.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ALL-20887 (10/06)</w:t>
      </w:r>
    </w:p>
    <w:p>
      <w:pPr>
        <w:sectPr>
          <w:pgSz w:w="11900" w:h="16838" w:orient="portrait"/>
          <w:cols w:equalWidth="0" w:num="1">
            <w:col w:w="11360"/>
          </w:cols>
          <w:pgMar w:left="240" w:top="1404" w:right="2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80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780415"/>
                    </a:xfrm>
                    <a:prstGeom prst="rect">
                      <a:avLst/>
                    </a:prstGeom>
                    <a:noFill/>
                  </pic:spPr>
                </pic:pic>
              </a:graphicData>
            </a:graphic>
          </wp:anchor>
        </w:drawing>
        <w:t>U.S. Treasury Department’s Office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Of Foreign Assets Control (“OFAC”)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Advisory Notice to Policyholders</w:t>
      </w:r>
    </w:p>
    <w:p>
      <w:pPr>
        <w:spacing w:after="0" w:line="200" w:lineRule="exact"/>
        <w:rPr>
          <w:sz w:val="20"/>
          <w:szCs w:val="20"/>
          <w:color w:val="auto"/>
        </w:rPr>
      </w:pPr>
    </w:p>
    <w:p>
      <w:pPr>
        <w:spacing w:after="0" w:line="24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color w:val="auto"/>
        </w:rPr>
        <w:t xml:space="preserve">This Notice provides information concerning possible impact on your insurance coverage due to directives issued by OFAC. </w:t>
      </w:r>
      <w:r>
        <w:rPr>
          <w:rFonts w:ascii="Arial" w:cs="Arial" w:eastAsia="Arial" w:hAnsi="Arial"/>
          <w:sz w:val="18"/>
          <w:szCs w:val="18"/>
          <w:b w:val="1"/>
          <w:bCs w:val="1"/>
          <w:color w:val="auto"/>
        </w:rPr>
        <w:t>Please read this Notice</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Office of Foreign Assets Control (OFAC) administers and enforces sanctions policy, based on Presidential declarations of “national emergency”. OFAC has identified and listed numerous:</w:t>
      </w:r>
    </w:p>
    <w:p>
      <w:pPr>
        <w:spacing w:after="0" w:line="76"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Foreign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Front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Terrorists;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Terrorist organizations;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Narcotics traffickers;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“Specially Designated Nationals and Blocked Persons”. This list can be located on the United States Treasury’s web site – http//www.treas.gov/ofac.</w:t>
      </w:r>
    </w:p>
    <w:p>
      <w:pPr>
        <w:spacing w:after="0" w:line="23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PF-17914 (2/05)</w:t>
            </w:r>
          </w:p>
        </w:tc>
        <w:tc>
          <w:tcPr>
            <w:tcW w:w="6060" w:type="dxa"/>
            <w:vAlign w:val="bottom"/>
          </w:tcPr>
          <w:p>
            <w:pPr>
              <w:jc w:val="center"/>
              <w:ind w:right="70"/>
              <w:spacing w:after="0"/>
              <w:rPr>
                <w:sz w:val="20"/>
                <w:szCs w:val="20"/>
                <w:color w:val="auto"/>
              </w:rPr>
            </w:pPr>
            <w:r>
              <w:rPr>
                <w:rFonts w:ascii="Arial" w:cs="Arial" w:eastAsia="Arial" w:hAnsi="Arial"/>
                <w:sz w:val="18"/>
                <w:szCs w:val="18"/>
                <w:color w:val="auto"/>
                <w:w w:val="92"/>
              </w:rPr>
              <w:t>Reprinted, in part, with permission of</w:t>
            </w:r>
          </w:p>
        </w:tc>
        <w:tc>
          <w:tcPr>
            <w:tcW w:w="2580" w:type="dxa"/>
            <w:vAlign w:val="bottom"/>
          </w:tcPr>
          <w:p>
            <w:pPr>
              <w:ind w:left="1760"/>
              <w:spacing w:after="0"/>
              <w:rPr>
                <w:sz w:val="20"/>
                <w:szCs w:val="20"/>
                <w:color w:val="auto"/>
              </w:rPr>
            </w:pPr>
            <w:r>
              <w:rPr>
                <w:rFonts w:ascii="Arial" w:cs="Arial" w:eastAsia="Arial" w:hAnsi="Arial"/>
                <w:sz w:val="18"/>
                <w:szCs w:val="18"/>
                <w:color w:val="auto"/>
                <w:w w:val="86"/>
              </w:rPr>
              <w:t>Page 1 of 1</w:t>
            </w:r>
          </w:p>
        </w:tc>
      </w:tr>
      <w:tr>
        <w:trPr>
          <w:trHeight w:val="230"/>
        </w:trPr>
        <w:tc>
          <w:tcPr>
            <w:tcW w:w="2780" w:type="dxa"/>
            <w:vAlign w:val="bottom"/>
          </w:tcPr>
          <w:p>
            <w:pPr>
              <w:spacing w:after="0"/>
              <w:rPr>
                <w:sz w:val="20"/>
                <w:szCs w:val="20"/>
                <w:color w:val="auto"/>
              </w:rPr>
            </w:pPr>
          </w:p>
        </w:tc>
        <w:tc>
          <w:tcPr>
            <w:tcW w:w="6060" w:type="dxa"/>
            <w:vAlign w:val="bottom"/>
          </w:tcPr>
          <w:p>
            <w:pPr>
              <w:jc w:val="center"/>
              <w:ind w:right="70"/>
              <w:spacing w:after="0"/>
              <w:rPr>
                <w:sz w:val="20"/>
                <w:szCs w:val="20"/>
                <w:color w:val="auto"/>
              </w:rPr>
            </w:pPr>
            <w:r>
              <w:rPr>
                <w:rFonts w:ascii="Arial" w:cs="Arial" w:eastAsia="Arial" w:hAnsi="Arial"/>
                <w:sz w:val="18"/>
                <w:szCs w:val="18"/>
                <w:color w:val="auto"/>
                <w:w w:val="90"/>
              </w:rPr>
              <w:t>ISO Properties, Inc.</w:t>
            </w:r>
          </w:p>
        </w:tc>
        <w:tc>
          <w:tcPr>
            <w:tcW w:w="25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1"/>
    </w:lvl>
  </w:abstractNum>
  <w:abstractNum w:abstractNumId="1">
    <w:nsid w:val="6DE91B18"/>
    <w:multiLevelType w:val="hybridMultilevel"/>
    <w:lvl w:ilvl="0">
      <w:lvlJc w:val="left"/>
      <w:lvlText w:val="%1."/>
      <w:numFmt w:val="decimal"/>
      <w:start w:val="1"/>
    </w:lvl>
  </w:abstractNum>
  <w:abstractNum w:abstractNumId="2">
    <w:nsid w:val="38437FDB"/>
    <w:multiLevelType w:val="hybridMultilevel"/>
    <w:lvl w:ilvl="0">
      <w:lvlJc w:val="left"/>
      <w:lvlText w:val="(%1)"/>
      <w:numFmt w:val="upperLetter"/>
      <w:start w:val="1"/>
    </w:lvl>
  </w:abstractNum>
  <w:abstractNum w:abstractNumId="3">
    <w:nsid w:val="7644A45C"/>
    <w:multiLevelType w:val="hybridMultilevel"/>
    <w:lvl w:ilvl="0">
      <w:lvlJc w:val="left"/>
      <w:lvlText w:val="(%1)"/>
      <w:numFmt w:val="lowerRoman"/>
      <w:start w:val="3"/>
    </w:lvl>
  </w:abstractNum>
  <w:abstractNum w:abstractNumId="4">
    <w:nsid w:val="32FFF902"/>
    <w:multiLevelType w:val="hybridMultilevel"/>
    <w:lvl w:ilvl="0">
      <w:lvlJc w:val="left"/>
      <w:lvlText w:val="(%1)"/>
      <w:numFmt w:val="lowerLetter"/>
      <w:start w:val="1"/>
    </w:lvl>
  </w:abstractNum>
  <w:abstractNum w:abstractNumId="5">
    <w:nsid w:val="684A481A"/>
    <w:multiLevelType w:val="hybridMultilevel"/>
    <w:lvl w:ilvl="0">
      <w:lvlJc w:val="left"/>
      <w:lvlText w:val="(%1)"/>
      <w:numFmt w:val="upperLetter"/>
      <w:start w:val="2"/>
    </w:lvl>
    <w:lvl w:ilvl="1">
      <w:lvlJc w:val="left"/>
      <w:lvlText w:val="(%2)"/>
      <w:numFmt w:val="lowerLetter"/>
      <w:start w:val="1"/>
    </w:lvl>
  </w:abstractNum>
  <w:abstractNum w:abstractNumId="6">
    <w:nsid w:val="579478FE"/>
    <w:multiLevelType w:val="hybridMultilevel"/>
    <w:lvl w:ilvl="0">
      <w:lvlJc w:val="left"/>
      <w:lvlText w:val="(%1)"/>
      <w:numFmt w:val="decimal"/>
      <w:start w:val="2"/>
    </w:lvl>
    <w:lvl w:ilvl="1">
      <w:lvlJc w:val="left"/>
      <w:lvlText w:val="(%2)"/>
      <w:numFmt w:val="lowerLetter"/>
      <w:start w:val="1"/>
    </w:lvl>
  </w:abstractNum>
  <w:abstractNum w:abstractNumId="7">
    <w:nsid w:val="749ABB43"/>
    <w:multiLevelType w:val="hybridMultilevel"/>
    <w:lvl w:ilvl="0">
      <w:lvlJc w:val="left"/>
      <w:lvlText w:val="(%1)"/>
      <w:numFmt w:val="lowerRoman"/>
      <w:start w:val="1"/>
    </w:lvl>
  </w:abstractNum>
  <w:abstractNum w:abstractNumId="8">
    <w:nsid w:val="3DC240FB"/>
    <w:multiLevelType w:val="hybridMultilevel"/>
    <w:lvl w:ilvl="0">
      <w:lvlJc w:val="left"/>
      <w:lvlText w:val="(%1)"/>
      <w:numFmt w:val="upperLetter"/>
      <w:start w:val="3"/>
    </w:lvl>
  </w:abstractNum>
  <w:abstractNum w:abstractNumId="9">
    <w:nsid w:val="1BA026FA"/>
    <w:multiLevelType w:val="hybridMultilevel"/>
    <w:lvl w:ilvl="0">
      <w:lvlJc w:val="left"/>
      <w:lvlText w:val="(%1)"/>
      <w:numFmt w:val="lowerLetter"/>
      <w:start w:val="1"/>
    </w:lvl>
  </w:abstractNum>
  <w:abstractNum w:abstractNumId="10">
    <w:nsid w:val="79A1DEAA"/>
    <w:multiLevelType w:val="hybridMultilevel"/>
    <w:lvl w:ilvl="0">
      <w:lvlJc w:val="left"/>
      <w:lvlText w:val="(%1)"/>
      <w:numFmt w:val="upperLetter"/>
      <w:start w:val="4"/>
    </w:lvl>
    <w:lvl w:ilvl="1">
      <w:lvlJc w:val="left"/>
      <w:lvlText w:val="(%2)"/>
      <w:numFmt w:val="decimal"/>
      <w:start w:val="1"/>
    </w:lvl>
  </w:abstractNum>
  <w:abstractNum w:abstractNumId="11">
    <w:nsid w:val="75C6C33A"/>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2">
    <w:nsid w:val="12E685FB"/>
    <w:multiLevelType w:val="hybridMultilevel"/>
    <w:lvl w:ilvl="0">
      <w:lvlJc w:val="left"/>
      <w:lvlText w:val="%1"/>
      <w:numFmt w:val="decimal"/>
      <w:start w:val="1"/>
    </w:lvl>
    <w:lvl w:ilvl="1">
      <w:lvlJc w:val="left"/>
      <w:lvlText w:val="(%2)"/>
      <w:numFmt w:val="lowerRoman"/>
      <w:start w:val="1"/>
    </w:lvl>
  </w:abstractNum>
  <w:abstractNum w:abstractNumId="13">
    <w:nsid w:val="70C6A529"/>
    <w:multiLevelType w:val="hybridMultilevel"/>
    <w:lvl w:ilvl="0">
      <w:lvlJc w:val="left"/>
      <w:lvlText w:val="(%1)"/>
      <w:numFmt w:val="decimal"/>
      <w:start w:val="2"/>
    </w:lvl>
    <w:lvl w:ilvl="1">
      <w:lvlJc w:val="left"/>
      <w:lvlText w:val="%2"/>
      <w:numFmt w:val="lowerRoman"/>
      <w:start w:val="1"/>
    </w:lvl>
  </w:abstractNum>
  <w:abstractNum w:abstractNumId="14">
    <w:nsid w:val="520EEDD1"/>
    <w:multiLevelType w:val="hybridMultilevel"/>
    <w:lvl w:ilvl="0">
      <w:lvlJc w:val="left"/>
      <w:lvlText w:val="(%1)"/>
      <w:numFmt w:val="lowerRoman"/>
      <w:start w:val="1"/>
    </w:lvl>
  </w:abstractNum>
  <w:abstractNum w:abstractNumId="15">
    <w:nsid w:val="374A3FE6"/>
    <w:multiLevelType w:val="hybridMultilevel"/>
    <w:lvl w:ilvl="0">
      <w:lvlJc w:val="left"/>
      <w:lvlText w:val="(%1)"/>
      <w:numFmt w:val="upperLetter"/>
      <w:start w:val="6"/>
    </w:lvl>
  </w:abstractNum>
  <w:abstractNum w:abstractNumId="16">
    <w:nsid w:val="4F4EF005"/>
    <w:multiLevelType w:val="hybridMultilevel"/>
    <w:lvl w:ilvl="0">
      <w:lvlJc w:val="left"/>
      <w:lvlText w:val="(%1)"/>
      <w:numFmt w:val="lowerLetter"/>
      <w:start w:val="1"/>
    </w:lvl>
    <w:lvl w:ilvl="1">
      <w:lvlJc w:val="left"/>
      <w:lvlText w:val="(%2)"/>
      <w:numFmt w:val="lowerRoman"/>
      <w:start w:val="1"/>
    </w:lvl>
  </w:abstractNum>
  <w:abstractNum w:abstractNumId="17">
    <w:nsid w:val="23F9C13C"/>
    <w:multiLevelType w:val="hybridMultilevel"/>
    <w:lvl w:ilvl="0">
      <w:lvlJc w:val="left"/>
      <w:lvlText w:val="(%1)"/>
      <w:numFmt w:val="lowerRoman"/>
      <w:start w:val="3"/>
    </w:lvl>
  </w:abstractNum>
  <w:abstractNum w:abstractNumId="18">
    <w:nsid w:val="649BB77C"/>
    <w:multiLevelType w:val="hybridMultilevel"/>
    <w:lvl w:ilvl="0">
      <w:lvlJc w:val="left"/>
      <w:lvlText w:val="(%1)"/>
      <w:numFmt w:val="lowerLetter"/>
      <w:start w:val="1"/>
    </w:lvl>
    <w:lvl w:ilvl="1">
      <w:lvlJc w:val="left"/>
      <w:lvlText w:val="(%2)"/>
      <w:numFmt w:val="decimal"/>
      <w:start w:val="1"/>
    </w:lvl>
  </w:abstractNum>
  <w:abstractNum w:abstractNumId="19">
    <w:nsid w:val="275AC79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0">
    <w:nsid w:val="39386575"/>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1"/>
    </w:lvl>
  </w:abstractNum>
  <w:abstractNum w:abstractNumId="21">
    <w:nsid w:val="1CF10FD8"/>
    <w:multiLevelType w:val="hybridMultilevel"/>
    <w:lvl w:ilvl="0">
      <w:lvlJc w:val="left"/>
      <w:lvlText w:val="(%1)"/>
      <w:numFmt w:val="lowerLetter"/>
      <w:start w:val="5"/>
    </w:lvl>
    <w:lvl w:ilvl="1">
      <w:lvlJc w:val="left"/>
      <w:lvlText w:val="(%2)"/>
      <w:numFmt w:val="decimal"/>
      <w:start w:val="1"/>
    </w:lvl>
  </w:abstractNum>
  <w:abstractNum w:abstractNumId="22">
    <w:nsid w:val="180115BE"/>
    <w:multiLevelType w:val="hybridMultilevel"/>
    <w:lvl w:ilvl="0">
      <w:lvlJc w:val="left"/>
      <w:lvlText w:val="(%1)"/>
      <w:numFmt w:val="lowerLetter"/>
      <w:start w:val="2"/>
    </w:lvl>
  </w:abstractNum>
  <w:abstractNum w:abstractNumId="23">
    <w:nsid w:val="235BA861"/>
    <w:multiLevelType w:val="hybridMultilevel"/>
    <w:lvl w:ilvl="0">
      <w:lvlJc w:val="left"/>
      <w:lvlText w:val="%1"/>
      <w:numFmt w:val="lowerLetter"/>
      <w:start w:val="1"/>
    </w:lvl>
    <w:lvl w:ilvl="1">
      <w:lvlJc w:val="left"/>
      <w:lvlText w:val="(%2)"/>
      <w:numFmt w:val="decimal"/>
      <w:start w:val="2"/>
    </w:lvl>
  </w:abstractNum>
  <w:abstractNum w:abstractNumId="24">
    <w:nsid w:val="47398C89"/>
    <w:multiLevelType w:val="hybridMultilevel"/>
    <w:lvl w:ilvl="0">
      <w:lvlJc w:val="left"/>
      <w:lvlText w:val="(%1)"/>
      <w:numFmt w:val="lowerLetter"/>
      <w:start w:val="8"/>
    </w:lvl>
    <w:lvl w:ilvl="1">
      <w:lvlJc w:val="left"/>
      <w:lvlText w:val="%2"/>
      <w:numFmt w:val="decimal"/>
      <w:start w:val="1"/>
    </w:lvl>
  </w:abstractNum>
  <w:abstractNum w:abstractNumId="25">
    <w:nsid w:val="354FE9F9"/>
    <w:multiLevelType w:val="hybridMultilevel"/>
    <w:lvl w:ilvl="0">
      <w:lvlJc w:val="left"/>
      <w:lvlText w:val="(%1)"/>
      <w:numFmt w:val="upperLetter"/>
      <w:start w:val="9"/>
    </w:lvl>
  </w:abstractNum>
  <w:abstractNum w:abstractNumId="26">
    <w:nsid w:val="15B5AF5C"/>
    <w:multiLevelType w:val="hybridMultilevel"/>
    <w:lvl w:ilvl="0">
      <w:lvlJc w:val="left"/>
      <w:lvlText w:val="(%1)"/>
      <w:numFmt w:val="lowerLetter"/>
      <w:start w:val="13"/>
    </w:lvl>
    <w:lvl w:ilvl="1">
      <w:lvlJc w:val="left"/>
      <w:lvlText w:val="(%2)"/>
      <w:numFmt w:val="decimal"/>
      <w:start w:val="1"/>
    </w:lvl>
    <w:lvl w:ilvl="2">
      <w:lvlJc w:val="left"/>
      <w:lvlText w:val="(%3)"/>
      <w:numFmt w:val="lowerLetter"/>
      <w:start w:val="1"/>
    </w:lvl>
  </w:abstractNum>
  <w:abstractNum w:abstractNumId="27">
    <w:nsid w:val="741226BB"/>
    <w:multiLevelType w:val="hybridMultilevel"/>
    <w:lvl w:ilvl="0">
      <w:lvlJc w:val="left"/>
      <w:lvlText w:val="%1"/>
      <w:numFmt w:val="lowerLetter"/>
      <w:start w:val="1"/>
    </w:lvl>
    <w:lvl w:ilvl="1">
      <w:lvlJc w:val="left"/>
      <w:lvlText w:val="(%2)"/>
      <w:numFmt w:val="decimal"/>
      <w:start w:val="3"/>
    </w:lvl>
  </w:abstractNum>
  <w:abstractNum w:abstractNumId="28">
    <w:nsid w:val="D34B6A8"/>
    <w:multiLevelType w:val="hybridMultilevel"/>
    <w:lvl w:ilvl="0">
      <w:lvlJc w:val="left"/>
      <w:lvlText w:val="(%1)"/>
      <w:numFmt w:val="lowerLetter"/>
      <w:start w:val="19"/>
    </w:lvl>
    <w:lvl w:ilvl="1">
      <w:lvlJc w:val="left"/>
      <w:lvlText w:val="%2"/>
      <w:numFmt w:val="decimal"/>
      <w:start w:val="1"/>
    </w:lvl>
  </w:abstractNum>
  <w:abstractNum w:abstractNumId="29">
    <w:nsid w:val="10233C99"/>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30">
    <w:nsid w:val="3F6AB60F"/>
    <w:multiLevelType w:val="hybridMultilevel"/>
    <w:lvl w:ilvl="0">
      <w:lvlJc w:val="left"/>
      <w:lvlText w:val="(%1)"/>
      <w:numFmt w:val="upperLetter"/>
      <w:start w:val="2"/>
    </w:lvl>
    <w:lvl w:ilvl="1">
      <w:lvlJc w:val="left"/>
      <w:lvlText w:val="(%2)"/>
      <w:numFmt w:val="lowerLetter"/>
      <w:start w:val="9"/>
    </w:lvl>
    <w:lvl w:ilvl="2">
      <w:lvlJc w:val="left"/>
      <w:lvlText w:val="%3"/>
      <w:numFmt w:val="decimal"/>
      <w:start w:val="1"/>
    </w:lvl>
  </w:abstractNum>
  <w:abstractNum w:abstractNumId="31">
    <w:nsid w:val="6157409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2">
    <w:nsid w:val="7E0C57B1"/>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3">
    <w:nsid w:val="77AE35EB"/>
    <w:multiLevelType w:val="hybridMultilevel"/>
    <w:lvl w:ilvl="0">
      <w:lvlJc w:val="left"/>
      <w:lvlText w:val="(%1)"/>
      <w:numFmt w:val="lowerLetter"/>
      <w:start w:val="17"/>
    </w:lvl>
    <w:lvl w:ilvl="1">
      <w:lvlJc w:val="left"/>
      <w:lvlText w:val="(%2)"/>
      <w:numFmt w:val="decimal"/>
      <w:start w:val="1"/>
    </w:lvl>
    <w:lvl w:ilvl="2">
      <w:lvlJc w:val="left"/>
      <w:lvlText w:val="%3"/>
      <w:numFmt w:val="lowerLetter"/>
      <w:start w:val="1"/>
    </w:lvl>
  </w:abstractNum>
  <w:abstractNum w:abstractNumId="34">
    <w:nsid w:val="579BE4F1"/>
    <w:multiLevelType w:val="hybridMultilevel"/>
    <w:lvl w:ilvl="0">
      <w:lvlJc w:val="left"/>
      <w:lvlText w:val="(%1)"/>
      <w:numFmt w:val="lowerLetter"/>
      <w:start w:val="10"/>
    </w:lvl>
    <w:lvl w:ilvl="1">
      <w:lvlJc w:val="left"/>
      <w:lvlText w:val="(%2)"/>
      <w:numFmt w:val="decimal"/>
      <w:start w:val="1"/>
    </w:lvl>
  </w:abstractNum>
  <w:abstractNum w:abstractNumId="35">
    <w:nsid w:val="310C50B3"/>
    <w:multiLevelType w:val="hybridMultilevel"/>
    <w:lvl w:ilvl="0">
      <w:lvlJc w:val="left"/>
      <w:lvlText w:val="(%1)"/>
      <w:numFmt w:val="upperLetter"/>
      <w:start w:val="9"/>
    </w:lvl>
  </w:abstractNum>
  <w:abstractNum w:abstractNumId="36">
    <w:nsid w:val="5FF87E05"/>
    <w:multiLevelType w:val="hybridMultilevel"/>
    <w:lvl w:ilvl="0">
      <w:lvlJc w:val="left"/>
      <w:lvlText w:val="(%1)"/>
      <w:numFmt w:val="lowerLetter"/>
      <w:start w:val="13"/>
    </w:lvl>
    <w:lvl w:ilvl="1">
      <w:lvlJc w:val="left"/>
      <w:lvlText w:val="(%2)"/>
      <w:numFmt w:val="decimal"/>
      <w:start w:val="1"/>
    </w:lvl>
  </w:abstractNum>
  <w:abstractNum w:abstractNumId="37">
    <w:nsid w:val="2F305DEF"/>
    <w:multiLevelType w:val="hybridMultilevel"/>
    <w:lvl w:ilvl="0">
      <w:lvlJc w:val="left"/>
      <w:lvlText w:val="(%1)"/>
      <w:numFmt w:val="lowerLetter"/>
      <w:start w:val="19"/>
    </w:lvl>
    <w:lvl w:ilvl="1">
      <w:lvlJc w:val="left"/>
      <w:lvlText w:val="(%2)"/>
      <w:numFmt w:val="decimal"/>
      <w:start w:val="1"/>
    </w:lvl>
  </w:abstractNum>
  <w:abstractNum w:abstractNumId="38">
    <w:nsid w:val="25A70BF7"/>
    <w:multiLevelType w:val="hybridMultilevel"/>
    <w:lvl w:ilvl="0">
      <w:lvlJc w:val="left"/>
      <w:lvlText w:val="(%1)"/>
      <w:numFmt w:val="lowerLetter"/>
      <w:start w:val="1"/>
    </w:lvl>
  </w:abstractNum>
  <w:abstractNum w:abstractNumId="39">
    <w:nsid w:val="1DBABF00"/>
    <w:multiLevelType w:val="hybridMultilevel"/>
    <w:lvl w:ilvl="0">
      <w:lvlJc w:val="left"/>
      <w:lvlText w:val="(%1)"/>
      <w:numFmt w:val="lowerLetter"/>
      <w:start w:val="1"/>
    </w:lvl>
  </w:abstractNum>
  <w:abstractNum w:abstractNumId="40">
    <w:nsid w:val="4AD084E9"/>
    <w:multiLevelType w:val="hybridMultilevel"/>
    <w:lvl w:ilvl="0">
      <w:lvlJc w:val="left"/>
      <w:lvlText w:val="(%1)"/>
      <w:numFmt w:val="lowerLetter"/>
      <w:start w:val="1"/>
    </w:lvl>
  </w:abstractNum>
  <w:abstractNum w:abstractNumId="41">
    <w:nsid w:val="1F48EAA1"/>
    <w:multiLevelType w:val="hybridMultilevel"/>
    <w:lvl w:ilvl="0">
      <w:lvlJc w:val="left"/>
      <w:lvlText w:val="(%1)"/>
      <w:numFmt w:val="lowerLetter"/>
      <w:start w:val="20"/>
    </w:lvl>
  </w:abstractNum>
  <w:abstractNum w:abstractNumId="42">
    <w:nsid w:val="1381823A"/>
    <w:multiLevelType w:val="hybridMultilevel"/>
    <w:lvl w:ilvl="0">
      <w:lvlJc w:val="left"/>
      <w:lvlText w:val="(%1)"/>
      <w:numFmt w:val="lowerLetter"/>
      <w:start w:val="26"/>
    </w:lvl>
  </w:abstractNum>
  <w:abstractNum w:abstractNumId="43">
    <w:nsid w:val="5DB70AE5"/>
    <w:multiLevelType w:val="hybridMultilevel"/>
    <w:lvl w:ilvl="0">
      <w:lvlJc w:val="left"/>
      <w:lvlText w:val="(%1)"/>
      <w:numFmt w:val="lowerLetter"/>
      <w:start w:val="27"/>
    </w:lvl>
  </w:abstractNum>
  <w:abstractNum w:abstractNumId="44">
    <w:nsid w:val="100F8FCA"/>
    <w:multiLevelType w:val="hybridMultilevel"/>
    <w:lvl w:ilvl="0">
      <w:lvlJc w:val="left"/>
      <w:lvlText w:val="(%1)"/>
      <w:numFmt w:val="lowerLetter"/>
      <w:start w:val="1"/>
    </w:lvl>
    <w:lvl w:ilvl="1">
      <w:lvlJc w:val="left"/>
      <w:lvlText w:val="(%2)"/>
      <w:numFmt w:val="decimal"/>
      <w:start w:val="1"/>
    </w:lvl>
  </w:abstractNum>
  <w:abstractNum w:abstractNumId="45">
    <w:nsid w:val="6590700B"/>
    <w:multiLevelType w:val="hybridMultilevel"/>
    <w:lvl w:ilvl="0">
      <w:lvlJc w:val="left"/>
      <w:lvlText w:val="(%1)"/>
      <w:numFmt w:val="lowerLetter"/>
      <w:start w:val="17"/>
    </w:lvl>
  </w:abstractNum>
  <w:abstractNum w:abstractNumId="46">
    <w:nsid w:val="15014ACB"/>
    <w:multiLevelType w:val="hybridMultilevel"/>
    <w:lvl w:ilvl="0">
      <w:lvlJc w:val="left"/>
      <w:lvlText w:val="%1."/>
      <w:numFmt w:val="decimal"/>
      <w:start w:val="1"/>
    </w:lvl>
    <w:lvl w:ilvl="1">
      <w:lvlJc w:val="left"/>
      <w:lvlText w:val="(%2)"/>
      <w:numFmt w:val="lowerLetter"/>
      <w:start w:val="4"/>
    </w:lvl>
  </w:abstractNum>
  <w:abstractNum w:abstractNumId="47">
    <w:nsid w:val="5F5E7FD0"/>
    <w:multiLevelType w:val="hybridMultilevel"/>
    <w:lvl w:ilvl="0">
      <w:lvlJc w:val="left"/>
      <w:lvlText w:val="%1"/>
      <w:numFmt w:val="decimal"/>
      <w:start w:val="1"/>
    </w:lvl>
    <w:lvl w:ilvl="1">
      <w:lvlJc w:val="left"/>
      <w:lvlText w:val="(%2)"/>
      <w:numFmt w:val="lowerLetter"/>
      <w:start w:val="7"/>
    </w:lvl>
  </w:abstractNum>
  <w:abstractNum w:abstractNumId="48">
    <w:nsid w:val="98A3148"/>
    <w:multiLevelType w:val="hybridMultilevel"/>
    <w:lvl w:ilvl="0">
      <w:lvlJc w:val="left"/>
      <w:lvlText w:val="%1."/>
      <w:numFmt w:val="decimal"/>
      <w:start w:val="3"/>
    </w:lvl>
    <w:lvl w:ilvl="1">
      <w:lvlJc w:val="left"/>
      <w:lvlText w:val="%2"/>
      <w:numFmt w:val="lowerLetter"/>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
      <w:numFmt w:val="bullet"/>
      <w:start w:val="1"/>
    </w:lvl>
    <w:lvl w:ilvl="1">
      <w:lvlJc w:val="left"/>
      <w:lvlText w:val="%2."/>
      <w:numFmt w:val="decimal"/>
      <w:start w:val="1"/>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
      <w:numFmt w:val="bullet"/>
      <w:start w:val="1"/>
    </w:lvl>
    <w:lvl w:ilvl="1">
      <w:lvlJc w:val="left"/>
      <w:lvlText w:val="%2)"/>
      <w:numFmt w:val="lowerLetter"/>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lowerLetter"/>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1."/>
      <w:numFmt w:val="decimal"/>
      <w:start w:val="1"/>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1."/>
      <w:numFmt w:val="decimal"/>
      <w:start w:val="1"/>
    </w:lvl>
    <w:lvl w:ilvl="1">
      <w:lvlJc w:val="left"/>
      <w:lvlText w:val="%2)"/>
      <w:numFmt w:val="lowerLetter"/>
      <w:start w:val="1"/>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decimal"/>
      <w:start w:val="2"/>
    </w:lvl>
    <w:lvl w:ilvl="1">
      <w:lvlJc w:val="left"/>
      <w:lvlText w:val="•"/>
      <w:numFmt w:val="bullet"/>
      <w:start w:val="1"/>
    </w:lvl>
    <w:lvl w:ilvl="2">
      <w:lvlJc w:val="left"/>
      <w:lvlText w:val="%3."/>
      <w:numFmt w:val="decimal"/>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1."/>
      <w:numFmt w:val="decimal"/>
      <w:start w:val="4"/>
    </w:lvl>
    <w:lvl w:ilvl="1">
      <w:lvlJc w:val="left"/>
      <w:lvlText w:val="•"/>
      <w:numFmt w:val="bullet"/>
      <w:start w:val="1"/>
    </w:lvl>
    <w:lvl w:ilvl="2">
      <w:lvlJc w:val="left"/>
      <w:lvlText w:val="%3."/>
      <w:numFmt w:val="decimal"/>
      <w:start w:val="1"/>
    </w:lvl>
  </w:abstractNum>
  <w:abstractNum w:abstractNumId="70">
    <w:nsid w:val="6A5EE64"/>
    <w:multiLevelType w:val="hybridMultilevel"/>
    <w:lvl w:ilvl="0">
      <w:lvlJc w:val="left"/>
      <w:lvlText w:val="•"/>
      <w:numFmt w:val="bullet"/>
      <w:start w:val="1"/>
    </w:lvl>
    <w:lvl w:ilvl="1">
      <w:lvlJc w:val="left"/>
      <w:lvlText w:val="%2."/>
      <w:numFmt w:val="decimal"/>
      <w:start w:val="1"/>
    </w:lvl>
  </w:abstractNum>
  <w:abstractNum w:abstractNumId="71">
    <w:nsid w:val="14330624"/>
    <w:multiLevelType w:val="hybridMultilevel"/>
    <w:lvl w:ilvl="0">
      <w:lvlJc w:val="left"/>
      <w:lvlText w:val="•"/>
      <w:numFmt w:val="bullet"/>
      <w:start w:val="1"/>
    </w:lvl>
    <w:lvl w:ilvl="1">
      <w:lvlJc w:val="left"/>
      <w:lvlText w:val="(%2)"/>
      <w:numFmt w:val="decimal"/>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1)"/>
      <w:numFmt w:val="lowerLetter"/>
      <w:start w:val="10"/>
    </w:lvl>
  </w:abstractNum>
  <w:abstractNum w:abstractNumId="74">
    <w:nsid w:val="71EA1109"/>
    <w:multiLevelType w:val="hybridMultilevel"/>
    <w:lvl w:ilvl="0">
      <w:lvlJc w:val="left"/>
      <w:lvlText w:val="(%1)"/>
      <w:numFmt w:val="upperLetter"/>
      <w:start w:val="6"/>
    </w:lvl>
  </w:abstractNum>
  <w:abstractNum w:abstractNumId="75">
    <w:nsid w:val="100F59D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21"/>
    </w:lvl>
    <w:lvl w:ilvl="3">
      <w:lvlJc w:val="left"/>
      <w:lvlText w:val="(%4)"/>
      <w:numFmt w:val="decimal"/>
      <w:start w:val="1"/>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decimal"/>
      <w:start w:val="2"/>
    </w:lvl>
  </w:abstractNum>
  <w:abstractNum w:abstractNumId="78">
    <w:nsid w:val="6F6DD9AC"/>
    <w:multiLevelType w:val="hybridMultilevel"/>
    <w:lvl w:ilvl="0">
      <w:lvlJc w:val="left"/>
      <w:lvlText w:val="%1."/>
      <w:numFmt w:val="decimal"/>
      <w:start w:val="1"/>
    </w:lvl>
    <w:lvl w:ilvl="1">
      <w:lvlJc w:val="left"/>
      <w:lvlText w:val="•"/>
      <w:numFmt w:val="bullet"/>
      <w:start w:val="1"/>
    </w:lvl>
  </w:abstractNum>
  <w:abstractNum w:abstractNumId="79">
    <w:nsid w:val="94211F2"/>
    <w:multiLevelType w:val="hybridMultilevel"/>
    <w:lvl w:ilvl="0">
      <w:lvlJc w:val="left"/>
      <w:lvlText w:val="%1."/>
      <w:numFmt w:val="decimal"/>
      <w:start w:val="1"/>
    </w:lvl>
    <w:lvl w:ilvl="1">
      <w:lvlJc w:val="left"/>
      <w:lvlText w:val="(%2)"/>
      <w:numFmt w:val="lowerLetter"/>
      <w:start w:val="1"/>
    </w:lvl>
  </w:abstractNum>
  <w:abstractNum w:abstractNumId="80">
    <w:nsid w:val="885E1B"/>
    <w:multiLevelType w:val="hybridMultilevel"/>
    <w:lvl w:ilvl="0">
      <w:lvlJc w:val="left"/>
      <w:lvlText w:val="%1."/>
      <w:numFmt w:val="decimal"/>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1."/>
      <w:numFmt w:val="decimal"/>
      <w:start w:val="2"/>
    </w:lvl>
    <w:lvl w:ilvl="1">
      <w:lvlJc w:val="left"/>
      <w:lvlText w:val="(%2)"/>
      <w:numFmt w:val="lowerLetter"/>
      <w:start w:val="21"/>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decimal"/>
      <w:start w:val="1"/>
    </w:lvl>
  </w:abstractNum>
  <w:abstractNum w:abstractNumId="85">
    <w:nsid w:val="3222E7CD"/>
    <w:multiLevelType w:val="hybridMultilevel"/>
    <w:lvl w:ilvl="0">
      <w:lvlJc w:val="left"/>
      <w:lvlText w:val="(%1)"/>
      <w:numFmt w:val="upperLetter"/>
      <w:start w:val="4"/>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decimal"/>
      <w:start w:val="2"/>
    </w:lvl>
  </w:abstractNum>
  <w:abstractNum w:abstractNumId="88">
    <w:nsid w:val="2DF6D648"/>
    <w:multiLevelType w:val="hybridMultilevel"/>
    <w:lvl w:ilvl="0">
      <w:lvlJc w:val="left"/>
      <w:lvlText w:val="%1."/>
      <w:numFmt w:val="decimal"/>
      <w:start w:val="1"/>
    </w:lvl>
    <w:lvl w:ilvl="1">
      <w:lvlJc w:val="left"/>
      <w:lvlText w:val="(%2)"/>
      <w:numFmt w:val="lowerLetter"/>
      <w:start w:val="5"/>
    </w:lvl>
  </w:abstractNum>
  <w:abstractNum w:abstractNumId="89">
    <w:nsid w:val="46B7D447"/>
    <w:multiLevelType w:val="hybridMultilevel"/>
    <w:lvl w:ilvl="0">
      <w:lvlJc w:val="left"/>
      <w:lvlText w:val="☒"/>
      <w:numFmt w:val="bullet"/>
      <w:start w:val="1"/>
    </w:lvl>
    <w:lvl w:ilvl="1">
      <w:lvlJc w:val="left"/>
      <w:lvlText w:val="(%2)"/>
      <w:numFmt w:val="lowerRoman"/>
      <w:start w:val="1"/>
    </w:lvl>
  </w:abstractNum>
  <w:abstractNum w:abstractNumId="90">
    <w:nsid w:val="4A2AC315"/>
    <w:multiLevelType w:val="hybridMultilevel"/>
    <w:lvl w:ilvl="0">
      <w:lvlJc w:val="left"/>
      <w:lvlText w:val="%1."/>
      <w:numFmt w:val="decimal"/>
      <w:start w:val="1"/>
    </w:lvl>
    <w:lvl w:ilvl="1">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2019-12-08T21:31:31Z</dcterms:created>
  <dcterms:modified xsi:type="dcterms:W3CDTF">2019-12-08T21:31:31Z</dcterms:modified>
</cp:coreProperties>
</file>