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9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40"/>
          <w:szCs w:val="40"/>
          <w:b w:val="1"/>
          <w:bCs w:val="1"/>
          <w:color w:val="auto"/>
        </w:rPr>
        <w:t>TPG Specialty Lending, Inc.</w:t>
      </w:r>
    </w:p>
    <w:p>
      <w:pPr>
        <w:spacing w:after="0" w:line="4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160" w:right="100" w:hanging="571"/>
        <w:spacing w:after="0" w:line="282" w:lineRule="auto"/>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hanging="572"/>
        <w:spacing w:after="0" w:line="282" w:lineRule="auto"/>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-3532505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-3086100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-2503170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-2057400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-1611630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-136525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309245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100"/>
          </w:cols>
          <w:pgMar w:left="240" w:top="226" w:right="559" w:bottom="347" w:gutter="0" w:footer="0" w:header="0"/>
        </w:sectPr>
      </w:pPr>
    </w:p>
    <w:bookmarkStart w:id="1" w:name="page2"/>
    <w:bookmarkEnd w:id="1"/>
    <w:p>
      <w:pPr>
        <w:ind w:left="571" w:hanging="571"/>
        <w:spacing w:after="0"/>
        <w:tabs>
          <w:tab w:leader="none" w:pos="57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200" w:lineRule="exact"/>
        <w:rPr>
          <w:rFonts w:ascii="Times New Roman" w:cs="Times New Roman" w:eastAsia="Times New Roman" w:hAnsi="Times New Roman"/>
          <w:sz w:val="17"/>
          <w:szCs w:val="17"/>
          <w:color w:val="auto"/>
        </w:rPr>
      </w:pPr>
    </w:p>
    <w:p>
      <w:pPr>
        <w:spacing w:after="0" w:line="306" w:lineRule="exact"/>
        <w:rPr>
          <w:rFonts w:ascii="Times New Roman" w:cs="Times New Roman" w:eastAsia="Times New Roman" w:hAnsi="Times New Roman"/>
          <w:sz w:val="17"/>
          <w:szCs w:val="17"/>
          <w:color w:val="auto"/>
        </w:rPr>
      </w:pPr>
    </w:p>
    <w:p>
      <w:pPr>
        <w:ind w:left="571" w:hanging="571"/>
        <w:spacing w:after="0"/>
        <w:tabs>
          <w:tab w:leader="none" w:pos="5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-136525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309245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488950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532130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3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1337945"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301 Commerce Street, Suite 3300</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Fort Worth, TX 76102</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3, 2018</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We are pleased to invite you to attend a Special Meeting of Stockholders of TPG Specialty Lending, Inc. to be held on May 17, 2018, at 9:30 a.m., local time, at the offices of TPG, 888 7th Avenue, Floor 35, New York, NY 10106.</w:t>
      </w:r>
    </w:p>
    <w:p>
      <w:pPr>
        <w:spacing w:after="0" w:line="162"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84" w:lineRule="exact"/>
        <w:rPr>
          <w:sz w:val="20"/>
          <w:szCs w:val="20"/>
          <w:color w:val="auto"/>
        </w:rPr>
      </w:pPr>
    </w:p>
    <w:p>
      <w:pPr>
        <w:jc w:val="both"/>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76"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You will also receive separate proxy materials for the Annual Meeting of Stockholders, which will be held at the same place and on the same date stated above, but not at the same time. Please be certain to vote separately each proxy card that you receive from us.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17145</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Fort Worth, TX</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3, 2018</w:t>
      </w:r>
    </w:p>
    <w:p>
      <w:pPr>
        <w:sectPr>
          <w:pgSz w:w="11900" w:h="16838" w:orient="portrait"/>
          <w:cols w:equalWidth="0" w:num="1">
            <w:col w:w="11200"/>
          </w:cols>
          <w:pgMar w:left="24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 for the Special Meeting of Stockholders to Be Held on May 17, 2018.</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proxy statement is available online at www.proxyvote.com.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information applicable to the Special Meeting of Stockholders may be found in the proxy statement and accompanying proxy card:</w:t>
      </w:r>
    </w:p>
    <w:p>
      <w:pPr>
        <w:spacing w:after="0" w:line="131" w:lineRule="exact"/>
        <w:rPr>
          <w:sz w:val="20"/>
          <w:szCs w:val="20"/>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proxy material online;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in person.</w:t>
      </w:r>
    </w:p>
    <w:p>
      <w:pPr>
        <w:sectPr>
          <w:pgSz w:w="11900" w:h="16838" w:orient="portrait"/>
          <w:cols w:equalWidth="0" w:num="1">
            <w:col w:w="11160"/>
          </w:cols>
          <w:pgMar w:left="240" w:top="455"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1337945" cy="565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301 Commerce Street, Suite 3300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165735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98" w:lineRule="exact"/>
        <w:rPr>
          <w:sz w:val="20"/>
          <w:szCs w:val="20"/>
          <w:color w:val="auto"/>
        </w:rPr>
      </w:pPr>
    </w:p>
    <w:p>
      <w:pPr>
        <w:jc w:val="both"/>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of TPG Specialty Lending, Inc. will be held at the offices of TPG, 888 7th Avenue, Floor 35, New York, NY 10106 on May 17, 2018, at 9:30 a.m., local time. The Special Meeting of Stockholders is being held for the following purpose:</w:t>
      </w:r>
    </w:p>
    <w:p>
      <w:pPr>
        <w:spacing w:after="0" w:line="68" w:lineRule="exact"/>
        <w:rPr>
          <w:sz w:val="20"/>
          <w:szCs w:val="20"/>
          <w:color w:val="auto"/>
        </w:rPr>
      </w:pPr>
    </w:p>
    <w:p>
      <w:pPr>
        <w:jc w:val="both"/>
        <w:ind w:left="640" w:right="80" w:firstLine="428"/>
        <w:spacing w:after="0" w:line="261" w:lineRule="auto"/>
        <w:tabs>
          <w:tab w:leader="none" w:pos="12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pacing w:after="0" w:line="140"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19, 2018, are entitled to notice of and to vote at the Special Meeting of Stockholders or any postponement or adjournment thereof.</w:t>
      </w:r>
    </w:p>
    <w:p>
      <w:pPr>
        <w:spacing w:after="0" w:line="121"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53"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Your vote is extremely important to us. If you are unable to attend the Special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139" w:lineRule="exact"/>
        <w:rPr>
          <w:sz w:val="20"/>
          <w:szCs w:val="20"/>
          <w:color w:val="auto"/>
        </w:rPr>
      </w:pPr>
    </w:p>
    <w:p>
      <w:pPr>
        <w:ind w:left="20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INCLUDING THE INDEPENDENT DIRECTORS, UNANIMOUSLY RECOMMENDS THAT YOU VOTE “FOR” THE PROPOSAL.</w:t>
      </w:r>
    </w:p>
    <w:p>
      <w:pPr>
        <w:spacing w:after="0" w:line="15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17145</wp:posOffset>
            </wp:positionV>
            <wp:extent cx="27959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Jennifer Gordon</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i w:val="1"/>
          <w:iCs w:val="1"/>
          <w:color w:val="auto"/>
        </w:rPr>
        <w:t>Chief Compliance Officer, Vice President and Secretary</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Fort Worth, TX</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3, 2018</w:t>
      </w:r>
    </w:p>
    <w:p>
      <w:pPr>
        <w:spacing w:after="0" w:line="176" w:lineRule="exact"/>
        <w:rPr>
          <w:sz w:val="20"/>
          <w:szCs w:val="20"/>
          <w:color w:val="auto"/>
        </w:rPr>
      </w:pPr>
    </w:p>
    <w:p>
      <w:pPr>
        <w:ind w:left="200" w:right="18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220"/>
          </w:cols>
          <w:pgMar w:left="240" w:top="455"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3980" w:type="dxa"/>
            <w:vAlign w:val="bottom"/>
            <w:gridSpan w:val="7"/>
            <w:vMerge w:val="restart"/>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Proxy Statement for a Special Meeting of Stockholders</w:t>
              </w:r>
            </w:hyperlink>
          </w:p>
        </w:tc>
        <w:tc>
          <w:tcPr>
            <w:tcW w:w="6480" w:type="dxa"/>
            <w:vAlign w:val="bottom"/>
            <w:gridSpan w:val="5"/>
            <w:vMerge w:val="restart"/>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980" w:type="dxa"/>
            <w:vAlign w:val="bottom"/>
            <w:tcBorders>
              <w:bottom w:val="single" w:sz="8" w:color="0000EE"/>
            </w:tcBorders>
            <w:gridSpan w:val="7"/>
            <w:vMerge w:val="continue"/>
          </w:tcPr>
          <w:p>
            <w:pPr>
              <w:spacing w:after="0"/>
              <w:rPr>
                <w:sz w:val="13"/>
                <w:szCs w:val="13"/>
                <w:color w:val="auto"/>
              </w:rPr>
            </w:pPr>
          </w:p>
        </w:tc>
        <w:tc>
          <w:tcPr>
            <w:tcW w:w="6480" w:type="dxa"/>
            <w:vAlign w:val="bottom"/>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10460" w:type="dxa"/>
            <w:vAlign w:val="bottom"/>
            <w:gridSpan w:val="12"/>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Security Ownership of Certain Beneficial Owners and Management</w:t>
              </w:r>
            </w:hyperlink>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12"/>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Proposal No. 1—Authorization of the Company to Sell or Otherwise Issue Shares of its Common Stock at a Price Below its Then-Current Net</w:t>
              </w:r>
            </w:hyperlink>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0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Asset Value Per Share in One or More Offerings, in Each Case Subject to the Approval of its Board of Directors and Subject to the</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Conditions Set Forth in this Proposal</w:t>
              </w:r>
            </w:hyperlink>
          </w:p>
        </w:tc>
        <w:tc>
          <w:tcPr>
            <w:tcW w:w="8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Other Business</w:t>
              </w:r>
            </w:hyperlink>
          </w:p>
        </w:tc>
        <w:tc>
          <w:tcPr>
            <w:tcW w:w="9360" w:type="dxa"/>
            <w:vAlign w:val="bottom"/>
            <w:gridSpan w:val="9"/>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0460" w:type="dxa"/>
            <w:vAlign w:val="bottom"/>
            <w:gridSpan w:val="12"/>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Stockholder Proposals and Nominations for the 2019 Annual Meeting of Stockholders</w:t>
              </w:r>
            </w:hyperlink>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62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Annual Report</w:t>
              </w:r>
            </w:hyperlink>
          </w:p>
        </w:tc>
        <w:tc>
          <w:tcPr>
            <w:tcW w:w="4240" w:type="dxa"/>
            <w:vAlign w:val="bottom"/>
            <w:gridSpan w:val="3"/>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6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12"/>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Householding of Proxy Materials</w:t>
              </w:r>
            </w:hyperlink>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3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Privacy Principles</w:t>
              </w:r>
            </w:hyperlink>
          </w:p>
        </w:tc>
        <w:tc>
          <w:tcPr>
            <w:tcW w:w="1080" w:type="dxa"/>
            <w:vAlign w:val="bottom"/>
            <w:tcBorders>
              <w:top w:val="single" w:sz="8" w:color="0000EE"/>
            </w:tcBorders>
          </w:tcPr>
          <w:p>
            <w:pPr>
              <w:spacing w:after="0"/>
              <w:rPr>
                <w:sz w:val="17"/>
                <w:szCs w:val="17"/>
                <w:color w:val="auto"/>
              </w:rPr>
            </w:pPr>
          </w:p>
        </w:tc>
        <w:tc>
          <w:tcPr>
            <w:tcW w:w="8060" w:type="dxa"/>
            <w:vAlign w:val="bottom"/>
            <w:gridSpan w:val="7"/>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5"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1337945" cy="5657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301 Commerce Street, Suite 3300</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A</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2"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TPG Specialty Lending, Inc., which is sometimes referred to in this proxy statement as “TSL,” “TSLX,” “we,” “us,” “our,” or the “Company,” for use at a Special Meeting of Stockholders (the “Meeting”) to be held at the offices of TPG, 888 7th Avenue, Floor 35, New York, NY 10106 on May 17, 2018, at 9:30 a.m., local time. Only holders of record of our common stock at the close of business on March 19, 2018, which is the record date, will be entitled to vote at the Meeting. At the close of business on the record date, we had 60,400,496 shares of common stock outstanding and entitled to vote.</w:t>
      </w:r>
    </w:p>
    <w:p>
      <w:pPr>
        <w:spacing w:after="0" w:line="184"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It is anticipated that the Notice of Internet Availability of Proxy Materials will first be sent to Stockholders on or about April 3, 2018. This proxy statement, including the accompanying form of proxy (collectively, the “Proxy Statement”), will first be made available to stockholders on or about April 3, 2018. The Proxy Statement can be accessed online at www.proxyvote.com.</w:t>
      </w:r>
    </w:p>
    <w:p>
      <w:pPr>
        <w:spacing w:after="0" w:line="176"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Special Meeting of Stockholders is being held for the following purpose:</w:t>
      </w:r>
    </w:p>
    <w:p>
      <w:pPr>
        <w:spacing w:after="0" w:line="225" w:lineRule="exact"/>
        <w:rPr>
          <w:sz w:val="20"/>
          <w:szCs w:val="20"/>
          <w:color w:val="auto"/>
        </w:rPr>
      </w:pPr>
    </w:p>
    <w:p>
      <w:pPr>
        <w:ind w:left="200" w:firstLine="444"/>
        <w:spacing w:after="0" w:line="261" w:lineRule="auto"/>
        <w:tabs>
          <w:tab w:leader="none" w:pos="8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ectPr>
          <w:pgSz w:w="11900" w:h="16838" w:orient="portrait"/>
          <w:cols w:equalWidth="0" w:num="1">
            <w:col w:w="11220"/>
          </w:cols>
          <w:pgMar w:left="24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many, if any, broker non-votes at the Meeting because there are no routine proposals to be voted on at the Meeting. </w:t>
      </w:r>
      <w:r>
        <w:rPr>
          <w:rFonts w:ascii="Times New Roman" w:cs="Times New Roman" w:eastAsia="Times New Roman" w:hAnsi="Times New Roman"/>
          <w:sz w:val="18"/>
          <w:szCs w:val="18"/>
          <w:b w:val="1"/>
          <w:bCs w:val="1"/>
          <w:color w:val="auto"/>
        </w:rPr>
        <w:t>For this reason, it is imperative that stockholders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provide instructions to their broker as to how to vote.</w:t>
      </w:r>
    </w:p>
    <w:p>
      <w:pPr>
        <w:spacing w:after="0" w:line="185"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many, if any, broker non-votes at the Meeting because there are no routine proposals to be voted on at the Meeting.</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Adjournment of Meeting</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Proxies for the Meeting</w:t>
      </w:r>
    </w:p>
    <w:p>
      <w:pPr>
        <w:spacing w:after="0" w:line="12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named proxies for the Meeting are Jennifer Gordon and Ken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Other Information Regarding This Proxy</w:t>
      </w:r>
    </w:p>
    <w:p>
      <w:pPr>
        <w:spacing w:after="0" w:line="121" w:lineRule="exact"/>
        <w:rPr>
          <w:sz w:val="20"/>
          <w:szCs w:val="20"/>
          <w:color w:val="auto"/>
        </w:rPr>
      </w:pPr>
    </w:p>
    <w:p>
      <w:pPr>
        <w:ind w:left="200" w:right="480" w:firstLine="441"/>
        <w:spacing w:after="0" w:line="266" w:lineRule="auto"/>
        <w:rPr>
          <w:sz w:val="20"/>
          <w:szCs w:val="20"/>
          <w:color w:val="auto"/>
        </w:rPr>
      </w:pPr>
      <w:r>
        <w:rPr>
          <w:rFonts w:ascii="Times New Roman" w:cs="Times New Roman" w:eastAsia="Times New Roman" w:hAnsi="Times New Roman"/>
          <w:sz w:val="18"/>
          <w:szCs w:val="18"/>
          <w:color w:val="auto"/>
        </w:rPr>
        <w:t>The Company will pay the expenses of soliciting proxies to be voted at the Meeting. The Company has retained Broadridge Investor Communications Solutions, Inc. to assist with the distribution and collection of proxies for a fee of approximately $50,000, plus reimbursement of expenses.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180"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The Company has engaged the services of D.F. King &amp; Co., Inc. (“D.F. King”) to assist in the solicitation of proxies. The Company has estimated that it will pay approximately $10,000, plus reimbursement of certain expenses and fees for additional services requested. Please note that D.F. King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Contact Information for Proxy Solicitation</w:t>
      </w:r>
    </w:p>
    <w:p>
      <w:pPr>
        <w:spacing w:after="0" w:line="121" w:lineRule="exact"/>
        <w:rPr>
          <w:sz w:val="20"/>
          <w:szCs w:val="20"/>
          <w:color w:val="auto"/>
        </w:rPr>
      </w:pPr>
    </w:p>
    <w:p>
      <w:pPr>
        <w:ind w:left="200" w:right="120" w:firstLine="441"/>
        <w:spacing w:after="0" w:line="313" w:lineRule="auto"/>
        <w:rPr>
          <w:sz w:val="20"/>
          <w:szCs w:val="20"/>
          <w:color w:val="auto"/>
        </w:rPr>
      </w:pPr>
      <w:r>
        <w:rPr>
          <w:rFonts w:ascii="Times New Roman" w:cs="Times New Roman" w:eastAsia="Times New Roman" w:hAnsi="Times New Roman"/>
          <w:sz w:val="17"/>
          <w:szCs w:val="17"/>
          <w:color w:val="auto"/>
        </w:rPr>
        <w:t>You can contact us by mail sent to the attention of the Secretary of the Company, Jennifer Gordon, TPG Specialty Lending, Inc., 888 7</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Avenue, 35</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Floor, New York, NY 10106. You can call us by dialing (212) 601-4753. You can access our proxy materials online at www.proxyvote.com.</w:t>
      </w:r>
    </w:p>
    <w:p>
      <w:pPr>
        <w:spacing w:after="0" w:line="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19, 2018,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85" w:lineRule="exact"/>
        <w:rPr>
          <w:sz w:val="20"/>
          <w:szCs w:val="20"/>
          <w:color w:val="auto"/>
        </w:rPr>
      </w:pPr>
    </w:p>
    <w:p>
      <w:pPr>
        <w:ind w:left="200" w:right="320" w:firstLine="441"/>
        <w:spacing w:after="0" w:line="261" w:lineRule="auto"/>
        <w:rPr>
          <w:sz w:val="20"/>
          <w:szCs w:val="20"/>
          <w:color w:val="auto"/>
        </w:rPr>
      </w:pPr>
      <w:r>
        <w:rPr>
          <w:rFonts w:ascii="Times New Roman" w:cs="Times New Roman" w:eastAsia="Times New Roman" w:hAnsi="Times New Roman"/>
          <w:sz w:val="18"/>
          <w:szCs w:val="18"/>
          <w:color w:val="auto"/>
        </w:rPr>
        <w:t>The percentage ownership is based on 60,400,496 shares of common stock outstanding as of March 19, 2018.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560" w:type="dxa"/>
            <w:vAlign w:val="bottom"/>
            <w:gridSpan w:val="2"/>
          </w:tcPr>
          <w:p>
            <w:pPr>
              <w:jc w:val="center"/>
              <w:ind w:left="1491"/>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6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Identity of Group</w:t>
            </w:r>
          </w:p>
        </w:tc>
        <w:tc>
          <w:tcPr>
            <w:tcW w:w="1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680" w:type="dxa"/>
            <w:vAlign w:val="bottom"/>
            <w:gridSpan w:val="3"/>
          </w:tcPr>
          <w:p>
            <w:pPr>
              <w:jc w:val="center"/>
              <w:ind w:left="431"/>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6800" w:type="dxa"/>
            <w:vAlign w:val="bottom"/>
            <w:gridSpan w:val="3"/>
            <w:vMerge w:val="continue"/>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7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4"/>
              </w:rPr>
              <w:t>Directors and Executive Officers:</w:t>
            </w:r>
          </w:p>
        </w:tc>
        <w:tc>
          <w:tcPr>
            <w:tcW w:w="43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Joshua Easterly </w:t>
            </w:r>
            <w:r>
              <w:rPr>
                <w:rFonts w:ascii="Times New Roman" w:cs="Times New Roman" w:eastAsia="Times New Roman" w:hAnsi="Times New Roman"/>
                <w:sz w:val="15"/>
                <w:szCs w:val="15"/>
                <w:color w:val="auto"/>
              </w:rPr>
              <w:t>(2)</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1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Michael Fishman</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Richard Higginbotham</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John Ross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Ronald Tanemura</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56,516</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Ian Simmonds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Robert (Bo) Stanley</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All Directors and Executive Officers as a Group (13 persons) </w:t>
            </w:r>
            <w:r>
              <w:rPr>
                <w:rFonts w:ascii="Times New Roman" w:cs="Times New Roman" w:eastAsia="Times New Roman" w:hAnsi="Times New Roman"/>
                <w:sz w:val="15"/>
                <w:szCs w:val="15"/>
                <w:color w:val="auto"/>
              </w:rPr>
              <w:t>(3)(4)</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2,915,164</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Five-Percent Stockholders:</w:t>
            </w:r>
          </w:p>
        </w:tc>
        <w:tc>
          <w:tcPr>
            <w:tcW w:w="1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State Teachers Retirement Board of Ohio </w:t>
            </w:r>
            <w:r>
              <w:rPr>
                <w:rFonts w:ascii="Times New Roman" w:cs="Times New Roman" w:eastAsia="Times New Roman" w:hAnsi="Times New Roman"/>
                <w:sz w:val="15"/>
                <w:szCs w:val="15"/>
                <w:color w:val="auto"/>
              </w:rPr>
              <w:t>(5)</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4,770,420</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Division of Investment, Department of Treasury, State of New Jersey </w:t>
            </w:r>
            <w:r>
              <w:rPr>
                <w:rFonts w:ascii="Times New Roman" w:cs="Times New Roman" w:eastAsia="Times New Roman" w:hAnsi="Times New Roman"/>
                <w:sz w:val="15"/>
                <w:szCs w:val="15"/>
                <w:color w:val="auto"/>
              </w:rPr>
              <w:t>(6)</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4,750,000</w:t>
            </w:r>
          </w:p>
        </w:tc>
        <w:tc>
          <w:tcPr>
            <w:tcW w:w="1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Wells Fargo &amp; Company </w:t>
            </w:r>
            <w:r>
              <w:rPr>
                <w:rFonts w:ascii="Times New Roman" w:cs="Times New Roman" w:eastAsia="Times New Roman" w:hAnsi="Times New Roman"/>
                <w:sz w:val="15"/>
                <w:szCs w:val="15"/>
                <w:color w:val="auto"/>
              </w:rPr>
              <w:t>(7)</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4,316,213</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Universities Superannuation Scheme Ltd. </w:t>
            </w:r>
            <w:r>
              <w:rPr>
                <w:rFonts w:ascii="Times New Roman" w:cs="Times New Roman" w:eastAsia="Times New Roman" w:hAnsi="Times New Roman"/>
                <w:sz w:val="15"/>
                <w:szCs w:val="15"/>
                <w:color w:val="auto"/>
              </w:rPr>
              <w:t>(8)</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3,488,476</w:t>
            </w:r>
          </w:p>
        </w:tc>
        <w:tc>
          <w:tcPr>
            <w:tcW w:w="1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640" w:hanging="43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640" w:right="20" w:hanging="436"/>
        <w:spacing w:after="0" w:line="25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240" w:top="455" w:right="4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140" w:hanging="436"/>
        <w:spacing w:after="0" w:line="26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9,745 shares of common stock beneficially owned by Mr. Easterly have been pledged as security in connection with a line of credit with a third party financial institution unaffiliated with the Company.</w:t>
      </w:r>
    </w:p>
    <w:p>
      <w:pPr>
        <w:ind w:left="640" w:right="60" w:hanging="436"/>
        <w:spacing w:after="0" w:line="250"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officers that are not “Named Executive Officers,” as defined in Item 402 of Regulation S-K, as promulgated under the Securities Act of 1933, as amended. 15,289 shares of common stock beneficially owned by certain officers have been pledged as security in connection with lines of credit with a third party financial institution unaffiliated with the Company.</w:t>
      </w:r>
    </w:p>
    <w:p>
      <w:pPr>
        <w:spacing w:after="0" w:line="1"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TSL Advisers holds 2,732,307 shares of common stock, or the TSL Advisers Shares.</w:t>
      </w:r>
    </w:p>
    <w:p>
      <w:pPr>
        <w:spacing w:after="0" w:line="9" w:lineRule="exact"/>
        <w:rPr>
          <w:rFonts w:ascii="Times New Roman" w:cs="Times New Roman" w:eastAsia="Times New Roman" w:hAnsi="Times New Roman"/>
          <w:sz w:val="18"/>
          <w:szCs w:val="18"/>
          <w:color w:val="auto"/>
        </w:rPr>
      </w:pPr>
    </w:p>
    <w:p>
      <w:pPr>
        <w:ind w:left="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TSL Advisers are managed by TSSP HoldCo Management, LLC (“TSSP”),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1" w:lineRule="exact"/>
        <w:rPr>
          <w:rFonts w:ascii="Times New Roman" w:cs="Times New Roman" w:eastAsia="Times New Roman" w:hAnsi="Times New Roman"/>
          <w:sz w:val="18"/>
          <w:szCs w:val="18"/>
          <w:color w:val="auto"/>
        </w:rPr>
      </w:pPr>
    </w:p>
    <w:p>
      <w:pPr>
        <w:jc w:val="both"/>
        <w:ind w:left="6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State Teachers Retirement Board of Ohio is 275 East Broad Street, Columbus, OH 43215.</w:t>
      </w:r>
    </w:p>
    <w:p>
      <w:pPr>
        <w:spacing w:after="0" w:line="9" w:lineRule="exact"/>
        <w:rPr>
          <w:rFonts w:ascii="Times New Roman" w:cs="Times New Roman" w:eastAsia="Times New Roman" w:hAnsi="Times New Roman"/>
          <w:sz w:val="18"/>
          <w:szCs w:val="18"/>
          <w:color w:val="auto"/>
        </w:rPr>
      </w:pPr>
    </w:p>
    <w:p>
      <w:pPr>
        <w:ind w:left="640" w:right="20" w:hanging="436"/>
        <w:spacing w:after="0" w:line="250"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Division of Investment, Department of Treasury, State of New Jersey is 50 West State Street, 9th Floor, PO Box 290, Trenton, NJ 08625.</w:t>
      </w:r>
    </w:p>
    <w:p>
      <w:pPr>
        <w:ind w:left="640" w:right="440" w:hanging="436"/>
        <w:spacing w:after="0" w:line="250"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 filed with the SEC on January 29, 2018 by Wells Fargo &amp; Company on its own behalf and on behalf of certain subsidiaries. The address of Wells Fargo &amp; Company is 420 Montgomery Street, San Francisco, CA 94163.</w:t>
      </w:r>
    </w:p>
    <w:p>
      <w:pPr>
        <w:ind w:left="640" w:right="40" w:hanging="436"/>
        <w:spacing w:after="0" w:line="253"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1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240" w:top="455" w:right="5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AUTHORIZATION OF THE COMPANY TO SELL OR OTHERWISE ISSUE SHARES OF ITS COMMON STOCK AT A PRICE BELOW</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ITS THEN-CURRENT NET ASSET VALUE PER SHARE IN ONE OR MORE OFFERINGS, IN EACH CASE SUBJECT TO THE</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APPROVAL OF ITS BOARD OF DIRECTORS AND SUBJECT TO THE CONDITIONS SET FORTH IN THIS PROPOSAL</w:t>
      </w:r>
    </w:p>
    <w:p>
      <w:pPr>
        <w:spacing w:after="0" w:line="207" w:lineRule="exact"/>
        <w:rPr>
          <w:sz w:val="20"/>
          <w:szCs w:val="20"/>
          <w:color w:val="auto"/>
        </w:rPr>
      </w:pPr>
    </w:p>
    <w:p>
      <w:pPr>
        <w:jc w:val="both"/>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76"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4"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1:1 debt-to-equity ratio.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88"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Times New Roman" w:cs="Times New Roman" w:eastAsia="Times New Roman" w:hAnsi="Times New Roman"/>
          <w:sz w:val="18"/>
          <w:szCs w:val="18"/>
          <w:b w:val="1"/>
          <w:bCs w:val="1"/>
          <w:color w:val="auto"/>
        </w:rPr>
        <w:t>There will be no limit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Conditions to Sales Below NAV</w:t>
      </w:r>
    </w:p>
    <w:p>
      <w:pPr>
        <w:spacing w:after="0" w:line="121" w:lineRule="exact"/>
        <w:rPr>
          <w:sz w:val="20"/>
          <w:szCs w:val="20"/>
          <w:color w:val="auto"/>
        </w:rPr>
      </w:pPr>
    </w:p>
    <w:p>
      <w:pPr>
        <w:ind w:left="200" w:right="560" w:firstLine="441"/>
        <w:spacing w:after="0" w:line="266" w:lineRule="auto"/>
        <w:rPr>
          <w:sz w:val="20"/>
          <w:szCs w:val="20"/>
          <w:color w:val="auto"/>
        </w:rPr>
      </w:pPr>
      <w:r>
        <w:rPr>
          <w:rFonts w:ascii="Times New Roman" w:cs="Times New Roman" w:eastAsia="Times New Roman" w:hAnsi="Times New Roman"/>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2" w:lineRule="exact"/>
        <w:rPr>
          <w:sz w:val="20"/>
          <w:szCs w:val="20"/>
          <w:color w:val="auto"/>
        </w:rPr>
      </w:pPr>
    </w:p>
    <w:p>
      <w:pPr>
        <w:ind w:left="1060" w:right="180" w:hanging="316"/>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have determined that any such sale would be in the best interests of the Company and its stockholders;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58"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9" w:lineRule="exact"/>
        <w:rPr>
          <w:rFonts w:ascii="Times New Roman" w:cs="Times New Roman" w:eastAsia="Times New Roman" w:hAnsi="Times New Roman"/>
          <w:sz w:val="18"/>
          <w:szCs w:val="18"/>
          <w:color w:val="auto"/>
        </w:rPr>
      </w:pPr>
    </w:p>
    <w:p>
      <w:pPr>
        <w:ind w:left="1060" w:right="220" w:hanging="316"/>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the Company’s then-outstanding common stock immediately prior to each such offering.</w:t>
      </w:r>
    </w:p>
    <w:p>
      <w:pPr>
        <w:spacing w:after="0" w:line="162"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Board Approval</w:t>
      </w:r>
    </w:p>
    <w:p>
      <w:pPr>
        <w:spacing w:after="0" w:line="121"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62"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Background and Reasons to Offer Common Stock Below NAV</w:t>
      </w:r>
    </w:p>
    <w:p>
      <w:pPr>
        <w:spacing w:after="0" w:line="121" w:lineRule="exact"/>
        <w:rPr>
          <w:sz w:val="20"/>
          <w:szCs w:val="20"/>
          <w:color w:val="auto"/>
        </w:rPr>
      </w:pPr>
    </w:p>
    <w:p>
      <w:pPr>
        <w:ind w:left="200" w:right="120" w:firstLine="441"/>
        <w:spacing w:after="0" w:line="256" w:lineRule="auto"/>
        <w:rPr>
          <w:sz w:val="20"/>
          <w:szCs w:val="20"/>
          <w:color w:val="auto"/>
        </w:rPr>
      </w:pPr>
      <w:r>
        <w:rPr>
          <w:rFonts w:ascii="Times New Roman" w:cs="Times New Roman" w:eastAsia="Times New Roman" w:hAnsi="Times New Roman"/>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1:1 debt-to-equity ratio. In reaching that conclusion, the Board considered the following potential benefits to the Company’s stockholders:</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 Have Created, and May in the Future Create, Attractive Investment and Acquisition Opportunities</w:t>
      </w:r>
    </w:p>
    <w:p>
      <w:pPr>
        <w:spacing w:after="0" w:line="121"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24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1" w:lineRule="auto"/>
        <w:rPr>
          <w:sz w:val="20"/>
          <w:szCs w:val="20"/>
          <w:color w:val="auto"/>
        </w:rPr>
      </w:pPr>
      <w:r>
        <w:rPr>
          <w:rFonts w:ascii="Times New Roman" w:cs="Times New Roman" w:eastAsia="Times New Roman" w:hAnsi="Times New Roman"/>
          <w:sz w:val="17"/>
          <w:szCs w:val="17"/>
          <w:color w:val="auto"/>
        </w:rPr>
        <w:t>While market conditions have largely recovered from the events of 2008 and 2009, there have been continuing periods of volatility, some lasting longer than others. In particular, the Company has seen periods during the last few years where BDCs, including the Company, have traded below NAV due to such stock market volatility. While the Company’s shares of common stock are currently trading above NAV, there can be no assurance that they will continue to do so and there can be no assurance that these adverse market conditions will not repeat themselves or worsen in the future. If adverse market conditions re-occur or increase in severity and duration,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Greater Investment Opportunities Due to Larger Capital Resources</w:t>
      </w:r>
    </w:p>
    <w:p>
      <w:pPr>
        <w:spacing w:after="0" w:line="121" w:lineRule="exact"/>
        <w:rPr>
          <w:sz w:val="20"/>
          <w:szCs w:val="20"/>
          <w:color w:val="auto"/>
        </w:rPr>
      </w:pPr>
    </w:p>
    <w:p>
      <w:pPr>
        <w:ind w:left="200" w:right="400" w:firstLine="441"/>
        <w:spacing w:after="0" w:line="261" w:lineRule="auto"/>
        <w:rPr>
          <w:sz w:val="20"/>
          <w:szCs w:val="20"/>
          <w:color w:val="auto"/>
        </w:rPr>
      </w:pPr>
      <w:r>
        <w:rPr>
          <w:rFonts w:ascii="Times New Roman" w:cs="Times New Roman" w:eastAsia="Times New Roman" w:hAnsi="Times New Roman"/>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Higher Market Capitalization and Liquidity May Make the Company’s Common Stock More Attractive to Investors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Maintenance or Possible Increase of Dividends</w:t>
      </w:r>
    </w:p>
    <w:p>
      <w:pPr>
        <w:spacing w:after="0" w:line="121"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for the year ended December 31, 2017 the Company declared total dividends of $1.78 per share of its common stock (including a fourth quarter variable supplemental dividend of $0.03 declared in the first quarter of 2018).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Reduced Expenses Per Share</w:t>
      </w:r>
    </w:p>
    <w:p>
      <w:pPr>
        <w:spacing w:after="0" w:line="121"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Status as a BDC and RIC and Maintaining a Favorable Debt-to-Equity Ratio</w:t>
      </w:r>
    </w:p>
    <w:p>
      <w:pPr>
        <w:spacing w:after="0" w:line="121"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As a BDC and a regulated investment company (“RIC”) for tax purposes, the Company is dependent on its ability to raise capital through the issuance of its common stock. RICs generally must distribute substantially all</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Times New Roman" w:cs="Times New Roman" w:eastAsia="Times New Roman" w:hAnsi="Times New Roman"/>
          <w:sz w:val="18"/>
          <w:szCs w:val="18"/>
          <w:color w:val="auto"/>
        </w:rPr>
        <w:t>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must meet a debt-to-equity ratio of less than 1:1 in order to incur debt or issue senior securities, which requires the Company to finance its investments with at least as much equity as debt and senior securities in the aggregate. In addition, the terms of the Company’s credit facilities also require that it maintain a debt-to-equity ratio of less than 1:1.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89" w:lineRule="exact"/>
        <w:rPr>
          <w:sz w:val="20"/>
          <w:szCs w:val="20"/>
          <w:color w:val="auto"/>
        </w:rPr>
      </w:pPr>
    </w:p>
    <w:p>
      <w:pPr>
        <w:ind w:left="200" w:right="260" w:firstLine="441"/>
        <w:spacing w:after="0" w:line="254" w:lineRule="auto"/>
        <w:rPr>
          <w:sz w:val="20"/>
          <w:szCs w:val="20"/>
          <w:color w:val="auto"/>
        </w:rPr>
      </w:pPr>
      <w:r>
        <w:rPr>
          <w:rFonts w:ascii="Times New Roman" w:cs="Times New Roman" w:eastAsia="Times New Roman" w:hAnsi="Times New Roman"/>
          <w:sz w:val="18"/>
          <w:szCs w:val="18"/>
          <w:color w:val="auto"/>
        </w:rPr>
        <w:t>Exceeding the 1:1 debt-to-equity ratio could have severe negative consequences for a BDC, including the inability to pay dividends, breach of debt covenants and failure to qualify for tax treatment as a RIC. Although the Company does not currently expect that it will exceed this 1:1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2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Trading History</w:t>
      </w:r>
    </w:p>
    <w:p>
      <w:pPr>
        <w:spacing w:after="0" w:line="121"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The following table sets forth, for each fiscal quarter during the last three fiscal years since the Company’s IPO and the first quarter of the current fiscal year, the NAV of the Company’s common stock, the range of high and low closing sales prices of its common stock as reported on the New York Stock Exchange (“NYSE”) and the closing sales price as a premium (discount) to NAV. On March 19, 2018, the last reported closing sales price of the Company’s common stock on the NYSE was $17.93 per share, which represented a premium of approximately 11.4% to the NAV reported by the Company as of December 31, 2017.</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4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13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80" w:type="dxa"/>
            <w:vAlign w:val="bottom"/>
          </w:tcPr>
          <w:p>
            <w:pPr>
              <w:spacing w:after="0"/>
              <w:rPr>
                <w:sz w:val="13"/>
                <w:szCs w:val="13"/>
                <w:color w:val="auto"/>
              </w:rPr>
            </w:pPr>
          </w:p>
        </w:tc>
        <w:tc>
          <w:tcPr>
            <w:tcW w:w="9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800" w:type="dxa"/>
            <w:vAlign w:val="bottom"/>
            <w:gridSpan w:val="4"/>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NAV</w:t>
            </w:r>
            <w:r>
              <w:rPr>
                <w:rFonts w:ascii="Times New Roman" w:cs="Times New Roman" w:eastAsia="Times New Roman" w:hAnsi="Times New Roman"/>
                <w:sz w:val="12"/>
                <w:szCs w:val="12"/>
                <w:b w:val="1"/>
                <w:bCs w:val="1"/>
                <w:color w:val="auto"/>
                <w:w w:val="99"/>
              </w:rPr>
              <w:t>(1)</w:t>
            </w:r>
          </w:p>
        </w:tc>
        <w:tc>
          <w:tcPr>
            <w:tcW w:w="3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340" w:type="dxa"/>
            <w:vAlign w:val="bottom"/>
          </w:tcPr>
          <w:p>
            <w:pPr>
              <w:spacing w:after="0"/>
              <w:rPr>
                <w:sz w:val="10"/>
                <w:szCs w:val="10"/>
                <w:color w:val="auto"/>
              </w:rPr>
            </w:pPr>
          </w:p>
        </w:tc>
        <w:tc>
          <w:tcPr>
            <w:tcW w:w="10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80" w:type="dxa"/>
            <w:vAlign w:val="bottom"/>
          </w:tcPr>
          <w:p>
            <w:pPr>
              <w:spacing w:after="0"/>
              <w:rPr>
                <w:sz w:val="10"/>
                <w:szCs w:val="10"/>
                <w:color w:val="auto"/>
              </w:rPr>
            </w:pPr>
          </w:p>
        </w:tc>
        <w:tc>
          <w:tcPr>
            <w:tcW w:w="9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18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(2)</w:t>
            </w:r>
          </w:p>
        </w:tc>
        <w:tc>
          <w:tcPr>
            <w:tcW w:w="160" w:type="dxa"/>
            <w:vAlign w:val="bottom"/>
          </w:tcPr>
          <w:p>
            <w:pPr>
              <w:spacing w:after="0"/>
              <w:rPr>
                <w:sz w:val="15"/>
                <w:szCs w:val="15"/>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1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$18.54</w:t>
            </w:r>
          </w:p>
        </w:tc>
        <w:tc>
          <w:tcPr>
            <w:tcW w:w="8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$16.34</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$18.35</w:t>
            </w:r>
          </w:p>
        </w:tc>
        <w:tc>
          <w:tcPr>
            <w:tcW w:w="8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$17.00</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$18.00</w:t>
            </w:r>
          </w:p>
        </w:tc>
        <w:tc>
          <w:tcPr>
            <w:tcW w:w="8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$16.22</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$17.65</w:t>
            </w:r>
          </w:p>
        </w:tc>
        <w:tc>
          <w:tcPr>
            <w:tcW w:w="8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$15.97</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$16.86</w:t>
            </w:r>
          </w:p>
        </w:tc>
        <w:tc>
          <w:tcPr>
            <w:tcW w:w="8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$15.15</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$16.74</w:t>
            </w:r>
          </w:p>
        </w:tc>
        <w:tc>
          <w:tcPr>
            <w:tcW w:w="8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$15.97</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$18.77</w:t>
            </w:r>
          </w:p>
        </w:tc>
        <w:tc>
          <w:tcPr>
            <w:tcW w:w="8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$16.61</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$19.05</w:t>
            </w:r>
          </w:p>
        </w:tc>
        <w:tc>
          <w:tcPr>
            <w:tcW w:w="8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$17.43</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1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$20.39</w:t>
            </w:r>
          </w:p>
        </w:tc>
        <w:tc>
          <w:tcPr>
            <w:tcW w:w="8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$18.27</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$20.99</w:t>
            </w:r>
          </w:p>
        </w:tc>
        <w:tc>
          <w:tcPr>
            <w:tcW w:w="8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$20.31</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$21.61</w:t>
            </w:r>
          </w:p>
        </w:tc>
        <w:tc>
          <w:tcPr>
            <w:tcW w:w="8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$19.94</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$21.12</w:t>
            </w:r>
          </w:p>
        </w:tc>
        <w:tc>
          <w:tcPr>
            <w:tcW w:w="8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$19.80</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(through March 19, 2018)</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$20.06</w:t>
            </w:r>
          </w:p>
        </w:tc>
        <w:tc>
          <w:tcPr>
            <w:tcW w:w="8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$17.81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61"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ind w:left="640" w:right="60" w:hanging="436"/>
        <w:spacing w:after="0" w:line="250"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NAV, divided by NAV (in each case, as of the applicable quarter). Does not reflect intraday trading prices.</w:t>
      </w:r>
    </w:p>
    <w:p>
      <w:pPr>
        <w:ind w:left="640" w:hanging="43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sz w:val="20"/>
          <w:szCs w:val="20"/>
          <w:color w:val="auto"/>
        </w:rPr>
      </w:pPr>
    </w:p>
    <w:p>
      <w:pPr>
        <w:ind w:left="640" w:right="340" w:hanging="436"/>
        <w:spacing w:after="0" w:line="261"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has not yet been calculated for this period. NAV for the first quarter of 2018 will be available with the filing of the Company’s Quarterly Report on Form 10-Q for such quarter, which will be filed on or about May 3, 2018.</w:t>
      </w:r>
    </w:p>
    <w:p>
      <w:pPr>
        <w:spacing w:after="0" w:line="180"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Key Stockholder Considerations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Times New Roman" w:cs="Times New Roman" w:eastAsia="Times New Roman" w:hAnsi="Times New Roman"/>
          <w:sz w:val="18"/>
          <w:szCs w:val="18"/>
          <w:b w:val="1"/>
          <w:bCs w:val="1"/>
          <w:color w:val="auto"/>
        </w:rPr>
        <w:t>There will be no limit on the percentage below net asset value per share at which shares may be 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the Company or number of offerings, each for up to 25% of the Company’s then-outstanding common stock, that the Company may conduct under this proposal for the one-year period that authorization is granted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89"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88"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24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82" w:lineRule="auto"/>
        <w:rPr>
          <w:sz w:val="20"/>
          <w:szCs w:val="20"/>
          <w:color w:val="auto"/>
        </w:rPr>
      </w:pPr>
      <w:r>
        <w:rPr>
          <w:rFonts w:ascii="Times New Roman" w:cs="Times New Roman" w:eastAsia="Times New Roman" w:hAnsi="Times New Roman"/>
          <w:sz w:val="18"/>
          <w:szCs w:val="18"/>
          <w:color w:val="auto"/>
        </w:rPr>
        <w:t>dilution to existing stockholders will be limited to no more than 20% of the Company’s then-current NAV per each offering, assuming the Company were to issue the maximum number of shares at no more than par value, or $0.01 per share.</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NAV</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two headings and accompanying tables explain and provide hypothetical examples on the impact of a public offering of the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Company’s common stock at a price less than NAV on two different types of investors:</w:t>
      </w:r>
    </w:p>
    <w:p>
      <w:pPr>
        <w:spacing w:after="0" w:line="112" w:lineRule="exact"/>
        <w:rPr>
          <w:sz w:val="20"/>
          <w:szCs w:val="20"/>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purchase a relatively small amount of shares in the offering or a relatively large amount of shares in the offering.</w:t>
      </w:r>
    </w:p>
    <w:p>
      <w:pPr>
        <w:spacing w:after="0" w:line="225"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85"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24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9" w:lineRule="auto"/>
        <w:rPr>
          <w:sz w:val="20"/>
          <w:szCs w:val="20"/>
          <w:color w:val="auto"/>
        </w:rPr>
      </w:pPr>
      <w:r>
        <w:rPr>
          <w:rFonts w:ascii="Times New Roman" w:cs="Times New Roman" w:eastAsia="Times New Roman" w:hAnsi="Times New Roman"/>
          <w:sz w:val="17"/>
          <w:szCs w:val="17"/>
          <w:color w:val="auto"/>
        </w:rPr>
        <w:t>The example assumes that the issuer has 60.2 million shares outstanding, $1.7 billion in total assets and $0.8 billion in total liabilities (all figures correspond to actual data for the Company as of December 31, 2017). The current net asset value and NAV per share are thus $1.0 billion and $16.09 per share. The chart illustrates the dilutive effect on Stockholder A of (a) an offering of 3.0 million shares of common stock (5% of the outstanding shares) at $15.29 per share after offering expenses and commissions (a 5% discount from NAV per share), (b) an offering of 6.0 million shares of common stock (10% of the outstanding shares) at $14.48 per share after offering expenses and commissions (a 10% discount from NAV per share), (c) an offering of</w:t>
      </w:r>
    </w:p>
    <w:p>
      <w:pPr>
        <w:spacing w:after="0" w:line="3" w:lineRule="exact"/>
        <w:rPr>
          <w:sz w:val="20"/>
          <w:szCs w:val="20"/>
          <w:color w:val="auto"/>
        </w:rPr>
      </w:pPr>
    </w:p>
    <w:p>
      <w:pPr>
        <w:ind w:left="200" w:right="20"/>
        <w:spacing w:after="0" w:line="253" w:lineRule="auto"/>
        <w:rPr>
          <w:sz w:val="20"/>
          <w:szCs w:val="20"/>
          <w:color w:val="auto"/>
        </w:rPr>
      </w:pPr>
      <w:r>
        <w:rPr>
          <w:rFonts w:ascii="Times New Roman" w:cs="Times New Roman" w:eastAsia="Times New Roman" w:hAnsi="Times New Roman"/>
          <w:sz w:val="18"/>
          <w:szCs w:val="18"/>
          <w:color w:val="auto"/>
        </w:rPr>
        <w:t>12.0 million shares of common stock (20% of the outstanding shares) at $12.87 per share after offering expenses and commissions (a 20% discount from NAV per share), and (d) an offering of 15.1 million shares of common stock (25% of the outstanding shares) at $12.07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5% Offering at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10%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20%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 Discount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560" w:type="dxa"/>
            <w:vAlign w:val="bottom"/>
            <w:tcBorders>
              <w:top w:val="single" w:sz="8" w:color="auto"/>
            </w:tcBorders>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560" w:type="dxa"/>
            <w:vAlign w:val="bottom"/>
            <w:tcBorders>
              <w:top w:val="single" w:sz="8" w:color="auto"/>
            </w:tcBorders>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56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580" w:type="dxa"/>
            <w:vAlign w:val="bottom"/>
            <w:tcBorders>
              <w:top w:val="single" w:sz="8" w:color="auto"/>
            </w:tcBorders>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60,247,201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63,259,561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66,271,921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72,296,641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75,309,001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(0.92)%</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w:t>
            </w:r>
          </w:p>
        </w:tc>
        <w:tc>
          <w:tcPr>
            <w:tcW w:w="20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w:t>
            </w:r>
          </w:p>
        </w:tc>
        <w:tc>
          <w:tcPr>
            <w:tcW w:w="20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Dilution to Nonparticipating Stockholder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Held by Stockholder 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200" w:type="dxa"/>
            <w:vAlign w:val="bottom"/>
          </w:tcPr>
          <w:p>
            <w:pPr>
              <w:spacing w:after="0"/>
              <w:rPr>
                <w:sz w:val="12"/>
                <w:szCs w:val="12"/>
                <w:color w:val="auto"/>
              </w:rPr>
            </w:pPr>
          </w:p>
        </w:tc>
        <w:tc>
          <w:tcPr>
            <w:tcW w:w="8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2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8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Net Asset Value Held by Stockholder</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20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966,977</w:t>
            </w:r>
          </w:p>
        </w:tc>
        <w:tc>
          <w:tcPr>
            <w:tcW w:w="20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960,476</w:t>
            </w:r>
          </w:p>
        </w:tc>
        <w:tc>
          <w:tcPr>
            <w:tcW w:w="20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(0.91)%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936,983</w:t>
            </w:r>
          </w:p>
        </w:tc>
        <w:tc>
          <w:tcPr>
            <w:tcW w:w="200" w:type="dxa"/>
            <w:vAlign w:val="bottom"/>
          </w:tcPr>
          <w:p>
            <w:pPr>
              <w:spacing w:after="0"/>
              <w:rPr>
                <w:sz w:val="10"/>
                <w:szCs w:val="10"/>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(3.33)%</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920,830</w:t>
            </w:r>
          </w:p>
        </w:tc>
        <w:tc>
          <w:tcPr>
            <w:tcW w:w="200" w:type="dxa"/>
            <w:vAlign w:val="bottom"/>
          </w:tcPr>
          <w:p>
            <w:pPr>
              <w:spacing w:after="0"/>
              <w:rPr>
                <w:sz w:val="10"/>
                <w:szCs w:val="10"/>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1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w:t>
            </w:r>
          </w:p>
        </w:tc>
        <w:tc>
          <w:tcPr>
            <w:tcW w:w="1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20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(Assumed to be $16.09 per Share)</w:t>
            </w:r>
          </w:p>
        </w:tc>
        <w:tc>
          <w:tcPr>
            <w:tcW w:w="18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 Net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(2,307)</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(8,807)</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(32,300)</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(48,453)</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 Value Less Total Investment)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Investment per Share Held by Stockholder A</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(Assumed to be $16.09 per Share on</w:t>
            </w:r>
          </w:p>
        </w:tc>
        <w:tc>
          <w:tcPr>
            <w:tcW w:w="1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20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20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20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2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20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Held Prior to Sale)</w:t>
            </w:r>
          </w:p>
        </w:tc>
        <w:tc>
          <w:tcPr>
            <w:tcW w:w="18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Stockholder 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Dilution per Share Held by Stockholder A</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Asset Value per Share Less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Percentage Dilution to Stockholder 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(Dilution per Share Divided by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240" w:top="455" w:right="4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Times New Roman" w:cs="Times New Roman" w:eastAsia="Times New Roman" w:hAnsi="Times New Roman"/>
          <w:sz w:val="18"/>
          <w:szCs w:val="18"/>
          <w:color w:val="auto"/>
        </w:rPr>
        <w:t>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85"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12.0 million shares) rather than its 0.10% proportionate share and (b) 150% of such percentage (i.e., 0.15% of an offering of 12.0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700" w:type="dxa"/>
            <w:vAlign w:val="bottom"/>
            <w:tcBorders>
              <w:top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720" w:type="dxa"/>
            <w:vAlign w:val="bottom"/>
            <w:tcBorders>
              <w:top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Sale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Below NAV</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Price per Share to Public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60,247,201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72,296,641</w:t>
            </w:r>
          </w:p>
        </w:tc>
        <w:tc>
          <w:tcPr>
            <w:tcW w:w="3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72,296,641</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6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Dilution/Accretion to Participating Stockholder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66,272</w:t>
            </w:r>
          </w:p>
        </w:tc>
        <w:tc>
          <w:tcPr>
            <w:tcW w:w="3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78,321</w:t>
            </w:r>
          </w:p>
        </w:tc>
        <w:tc>
          <w:tcPr>
            <w:tcW w:w="3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969,283</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1,030,682</w:t>
            </w:r>
          </w:p>
        </w:tc>
        <w:tc>
          <w:tcPr>
            <w:tcW w:w="3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1,218,079</w:t>
            </w:r>
          </w:p>
        </w:tc>
        <w:tc>
          <w:tcPr>
            <w:tcW w:w="3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$16.09 per Share on Shares Held Prior to Sale)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969,283</w:t>
            </w:r>
          </w:p>
        </w:tc>
        <w:tc>
          <w:tcPr>
            <w:tcW w:w="3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1,050,915</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1,214,179</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(20,233)</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 per Share Held by Stockholder A (Assumed to</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 $16.09 per Share on Shares Held Prior to Sale)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3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 Share Divided by Investment per Share)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Underwritten Offerings</w:t>
      </w:r>
    </w:p>
    <w:p>
      <w:pPr>
        <w:spacing w:after="0" w:line="119"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Consideration of Potential Conflicts of Interest</w:t>
      </w:r>
    </w:p>
    <w:p>
      <w:pPr>
        <w:spacing w:after="0" w:line="119"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TSL Advisers, as such fees are based on the amount of the Company’s gross assets, and considered the effect of the following factors:</w:t>
      </w:r>
    </w:p>
    <w:p>
      <w:pPr>
        <w:spacing w:after="0" w:line="86" w:lineRule="exact"/>
        <w:rPr>
          <w:sz w:val="20"/>
          <w:szCs w:val="20"/>
          <w:color w:val="auto"/>
        </w:rPr>
      </w:pPr>
    </w:p>
    <w:p>
      <w:pPr>
        <w:ind w:left="1060" w:right="360" w:hanging="316"/>
        <w:spacing w:after="0" w:line="282"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benefits of a common stock offering below NAV compared to other possible means for raising capital or concluding not to raise capital;</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a common stock offering in relation to the number of shares outstanding;</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on operating expenses associated with an increase in capital.</w:t>
      </w:r>
    </w:p>
    <w:p>
      <w:pPr>
        <w:spacing w:after="0" w:line="225"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184" w:lineRule="exact"/>
        <w:rPr>
          <w:sz w:val="20"/>
          <w:szCs w:val="20"/>
          <w:color w:val="auto"/>
        </w:rPr>
      </w:pPr>
    </w:p>
    <w:p>
      <w:pPr>
        <w:ind w:left="200" w:right="60"/>
        <w:spacing w:after="0" w:line="262" w:lineRule="auto"/>
        <w:rPr>
          <w:sz w:val="20"/>
          <w:szCs w:val="20"/>
          <w:color w:val="auto"/>
        </w:rPr>
      </w:pPr>
      <w:r>
        <w:rPr>
          <w:rFonts w:ascii="Times New Roman" w:cs="Times New Roman" w:eastAsia="Times New Roman" w:hAnsi="Times New Roman"/>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24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2019 ANNUAL MEETING OF STOCKHOLDERS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200" w:right="180" w:firstLine="441"/>
        <w:spacing w:after="0" w:line="258" w:lineRule="auto"/>
        <w:rPr>
          <w:sz w:val="20"/>
          <w:szCs w:val="20"/>
          <w:color w:val="auto"/>
        </w:rPr>
      </w:pPr>
      <w:r>
        <w:rPr>
          <w:rFonts w:ascii="Times New Roman" w:cs="Times New Roman" w:eastAsia="Times New Roman" w:hAnsi="Times New Roman"/>
          <w:sz w:val="18"/>
          <w:szCs w:val="18"/>
          <w:color w:val="auto"/>
        </w:rPr>
        <w:t>Any proposal of a stockholder intended to be included in our proxy statement and form of proxy/voting instruction card for the 2019 annual meeting of stockholders pursuant to Rule 14a-8 of the SEC’s rules must be received by us at our principal executive offices no later than December 4, 2018.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Jennifer Gordon, TPG Specialty Lending, Inc., 301 Commerce Street, Suite 3300, Fort Worth, TX 76102.</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Bylaw Requirements for Stockholder Submission of Nominations and Proposals</w:t>
      </w:r>
    </w:p>
    <w:p>
      <w:pPr>
        <w:spacing w:after="0" w:line="121"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A stockholder recommendation for nomination of a person for election to our board or a proposal for consideration at our 2019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4" w:lineRule="exact"/>
        <w:rPr>
          <w:sz w:val="20"/>
          <w:szCs w:val="20"/>
          <w:color w:val="auto"/>
        </w:rPr>
      </w:pPr>
    </w:p>
    <w:p>
      <w:pPr>
        <w:ind w:left="200" w:right="180" w:firstLine="441"/>
        <w:spacing w:after="0" w:line="258" w:lineRule="auto"/>
        <w:rPr>
          <w:sz w:val="20"/>
          <w:szCs w:val="20"/>
          <w:color w:val="auto"/>
        </w:rPr>
      </w:pPr>
      <w:r>
        <w:rPr>
          <w:rFonts w:ascii="Times New Roman" w:cs="Times New Roman" w:eastAsia="Times New Roman" w:hAnsi="Times New Roman"/>
          <w:sz w:val="18"/>
          <w:szCs w:val="18"/>
          <w:color w:val="auto"/>
        </w:rPr>
        <w:t>Our Bylaws require that the proposal or recommendation for nomination must be received by our Secretary at our principal executive offices at the above address no later than February 16, 2019, unless the date of our 2019 annual meeting is more than 30 days before or more than 60 days after May 17, 2019, the anniversary of our 2018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will furnish, without charge, a copy of our Annual Report on Form 10-K for the fiscal year ended December 31, 2017 to any stockholder upon request. Requests should be directed to the Secretary of the Company, Jennifer Gordon, TPG Specialty Lending, Inc., 888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35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NY 10106, Attention: TSLX Investor Relations, or by emailing us at IRTSL@tpg.com.</w:t>
      </w:r>
    </w:p>
    <w:p>
      <w:pPr>
        <w:spacing w:after="0" w:line="3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Notice of Internet Availability of Proxy Materials with respect to two or more stockholders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24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62"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35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82" w:lineRule="exact"/>
        <w:rPr>
          <w:sz w:val="20"/>
          <w:szCs w:val="20"/>
          <w:color w:val="auto"/>
        </w:rPr>
      </w:pPr>
    </w:p>
    <w:p>
      <w:pPr>
        <w:ind w:left="200" w:right="18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17145</wp:posOffset>
            </wp:positionV>
            <wp:extent cx="27959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Jennifer Gordon</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i w:val="1"/>
          <w:iCs w:val="1"/>
          <w:color w:val="auto"/>
        </w:rPr>
        <w:t>Chief Compliance Officer, Vice President and Secretary</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229"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76"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85"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240" w:top="455"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225"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Special Meeting: </w:t>
      </w:r>
      <w:r>
        <w:rPr>
          <w:rFonts w:ascii="Times New Roman" w:cs="Times New Roman" w:eastAsia="Times New Roman" w:hAnsi="Times New Roman"/>
          <w:sz w:val="18"/>
          <w:szCs w:val="18"/>
          <w:color w:val="auto"/>
        </w:rPr>
        <w:t>The Notice and Proxy Statement is available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www.proxyvote.com</w:t>
      </w: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May 17, 2018 9:30 AM EDT</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stockholders hereby appoint Jennifer Gordon and Ken Burke, or either of them, as proxies, each with the power to appoint his or her substitute, and hereby authorize them to represent and to vote, as designated on the reverse side of this ballot, all of the shares of common stock of TPG SPECIALTY LENDING, INC. that the stockholders are entitled to vote at a Special Meeting of Stockholders to be held at 9:30 AM EDT on May 17, 2018 at the offices of TPG, 888 7th Avenue, Floor 35, New York, NY 10106 and any adjournment or postponement thereof.</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ectPr>
          <w:pgSz w:w="11900" w:h="16838" w:orient="portrait"/>
          <w:cols w:equalWidth="0" w:num="1">
            <w:col w:w="11340"/>
          </w:cols>
          <w:pgMar w:left="240" w:top="455" w:right="3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INTERNET – www.proxyvote.com</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Use the Internet to transmit your voting instructions and for electronic delivery of information. Vote by 11:59 P.M. ET on 05/16/2018. Have your proxy card in hand when you access the web site and follow the instructions to obtain your records and to create an electronic voting instruction form.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DELIVERY OF FUTURE PROXY MATERIALS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PHONE – 1-800-690-6903</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Use any touch-tone telephone to transmit your voting instructions. Vote by 11:59 P.M. ET on 05/16/2018. Have your proxy card in hand when you call and then follow the instructions.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Mark, sign and date your proxy card and return it in the postage-paid envelope we have provided or return it to Vote Processing, c/o Broadridge, 51 Mercedes Way, Edgewood, NY 11717.</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81" w:lineRule="exact"/>
        <w:rPr>
          <w:sz w:val="20"/>
          <w:szCs w:val="20"/>
          <w:color w:val="auto"/>
        </w:rPr>
      </w:pPr>
    </w:p>
    <w:p>
      <w:pPr>
        <w:ind w:left="3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THIS PROXY CARD IS VALID ONLY WHEN SIGNED AND DATED.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you vote FOR the following:</w:t>
      </w:r>
    </w:p>
    <w:p>
      <w:pPr>
        <w:spacing w:after="0" w:line="117" w:lineRule="exact"/>
        <w:rPr>
          <w:sz w:val="20"/>
          <w:szCs w:val="20"/>
          <w:color w:val="auto"/>
        </w:rPr>
      </w:pPr>
    </w:p>
    <w:p>
      <w:pPr>
        <w:ind w:left="460" w:right="380" w:hanging="452"/>
        <w:spacing w:after="0" w:line="261"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firstLine="45"/>
        <w:spacing w:after="0" w:line="313" w:lineRule="auto"/>
        <w:rPr>
          <w:sz w:val="20"/>
          <w:szCs w:val="20"/>
          <w:color w:val="auto"/>
        </w:rPr>
      </w:pPr>
      <w:r>
        <w:rPr>
          <w:rFonts w:ascii="Times New Roman" w:cs="Times New Roman" w:eastAsia="Times New Roman" w:hAnsi="Times New Roman"/>
          <w:sz w:val="17"/>
          <w:szCs w:val="17"/>
          <w:color w:val="auto"/>
        </w:rPr>
        <w:t>Keep This Portion For Your Records Detach and Return This Portion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540" w:val="left"/>
          <w:tab w:leader="none" w:pos="1680" w:val="left"/>
        </w:tabs>
        <w:rPr>
          <w:sz w:val="20"/>
          <w:szCs w:val="20"/>
          <w:color w:val="auto"/>
        </w:rPr>
      </w:pPr>
      <w:r>
        <w:rPr>
          <w:rFonts w:ascii="Times New Roman" w:cs="Times New Roman" w:eastAsia="Times New Roman" w:hAnsi="Times New Roman"/>
          <w:sz w:val="18"/>
          <w:szCs w:val="18"/>
          <w:color w:val="auto"/>
        </w:rPr>
        <w:t>FOR</w:t>
        <w:tab/>
        <w:t>AGAINST</w:t>
      </w:r>
      <w:r>
        <w:rPr>
          <w:sz w:val="20"/>
          <w:szCs w:val="20"/>
          <w:color w:val="auto"/>
        </w:rPr>
        <w:tab/>
      </w:r>
      <w:r>
        <w:rPr>
          <w:rFonts w:ascii="Times New Roman" w:cs="Times New Roman" w:eastAsia="Times New Roman" w:hAnsi="Times New Roman"/>
          <w:sz w:val="17"/>
          <w:szCs w:val="17"/>
          <w:color w:val="auto"/>
        </w:rPr>
        <w:t>ABSTAIN</w:t>
      </w:r>
    </w:p>
    <w:p>
      <w:pPr>
        <w:spacing w:after="0" w:line="102" w:lineRule="exact"/>
        <w:rPr>
          <w:sz w:val="20"/>
          <w:szCs w:val="20"/>
          <w:color w:val="auto"/>
        </w:rPr>
      </w:pPr>
    </w:p>
    <w:p>
      <w:pPr>
        <w:spacing w:after="0" w:line="181" w:lineRule="exact"/>
        <w:tabs>
          <w:tab w:leader="none" w:pos="540" w:val="left"/>
          <w:tab w:leader="none" w:pos="16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587" w:lineRule="exact"/>
        <w:rPr>
          <w:sz w:val="20"/>
          <w:szCs w:val="20"/>
          <w:color w:val="auto"/>
        </w:rPr>
      </w:pPr>
    </w:p>
    <w:p>
      <w:pPr>
        <w:sectPr>
          <w:pgSz w:w="11900" w:h="16838" w:orient="portrait"/>
          <w:cols w:equalWidth="0" w:num="2">
            <w:col w:w="8480" w:space="20"/>
            <w:col w:w="2920"/>
          </w:cols>
          <w:pgMar w:left="240" w:top="455" w:right="239" w:bottom="1440" w:gutter="0" w:footer="0" w:header="0"/>
        </w:sect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The named proxies are also authorized to transact such other business as may properly come before the Special Meeting of Stockholders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 or adjournment thereof.</w:t>
      </w:r>
    </w:p>
    <w:p>
      <w:pPr>
        <w:spacing w:after="0" w:line="51" w:lineRule="exact"/>
        <w:rPr>
          <w:sz w:val="20"/>
          <w:szCs w:val="20"/>
          <w:color w:val="auto"/>
        </w:rPr>
      </w:pPr>
    </w:p>
    <w:p>
      <w:pPr>
        <w:spacing w:after="0"/>
        <w:tabs>
          <w:tab w:leader="none" w:pos="8480" w:val="left"/>
          <w:tab w:leader="none" w:pos="9040" w:val="left"/>
        </w:tabs>
        <w:rPr>
          <w:sz w:val="20"/>
          <w:szCs w:val="20"/>
          <w:color w:val="auto"/>
        </w:rPr>
      </w:pPr>
      <w:r>
        <w:rPr>
          <w:rFonts w:ascii="Times New Roman" w:cs="Times New Roman" w:eastAsia="Times New Roman" w:hAnsi="Times New Roman"/>
          <w:sz w:val="18"/>
          <w:szCs w:val="18"/>
          <w:color w:val="auto"/>
        </w:rPr>
        <w:t>Please indicate if you plan to attend this meeting</w:t>
      </w:r>
      <w:r>
        <w:rPr>
          <w:sz w:val="20"/>
          <w:szCs w:val="20"/>
          <w:color w:val="auto"/>
        </w:rPr>
        <w:tab/>
      </w:r>
      <w:r>
        <w:rPr>
          <w:rFonts w:ascii="Times New Roman" w:cs="Times New Roman" w:eastAsia="Times New Roman" w:hAnsi="Times New Roman"/>
          <w:sz w:val="18"/>
          <w:szCs w:val="18"/>
          <w:color w:val="auto"/>
        </w:rPr>
        <w:t>YES</w:t>
        <w:tab/>
        <w:t>NO</w:t>
      </w:r>
    </w:p>
    <w:p>
      <w:pPr>
        <w:spacing w:after="0" w:line="102" w:lineRule="exact"/>
        <w:rPr>
          <w:sz w:val="20"/>
          <w:szCs w:val="20"/>
          <w:color w:val="auto"/>
        </w:rPr>
      </w:pPr>
    </w:p>
    <w:p>
      <w:pPr>
        <w:ind w:left="8500"/>
        <w:spacing w:after="0" w:line="181" w:lineRule="exact"/>
        <w:tabs>
          <w:tab w:leader="none" w:pos="9040" w:val="left"/>
        </w:tabs>
        <w:rPr>
          <w:sz w:val="20"/>
          <w:szCs w:val="20"/>
          <w:color w:val="auto"/>
        </w:rPr>
      </w:pPr>
      <w:r>
        <w:rPr>
          <w:rFonts w:ascii="MS PGothic" w:cs="MS PGothic" w:eastAsia="MS PGothic" w:hAnsi="MS PGothic"/>
          <w:sz w:val="18"/>
          <w:szCs w:val="18"/>
          <w:color w:val="auto"/>
        </w:rPr>
        <w:t>☐</w:t>
        <w:tab/>
        <w:t>☐</w:t>
      </w:r>
    </w:p>
    <w:p>
      <w:pPr>
        <w:spacing w:after="0" w:line="2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4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 [Please Sign Within Box]</w:t>
            </w: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38"/>
        </w:trPr>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(Joint Owners)</w:t>
            </w: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45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2)"/>
      <w:numFmt w:val="decimal"/>
      <w:start w:val="1"/>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2019-12-07T21:31:14Z</dcterms:created>
  <dcterms:modified xsi:type="dcterms:W3CDTF">2019-12-07T21:31:14Z</dcterms:modified>
</cp:coreProperties>
</file>