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0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4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8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Securities Exchange Act of 1934).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$.01 par value per share, outstanding at August 2, 2017 was 60,072,840.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759460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2017 (Unaudited) and December 31,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79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six months ended June 30, 2017 and 2016 (Unaudited)</w:t>
              </w:r>
            </w:hyperlink>
          </w:p>
        </w:tc>
        <w:tc>
          <w:tcPr>
            <w:tcW w:w="14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2017 (Unaudited) and December 31, 2016</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81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Consolidated Statements of Changes in Net Assets for the six months ended June 30, 2017 and 2016 (Unaudited)</w:t>
              </w:r>
            </w:hyperlink>
          </w:p>
        </w:tc>
        <w:tc>
          <w:tcPr>
            <w:tcW w:w="13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Consolidated Statements of Cash Flows for the six months ended June 30, 2017 and 2016 (Unaudited)</w:t>
              </w:r>
            </w:hyperlink>
          </w:p>
        </w:tc>
        <w:tc>
          <w:tcPr>
            <w:tcW w:w="21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3">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4">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40" w:hanging="255"/>
        <w:spacing w:after="0" w:line="308"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report and in our Annual Report on Form 10-K for the year ended December 31, 2016, filed with the SEC on February 22, 2017, and elsewhere in our filings with the SEC.</w:t>
      </w:r>
    </w:p>
    <w:p>
      <w:pPr>
        <w:spacing w:after="0" w:line="147"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$1,388,172</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$1,567,673, respectively)</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1,419,436</w:t>
            </w:r>
          </w:p>
        </w:tc>
        <w:tc>
          <w:tcPr>
            <w:tcW w:w="2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260"/>
              <w:spacing w:after="0"/>
              <w:rPr>
                <w:sz w:val="20"/>
                <w:szCs w:val="20"/>
                <w:color w:val="auto"/>
              </w:rPr>
            </w:pPr>
            <w:r>
              <w:rPr>
                <w:rFonts w:ascii="Arial" w:cs="Arial" w:eastAsia="Arial" w:hAnsi="Arial"/>
                <w:sz w:val="18"/>
                <w:szCs w:val="18"/>
                <w:color w:val="auto"/>
              </w:rPr>
              <w:t>Controlled, affiliated investments (amortized cost of $155,873 and $100,014,</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135,015</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investments at fair value (amortized cost of $1,544,045 and $1,667,687,</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1,554,451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(restricted cash of $1,633 and $1,088, respectively)</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1,589,128</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(net of deferred financing costs of $13,297 and $11,019, respectively)</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572,158</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621,029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6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60,049,754 and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Arial" w:cs="Arial" w:eastAsia="Arial" w:hAnsi="Arial"/>
                <w:sz w:val="18"/>
                <w:szCs w:val="18"/>
                <w:color w:val="auto"/>
              </w:rPr>
              <w:t>59,805,285 shares issued, respectively; and 59,960,674 and 59,716,205 shares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903,006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unrealized gains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gains (losses)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(6,664)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10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968,099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0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1,589,128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1,675,532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June 30, 2016</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from investments</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54,900</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102,670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80,843</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FF0FC"/>
          </w:tcPr>
          <w:p>
            <w:pPr>
              <w:spacing w:after="0"/>
              <w:rPr>
                <w:sz w:val="19"/>
                <w:szCs w:val="19"/>
                <w:color w:val="auto"/>
              </w:rPr>
            </w:pPr>
          </w:p>
        </w:tc>
      </w:tr>
      <w:tr>
        <w:trPr>
          <w:trHeight w:val="209"/>
        </w:trPr>
        <w:tc>
          <w:tcPr>
            <w:tcW w:w="5600" w:type="dxa"/>
            <w:vAlign w:val="bottom"/>
          </w:tcPr>
          <w:p>
            <w:pPr>
              <w:ind w:left="500"/>
              <w:spacing w:after="0"/>
              <w:rPr>
                <w:sz w:val="20"/>
                <w:szCs w:val="20"/>
                <w:color w:val="auto"/>
              </w:rPr>
            </w:pPr>
            <w:r>
              <w:rPr>
                <w:rFonts w:ascii="Arial" w:cs="Arial" w:eastAsia="Arial" w:hAnsi="Arial"/>
                <w:sz w:val="18"/>
                <w:szCs w:val="18"/>
                <w:color w:val="auto"/>
              </w:rPr>
              <w:t>Total investment income from non-controlled, non-affiliated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5600" w:type="dxa"/>
            <w:vAlign w:val="bottom"/>
          </w:tcPr>
          <w:p>
            <w:pPr>
              <w:ind w:left="50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107,149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83,932</w:t>
            </w:r>
          </w:p>
        </w:tc>
        <w:tc>
          <w:tcPr>
            <w:tcW w:w="260" w:type="dxa"/>
            <w:vAlign w:val="bottom"/>
          </w:tcPr>
          <w:p>
            <w:pPr>
              <w:spacing w:after="0"/>
              <w:rPr>
                <w:sz w:val="20"/>
                <w:szCs w:val="20"/>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Interest from investments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4,751</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investment income from controlled, affiliated investments</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Investment Income</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109,767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88,784</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11,742</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Incentive fees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10,294</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3,893</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Directors’ fees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general and administrative</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39,361</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Management and incentive fees waived (Note 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Net Expenses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45,686</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39,165</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64,081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49,619</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taxes, including excise taxes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48,694</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14,997</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of assets and liabilities in foreign currencies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(8,657)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net change in unrealized gains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Realized gains (losses):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Controlled, affiliated investments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(21,776)</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transactions</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realized gains (losses)</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(16,668)</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1000"/>
              <w:spacing w:after="0"/>
              <w:rPr>
                <w:sz w:val="20"/>
                <w:szCs w:val="20"/>
                <w:color w:val="auto"/>
              </w:rPr>
            </w:pPr>
            <w:r>
              <w:rPr>
                <w:rFonts w:ascii="Arial" w:cs="Arial" w:eastAsia="Arial" w:hAnsi="Arial"/>
                <w:sz w:val="18"/>
                <w:szCs w:val="18"/>
                <w:b w:val="1"/>
                <w:bCs w:val="1"/>
                <w:color w:val="auto"/>
              </w:rPr>
              <w:t>Total Unrealized and Realized Gains (Losses)</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18,715</w:t>
            </w:r>
          </w:p>
        </w:tc>
        <w:tc>
          <w:tcPr>
            <w:tcW w:w="260" w:type="dxa"/>
            <w:vAlign w:val="bottom"/>
            <w:shd w:val="clear" w:color="auto" w:fill="CFF0FC"/>
          </w:tcPr>
          <w:p>
            <w:pPr>
              <w:spacing w:after="0"/>
              <w:rPr>
                <w:sz w:val="19"/>
                <w:szCs w:val="19"/>
                <w:color w:val="auto"/>
              </w:rPr>
            </w:pPr>
          </w:p>
        </w:tc>
      </w:tr>
      <w:tr>
        <w:trPr>
          <w:trHeight w:val="263"/>
        </w:trPr>
        <w:tc>
          <w:tcPr>
            <w:tcW w:w="56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60,104</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67,409</w:t>
            </w:r>
          </w:p>
        </w:tc>
        <w:tc>
          <w:tcPr>
            <w:tcW w:w="260" w:type="dxa"/>
            <w:vAlign w:val="bottom"/>
            <w:tcBorders>
              <w:bottom w:val="single" w:sz="8" w:color="CFF0FC"/>
            </w:tcBorders>
          </w:tcPr>
          <w:p>
            <w:pPr>
              <w:spacing w:after="0"/>
              <w:rPr>
                <w:sz w:val="22"/>
                <w:szCs w:val="22"/>
                <w:color w:val="auto"/>
              </w:rPr>
            </w:pPr>
          </w:p>
        </w:tc>
      </w:tr>
      <w:tr>
        <w:trPr>
          <w:trHeight w:val="21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 diluted</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FF0FC"/>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w w:val="93"/>
              </w:rPr>
              <w:t>Weighted average shares of common stock outstanding—basic and diluted</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59,912,804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59,348,460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59,855,088</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57,575,365</w:t>
            </w:r>
          </w:p>
        </w:tc>
        <w:tc>
          <w:tcPr>
            <w:tcW w:w="260" w:type="dxa"/>
            <w:vAlign w:val="bottom"/>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June 30,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r>
      <w:tr>
        <w:trPr>
          <w:trHeight w:val="22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($27,716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8/2017)</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27,641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27,716</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revolving loan ($3,361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8/2017)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92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(3)(7)</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Second-lien loan ($59,621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9/2021)</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10.35%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($45,000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11/2020)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11/12/2015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45,788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($60,000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920" w:type="dxa"/>
            <w:vAlign w:val="bottom"/>
          </w:tcPr>
          <w:p>
            <w:pPr>
              <w:jc w:val="right"/>
              <w:spacing w:after="0"/>
              <w:rPr>
                <w:sz w:val="20"/>
                <w:szCs w:val="20"/>
                <w:color w:val="auto"/>
              </w:rPr>
            </w:pPr>
            <w:r>
              <w:rPr>
                <w:rFonts w:ascii="Arial" w:cs="Arial" w:eastAsia="Arial" w:hAnsi="Arial"/>
                <w:sz w:val="18"/>
                <w:szCs w:val="18"/>
                <w:color w:val="auto"/>
              </w:rPr>
              <w:t>6/12/2017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57,783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($33,221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6/2020)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9.30%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32,819</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($28,125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8/2021)</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920" w:type="dxa"/>
            <w:vAlign w:val="bottom"/>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27,351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28,200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($20,458 par, due</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11.17% (incl.</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7/2021)</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($40,000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6/2022)</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920" w:type="dxa"/>
            <w:vAlign w:val="bottom"/>
          </w:tcPr>
          <w:p>
            <w:pPr>
              <w:jc w:val="right"/>
              <w:spacing w:after="0"/>
              <w:rPr>
                <w:sz w:val="20"/>
                <w:szCs w:val="20"/>
                <w:color w:val="auto"/>
              </w:rPr>
            </w:pPr>
            <w:r>
              <w:rPr>
                <w:rFonts w:ascii="Arial" w:cs="Arial" w:eastAsia="Arial" w:hAnsi="Arial"/>
                <w:sz w:val="18"/>
                <w:szCs w:val="18"/>
                <w:color w:val="auto"/>
              </w:rPr>
              <w:t>6/30/2017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39,100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39,100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SailPoint Technologies,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($38,261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8/2021)</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($19,986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12/2019)</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8.22%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12/30/2014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19,778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20,336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First-lien revolving loan ($429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12/2019)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12/30/2014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($29,030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3/2022)</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c>
          <w:tcPr>
            <w:tcW w:w="920" w:type="dxa"/>
            <w:vAlign w:val="bottom"/>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28,521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29,254</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($50,000 par, due</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9.68% (incl.</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0.50%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6/16/2017</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48,058</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355,594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360,751</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r>
      <w:tr>
        <w:trPr>
          <w:trHeight w:val="223"/>
        </w:trPr>
        <w:tc>
          <w:tcPr>
            <w:tcW w:w="29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2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($4,967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4/2018)</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Second-lien loan ($3,341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10/2021)</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13.23%</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8,289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8,342</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223"/>
        </w:trPr>
        <w:tc>
          <w:tcPr>
            <w:tcW w:w="29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Education</w:t>
            </w:r>
          </w:p>
        </w:tc>
        <w:tc>
          <w:tcPr>
            <w:tcW w:w="2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($45,000 par, due</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8/2022)</w:t>
            </w: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920" w:type="dxa"/>
            <w:vAlign w:val="bottom"/>
          </w:tcPr>
          <w:p>
            <w:pPr>
              <w:jc w:val="right"/>
              <w:spacing w:after="0"/>
              <w:rPr>
                <w:sz w:val="20"/>
                <w:szCs w:val="20"/>
                <w:color w:val="auto"/>
              </w:rPr>
            </w:pPr>
            <w:r>
              <w:rPr>
                <w:rFonts w:ascii="Arial" w:cs="Arial" w:eastAsia="Arial" w:hAnsi="Arial"/>
                <w:sz w:val="18"/>
                <w:szCs w:val="18"/>
                <w:color w:val="auto"/>
              </w:rPr>
              <w:t>8/31/2016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43,928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44,888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ind w:left="27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($54,313 par, due</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4/2021)</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7.97%</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4/1/2016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53,165</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55,535</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97,093</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100,423</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Electronics</w:t>
            </w:r>
          </w:p>
        </w:tc>
        <w:tc>
          <w:tcPr>
            <w:tcW w:w="29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900" w:type="dxa"/>
            <w:vAlign w:val="bottom"/>
          </w:tcPr>
          <w:p>
            <w:pPr>
              <w:ind w:left="100"/>
              <w:spacing w:after="0"/>
              <w:rPr>
                <w:sz w:val="20"/>
                <w:szCs w:val="20"/>
                <w:color w:val="auto"/>
              </w:rPr>
            </w:pPr>
            <w:r>
              <w:rPr>
                <w:rFonts w:ascii="Arial" w:cs="Arial" w:eastAsia="Arial" w:hAnsi="Arial"/>
                <w:sz w:val="18"/>
                <w:szCs w:val="18"/>
                <w:color w:val="auto"/>
              </w:rPr>
              <w:t>First-lien loan ($63,761 par, due</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1/2019)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1/9/2014</w:t>
            </w:r>
          </w:p>
        </w:tc>
        <w:tc>
          <w:tcPr>
            <w:tcW w:w="840" w:type="dxa"/>
            <w:vAlign w:val="bottom"/>
          </w:tcPr>
          <w:p>
            <w:pPr>
              <w:jc w:val="right"/>
              <w:spacing w:after="0"/>
              <w:rPr>
                <w:sz w:val="20"/>
                <w:szCs w:val="20"/>
                <w:color w:val="auto"/>
              </w:rPr>
            </w:pPr>
            <w:r>
              <w:rPr>
                <w:rFonts w:ascii="Arial" w:cs="Arial" w:eastAsia="Arial" w:hAnsi="Arial"/>
                <w:sz w:val="18"/>
                <w:szCs w:val="18"/>
                <w:color w:val="auto"/>
              </w:rPr>
              <w:t>62,455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63,761</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900" w:type="dxa"/>
            <w:vAlign w:val="bottom"/>
          </w:tcPr>
          <w:p>
            <w:pPr>
              <w:ind w:left="100"/>
              <w:spacing w:after="0"/>
              <w:rPr>
                <w:sz w:val="20"/>
                <w:szCs w:val="20"/>
                <w:color w:val="auto"/>
              </w:rPr>
            </w:pPr>
            <w:r>
              <w:rPr>
                <w:rFonts w:ascii="Arial" w:cs="Arial" w:eastAsia="Arial" w:hAnsi="Arial"/>
                <w:sz w:val="18"/>
                <w:szCs w:val="18"/>
                <w:color w:val="auto"/>
              </w:rPr>
              <w:t>First-lien loan ($21,600 par, due</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8/2020)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8/18/2015</w:t>
            </w:r>
          </w:p>
        </w:tc>
        <w:tc>
          <w:tcPr>
            <w:tcW w:w="840" w:type="dxa"/>
            <w:vAlign w:val="bottom"/>
          </w:tcPr>
          <w:p>
            <w:pPr>
              <w:jc w:val="right"/>
              <w:spacing w:after="0"/>
              <w:rPr>
                <w:sz w:val="20"/>
                <w:szCs w:val="20"/>
                <w:color w:val="auto"/>
              </w:rPr>
            </w:pPr>
            <w:r>
              <w:rPr>
                <w:rFonts w:ascii="Arial" w:cs="Arial" w:eastAsia="Arial" w:hAnsi="Arial"/>
                <w:sz w:val="18"/>
                <w:szCs w:val="18"/>
                <w:color w:val="auto"/>
              </w:rPr>
              <w:t>21,240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22,072</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($54,284 par, due</w:t>
            </w:r>
          </w:p>
        </w:tc>
        <w:tc>
          <w:tcPr>
            <w:tcW w:w="1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10.75% (incl.</w:t>
            </w: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8/2020)</w:t>
            </w:r>
          </w:p>
        </w:tc>
        <w:tc>
          <w:tcPr>
            <w:tcW w:w="1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2.38% PIK)</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54,963</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900" w:type="dxa"/>
            <w:vAlign w:val="bottom"/>
          </w:tcPr>
          <w:p>
            <w:pPr>
              <w:ind w:left="100"/>
              <w:spacing w:after="0"/>
              <w:rPr>
                <w:sz w:val="20"/>
                <w:szCs w:val="20"/>
                <w:color w:val="auto"/>
              </w:rPr>
            </w:pPr>
            <w:r>
              <w:rPr>
                <w:rFonts w:ascii="Arial" w:cs="Arial" w:eastAsia="Arial" w:hAnsi="Arial"/>
                <w:sz w:val="18"/>
                <w:szCs w:val="18"/>
                <w:color w:val="auto"/>
              </w:rPr>
              <w:t>First-lien loan ($21,704 par, due</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9/2018)</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9/12/2013</w:t>
            </w:r>
          </w:p>
        </w:tc>
        <w:tc>
          <w:tcPr>
            <w:tcW w:w="840" w:type="dxa"/>
            <w:vAlign w:val="bottom"/>
          </w:tcPr>
          <w:p>
            <w:pPr>
              <w:jc w:val="right"/>
              <w:spacing w:after="0"/>
              <w:rPr>
                <w:sz w:val="20"/>
                <w:szCs w:val="20"/>
                <w:color w:val="auto"/>
              </w:rPr>
            </w:pPr>
            <w:r>
              <w:rPr>
                <w:rFonts w:ascii="Arial" w:cs="Arial" w:eastAsia="Arial" w:hAnsi="Arial"/>
                <w:sz w:val="18"/>
                <w:szCs w:val="18"/>
                <w:color w:val="auto"/>
              </w:rPr>
              <w:t>21,584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21,873</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($34,344 par, due</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3/2020)</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10.22%</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34,737</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w:t>
            </w:r>
          </w:p>
        </w:tc>
        <w:tc>
          <w:tcPr>
            <w:tcW w:w="2900" w:type="dxa"/>
            <w:vAlign w:val="bottom"/>
          </w:tcPr>
          <w:p>
            <w:pPr>
              <w:ind w:left="100"/>
              <w:spacing w:after="0"/>
              <w:rPr>
                <w:sz w:val="20"/>
                <w:szCs w:val="20"/>
                <w:color w:val="auto"/>
              </w:rPr>
            </w:pPr>
            <w:r>
              <w:rPr>
                <w:rFonts w:ascii="Arial" w:cs="Arial" w:eastAsia="Arial" w:hAnsi="Arial"/>
                <w:sz w:val="18"/>
                <w:szCs w:val="18"/>
                <w:color w:val="auto"/>
              </w:rPr>
              <w:t>First-lien loan ($30,162 par, due</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9.50% (incl.</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3/2022)</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1.75% PIK)</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3/7/2017</w:t>
            </w:r>
          </w:p>
        </w:tc>
        <w:tc>
          <w:tcPr>
            <w:tcW w:w="840" w:type="dxa"/>
            <w:vAlign w:val="bottom"/>
          </w:tcPr>
          <w:p>
            <w:pPr>
              <w:jc w:val="right"/>
              <w:spacing w:after="0"/>
              <w:rPr>
                <w:sz w:val="20"/>
                <w:szCs w:val="20"/>
                <w:color w:val="auto"/>
              </w:rPr>
            </w:pPr>
            <w:r>
              <w:rPr>
                <w:rFonts w:ascii="Arial" w:cs="Arial" w:eastAsia="Arial" w:hAnsi="Arial"/>
                <w:sz w:val="18"/>
                <w:szCs w:val="18"/>
                <w:color w:val="auto"/>
              </w:rPr>
              <w:t>29,593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29,722</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159,937</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163,367</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Healthcare</w:t>
            </w:r>
          </w:p>
        </w:tc>
        <w:tc>
          <w:tcPr>
            <w:tcW w:w="2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w w:val="94"/>
              </w:rPr>
              <w:t xml:space="preserve">Integrated Practice Solutions, Inc. </w:t>
            </w:r>
            <w:r>
              <w:rPr>
                <w:rFonts w:ascii="Arial" w:cs="Arial" w:eastAsia="Arial" w:hAnsi="Arial"/>
                <w:sz w:val="15"/>
                <w:szCs w:val="15"/>
                <w:color w:val="auto"/>
                <w:w w:val="94"/>
              </w:rPr>
              <w:t>(3)</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($32,500 par, due</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5"/>
                <w:szCs w:val="15"/>
                <w:color w:val="auto"/>
              </w:rPr>
              <w:t>(5)</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6/2022)</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9.30%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6/30/2017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31,569</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31,606</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900" w:type="dxa"/>
            <w:vAlign w:val="bottom"/>
          </w:tcPr>
          <w:p>
            <w:pPr>
              <w:ind w:left="100"/>
              <w:spacing w:after="0"/>
              <w:rPr>
                <w:sz w:val="20"/>
                <w:szCs w:val="20"/>
                <w:color w:val="auto"/>
              </w:rPr>
            </w:pPr>
            <w:r>
              <w:rPr>
                <w:rFonts w:ascii="Arial" w:cs="Arial" w:eastAsia="Arial" w:hAnsi="Arial"/>
                <w:sz w:val="18"/>
                <w:szCs w:val="18"/>
                <w:color w:val="auto"/>
                <w:w w:val="96"/>
              </w:rPr>
              <w:t>First-lien loan (EUR 39,079 par, due</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47,135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9/2019)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9/30/2014</w:t>
            </w:r>
          </w:p>
        </w:tc>
        <w:tc>
          <w:tcPr>
            <w:tcW w:w="840" w:type="dxa"/>
            <w:vAlign w:val="bottom"/>
          </w:tcPr>
          <w:p>
            <w:pPr>
              <w:jc w:val="right"/>
              <w:spacing w:after="0"/>
              <w:rPr>
                <w:sz w:val="20"/>
                <w:szCs w:val="20"/>
                <w:color w:val="auto"/>
              </w:rPr>
            </w:pPr>
            <w:r>
              <w:rPr>
                <w:rFonts w:ascii="Arial" w:cs="Arial" w:eastAsia="Arial" w:hAnsi="Arial"/>
                <w:sz w:val="18"/>
                <w:szCs w:val="18"/>
                <w:color w:val="auto"/>
              </w:rPr>
              <w:t>46,232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(EUR 41,327)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18"/>
                <w:szCs w:val="18"/>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revolving loan (EUR 300</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9/2019)</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11.50%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(EUR 530)</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900" w:type="dxa"/>
            <w:vAlign w:val="bottom"/>
          </w:tcPr>
          <w:p>
            <w:pPr>
              <w:ind w:left="100"/>
              <w:spacing w:after="0"/>
              <w:rPr>
                <w:sz w:val="20"/>
                <w:szCs w:val="20"/>
                <w:color w:val="auto"/>
              </w:rPr>
            </w:pPr>
            <w:r>
              <w:rPr>
                <w:rFonts w:ascii="Arial" w:cs="Arial" w:eastAsia="Arial" w:hAnsi="Arial"/>
                <w:sz w:val="18"/>
                <w:szCs w:val="18"/>
                <w:color w:val="auto"/>
              </w:rPr>
              <w:t>First-lien loan ($57,563 par, due</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12/2021)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12/17/2015</w:t>
            </w:r>
          </w:p>
        </w:tc>
        <w:tc>
          <w:tcPr>
            <w:tcW w:w="840" w:type="dxa"/>
            <w:vAlign w:val="bottom"/>
          </w:tcPr>
          <w:p>
            <w:pPr>
              <w:jc w:val="right"/>
              <w:spacing w:after="0"/>
              <w:rPr>
                <w:sz w:val="20"/>
                <w:szCs w:val="20"/>
                <w:color w:val="auto"/>
              </w:rPr>
            </w:pPr>
            <w:r>
              <w:rPr>
                <w:rFonts w:ascii="Arial" w:cs="Arial" w:eastAsia="Arial" w:hAnsi="Arial"/>
                <w:sz w:val="18"/>
                <w:szCs w:val="18"/>
                <w:color w:val="auto"/>
              </w:rPr>
              <w:t>56,621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58,570</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($47,908 par, due</w:t>
            </w:r>
          </w:p>
        </w:tc>
        <w:tc>
          <w:tcPr>
            <w:tcW w:w="1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9.80% (incl.</w:t>
            </w: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9/2020)</w:t>
            </w:r>
          </w:p>
        </w:tc>
        <w:tc>
          <w:tcPr>
            <w:tcW w:w="1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2.50% PIK)</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48,147</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900" w:type="dxa"/>
            <w:vAlign w:val="bottom"/>
          </w:tcPr>
          <w:p>
            <w:pPr>
              <w:ind w:left="100"/>
              <w:spacing w:after="0"/>
              <w:rPr>
                <w:sz w:val="20"/>
                <w:szCs w:val="20"/>
                <w:color w:val="auto"/>
              </w:rPr>
            </w:pPr>
            <w:r>
              <w:rPr>
                <w:rFonts w:ascii="Arial" w:cs="Arial" w:eastAsia="Arial" w:hAnsi="Arial"/>
                <w:sz w:val="18"/>
                <w:szCs w:val="18"/>
                <w:color w:val="auto"/>
              </w:rPr>
              <w:t>First-lien loan ($29,625 par, due</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2/2021)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2/29/2016</w:t>
            </w:r>
          </w:p>
        </w:tc>
        <w:tc>
          <w:tcPr>
            <w:tcW w:w="840" w:type="dxa"/>
            <w:vAlign w:val="bottom"/>
          </w:tcPr>
          <w:p>
            <w:pPr>
              <w:jc w:val="right"/>
              <w:spacing w:after="0"/>
              <w:rPr>
                <w:sz w:val="20"/>
                <w:szCs w:val="20"/>
                <w:color w:val="auto"/>
              </w:rPr>
            </w:pPr>
            <w:r>
              <w:rPr>
                <w:rFonts w:ascii="Arial" w:cs="Arial" w:eastAsia="Arial" w:hAnsi="Arial"/>
                <w:sz w:val="18"/>
                <w:szCs w:val="18"/>
                <w:color w:val="auto"/>
              </w:rPr>
              <w:t>28,830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30,588</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210,416</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216,650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($21,855 par, due</w:t>
            </w:r>
          </w:p>
        </w:tc>
        <w:tc>
          <w:tcPr>
            <w:tcW w:w="1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10.80% (incl.</w:t>
            </w: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9/2019)</w:t>
            </w:r>
          </w:p>
        </w:tc>
        <w:tc>
          <w:tcPr>
            <w:tcW w:w="1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5.00% PIK)</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17,593</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2780" w:type="dxa"/>
            <w:vAlign w:val="bottom"/>
          </w:tcPr>
          <w:p>
            <w:pPr>
              <w:spacing w:after="0"/>
              <w:rPr>
                <w:sz w:val="18"/>
                <w:szCs w:val="18"/>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First-lien revolving loan ($17,417</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10.80% (incl.</w:t>
            </w: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2900" w:type="dxa"/>
            <w:vAlign w:val="bottom"/>
          </w:tcPr>
          <w:p>
            <w:pPr>
              <w:ind w:left="100"/>
              <w:spacing w:after="0"/>
              <w:rPr>
                <w:sz w:val="20"/>
                <w:szCs w:val="20"/>
                <w:color w:val="auto"/>
              </w:rPr>
            </w:pPr>
            <w:r>
              <w:rPr>
                <w:rFonts w:ascii="Arial" w:cs="Arial" w:eastAsia="Arial" w:hAnsi="Arial"/>
                <w:sz w:val="18"/>
                <w:szCs w:val="18"/>
                <w:color w:val="auto"/>
              </w:rPr>
              <w:t>par, due 9/2019)</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5.00% PIK)</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840" w:type="dxa"/>
            <w:vAlign w:val="bottom"/>
          </w:tcPr>
          <w:p>
            <w:pPr>
              <w:jc w:val="right"/>
              <w:spacing w:after="0"/>
              <w:rPr>
                <w:sz w:val="20"/>
                <w:szCs w:val="20"/>
                <w:color w:val="auto"/>
              </w:rPr>
            </w:pPr>
            <w:r>
              <w:rPr>
                <w:rFonts w:ascii="Arial" w:cs="Arial" w:eastAsia="Arial" w:hAnsi="Arial"/>
                <w:sz w:val="18"/>
                <w:szCs w:val="18"/>
                <w:color w:val="auto"/>
              </w:rPr>
              <w:t>17,417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14,020</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29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8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39,272</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31,613</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5"/>
        </w:trPr>
        <w:tc>
          <w:tcPr>
            <w:tcW w:w="278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80"/>
              <w:spacing w:after="0"/>
              <w:rPr>
                <w:sz w:val="20"/>
                <w:szCs w:val="20"/>
                <w:color w:val="auto"/>
              </w:rPr>
            </w:pPr>
            <w:r>
              <w:rPr>
                <w:rFonts w:ascii="Arial" w:cs="Arial" w:eastAsia="Arial" w:hAnsi="Arial"/>
                <w:sz w:val="18"/>
                <w:szCs w:val="18"/>
                <w:b w:val="1"/>
                <w:bCs w:val="1"/>
                <w:color w:val="auto"/>
              </w:rPr>
              <w:t>services</w:t>
            </w:r>
          </w:p>
        </w:tc>
        <w:tc>
          <w:tcPr>
            <w:tcW w:w="2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(3)(11)</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($4,284 par, due</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4/2021)</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5.98%</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Insurance</w:t>
            </w:r>
          </w:p>
        </w:tc>
        <w:tc>
          <w:tcPr>
            <w:tcW w:w="2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($64,150 par, due</w:t>
            </w:r>
          </w:p>
        </w:tc>
        <w:tc>
          <w:tcPr>
            <w:tcW w:w="1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p>
        </w:tc>
        <w:tc>
          <w:tcPr>
            <w:tcW w:w="2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10/2020)</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7.56%</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10/31/2014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63,660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64,951</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8"/>
          <w:szCs w:val="18"/>
          <w:b w:val="1"/>
          <w:bCs w:val="1"/>
          <w:color w:val="auto"/>
        </w:rPr>
        <w:t>Office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($35,579 par, due</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3/2019)</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35,454</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35,769</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r>
      <w:tr>
        <w:trPr>
          <w:trHeight w:val="211"/>
        </w:trPr>
        <w:tc>
          <w:tcPr>
            <w:tcW w:w="2820" w:type="dxa"/>
            <w:vAlign w:val="bottom"/>
          </w:tcPr>
          <w:p>
            <w:pPr>
              <w:ind w:left="260"/>
              <w:spacing w:after="0"/>
              <w:rPr>
                <w:sz w:val="20"/>
                <w:szCs w:val="20"/>
                <w:color w:val="auto"/>
              </w:rPr>
            </w:pPr>
            <w:r>
              <w:rPr>
                <w:rFonts w:ascii="Arial" w:cs="Arial" w:eastAsia="Arial" w:hAnsi="Arial"/>
                <w:sz w:val="18"/>
                <w:szCs w:val="18"/>
                <w:b w:val="1"/>
                <w:bCs w:val="1"/>
                <w:color w:val="auto"/>
              </w:rPr>
              <w:t>Oil, gas and consumable</w:t>
            </w:r>
          </w:p>
        </w:tc>
        <w:tc>
          <w:tcPr>
            <w:tcW w:w="3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820" w:type="dxa"/>
            <w:vAlign w:val="bottom"/>
          </w:tcPr>
          <w:p>
            <w:pPr>
              <w:ind w:left="380"/>
              <w:spacing w:after="0"/>
              <w:rPr>
                <w:sz w:val="20"/>
                <w:szCs w:val="20"/>
                <w:color w:val="auto"/>
              </w:rPr>
            </w:pPr>
            <w:r>
              <w:rPr>
                <w:rFonts w:ascii="Arial" w:cs="Arial" w:eastAsia="Arial" w:hAnsi="Arial"/>
                <w:sz w:val="18"/>
                <w:szCs w:val="18"/>
                <w:b w:val="1"/>
                <w:bCs w:val="1"/>
                <w:color w:val="auto"/>
              </w:rPr>
              <w:t>fuels</w:t>
            </w:r>
          </w:p>
        </w:tc>
        <w:tc>
          <w:tcPr>
            <w:tcW w:w="3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($23,478 par, due</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6/2018)</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11.73%</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6/4/2014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23,454</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23,419</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 xml:space="preserve">Rex Energy Corporation </w:t>
            </w:r>
            <w:r>
              <w:rPr>
                <w:rFonts w:ascii="Arial" w:cs="Arial" w:eastAsia="Arial" w:hAnsi="Arial"/>
                <w:sz w:val="15"/>
                <w:szCs w:val="15"/>
                <w:color w:val="auto"/>
              </w:rPr>
              <w:t>(3)</w:t>
            </w:r>
          </w:p>
        </w:tc>
        <w:tc>
          <w:tcPr>
            <w:tcW w:w="3380" w:type="dxa"/>
            <w:vAlign w:val="bottom"/>
          </w:tcPr>
          <w:p>
            <w:pPr>
              <w:ind w:left="140"/>
              <w:spacing w:after="0"/>
              <w:rPr>
                <w:sz w:val="20"/>
                <w:szCs w:val="20"/>
                <w:color w:val="auto"/>
              </w:rPr>
            </w:pPr>
            <w:r>
              <w:rPr>
                <w:rFonts w:ascii="Arial" w:cs="Arial" w:eastAsia="Arial" w:hAnsi="Arial"/>
                <w:sz w:val="18"/>
                <w:szCs w:val="18"/>
                <w:color w:val="auto"/>
              </w:rPr>
              <w:t>First-lien loan ($14,350 par, due</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4/2021)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4/28/2017</w:t>
            </w:r>
          </w:p>
        </w:tc>
        <w:tc>
          <w:tcPr>
            <w:tcW w:w="840" w:type="dxa"/>
            <w:vAlign w:val="bottom"/>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223"/>
        </w:trPr>
        <w:tc>
          <w:tcPr>
            <w:tcW w:w="2820" w:type="dxa"/>
            <w:vAlign w:val="bottom"/>
          </w:tcPr>
          <w:p>
            <w:pPr>
              <w:ind w:left="260"/>
              <w:spacing w:after="0"/>
              <w:rPr>
                <w:sz w:val="20"/>
                <w:szCs w:val="20"/>
                <w:color w:val="auto"/>
              </w:rPr>
            </w:pPr>
            <w:r>
              <w:rPr>
                <w:rFonts w:ascii="Arial" w:cs="Arial" w:eastAsia="Arial" w:hAnsi="Arial"/>
                <w:sz w:val="18"/>
                <w:szCs w:val="18"/>
                <w:b w:val="1"/>
                <w:bCs w:val="1"/>
                <w:color w:val="auto"/>
              </w:rPr>
              <w:t>Pharmaceuticals</w:t>
            </w:r>
          </w:p>
        </w:tc>
        <w:tc>
          <w:tcPr>
            <w:tcW w:w="3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w w:val="95"/>
              </w:rPr>
              <w:t xml:space="preserve">Ironwood Pharmaceuticals, Inc. </w:t>
            </w:r>
            <w:r>
              <w:rPr>
                <w:rFonts w:ascii="Arial" w:cs="Arial" w:eastAsia="Arial" w:hAnsi="Arial"/>
                <w:sz w:val="15"/>
                <w:szCs w:val="15"/>
                <w:color w:val="auto"/>
                <w:w w:val="95"/>
              </w:rPr>
              <w:t>(4)(5)</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Secured note ($33,333 par, due</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5"/>
                <w:szCs w:val="15"/>
                <w:color w:val="auto"/>
              </w:rPr>
              <w:t>(9)</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9/2026)</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8.38%</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33,185</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 xml:space="preserve">Model N, Inc. </w:t>
            </w:r>
            <w:r>
              <w:rPr>
                <w:rFonts w:ascii="Arial" w:cs="Arial" w:eastAsia="Arial" w:hAnsi="Arial"/>
                <w:sz w:val="15"/>
                <w:szCs w:val="15"/>
                <w:color w:val="auto"/>
              </w:rPr>
              <w:t>(3)(4)</w:t>
            </w:r>
          </w:p>
        </w:tc>
        <w:tc>
          <w:tcPr>
            <w:tcW w:w="3380" w:type="dxa"/>
            <w:vAlign w:val="bottom"/>
          </w:tcPr>
          <w:p>
            <w:pPr>
              <w:ind w:left="140"/>
              <w:spacing w:after="0"/>
              <w:rPr>
                <w:sz w:val="20"/>
                <w:szCs w:val="20"/>
                <w:color w:val="auto"/>
              </w:rPr>
            </w:pPr>
            <w:r>
              <w:rPr>
                <w:rFonts w:ascii="Arial" w:cs="Arial" w:eastAsia="Arial" w:hAnsi="Arial"/>
                <w:sz w:val="18"/>
                <w:szCs w:val="18"/>
                <w:color w:val="auto"/>
              </w:rPr>
              <w:t>First-lien loan ($30,000 par, due</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1/2022)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1/5/2017</w:t>
            </w:r>
          </w:p>
        </w:tc>
        <w:tc>
          <w:tcPr>
            <w:tcW w:w="840" w:type="dxa"/>
            <w:vAlign w:val="bottom"/>
          </w:tcPr>
          <w:p>
            <w:pPr>
              <w:jc w:val="right"/>
              <w:spacing w:after="0"/>
              <w:rPr>
                <w:sz w:val="20"/>
                <w:szCs w:val="20"/>
                <w:color w:val="auto"/>
              </w:rPr>
            </w:pPr>
            <w:r>
              <w:rPr>
                <w:rFonts w:ascii="Arial" w:cs="Arial" w:eastAsia="Arial" w:hAnsi="Arial"/>
                <w:sz w:val="18"/>
                <w:szCs w:val="18"/>
                <w:color w:val="auto"/>
              </w:rPr>
              <w:t>29,447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29,700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Secured note ($74,950 par, due</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10/2020)</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7.75%</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74,271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75,887</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r>
      <w:tr>
        <w:trPr>
          <w:trHeight w:val="20"/>
        </w:trPr>
        <w:tc>
          <w:tcPr>
            <w:tcW w:w="2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136,903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138,920</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9"/>
                <w:szCs w:val="19"/>
                <w:color w:val="auto"/>
              </w:rPr>
            </w:pPr>
          </w:p>
        </w:tc>
      </w:tr>
      <w:tr>
        <w:trPr>
          <w:trHeight w:val="205"/>
        </w:trPr>
        <w:tc>
          <w:tcPr>
            <w:tcW w:w="282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Retail and consumer</w:t>
            </w:r>
          </w:p>
        </w:tc>
        <w:tc>
          <w:tcPr>
            <w:tcW w:w="338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82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products</w:t>
            </w:r>
          </w:p>
        </w:tc>
        <w:tc>
          <w:tcPr>
            <w:tcW w:w="33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American Achievement</w:t>
            </w:r>
          </w:p>
        </w:tc>
        <w:tc>
          <w:tcPr>
            <w:tcW w:w="3380" w:type="dxa"/>
            <w:vAlign w:val="bottom"/>
          </w:tcPr>
          <w:p>
            <w:pPr>
              <w:ind w:left="140"/>
              <w:spacing w:after="0"/>
              <w:rPr>
                <w:sz w:val="20"/>
                <w:szCs w:val="20"/>
                <w:color w:val="auto"/>
              </w:rPr>
            </w:pPr>
            <w:r>
              <w:rPr>
                <w:rFonts w:ascii="Arial" w:cs="Arial" w:eastAsia="Arial" w:hAnsi="Arial"/>
                <w:sz w:val="18"/>
                <w:szCs w:val="18"/>
                <w:color w:val="auto"/>
              </w:rPr>
              <w:t>First-lien loan ($23,539 par, due</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3380" w:type="dxa"/>
            <w:vAlign w:val="bottom"/>
          </w:tcPr>
          <w:p>
            <w:pPr>
              <w:ind w:left="140"/>
              <w:spacing w:after="0"/>
              <w:rPr>
                <w:sz w:val="20"/>
                <w:szCs w:val="20"/>
                <w:color w:val="auto"/>
              </w:rPr>
            </w:pPr>
            <w:r>
              <w:rPr>
                <w:rFonts w:ascii="Arial" w:cs="Arial" w:eastAsia="Arial" w:hAnsi="Arial"/>
                <w:sz w:val="18"/>
                <w:szCs w:val="18"/>
                <w:color w:val="auto"/>
              </w:rPr>
              <w:t>9/2020)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9/30/2015</w:t>
            </w:r>
          </w:p>
        </w:tc>
        <w:tc>
          <w:tcPr>
            <w:tcW w:w="840" w:type="dxa"/>
            <w:vAlign w:val="bottom"/>
          </w:tcPr>
          <w:p>
            <w:pPr>
              <w:jc w:val="right"/>
              <w:spacing w:after="0"/>
              <w:rPr>
                <w:sz w:val="20"/>
                <w:szCs w:val="20"/>
                <w:color w:val="auto"/>
              </w:rPr>
            </w:pPr>
            <w:r>
              <w:rPr>
                <w:rFonts w:ascii="Arial" w:cs="Arial" w:eastAsia="Arial" w:hAnsi="Arial"/>
                <w:sz w:val="18"/>
                <w:szCs w:val="18"/>
                <w:color w:val="auto"/>
              </w:rPr>
              <w:t>23,308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23,598</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Destination Maternity</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ABL FILO term loan ($16,457 par,</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3/2021)</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8.50%</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3/25/2016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3380" w:type="dxa"/>
            <w:vAlign w:val="bottom"/>
          </w:tcPr>
          <w:p>
            <w:pPr>
              <w:ind w:left="140"/>
              <w:spacing w:after="0"/>
              <w:rPr>
                <w:sz w:val="20"/>
                <w:szCs w:val="20"/>
                <w:color w:val="auto"/>
              </w:rPr>
            </w:pPr>
            <w:r>
              <w:rPr>
                <w:rFonts w:ascii="Arial" w:cs="Arial" w:eastAsia="Arial" w:hAnsi="Arial"/>
                <w:sz w:val="18"/>
                <w:szCs w:val="18"/>
                <w:color w:val="auto"/>
              </w:rPr>
              <w:t>ABL FILO term loan ($30,000 par,</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due 6/2019)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3/31/2017</w:t>
            </w:r>
          </w:p>
        </w:tc>
        <w:tc>
          <w:tcPr>
            <w:tcW w:w="840" w:type="dxa"/>
            <w:vAlign w:val="bottom"/>
          </w:tcPr>
          <w:p>
            <w:pPr>
              <w:jc w:val="right"/>
              <w:spacing w:after="0"/>
              <w:rPr>
                <w:sz w:val="20"/>
                <w:szCs w:val="20"/>
                <w:color w:val="auto"/>
              </w:rPr>
            </w:pPr>
            <w:r>
              <w:rPr>
                <w:rFonts w:ascii="Arial" w:cs="Arial" w:eastAsia="Arial" w:hAnsi="Arial"/>
                <w:sz w:val="18"/>
                <w:szCs w:val="18"/>
                <w:color w:val="auto"/>
              </w:rPr>
              <w:t>29,461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29,550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ABL FILO DIP term loan ($54,545</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 due 11/2017)</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9.63%</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10/3/2016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53,233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(3)(4)(6)(11)</w:t>
            </w:r>
          </w:p>
        </w:tc>
        <w:tc>
          <w:tcPr>
            <w:tcW w:w="3380" w:type="dxa"/>
            <w:vAlign w:val="bottom"/>
          </w:tcPr>
          <w:p>
            <w:pPr>
              <w:ind w:left="140"/>
              <w:spacing w:after="0"/>
              <w:rPr>
                <w:sz w:val="20"/>
                <w:szCs w:val="20"/>
                <w:color w:val="auto"/>
              </w:rPr>
            </w:pPr>
            <w:r>
              <w:rPr>
                <w:rFonts w:ascii="Arial" w:cs="Arial" w:eastAsia="Arial" w:hAnsi="Arial"/>
                <w:sz w:val="18"/>
                <w:szCs w:val="18"/>
                <w:color w:val="auto"/>
              </w:rPr>
              <w:t>First-lien ABL loan ($17,296 par, due</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7/2020)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3/18/2016</w:t>
            </w:r>
          </w:p>
        </w:tc>
        <w:tc>
          <w:tcPr>
            <w:tcW w:w="840" w:type="dxa"/>
            <w:vAlign w:val="bottom"/>
          </w:tcPr>
          <w:p>
            <w:pPr>
              <w:jc w:val="right"/>
              <w:spacing w:after="0"/>
              <w:rPr>
                <w:sz w:val="20"/>
                <w:szCs w:val="20"/>
                <w:color w:val="auto"/>
              </w:rPr>
            </w:pPr>
            <w:r>
              <w:rPr>
                <w:rFonts w:ascii="Arial" w:cs="Arial" w:eastAsia="Arial" w:hAnsi="Arial"/>
                <w:sz w:val="18"/>
                <w:szCs w:val="18"/>
                <w:color w:val="auto"/>
              </w:rPr>
              <w:t>16,905</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17,469</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Canada Inc. </w:t>
            </w:r>
            <w:r>
              <w:rPr>
                <w:rFonts w:ascii="Arial" w:cs="Arial" w:eastAsia="Arial" w:hAnsi="Arial"/>
                <w:sz w:val="15"/>
                <w:szCs w:val="15"/>
                <w:color w:val="auto"/>
              </w:rPr>
              <w:t>(3)(4)</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ABL loan ($20,884 par, due</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3/2022)</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10.66%</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20,832</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(3)(11)</w:t>
            </w:r>
          </w:p>
        </w:tc>
        <w:tc>
          <w:tcPr>
            <w:tcW w:w="3380" w:type="dxa"/>
            <w:vAlign w:val="bottom"/>
          </w:tcPr>
          <w:p>
            <w:pPr>
              <w:ind w:left="140"/>
              <w:spacing w:after="0"/>
              <w:rPr>
                <w:sz w:val="20"/>
                <w:szCs w:val="20"/>
                <w:color w:val="auto"/>
              </w:rPr>
            </w:pPr>
            <w:r>
              <w:rPr>
                <w:rFonts w:ascii="Arial" w:cs="Arial" w:eastAsia="Arial" w:hAnsi="Arial"/>
                <w:sz w:val="18"/>
                <w:szCs w:val="18"/>
                <w:color w:val="auto"/>
              </w:rPr>
              <w:t>ABL FILO term loan ($20,500 par,</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due 10/2019)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8.42%</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10/9/2014</w:t>
            </w:r>
          </w:p>
        </w:tc>
        <w:tc>
          <w:tcPr>
            <w:tcW w:w="840" w:type="dxa"/>
            <w:vAlign w:val="bottom"/>
          </w:tcPr>
          <w:p>
            <w:pPr>
              <w:jc w:val="right"/>
              <w:spacing w:after="0"/>
              <w:rPr>
                <w:sz w:val="20"/>
                <w:szCs w:val="20"/>
                <w:color w:val="auto"/>
              </w:rPr>
            </w:pPr>
            <w:r>
              <w:rPr>
                <w:rFonts w:ascii="Arial" w:cs="Arial" w:eastAsia="Arial" w:hAnsi="Arial"/>
                <w:sz w:val="18"/>
                <w:szCs w:val="18"/>
                <w:color w:val="auto"/>
              </w:rPr>
              <w:t>20,416</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20,500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338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179,859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183,033</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9"/>
                <w:szCs w:val="19"/>
                <w:color w:val="auto"/>
              </w:rPr>
            </w:pPr>
          </w:p>
        </w:tc>
      </w:tr>
      <w:tr>
        <w:trPr>
          <w:trHeight w:val="223"/>
        </w:trPr>
        <w:tc>
          <w:tcPr>
            <w:tcW w:w="2820" w:type="dxa"/>
            <w:vAlign w:val="bottom"/>
          </w:tcPr>
          <w:p>
            <w:pPr>
              <w:ind w:left="260"/>
              <w:spacing w:after="0"/>
              <w:rPr>
                <w:sz w:val="20"/>
                <w:szCs w:val="20"/>
                <w:color w:val="auto"/>
              </w:rPr>
            </w:pPr>
            <w:r>
              <w:rPr>
                <w:rFonts w:ascii="Arial" w:cs="Arial" w:eastAsia="Arial" w:hAnsi="Arial"/>
                <w:sz w:val="18"/>
                <w:szCs w:val="18"/>
                <w:b w:val="1"/>
                <w:bCs w:val="1"/>
                <w:color w:val="auto"/>
              </w:rPr>
              <w:t>Transportation</w:t>
            </w:r>
          </w:p>
        </w:tc>
        <w:tc>
          <w:tcPr>
            <w:tcW w:w="3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(3)(11)</w:t>
            </w: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($12,579 par, due</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1/2019)</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5.73%</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3/17/2015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12,178</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12,390</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30"/>
        </w:trPr>
        <w:tc>
          <w:tcPr>
            <w:tcW w:w="282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3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1,492,511</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1,509,493</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b w:val="1"/>
                <w:bCs w:val="1"/>
                <w:color w:val="auto"/>
              </w:rPr>
              <w:t>Equity and Other Investments</w:t>
            </w:r>
          </w:p>
        </w:tc>
        <w:tc>
          <w:tcPr>
            <w:tcW w:w="3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3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(7)</w:t>
            </w:r>
          </w:p>
        </w:tc>
        <w:tc>
          <w:tcPr>
            <w:tcW w:w="3380" w:type="dxa"/>
            <w:vAlign w:val="bottom"/>
          </w:tcPr>
          <w:p>
            <w:pPr>
              <w:ind w:left="140"/>
              <w:spacing w:after="0"/>
              <w:rPr>
                <w:sz w:val="20"/>
                <w:szCs w:val="20"/>
                <w:color w:val="auto"/>
              </w:rPr>
            </w:pPr>
            <w:r>
              <w:rPr>
                <w:rFonts w:ascii="Arial" w:cs="Arial" w:eastAsia="Arial" w:hAnsi="Arial"/>
                <w:sz w:val="18"/>
                <w:szCs w:val="18"/>
                <w:color w:val="auto"/>
              </w:rPr>
              <w:t>Class A Preferred Units (125,000</w:t>
            </w: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units)</w:t>
            </w:r>
          </w:p>
        </w:tc>
        <w:tc>
          <w:tcPr>
            <w:tcW w:w="1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6/30/2017</w:t>
            </w:r>
          </w:p>
        </w:tc>
        <w:tc>
          <w:tcPr>
            <w:tcW w:w="84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30"/>
        </w:trPr>
        <w:tc>
          <w:tcPr>
            <w:tcW w:w="2820" w:type="dxa"/>
            <w:vAlign w:val="bottom"/>
            <w:shd w:val="clear" w:color="auto" w:fill="CFF0FC"/>
          </w:tcPr>
          <w:p>
            <w:pPr>
              <w:spacing w:after="0"/>
              <w:rPr>
                <w:sz w:val="19"/>
                <w:szCs w:val="19"/>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Class B Common Units (90,000 units)</w:t>
            </w: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6/30/2017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14,351</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23"/>
        </w:trPr>
        <w:tc>
          <w:tcPr>
            <w:tcW w:w="28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Business Services</w:t>
            </w:r>
          </w:p>
        </w:tc>
        <w:tc>
          <w:tcPr>
            <w:tcW w:w="33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Riskonnect, Inc.</w:t>
            </w:r>
          </w:p>
        </w:tc>
        <w:tc>
          <w:tcPr>
            <w:tcW w:w="3380" w:type="dxa"/>
            <w:vAlign w:val="bottom"/>
          </w:tcPr>
          <w:p>
            <w:pPr>
              <w:ind w:left="140"/>
              <w:spacing w:after="0"/>
              <w:rPr>
                <w:sz w:val="20"/>
                <w:szCs w:val="20"/>
                <w:color w:val="auto"/>
              </w:rPr>
            </w:pPr>
            <w:r>
              <w:rPr>
                <w:rFonts w:ascii="Arial" w:cs="Arial" w:eastAsia="Arial" w:hAnsi="Arial"/>
                <w:sz w:val="18"/>
                <w:szCs w:val="18"/>
                <w:color w:val="auto"/>
              </w:rPr>
              <w:t>Preferred Class A Units (990 units)</w:t>
            </w:r>
          </w:p>
        </w:tc>
        <w:tc>
          <w:tcPr>
            <w:tcW w:w="1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6/30/2017</w:t>
            </w:r>
          </w:p>
        </w:tc>
        <w:tc>
          <w:tcPr>
            <w:tcW w:w="84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15"/>
        </w:trPr>
        <w:tc>
          <w:tcPr>
            <w:tcW w:w="2820" w:type="dxa"/>
            <w:vAlign w:val="bottom"/>
            <w:shd w:val="clear" w:color="auto" w:fill="CFF0FC"/>
          </w:tcPr>
          <w:p>
            <w:pPr>
              <w:spacing w:after="0"/>
              <w:rPr>
                <w:sz w:val="18"/>
                <w:szCs w:val="18"/>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Class B Units (959,018</w:t>
            </w:r>
          </w:p>
        </w:tc>
        <w:tc>
          <w:tcPr>
            <w:tcW w:w="1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20" w:type="dxa"/>
            <w:vAlign w:val="bottom"/>
            <w:shd w:val="clear" w:color="auto" w:fill="CFF0FC"/>
          </w:tcPr>
          <w:p>
            <w:pPr>
              <w:spacing w:after="0"/>
              <w:rPr>
                <w:sz w:val="20"/>
                <w:szCs w:val="20"/>
                <w:color w:val="auto"/>
              </w:rPr>
            </w:pPr>
          </w:p>
        </w:tc>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1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6/30/2017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8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Chemicals</w:t>
            </w:r>
          </w:p>
        </w:tc>
        <w:tc>
          <w:tcPr>
            <w:tcW w:w="33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Vertellus Specialties, Inc.</w:t>
            </w:r>
          </w:p>
        </w:tc>
        <w:tc>
          <w:tcPr>
            <w:tcW w:w="3380" w:type="dxa"/>
            <w:vAlign w:val="bottom"/>
          </w:tcPr>
          <w:p>
            <w:pPr>
              <w:ind w:left="140"/>
              <w:spacing w:after="0"/>
              <w:rPr>
                <w:sz w:val="20"/>
                <w:szCs w:val="20"/>
                <w:color w:val="auto"/>
              </w:rPr>
            </w:pPr>
            <w:r>
              <w:rPr>
                <w:rFonts w:ascii="Arial" w:cs="Arial" w:eastAsia="Arial" w:hAnsi="Arial"/>
                <w:sz w:val="18"/>
                <w:szCs w:val="18"/>
                <w:color w:val="auto"/>
              </w:rPr>
              <w:t>Common Units (2,672,990 units)</w:t>
            </w:r>
          </w:p>
        </w:tc>
        <w:tc>
          <w:tcPr>
            <w:tcW w:w="1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9"/>
              </w:rPr>
              <w:t>10/31/2016</w:t>
            </w:r>
          </w:p>
        </w:tc>
        <w:tc>
          <w:tcPr>
            <w:tcW w:w="840" w:type="dxa"/>
            <w:vAlign w:val="bottom"/>
          </w:tcPr>
          <w:p>
            <w:pPr>
              <w:jc w:val="right"/>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3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2820" w:type="dxa"/>
            <w:vAlign w:val="bottom"/>
          </w:tcPr>
          <w:p>
            <w:pPr>
              <w:spacing w:after="0"/>
              <w:rPr>
                <w:sz w:val="24"/>
                <w:szCs w:val="24"/>
                <w:color w:val="auto"/>
              </w:rPr>
            </w:pPr>
          </w:p>
        </w:tc>
        <w:tc>
          <w:tcPr>
            <w:tcW w:w="3380" w:type="dxa"/>
            <w:vAlign w:val="bottom"/>
          </w:tcPr>
          <w:p>
            <w:pPr>
              <w:ind w:left="2840"/>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AvidXchange, Inc.</w:t>
            </w:r>
          </w:p>
        </w:tc>
        <w:tc>
          <w:tcPr>
            <w:tcW w:w="3440" w:type="dxa"/>
            <w:vAlign w:val="bottom"/>
          </w:tcPr>
          <w:p>
            <w:pPr>
              <w:ind w:left="200"/>
              <w:spacing w:after="0"/>
              <w:rPr>
                <w:sz w:val="20"/>
                <w:szCs w:val="20"/>
                <w:color w:val="auto"/>
              </w:rPr>
            </w:pPr>
            <w:r>
              <w:rPr>
                <w:rFonts w:ascii="Arial" w:cs="Arial" w:eastAsia="Arial" w:hAnsi="Arial"/>
                <w:sz w:val="18"/>
                <w:szCs w:val="18"/>
                <w:color w:val="auto"/>
              </w:rPr>
              <w:t>Series E Preferred Equity (214,132</w:t>
            </w: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shares)</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8/7/2015</w:t>
            </w:r>
          </w:p>
        </w:tc>
        <w:tc>
          <w:tcPr>
            <w:tcW w:w="86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7,481</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Network Merchants, Inc.</w:t>
            </w:r>
          </w:p>
        </w:tc>
        <w:tc>
          <w:tcPr>
            <w:tcW w:w="3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Non-Voting Preferred Units</w:t>
            </w:r>
          </w:p>
        </w:tc>
        <w:tc>
          <w:tcPr>
            <w:tcW w:w="20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(774,099 units)</w:t>
            </w:r>
          </w:p>
        </w:tc>
        <w:tc>
          <w:tcPr>
            <w:tcW w:w="208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9/12/2013</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(4)(12)</w:t>
            </w:r>
          </w:p>
        </w:tc>
        <w:tc>
          <w:tcPr>
            <w:tcW w:w="3440" w:type="dxa"/>
            <w:vAlign w:val="bottom"/>
          </w:tcPr>
          <w:p>
            <w:pPr>
              <w:ind w:left="200"/>
              <w:spacing w:after="0"/>
              <w:rPr>
                <w:sz w:val="20"/>
                <w:szCs w:val="20"/>
                <w:color w:val="auto"/>
              </w:rPr>
            </w:pPr>
            <w:r>
              <w:rPr>
                <w:rFonts w:ascii="Arial" w:cs="Arial" w:eastAsia="Arial" w:hAnsi="Arial"/>
                <w:sz w:val="18"/>
                <w:szCs w:val="18"/>
                <w:color w:val="auto"/>
              </w:rPr>
              <w:t>Common Shares (1,059 shares)</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8/5/2015</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2700" w:type="dxa"/>
            <w:vAlign w:val="bottom"/>
            <w:shd w:val="clear" w:color="auto" w:fill="CFF0FC"/>
          </w:tcPr>
          <w:p>
            <w:pPr>
              <w:spacing w:after="0" w:line="20" w:lineRule="exact"/>
              <w:rPr>
                <w:sz w:val="1"/>
                <w:szCs w:val="1"/>
                <w:color w:val="auto"/>
              </w:rPr>
            </w:pPr>
          </w:p>
        </w:tc>
        <w:tc>
          <w:tcPr>
            <w:tcW w:w="3440" w:type="dxa"/>
            <w:vAlign w:val="bottom"/>
            <w:shd w:val="clear" w:color="auto" w:fill="CFF0FC"/>
          </w:tcPr>
          <w:p>
            <w:pPr>
              <w:spacing w:after="0" w:line="20" w:lineRule="exact"/>
              <w:rPr>
                <w:sz w:val="1"/>
                <w:szCs w:val="1"/>
                <w:color w:val="auto"/>
              </w:rPr>
            </w:pPr>
          </w:p>
        </w:tc>
        <w:tc>
          <w:tcPr>
            <w:tcW w:w="208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23"/>
        </w:trPr>
        <w:tc>
          <w:tcPr>
            <w:tcW w:w="2700" w:type="dxa"/>
            <w:vAlign w:val="bottom"/>
            <w:shd w:val="clear" w:color="auto" w:fill="CFF0FC"/>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208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4,633</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9,319</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700" w:type="dxa"/>
            <w:vAlign w:val="bottom"/>
          </w:tcPr>
          <w:p>
            <w:pPr>
              <w:ind w:left="260"/>
              <w:spacing w:after="0"/>
              <w:rPr>
                <w:sz w:val="20"/>
                <w:szCs w:val="20"/>
                <w:color w:val="auto"/>
              </w:rPr>
            </w:pPr>
            <w:r>
              <w:rPr>
                <w:rFonts w:ascii="Arial" w:cs="Arial" w:eastAsia="Arial" w:hAnsi="Arial"/>
                <w:sz w:val="18"/>
                <w:szCs w:val="18"/>
                <w:b w:val="1"/>
                <w:bCs w:val="1"/>
                <w:color w:val="auto"/>
              </w:rPr>
              <w:t>Healthcare</w:t>
            </w:r>
          </w:p>
        </w:tc>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3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Warrants</w:t>
            </w:r>
          </w:p>
        </w:tc>
        <w:tc>
          <w:tcPr>
            <w:tcW w:w="20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440" w:type="dxa"/>
            <w:vAlign w:val="bottom"/>
            <w:shd w:val="clear" w:color="auto" w:fill="CFF0FC"/>
          </w:tcPr>
          <w:p>
            <w:pPr>
              <w:spacing w:after="0"/>
              <w:rPr>
                <w:sz w:val="20"/>
                <w:szCs w:val="20"/>
                <w:color w:val="auto"/>
              </w:rPr>
            </w:pPr>
          </w:p>
        </w:tc>
        <w:tc>
          <w:tcPr>
            <w:tcW w:w="208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9/30/2014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(EUR 1,249)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2700" w:type="dxa"/>
            <w:vAlign w:val="bottom"/>
          </w:tcPr>
          <w:p>
            <w:pPr>
              <w:spacing w:after="0"/>
              <w:rPr>
                <w:sz w:val="20"/>
                <w:szCs w:val="20"/>
                <w:color w:val="auto"/>
              </w:rPr>
            </w:pPr>
            <w:r>
              <w:rPr>
                <w:rFonts w:ascii="Arial" w:cs="Arial" w:eastAsia="Arial" w:hAnsi="Arial"/>
                <w:sz w:val="18"/>
                <w:szCs w:val="18"/>
                <w:color w:val="auto"/>
              </w:rPr>
              <w:t>SRS Parent Corp.</w:t>
            </w:r>
          </w:p>
        </w:tc>
        <w:tc>
          <w:tcPr>
            <w:tcW w:w="3440" w:type="dxa"/>
            <w:vAlign w:val="bottom"/>
          </w:tcPr>
          <w:p>
            <w:pPr>
              <w:ind w:left="200"/>
              <w:spacing w:after="0"/>
              <w:rPr>
                <w:sz w:val="20"/>
                <w:szCs w:val="20"/>
                <w:color w:val="auto"/>
              </w:rPr>
            </w:pPr>
            <w:r>
              <w:rPr>
                <w:rFonts w:ascii="Arial" w:cs="Arial" w:eastAsia="Arial" w:hAnsi="Arial"/>
                <w:sz w:val="18"/>
                <w:szCs w:val="18"/>
                <w:color w:val="auto"/>
              </w:rPr>
              <w:t>Common Shares Class A</w:t>
            </w: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(1,980 shares)</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12/28/2012</w:t>
            </w:r>
          </w:p>
        </w:tc>
        <w:tc>
          <w:tcPr>
            <w:tcW w:w="86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2700" w:type="dxa"/>
            <w:vAlign w:val="bottom"/>
            <w:shd w:val="clear" w:color="auto" w:fill="CFF0FC"/>
          </w:tcPr>
          <w:p>
            <w:pPr>
              <w:spacing w:after="0"/>
              <w:rPr>
                <w:sz w:val="18"/>
                <w:szCs w:val="18"/>
                <w:color w:val="auto"/>
              </w:rPr>
            </w:pPr>
          </w:p>
        </w:tc>
        <w:tc>
          <w:tcPr>
            <w:tcW w:w="3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Class B (2,953,020</w:t>
            </w:r>
          </w:p>
        </w:tc>
        <w:tc>
          <w:tcPr>
            <w:tcW w:w="20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p>
        </w:tc>
        <w:tc>
          <w:tcPr>
            <w:tcW w:w="3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w:t>
            </w:r>
          </w:p>
        </w:tc>
        <w:tc>
          <w:tcPr>
            <w:tcW w:w="208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12/28/2012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2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2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2,450</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344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CFF0FC"/>
              <w:right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3440" w:type="dxa"/>
            <w:vAlign w:val="bottom"/>
          </w:tcPr>
          <w:p>
            <w:pPr>
              <w:ind w:left="200"/>
              <w:spacing w:after="0"/>
              <w:rPr>
                <w:sz w:val="20"/>
                <w:szCs w:val="20"/>
                <w:color w:val="auto"/>
              </w:rPr>
            </w:pPr>
            <w:r>
              <w:rPr>
                <w:rFonts w:ascii="Arial" w:cs="Arial" w:eastAsia="Arial" w:hAnsi="Arial"/>
                <w:sz w:val="18"/>
                <w:szCs w:val="18"/>
                <w:color w:val="auto"/>
              </w:rPr>
              <w:t>Class A Units (5,000,000 units)</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860" w:type="dxa"/>
            <w:vAlign w:val="bottom"/>
          </w:tcPr>
          <w:p>
            <w:pPr>
              <w:jc w:val="right"/>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2700" w:type="dxa"/>
            <w:vAlign w:val="bottom"/>
            <w:shd w:val="clear" w:color="auto" w:fill="CFF0FC"/>
          </w:tcPr>
          <w:p>
            <w:pPr>
              <w:spacing w:after="0"/>
              <w:rPr>
                <w:sz w:val="19"/>
                <w:szCs w:val="19"/>
                <w:color w:val="auto"/>
              </w:rPr>
            </w:pPr>
          </w:p>
        </w:tc>
        <w:tc>
          <w:tcPr>
            <w:tcW w:w="3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C-1 Units (8,800,000 units)</w:t>
            </w:r>
          </w:p>
        </w:tc>
        <w:tc>
          <w:tcPr>
            <w:tcW w:w="208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2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2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05"/>
        </w:trPr>
        <w:tc>
          <w:tcPr>
            <w:tcW w:w="270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3440" w:type="dxa"/>
            <w:vAlign w:val="bottom"/>
            <w:tcBorders>
              <w:top w:val="single" w:sz="8" w:color="CFF0FC"/>
            </w:tcBorders>
            <w:shd w:val="clear" w:color="auto" w:fill="CFF0FC"/>
          </w:tcPr>
          <w:p>
            <w:pPr>
              <w:spacing w:after="0"/>
              <w:rPr>
                <w:sz w:val="17"/>
                <w:szCs w:val="17"/>
                <w:color w:val="auto"/>
              </w:rPr>
            </w:pPr>
          </w:p>
        </w:tc>
        <w:tc>
          <w:tcPr>
            <w:tcW w:w="2080" w:type="dxa"/>
            <w:vAlign w:val="bottom"/>
            <w:tcBorders>
              <w:top w:val="single" w:sz="8" w:color="CFF0FC"/>
              <w:right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r>
      <w:tr>
        <w:trPr>
          <w:trHeight w:val="234"/>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fuels</w:t>
            </w:r>
          </w:p>
        </w:tc>
        <w:tc>
          <w:tcPr>
            <w:tcW w:w="3440" w:type="dxa"/>
            <w:vAlign w:val="bottom"/>
            <w:shd w:val="clear" w:color="auto" w:fill="CFF0FC"/>
          </w:tcPr>
          <w:p>
            <w:pPr>
              <w:spacing w:after="0"/>
              <w:rPr>
                <w:sz w:val="20"/>
                <w:szCs w:val="20"/>
                <w:color w:val="auto"/>
              </w:rPr>
            </w:pPr>
          </w:p>
        </w:tc>
        <w:tc>
          <w:tcPr>
            <w:tcW w:w="208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3440" w:type="dxa"/>
            <w:vAlign w:val="bottom"/>
          </w:tcPr>
          <w:p>
            <w:pPr>
              <w:ind w:left="200"/>
              <w:spacing w:after="0"/>
              <w:rPr>
                <w:sz w:val="20"/>
                <w:szCs w:val="20"/>
                <w:color w:val="auto"/>
              </w:rPr>
            </w:pPr>
            <w:r>
              <w:rPr>
                <w:rFonts w:ascii="Arial" w:cs="Arial" w:eastAsia="Arial" w:hAnsi="Arial"/>
                <w:sz w:val="18"/>
                <w:szCs w:val="18"/>
                <w:color w:val="auto"/>
              </w:rPr>
              <w:t>Class A-1 Member Units (1,000 units)</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5/3/2017</w:t>
            </w:r>
          </w:p>
        </w:tc>
        <w:tc>
          <w:tcPr>
            <w:tcW w:w="860" w:type="dxa"/>
            <w:vAlign w:val="bottom"/>
          </w:tcPr>
          <w:p>
            <w:pPr>
              <w:jc w:val="right"/>
              <w:spacing w:after="0"/>
              <w:rPr>
                <w:sz w:val="20"/>
                <w:szCs w:val="20"/>
                <w:color w:val="auto"/>
              </w:rPr>
            </w:pPr>
            <w:r>
              <w:rPr>
                <w:rFonts w:ascii="Arial" w:cs="Arial" w:eastAsia="Arial" w:hAnsi="Arial"/>
                <w:sz w:val="18"/>
                <w:szCs w:val="18"/>
                <w:color w:val="auto"/>
              </w:rPr>
              <w:t>8,155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7,951</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2700" w:type="dxa"/>
            <w:vAlign w:val="bottom"/>
            <w:shd w:val="clear" w:color="auto" w:fill="CFF0FC"/>
          </w:tcPr>
          <w:p>
            <w:pPr>
              <w:spacing w:after="0"/>
              <w:rPr>
                <w:sz w:val="19"/>
                <w:szCs w:val="19"/>
                <w:color w:val="auto"/>
              </w:rPr>
            </w:pPr>
          </w:p>
        </w:tc>
        <w:tc>
          <w:tcPr>
            <w:tcW w:w="3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A-2 Member Units (933 units)</w:t>
            </w:r>
          </w:p>
        </w:tc>
        <w:tc>
          <w:tcPr>
            <w:tcW w:w="208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5/3/2017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2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2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17,029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7,951</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Other</w:t>
            </w:r>
          </w:p>
        </w:tc>
        <w:tc>
          <w:tcPr>
            <w:tcW w:w="344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CFF0FC"/>
              <w:right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Symphony CLO XV, Ltd. </w:t>
            </w:r>
            <w:r>
              <w:rPr>
                <w:rFonts w:ascii="Arial" w:cs="Arial" w:eastAsia="Arial" w:hAnsi="Arial"/>
                <w:sz w:val="15"/>
                <w:szCs w:val="15"/>
                <w:color w:val="auto"/>
              </w:rPr>
              <w:t>(4)(6)(11)</w:t>
            </w:r>
          </w:p>
        </w:tc>
        <w:tc>
          <w:tcPr>
            <w:tcW w:w="3440" w:type="dxa"/>
            <w:vAlign w:val="bottom"/>
          </w:tcPr>
          <w:p>
            <w:pPr>
              <w:ind w:left="200"/>
              <w:spacing w:after="0"/>
              <w:rPr>
                <w:sz w:val="20"/>
                <w:szCs w:val="20"/>
                <w:color w:val="auto"/>
              </w:rPr>
            </w:pPr>
            <w:r>
              <w:rPr>
                <w:rFonts w:ascii="Arial" w:cs="Arial" w:eastAsia="Arial" w:hAnsi="Arial"/>
                <w:sz w:val="18"/>
                <w:szCs w:val="18"/>
                <w:color w:val="auto"/>
              </w:rPr>
              <w:t>Structured Product (Class F Notes)</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6.91%   11/17/2014</w:t>
            </w:r>
          </w:p>
        </w:tc>
        <w:tc>
          <w:tcPr>
            <w:tcW w:w="860" w:type="dxa"/>
            <w:vAlign w:val="bottom"/>
          </w:tcPr>
          <w:p>
            <w:pPr>
              <w:jc w:val="right"/>
              <w:spacing w:after="0"/>
              <w:rPr>
                <w:sz w:val="20"/>
                <w:szCs w:val="20"/>
                <w:color w:val="auto"/>
              </w:rPr>
            </w:pPr>
            <w:r>
              <w:rPr>
                <w:rFonts w:ascii="Arial" w:cs="Arial" w:eastAsia="Arial" w:hAnsi="Arial"/>
                <w:sz w:val="18"/>
                <w:szCs w:val="18"/>
                <w:color w:val="auto"/>
              </w:rPr>
              <w:t>5,668</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6,096</w:t>
            </w: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2700" w:type="dxa"/>
            <w:vAlign w:val="bottom"/>
            <w:shd w:val="clear" w:color="auto" w:fill="CFF0FC"/>
          </w:tcPr>
          <w:p>
            <w:pPr>
              <w:spacing w:after="0"/>
              <w:rPr>
                <w:sz w:val="19"/>
                <w:szCs w:val="19"/>
                <w:color w:val="auto"/>
              </w:rPr>
            </w:pPr>
          </w:p>
        </w:tc>
        <w:tc>
          <w:tcPr>
            <w:tcW w:w="3440" w:type="dxa"/>
            <w:vAlign w:val="bottom"/>
            <w:shd w:val="clear" w:color="auto" w:fill="CFF0FC"/>
          </w:tcPr>
          <w:p>
            <w:pPr>
              <w:spacing w:after="0"/>
              <w:rPr>
                <w:sz w:val="19"/>
                <w:szCs w:val="19"/>
                <w:color w:val="auto"/>
              </w:rPr>
            </w:pPr>
          </w:p>
        </w:tc>
        <w:tc>
          <w:tcPr>
            <w:tcW w:w="2080" w:type="dxa"/>
            <w:vAlign w:val="bottom"/>
            <w:tcBorders>
              <w:right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05"/>
        </w:trPr>
        <w:tc>
          <w:tcPr>
            <w:tcW w:w="2700" w:type="dxa"/>
            <w:vAlign w:val="bottom"/>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34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270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51,534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44,958</w:t>
            </w:r>
          </w:p>
        </w:tc>
        <w:tc>
          <w:tcPr>
            <w:tcW w:w="2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2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3440" w:type="dxa"/>
            <w:vAlign w:val="bottom"/>
            <w:tcBorders>
              <w:top w:val="single" w:sz="8" w:color="CFF0FC"/>
              <w:bottom w:val="single" w:sz="8" w:color="CFF0FC"/>
            </w:tcBorders>
            <w:shd w:val="clear" w:color="auto" w:fill="CFF0FC"/>
          </w:tcPr>
          <w:p>
            <w:pPr>
              <w:spacing w:after="0"/>
              <w:rPr>
                <w:sz w:val="19"/>
                <w:szCs w:val="19"/>
                <w:color w:val="auto"/>
              </w:rPr>
            </w:pPr>
          </w:p>
        </w:tc>
        <w:tc>
          <w:tcPr>
            <w:tcW w:w="20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$ 1,544,045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$ 1,554,451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160.4</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credit agreement. For each such investment the Company has provided the interest rate in effect on the date presented.</w:t>
      </w:r>
    </w:p>
    <w:p>
      <w:pPr>
        <w:spacing w:after="0" w:line="1" w:lineRule="exact"/>
        <w:rPr>
          <w:rFonts w:ascii="Arial" w:cs="Arial" w:eastAsia="Arial" w:hAnsi="Arial"/>
          <w:sz w:val="18"/>
          <w:szCs w:val="18"/>
          <w:color w:val="auto"/>
        </w:rPr>
      </w:pPr>
    </w:p>
    <w:p>
      <w:pPr>
        <w:jc w:val="both"/>
        <w:ind w:left="520" w:right="4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16.7% of total assets as of June 30, 2017.</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2017 in which the issuer was an Affiliated Person of and was deemed to Control a portfolio company are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six months ended June 30,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Gain/(Loss)</w:t>
            </w:r>
          </w:p>
        </w:tc>
        <w:tc>
          <w:tcPr>
            <w:tcW w:w="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June 30, 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(21,776)</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65,859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79,776</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(21,776</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135,015</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040" w:right="260" w:hanging="519"/>
        <w:spacing w:after="0" w:line="258"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2017, the tax cost of the Company’s investments approximates their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61"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r>
      <w:tr>
        <w:trPr>
          <w:trHeight w:val="228"/>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20" w:type="dxa"/>
            <w:vAlign w:val="bottom"/>
            <w:tcBorders>
              <w:top w:val="single" w:sz="8" w:color="CFF0FC"/>
            </w:tcBorders>
            <w:shd w:val="clear" w:color="auto" w:fill="CFF0FC"/>
          </w:tcPr>
          <w:p>
            <w:pPr>
              <w:spacing w:after="0"/>
              <w:rPr>
                <w:sz w:val="19"/>
                <w:szCs w:val="19"/>
                <w:color w:val="auto"/>
              </w:rPr>
            </w:pPr>
          </w:p>
        </w:tc>
        <w:tc>
          <w:tcPr>
            <w:tcW w:w="2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Automotive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($29,233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6/2017)</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29,136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29,159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($1,417 par, due 6/2017)</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10.75%</w:t>
            </w:r>
          </w:p>
        </w:tc>
        <w:tc>
          <w:tcPr>
            <w:tcW w:w="920" w:type="dxa"/>
            <w:vAlign w:val="bottom"/>
          </w:tcPr>
          <w:p>
            <w:pPr>
              <w:jc w:val="right"/>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Beverage, food and tobacco</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($61,542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60,698</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57,850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r>
      <w:tr>
        <w:trPr>
          <w:trHeight w:val="230"/>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Business services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Actian Corporation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($54,982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56,219</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Bullhorn, Inc.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11/2020)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11/12/2015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44,095</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45,225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Clarabridge,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($19,719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4/2019)</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19,446</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Idera, Inc. </w:t>
            </w:r>
            <w:r>
              <w:rPr>
                <w:rFonts w:ascii="Arial" w:cs="Arial" w:eastAsia="Arial" w:hAnsi="Arial"/>
                <w:sz w:val="15"/>
                <w:szCs w:val="15"/>
                <w:color w:val="auto"/>
              </w:rPr>
              <w:t>(3)(11)</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($61,875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10/9/2015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56,817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61,875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($27,090 par, due</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6/2019)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26,752</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($28,125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920" w:type="dxa"/>
            <w:vAlign w:val="bottom"/>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($20,157 par,</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11.00% (incl.</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7/2021)</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3.00% PIK)</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20,106</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Qlik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($40,399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9.25%</w:t>
            </w:r>
          </w:p>
        </w:tc>
        <w:tc>
          <w:tcPr>
            <w:tcW w:w="920" w:type="dxa"/>
            <w:vAlign w:val="bottom"/>
          </w:tcPr>
          <w:p>
            <w:pPr>
              <w:jc w:val="right"/>
              <w:spacing w:after="0"/>
              <w:rPr>
                <w:sz w:val="20"/>
                <w:szCs w:val="20"/>
                <w:color w:val="auto"/>
              </w:rPr>
            </w:pPr>
            <w:r>
              <w:rPr>
                <w:rFonts w:ascii="Arial" w:cs="Arial" w:eastAsia="Arial" w:hAnsi="Arial"/>
                <w:sz w:val="18"/>
                <w:szCs w:val="18"/>
                <w:color w:val="auto"/>
              </w:rPr>
              <w:t>8/22/2016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39,691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40,096</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SailPoint Technologies,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($27,500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8/2021)</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($19,986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12/30/2014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19,717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20,263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($29,177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3/2022)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28,621</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 xml:space="preserve">Tibco Software </w:t>
            </w:r>
            <w:r>
              <w:rPr>
                <w:rFonts w:ascii="Arial" w:cs="Arial" w:eastAsia="Arial" w:hAnsi="Arial"/>
                <w:sz w:val="15"/>
                <w:szCs w:val="15"/>
                <w:color w:val="auto"/>
              </w:rPr>
              <w:t>(3)(11)</w:t>
            </w:r>
          </w:p>
        </w:tc>
        <w:tc>
          <w:tcPr>
            <w:tcW w:w="2940" w:type="dxa"/>
            <w:vAlign w:val="bottom"/>
            <w:gridSpan w:val="2"/>
          </w:tcPr>
          <w:p>
            <w:pPr>
              <w:spacing w:after="0"/>
              <w:rPr>
                <w:sz w:val="20"/>
                <w:szCs w:val="20"/>
                <w:color w:val="auto"/>
              </w:rPr>
            </w:pPr>
            <w:r>
              <w:rPr>
                <w:rFonts w:ascii="Arial" w:cs="Arial" w:eastAsia="Arial" w:hAnsi="Arial"/>
                <w:sz w:val="18"/>
                <w:szCs w:val="18"/>
                <w:color w:val="auto"/>
                <w:w w:val="95"/>
              </w:rPr>
              <w:t>First-lien loan ($247 par, due 12/2020)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920" w:type="dxa"/>
            <w:vAlign w:val="bottom"/>
          </w:tcPr>
          <w:p>
            <w:pPr>
              <w:jc w:val="right"/>
              <w:spacing w:after="0"/>
              <w:rPr>
                <w:sz w:val="20"/>
                <w:szCs w:val="20"/>
                <w:color w:val="auto"/>
              </w:rPr>
            </w:pPr>
            <w:r>
              <w:rPr>
                <w:rFonts w:ascii="Arial" w:cs="Arial" w:eastAsia="Arial" w:hAnsi="Arial"/>
                <w:sz w:val="18"/>
                <w:szCs w:val="18"/>
                <w:color w:val="auto"/>
              </w:rPr>
              <w:t>1/26/2016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363,664</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375,031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($4,967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4/2018)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Second-lien loan ($3,341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10/2021)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10/31/2016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23"/>
        </w:trPr>
        <w:tc>
          <w:tcPr>
            <w:tcW w:w="2960" w:type="dxa"/>
            <w:vAlign w:val="bottom"/>
            <w:gridSpan w:val="2"/>
          </w:tcPr>
          <w:p>
            <w:pPr>
              <w:ind w:left="260"/>
              <w:spacing w:after="0"/>
              <w:rPr>
                <w:sz w:val="20"/>
                <w:szCs w:val="20"/>
                <w:color w:val="auto"/>
              </w:rPr>
            </w:pPr>
            <w:r>
              <w:rPr>
                <w:rFonts w:ascii="Arial" w:cs="Arial" w:eastAsia="Arial" w:hAnsi="Arial"/>
                <w:sz w:val="18"/>
                <w:szCs w:val="18"/>
                <w:b w:val="1"/>
                <w:bCs w:val="1"/>
                <w:color w:val="auto"/>
              </w:rPr>
              <w:t>Education</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First-lien loan ($45,000 par,</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8/2022)</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43,830</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960" w:type="dxa"/>
            <w:vAlign w:val="bottom"/>
            <w:gridSpan w:val="2"/>
          </w:tcPr>
          <w:p>
            <w:pPr>
              <w:spacing w:after="0"/>
              <w:rPr>
                <w:sz w:val="20"/>
                <w:szCs w:val="20"/>
                <w:color w:val="auto"/>
              </w:rPr>
            </w:pPr>
            <w:r>
              <w:rPr>
                <w:rFonts w:ascii="Arial" w:cs="Arial" w:eastAsia="Arial" w:hAnsi="Arial"/>
                <w:sz w:val="18"/>
                <w:szCs w:val="18"/>
                <w:color w:val="auto"/>
              </w:rPr>
              <w:t>Frontline Technologies Group</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($54,725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(3)(5)</w:t>
            </w:r>
          </w:p>
        </w:tc>
        <w:tc>
          <w:tcPr>
            <w:tcW w:w="2940" w:type="dxa"/>
            <w:vAlign w:val="bottom"/>
            <w:gridSpan w:val="2"/>
          </w:tcPr>
          <w:p>
            <w:pPr>
              <w:spacing w:after="0"/>
              <w:rPr>
                <w:sz w:val="20"/>
                <w:szCs w:val="20"/>
                <w:color w:val="auto"/>
              </w:rPr>
            </w:pPr>
            <w:r>
              <w:rPr>
                <w:rFonts w:ascii="Arial" w:cs="Arial" w:eastAsia="Arial" w:hAnsi="Arial"/>
                <w:sz w:val="18"/>
                <w:szCs w:val="18"/>
                <w:color w:val="auto"/>
              </w:rPr>
              <w:t>due 4/2021)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7.75%</w:t>
            </w:r>
          </w:p>
        </w:tc>
        <w:tc>
          <w:tcPr>
            <w:tcW w:w="920" w:type="dxa"/>
            <w:vAlign w:val="bottom"/>
          </w:tcPr>
          <w:p>
            <w:pPr>
              <w:jc w:val="right"/>
              <w:spacing w:after="0"/>
              <w:rPr>
                <w:sz w:val="20"/>
                <w:szCs w:val="20"/>
                <w:color w:val="auto"/>
              </w:rPr>
            </w:pPr>
            <w:r>
              <w:rPr>
                <w:rFonts w:ascii="Arial" w:cs="Arial" w:eastAsia="Arial" w:hAnsi="Arial"/>
                <w:sz w:val="18"/>
                <w:szCs w:val="18"/>
                <w:color w:val="auto"/>
              </w:rPr>
              <w:t>4/1/2016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53,447</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54,862</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r>
      <w:tr>
        <w:trPr>
          <w:trHeight w:val="426"/>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ind w:left="2660"/>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6"/>
                <w:szCs w:val="16"/>
                <w:color w:val="auto"/>
              </w:rPr>
            </w:pPr>
          </w:p>
        </w:tc>
      </w:tr>
      <w:tr>
        <w:trPr>
          <w:trHeight w:val="228"/>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20" w:type="dxa"/>
            <w:vAlign w:val="bottom"/>
            <w:tcBorders>
              <w:bottom w:val="single" w:sz="8" w:color="CFF0FC"/>
            </w:tcBorders>
          </w:tcPr>
          <w:p>
            <w:pPr>
              <w:spacing w:after="0"/>
              <w:rPr>
                <w:sz w:val="19"/>
                <w:szCs w:val="19"/>
                <w:color w:val="auto"/>
              </w:rPr>
            </w:pPr>
          </w:p>
        </w:tc>
        <w:tc>
          <w:tcPr>
            <w:tcW w:w="276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Interest</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Net Assets</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97,277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99,187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223"/>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Electronics</w:t>
            </w: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MyAlarm Center, LLC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($63,761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63,342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APX Group Inc. </w:t>
            </w:r>
            <w:r>
              <w:rPr>
                <w:rFonts w:ascii="Arial" w:cs="Arial" w:eastAsia="Arial" w:hAnsi="Arial"/>
                <w:sz w:val="15"/>
                <w:szCs w:val="15"/>
                <w:color w:val="auto"/>
              </w:rPr>
              <w:t>(11)</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Senior notes 8.75% ($5,470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12/2020)</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12/11/2014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0"/>
                <w:szCs w:val="20"/>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68,059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r>
      <w:tr>
        <w:trPr>
          <w:trHeight w:val="223"/>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($22,200 par, due</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8/2020)</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21,781</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($53,528 par, due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10.50%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2.38% PIK)</w:t>
            </w:r>
          </w:p>
        </w:tc>
        <w:tc>
          <w:tcPr>
            <w:tcW w:w="90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52,779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53,394</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Network Merchants, Inc.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($25,782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9/2018)</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9/12/2013</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25,585</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($34,502 par,</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10.00%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3/2020)</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tcPr>
          <w:p>
            <w:pPr>
              <w:jc w:val="right"/>
              <w:spacing w:after="0"/>
              <w:rPr>
                <w:sz w:val="20"/>
                <w:szCs w:val="20"/>
                <w:color w:val="auto"/>
              </w:rPr>
            </w:pPr>
            <w:r>
              <w:rPr>
                <w:rFonts w:ascii="Arial" w:cs="Arial" w:eastAsia="Arial" w:hAnsi="Arial"/>
                <w:sz w:val="18"/>
                <w:szCs w:val="18"/>
                <w:color w:val="auto"/>
              </w:rPr>
              <w:t>3/6/2015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33,979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34,700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Smarsh, Inc. </w:t>
            </w:r>
            <w:r>
              <w:rPr>
                <w:rFonts w:ascii="Arial" w:cs="Arial" w:eastAsia="Arial" w:hAnsi="Arial"/>
                <w:sz w:val="15"/>
                <w:szCs w:val="15"/>
                <w:color w:val="auto"/>
              </w:rPr>
              <w:t>(3)(5)</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($30,000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1/2021)</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1/7/2016</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29,343</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163,467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166,636</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r>
      <w:tr>
        <w:trPr>
          <w:trHeight w:val="223"/>
        </w:trPr>
        <w:tc>
          <w:tcPr>
            <w:tcW w:w="2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(EUR 40,573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44,934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9/2019)</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47,830</w:t>
            </w:r>
          </w:p>
        </w:tc>
        <w:tc>
          <w:tcPr>
            <w:tcW w:w="2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(EUR 43,158)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revolving loan</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(EUR 300 par, due 9/2019)</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11.50%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9/30/2014</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(EUR 500)</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($44,663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12/2021)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6.25%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12/17/2015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43,959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45,109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($47,066 par, due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9.50%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9/2020)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45,920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($29,775 par,</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due 2/2021)</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rPr>
              <w:t>2/29/2016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28,894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29,849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Software, LLC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($30,000 par,</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12/2017)</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12/28/2012</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18"/>
                <w:szCs w:val="18"/>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revolving loan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($2,000 par, due 12/2017)</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8.75%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12/28/2012</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198,667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199,603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r>
      <w:tr>
        <w:trPr>
          <w:trHeight w:val="223"/>
        </w:trPr>
        <w:tc>
          <w:tcPr>
            <w:tcW w:w="2740" w:type="dxa"/>
            <w:vAlign w:val="bottom"/>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($26,104 par, due</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9.27%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Systems, Inc. </w:t>
            </w:r>
            <w:r>
              <w:rPr>
                <w:rFonts w:ascii="Arial" w:cs="Arial" w:eastAsia="Arial" w:hAnsi="Arial"/>
                <w:sz w:val="15"/>
                <w:szCs w:val="15"/>
                <w:color w:val="auto"/>
              </w:rPr>
              <w:t>(3)</w:t>
            </w: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4/2020)</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25,643</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First-lien loan ($21,311 par, due</w:t>
            </w: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10.50% (incl.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9/2019)</w:t>
            </w: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21,311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18,807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4"/>
              </w:rPr>
              <w:t>First-lien revolver loan ($14,755 par,</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10.50% (incl.</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shd w:val="clear" w:color="auto" w:fill="CFF0FC"/>
          </w:tcPr>
          <w:p>
            <w:pPr>
              <w:spacing w:after="0"/>
              <w:rPr>
                <w:sz w:val="20"/>
                <w:szCs w:val="20"/>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9/2019)</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5.00% PIK)</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14,755</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r>
      <w:tr>
        <w:trPr>
          <w:trHeight w:val="432"/>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40" w:type="dxa"/>
            <w:vAlign w:val="bottom"/>
            <w:gridSpan w:val="2"/>
          </w:tcPr>
          <w:p>
            <w:pPr>
              <w:jc w:val="right"/>
              <w:ind w:right="971"/>
              <w:spacing w:after="0"/>
              <w:rPr>
                <w:sz w:val="20"/>
                <w:szCs w:val="20"/>
                <w:color w:val="auto"/>
              </w:rPr>
            </w:pPr>
            <w:r>
              <w:rPr>
                <w:rFonts w:ascii="Arial" w:cs="Arial" w:eastAsia="Arial" w:hAnsi="Arial"/>
                <w:sz w:val="18"/>
                <w:szCs w:val="18"/>
                <w:color w:val="auto"/>
                <w:w w:val="79"/>
              </w:rPr>
              <w:t>12</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840" w:type="dxa"/>
            <w:vAlign w:val="bottom"/>
          </w:tcPr>
          <w:p>
            <w:pPr>
              <w:jc w:val="right"/>
              <w:ind w:right="11"/>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20" w:type="dxa"/>
            <w:vAlign w:val="bottom"/>
          </w:tcPr>
          <w:p>
            <w:pPr>
              <w:spacing w:after="0"/>
              <w:rPr>
                <w:sz w:val="19"/>
                <w:szCs w:val="19"/>
                <w:color w:val="auto"/>
              </w:rPr>
            </w:pPr>
          </w:p>
        </w:tc>
        <w:tc>
          <w:tcPr>
            <w:tcW w:w="2680" w:type="dxa"/>
            <w:vAlign w:val="bottom"/>
          </w:tcPr>
          <w:p>
            <w:pPr>
              <w:ind w:left="1020"/>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right"/>
              <w:ind w:right="3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2"/>
                <w:szCs w:val="12"/>
                <w:b w:val="1"/>
                <w:bCs w:val="1"/>
                <w:color w:val="auto"/>
                <w:w w:val="95"/>
              </w:rPr>
              <w:t>(10)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Soho House </w:t>
            </w:r>
            <w:r>
              <w:rPr>
                <w:rFonts w:ascii="Arial" w:cs="Arial" w:eastAsia="Arial" w:hAnsi="Arial"/>
                <w:sz w:val="15"/>
                <w:szCs w:val="15"/>
                <w:color w:val="auto"/>
              </w:rPr>
              <w:t>(4)(11)</w:t>
            </w:r>
          </w:p>
        </w:tc>
        <w:tc>
          <w:tcPr>
            <w:tcW w:w="120" w:type="dxa"/>
            <w:vAlign w:val="bottom"/>
          </w:tcPr>
          <w:p>
            <w:pPr>
              <w:spacing w:after="0"/>
              <w:rPr>
                <w:sz w:val="18"/>
                <w:szCs w:val="18"/>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Second-lien bond (GBP 12,875 par,</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16,227</w:t>
            </w: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10/2018)</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9.13%</w:t>
            </w:r>
          </w:p>
        </w:tc>
        <w:tc>
          <w:tcPr>
            <w:tcW w:w="900" w:type="dxa"/>
            <w:vAlign w:val="bottom"/>
          </w:tcPr>
          <w:p>
            <w:pPr>
              <w:jc w:val="right"/>
              <w:spacing w:after="0"/>
              <w:rPr>
                <w:sz w:val="20"/>
                <w:szCs w:val="20"/>
                <w:color w:val="auto"/>
              </w:rPr>
            </w:pPr>
            <w:r>
              <w:rPr>
                <w:rFonts w:ascii="Arial" w:cs="Arial" w:eastAsia="Arial" w:hAnsi="Arial"/>
                <w:sz w:val="18"/>
                <w:szCs w:val="18"/>
                <w:color w:val="auto"/>
              </w:rPr>
              <w:t>9/20/2013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20,618</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90"/>
              </w:rPr>
              <w:t>(GBP 13,133)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82,327</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74,159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b w:val="1"/>
                <w:bCs w:val="1"/>
                <w:color w:val="auto"/>
              </w:rPr>
              <w:t>services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Saba Software, Inc. </w:t>
            </w:r>
            <w:r>
              <w:rPr>
                <w:rFonts w:ascii="Arial" w:cs="Arial" w:eastAsia="Arial" w:hAnsi="Arial"/>
                <w:sz w:val="15"/>
                <w:szCs w:val="15"/>
                <w:color w:val="auto"/>
              </w:rPr>
              <w:t>(3)(5)</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($54,175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3/2021)</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9.75%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54,310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 xml:space="preserve">Skillsoft </w:t>
            </w:r>
            <w:r>
              <w:rPr>
                <w:rFonts w:ascii="Arial" w:cs="Arial" w:eastAsia="Arial" w:hAnsi="Arial"/>
                <w:sz w:val="15"/>
                <w:szCs w:val="15"/>
                <w:color w:val="auto"/>
              </w:rPr>
              <w:t>(3)(11)</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First-lien loan ($9,571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4/2021)</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5.84%</w:t>
            </w:r>
          </w:p>
        </w:tc>
        <w:tc>
          <w:tcPr>
            <w:tcW w:w="900" w:type="dxa"/>
            <w:vAlign w:val="bottom"/>
          </w:tcPr>
          <w:p>
            <w:pPr>
              <w:jc w:val="right"/>
              <w:spacing w:after="0"/>
              <w:rPr>
                <w:sz w:val="20"/>
                <w:szCs w:val="20"/>
                <w:color w:val="auto"/>
              </w:rPr>
            </w:pPr>
            <w:r>
              <w:rPr>
                <w:rFonts w:ascii="Arial" w:cs="Arial" w:eastAsia="Arial" w:hAnsi="Arial"/>
                <w:sz w:val="18"/>
                <w:szCs w:val="18"/>
                <w:color w:val="auto"/>
              </w:rPr>
              <w:t>11/5/2015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7,629</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8,709</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61,309</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63,019</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Insurance</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($64,978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10/2020)</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65,952</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Internet services</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Highwinds Capital, 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($47,988 par, due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7/2018)</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47,679</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48,588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2"/>
              </w:rPr>
              <w:t>First-lien revolving loan ($3,000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7/2018)</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9.00%</w:t>
            </w:r>
          </w:p>
        </w:tc>
        <w:tc>
          <w:tcPr>
            <w:tcW w:w="900" w:type="dxa"/>
            <w:vAlign w:val="bottom"/>
          </w:tcPr>
          <w:p>
            <w:pPr>
              <w:jc w:val="right"/>
              <w:spacing w:after="0"/>
              <w:rPr>
                <w:sz w:val="20"/>
                <w:szCs w:val="20"/>
                <w:color w:val="auto"/>
              </w:rPr>
            </w:pPr>
            <w:r>
              <w:rPr>
                <w:rFonts w:ascii="Arial" w:cs="Arial" w:eastAsia="Arial" w:hAnsi="Arial"/>
                <w:sz w:val="18"/>
                <w:szCs w:val="18"/>
                <w:color w:val="auto"/>
              </w:rPr>
              <w:t>3/7/2014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50,664</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Manufacturing</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Power Solutions International,</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8"/>
              </w:rPr>
              <w:t>ABL FILO term loan ($53,550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6/2021)</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10.75%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52,613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Office products</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Ecommerce Industries, 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($36,529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3/2019)</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36,627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Oil, gas and consumable</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b w:val="1"/>
                <w:bCs w:val="1"/>
                <w:color w:val="auto"/>
              </w:rPr>
              <w:t>fuels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Energy Services </w:t>
            </w:r>
            <w:r>
              <w:rPr>
                <w:rFonts w:ascii="Arial" w:cs="Arial" w:eastAsia="Arial" w:hAnsi="Arial"/>
                <w:sz w:val="15"/>
                <w:szCs w:val="15"/>
                <w:color w:val="auto"/>
              </w:rPr>
              <w:t>(3)(11)</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($10,771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12/2021)</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11.25%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(3)(7)</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First-lien loan ($51,537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13.00% (incl.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6/2018)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1.50% PIK)</w:t>
            </w:r>
          </w:p>
        </w:tc>
        <w:tc>
          <w:tcPr>
            <w:tcW w:w="900" w:type="dxa"/>
            <w:vAlign w:val="bottom"/>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51,078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33,885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61,532</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Pharmaceuticals</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Secured note ($74,950 par, due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10/2020)</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7.75%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74,575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Retail and consumer</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360"/>
              <w:spacing w:after="0"/>
              <w:rPr>
                <w:sz w:val="20"/>
                <w:szCs w:val="20"/>
                <w:color w:val="auto"/>
              </w:rPr>
            </w:pPr>
            <w:r>
              <w:rPr>
                <w:rFonts w:ascii="Arial" w:cs="Arial" w:eastAsia="Arial" w:hAnsi="Arial"/>
                <w:sz w:val="18"/>
                <w:szCs w:val="18"/>
                <w:b w:val="1"/>
                <w:bCs w:val="1"/>
                <w:color w:val="auto"/>
              </w:rPr>
              <w:t>products</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($23,918 par, due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9/2020)</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23,858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Destination Maternity</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8"/>
              </w:rPr>
              <w:t>ABL FILO term loan ($17,371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3/2021)</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3/25/2016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17,328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8"/>
              </w:rPr>
              <w:t>ABL FILO term loan ($50,000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3/2019)</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8.00%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49,125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 xml:space="preserve">Quiksilver - Boardriders SA </w:t>
            </w:r>
            <w:r>
              <w:rPr>
                <w:rFonts w:ascii="Arial" w:cs="Arial" w:eastAsia="Arial" w:hAnsi="Arial"/>
                <w:sz w:val="15"/>
                <w:szCs w:val="15"/>
                <w:color w:val="auto"/>
              </w:rPr>
              <w:t>(11)</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5,170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w w:val="92"/>
              </w:rPr>
              <w:t>Bond (EUR 5,699 par, due 12/2020)</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9.50%</w:t>
            </w:r>
          </w:p>
        </w:tc>
        <w:tc>
          <w:tcPr>
            <w:tcW w:w="900" w:type="dxa"/>
            <w:vAlign w:val="bottom"/>
          </w:tcPr>
          <w:p>
            <w:pPr>
              <w:jc w:val="right"/>
              <w:spacing w:after="0"/>
              <w:rPr>
                <w:sz w:val="20"/>
                <w:szCs w:val="20"/>
                <w:color w:val="auto"/>
              </w:rPr>
            </w:pPr>
            <w:r>
              <w:rPr>
                <w:rFonts w:ascii="Arial" w:cs="Arial" w:eastAsia="Arial" w:hAnsi="Arial"/>
                <w:sz w:val="18"/>
                <w:szCs w:val="18"/>
                <w:color w:val="auto"/>
              </w:rPr>
              <w:t>5/26/2015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6,036</w:t>
            </w:r>
          </w:p>
        </w:tc>
        <w:tc>
          <w:tcPr>
            <w:tcW w:w="22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(EUR 4,901)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(3)(4)(6)(11)</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First-lien loan ($3,642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6/2018)</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5.50%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1/28/2016</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First-lien ABL loan ($22,727 par,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due 7/2020)</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8.50%</w:t>
            </w:r>
          </w:p>
        </w:tc>
        <w:tc>
          <w:tcPr>
            <w:tcW w:w="900" w:type="dxa"/>
            <w:vAlign w:val="bottom"/>
          </w:tcPr>
          <w:p>
            <w:pPr>
              <w:jc w:val="right"/>
              <w:spacing w:after="0"/>
              <w:rPr>
                <w:sz w:val="20"/>
                <w:szCs w:val="20"/>
                <w:color w:val="auto"/>
              </w:rPr>
            </w:pPr>
            <w:r>
              <w:rPr>
                <w:rFonts w:ascii="Arial" w:cs="Arial" w:eastAsia="Arial" w:hAnsi="Arial"/>
                <w:sz w:val="18"/>
                <w:szCs w:val="18"/>
                <w:color w:val="auto"/>
              </w:rPr>
              <w:t>3/18/2016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22,727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Toys ‘R’ Us-Delaware, Inc. </w:t>
            </w:r>
            <w:r>
              <w:rPr>
                <w:rFonts w:ascii="Arial" w:cs="Arial" w:eastAsia="Arial" w:hAnsi="Arial"/>
                <w:sz w:val="15"/>
                <w:szCs w:val="15"/>
                <w:color w:val="auto"/>
              </w:rPr>
              <w:t>(3)(11)</w:t>
            </w: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8"/>
              </w:rPr>
              <w:t>ABL FILO term loan ($25,500 par,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due 10/2019)</w:t>
            </w:r>
          </w:p>
        </w:tc>
        <w:tc>
          <w:tcPr>
            <w:tcW w:w="15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10/9/2014</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146,386</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146,813</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60" w:type="dxa"/>
            <w:vAlign w:val="bottom"/>
            <w:gridSpan w:val="3"/>
          </w:tcPr>
          <w:p>
            <w:pPr>
              <w:jc w:val="right"/>
              <w:ind w:right="976"/>
              <w:spacing w:after="0"/>
              <w:rPr>
                <w:sz w:val="20"/>
                <w:szCs w:val="20"/>
                <w:color w:val="auto"/>
              </w:rPr>
            </w:pPr>
            <w:r>
              <w:rPr>
                <w:rFonts w:ascii="Arial" w:cs="Arial" w:eastAsia="Arial" w:hAnsi="Arial"/>
                <w:sz w:val="18"/>
                <w:szCs w:val="18"/>
                <w:color w:val="auto"/>
                <w:w w:val="89"/>
              </w:rPr>
              <w:t>13</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Acquisition</w:t>
            </w: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22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294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Investment</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Pr>
          <w:p>
            <w:pPr>
              <w:jc w:val="right"/>
              <w:ind w:right="51"/>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Transportation</w:t>
            </w:r>
          </w:p>
        </w:tc>
        <w:tc>
          <w:tcPr>
            <w:tcW w:w="100" w:type="dxa"/>
            <w:vAlign w:val="bottom"/>
            <w:tcBorders>
              <w:top w:val="single" w:sz="8" w:color="CFF0FC"/>
            </w:tcBorders>
            <w:shd w:val="clear" w:color="auto" w:fill="CFF0FC"/>
          </w:tcPr>
          <w:p>
            <w:pPr>
              <w:spacing w:after="0"/>
              <w:rPr>
                <w:sz w:val="19"/>
                <w:szCs w:val="19"/>
                <w:color w:val="auto"/>
              </w:rPr>
            </w:pPr>
          </w:p>
        </w:tc>
        <w:tc>
          <w:tcPr>
            <w:tcW w:w="2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Carrix, Inc. </w:t>
            </w:r>
            <w:r>
              <w:rPr>
                <w:rFonts w:ascii="Arial" w:cs="Arial" w:eastAsia="Arial" w:hAnsi="Arial"/>
                <w:sz w:val="15"/>
                <w:szCs w:val="15"/>
                <w:color w:val="auto"/>
              </w:rPr>
              <w:t>(3)(11)</w:t>
            </w:r>
          </w:p>
        </w:tc>
        <w:tc>
          <w:tcPr>
            <w:tcW w:w="2940" w:type="dxa"/>
            <w:vAlign w:val="bottom"/>
            <w:gridSpan w:val="2"/>
          </w:tcPr>
          <w:p>
            <w:pPr>
              <w:spacing w:after="0"/>
              <w:rPr>
                <w:sz w:val="20"/>
                <w:szCs w:val="20"/>
                <w:color w:val="auto"/>
              </w:rPr>
            </w:pPr>
            <w:r>
              <w:rPr>
                <w:rFonts w:ascii="Arial" w:cs="Arial" w:eastAsia="Arial" w:hAnsi="Arial"/>
                <w:sz w:val="18"/>
                <w:szCs w:val="18"/>
                <w:color w:val="auto"/>
              </w:rPr>
              <w:t>First-lien loan ($12,878 par,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due 1/2019)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900" w:type="dxa"/>
            <w:vAlign w:val="bottom"/>
          </w:tcPr>
          <w:p>
            <w:pPr>
              <w:jc w:val="right"/>
              <w:spacing w:after="0"/>
              <w:rPr>
                <w:sz w:val="20"/>
                <w:szCs w:val="20"/>
                <w:color w:val="auto"/>
              </w:rPr>
            </w:pPr>
            <w:r>
              <w:rPr>
                <w:rFonts w:ascii="Arial" w:cs="Arial" w:eastAsia="Arial" w:hAnsi="Arial"/>
                <w:sz w:val="18"/>
                <w:szCs w:val="18"/>
                <w:color w:val="auto"/>
              </w:rPr>
              <w:t>3/17/2015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12,342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 Debt Investments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1,627,465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1,629,836</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Equity and Other Investments</w:t>
            </w:r>
          </w:p>
        </w:tc>
        <w:tc>
          <w:tcPr>
            <w:tcW w:w="2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Chemicals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Vertellus Specialties, Inc.</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Units (2,672,990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10/31/2016</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3,627</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Financial services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AvidXchange, Inc.</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Preferred Equity (214,132</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4,548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2940" w:type="dxa"/>
            <w:vAlign w:val="bottom"/>
            <w:gridSpan w:val="2"/>
          </w:tcPr>
          <w:p>
            <w:pPr>
              <w:spacing w:after="0"/>
              <w:rPr>
                <w:sz w:val="20"/>
                <w:szCs w:val="20"/>
                <w:color w:val="auto"/>
              </w:rPr>
            </w:pPr>
            <w:r>
              <w:rPr>
                <w:rFonts w:ascii="Arial" w:cs="Arial" w:eastAsia="Arial" w:hAnsi="Arial"/>
                <w:sz w:val="18"/>
                <w:szCs w:val="18"/>
                <w:color w:val="auto"/>
              </w:rPr>
              <w:t>Non-Voting Preferred Units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9/12/2013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(4)(12)</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(995,419 shares)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11,299</w:t>
            </w:r>
          </w:p>
        </w:tc>
        <w:tc>
          <w:tcPr>
            <w:tcW w:w="2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12,678</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Healthcare</w:t>
            </w:r>
          </w:p>
        </w:tc>
        <w:tc>
          <w:tcPr>
            <w:tcW w:w="2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Global Healthcare Exchange,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LLC</w:t>
            </w:r>
          </w:p>
        </w:tc>
        <w:tc>
          <w:tcPr>
            <w:tcW w:w="2940" w:type="dxa"/>
            <w:vAlign w:val="bottom"/>
            <w:gridSpan w:val="2"/>
          </w:tcPr>
          <w:p>
            <w:pPr>
              <w:spacing w:after="0"/>
              <w:rPr>
                <w:sz w:val="20"/>
                <w:szCs w:val="20"/>
                <w:color w:val="auto"/>
              </w:rPr>
            </w:pPr>
            <w:r>
              <w:rPr>
                <w:rFonts w:ascii="Arial" w:cs="Arial" w:eastAsia="Arial" w:hAnsi="Arial"/>
                <w:sz w:val="18"/>
                <w:szCs w:val="18"/>
                <w:color w:val="auto"/>
                <w:w w:val="94"/>
              </w:rPr>
              <w:t>Common Shares Class A (358 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Common Shares Class B (196 shares)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3/11/2014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w:t>
            </w:r>
          </w:p>
        </w:tc>
        <w:tc>
          <w:tcPr>
            <w:tcW w:w="29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9/30/2014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(EUR 648)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SRS Parent Corp.</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Shares Class A</w:t>
            </w: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(1,980 shares)</w:t>
            </w: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9"/>
              </w:rPr>
              <w:t>Common Shares Class B (2,953,020</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12/28/2012</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Hotel, gaming, and leisure</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Units (5,000,000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Class C-1 Units (8,800,000 units)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9/29/2015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5"/>
        </w:trPr>
        <w:tc>
          <w:tcPr>
            <w:tcW w:w="292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80"/>
              <w:spacing w:after="0"/>
              <w:rPr>
                <w:sz w:val="20"/>
                <w:szCs w:val="20"/>
                <w:color w:val="auto"/>
              </w:rPr>
            </w:pPr>
            <w:r>
              <w:rPr>
                <w:rFonts w:ascii="Arial" w:cs="Arial" w:eastAsia="Arial" w:hAnsi="Arial"/>
                <w:sz w:val="18"/>
                <w:szCs w:val="18"/>
                <w:b w:val="1"/>
                <w:bCs w:val="1"/>
                <w:color w:val="auto"/>
              </w:rPr>
              <w:t>fuels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Mississippi Resources, LLC </w:t>
            </w:r>
            <w:r>
              <w:rPr>
                <w:rFonts w:ascii="Arial" w:cs="Arial" w:eastAsia="Arial" w:hAnsi="Arial"/>
                <w:sz w:val="15"/>
                <w:szCs w:val="15"/>
                <w:color w:val="auto"/>
              </w:rPr>
              <w:t>(7)</w:t>
            </w:r>
          </w:p>
        </w:tc>
        <w:tc>
          <w:tcPr>
            <w:tcW w:w="2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A Member Units (933 units)</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60"/>
              <w:spacing w:after="0"/>
              <w:rPr>
                <w:sz w:val="20"/>
                <w:szCs w:val="20"/>
                <w:color w:val="auto"/>
              </w:rPr>
            </w:pPr>
            <w:r>
              <w:rPr>
                <w:rFonts w:ascii="Arial" w:cs="Arial" w:eastAsia="Arial" w:hAnsi="Arial"/>
                <w:sz w:val="18"/>
                <w:szCs w:val="18"/>
                <w:b w:val="1"/>
                <w:bCs w:val="1"/>
                <w:color w:val="auto"/>
              </w:rPr>
              <w:t>Other</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Oak Hill Credit Partners VIII, Ltd. </w:t>
            </w:r>
            <w:r>
              <w:rPr>
                <w:rFonts w:ascii="Arial" w:cs="Arial" w:eastAsia="Arial" w:hAnsi="Arial"/>
                <w:sz w:val="15"/>
                <w:szCs w:val="15"/>
                <w:color w:val="auto"/>
              </w:rPr>
              <w:t>(4)</w:t>
            </w:r>
          </w:p>
        </w:tc>
        <w:tc>
          <w:tcPr>
            <w:tcW w:w="29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Structured Product (Class F Notes)</w:t>
            </w:r>
          </w:p>
        </w:tc>
        <w:tc>
          <w:tcPr>
            <w:tcW w:w="14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6.38%</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8/21/2015</w:t>
            </w:r>
          </w:p>
        </w:tc>
        <w:tc>
          <w:tcPr>
            <w:tcW w:w="10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22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spacing w:after="0"/>
              <w:rPr>
                <w:sz w:val="20"/>
                <w:szCs w:val="20"/>
                <w:color w:val="auto"/>
              </w:rPr>
            </w:pPr>
            <w:r>
              <w:rPr>
                <w:rFonts w:ascii="Arial" w:cs="Arial" w:eastAsia="Arial" w:hAnsi="Arial"/>
                <w:sz w:val="15"/>
                <w:szCs w:val="15"/>
                <w:color w:val="auto"/>
              </w:rPr>
              <w:t>(6)(11)</w:t>
            </w:r>
          </w:p>
        </w:tc>
        <w:tc>
          <w:tcPr>
            <w:tcW w:w="100" w:type="dxa"/>
            <w:vAlign w:val="bottom"/>
            <w:shd w:val="clear" w:color="auto" w:fill="CFF0FC"/>
          </w:tcPr>
          <w:p>
            <w:pPr>
              <w:spacing w:after="0"/>
              <w:rPr>
                <w:sz w:val="15"/>
                <w:szCs w:val="15"/>
                <w:color w:val="auto"/>
              </w:rPr>
            </w:pPr>
          </w:p>
        </w:tc>
        <w:tc>
          <w:tcPr>
            <w:tcW w:w="2940" w:type="dxa"/>
            <w:vAlign w:val="bottom"/>
            <w:gridSpan w:val="2"/>
            <w:vMerge w:val="continue"/>
            <w:shd w:val="clear" w:color="auto" w:fill="CFF0FC"/>
          </w:tcPr>
          <w:p>
            <w:pPr>
              <w:spacing w:after="0"/>
              <w:rPr>
                <w:sz w:val="15"/>
                <w:szCs w:val="15"/>
                <w:color w:val="auto"/>
              </w:rPr>
            </w:pPr>
          </w:p>
        </w:tc>
        <w:tc>
          <w:tcPr>
            <w:tcW w:w="1420" w:type="dxa"/>
            <w:vAlign w:val="bottom"/>
            <w:gridSpan w:val="2"/>
            <w:vMerge w:val="continue"/>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1060" w:type="dxa"/>
            <w:vAlign w:val="bottom"/>
            <w:gridSpan w:val="2"/>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 xml:space="preserve">Symphony CLO XV, Ltd. </w:t>
            </w:r>
            <w:r>
              <w:rPr>
                <w:rFonts w:ascii="Arial" w:cs="Arial" w:eastAsia="Arial" w:hAnsi="Arial"/>
                <w:sz w:val="15"/>
                <w:szCs w:val="15"/>
                <w:color w:val="auto"/>
              </w:rPr>
              <w:t>(4)(6)(11)</w:t>
            </w:r>
          </w:p>
        </w:tc>
        <w:tc>
          <w:tcPr>
            <w:tcW w:w="2940" w:type="dxa"/>
            <w:vAlign w:val="bottom"/>
            <w:gridSpan w:val="2"/>
          </w:tcPr>
          <w:p>
            <w:pPr>
              <w:spacing w:after="0"/>
              <w:rPr>
                <w:sz w:val="20"/>
                <w:szCs w:val="20"/>
                <w:color w:val="auto"/>
              </w:rPr>
            </w:pPr>
            <w:r>
              <w:rPr>
                <w:rFonts w:ascii="Arial" w:cs="Arial" w:eastAsia="Arial" w:hAnsi="Arial"/>
                <w:sz w:val="18"/>
                <w:szCs w:val="18"/>
                <w:color w:val="auto"/>
              </w:rPr>
              <w:t>Structured Product (Class F Notes)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6.63%</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11/17/2014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8,522</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5"/>
        </w:trPr>
        <w:tc>
          <w:tcPr>
            <w:tcW w:w="2920" w:type="dxa"/>
            <w:vAlign w:val="bottom"/>
            <w:gridSpan w:val="2"/>
          </w:tcPr>
          <w:p>
            <w:pPr>
              <w:ind w:left="260"/>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380"/>
              <w:spacing w:after="0"/>
              <w:rPr>
                <w:sz w:val="20"/>
                <w:szCs w:val="20"/>
                <w:color w:val="auto"/>
              </w:rPr>
            </w:pPr>
            <w:r>
              <w:rPr>
                <w:rFonts w:ascii="Arial" w:cs="Arial" w:eastAsia="Arial" w:hAnsi="Arial"/>
                <w:sz w:val="18"/>
                <w:szCs w:val="18"/>
                <w:b w:val="1"/>
                <w:bCs w:val="1"/>
                <w:color w:val="auto"/>
              </w:rPr>
              <w:t>Investments</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27,567</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$ 1,667,687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$ 1,657,403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173.8</w:t>
            </w: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4720" w:hanging="5612"/>
        <w:spacing w:after="0" w:line="528" w:lineRule="auto"/>
        <w:tabs>
          <w:tab w:leader="none" w:pos="517"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4" w:name="page15"/>
    <w:bookmarkEnd w:id="14"/>
    <w:p>
      <w:pPr>
        <w:ind w:left="520" w:right="180" w:hanging="512"/>
        <w:spacing w:after="0" w:line="25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credit agreement. For each such investment the Company has provided the interest rate in effect on the date presented.</w:t>
      </w:r>
    </w:p>
    <w:p>
      <w:pPr>
        <w:spacing w:after="0" w:line="1" w:lineRule="exact"/>
        <w:rPr>
          <w:rFonts w:ascii="Arial" w:cs="Arial" w:eastAsia="Arial" w:hAnsi="Arial"/>
          <w:sz w:val="18"/>
          <w:szCs w:val="18"/>
          <w:color w:val="auto"/>
        </w:rPr>
      </w:pPr>
    </w:p>
    <w:p>
      <w:pPr>
        <w:ind w:left="520" w:right="12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12.3% of total assets as of December 31, 2016.</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9"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6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Gain/(Loss)</w:t>
            </w:r>
          </w:p>
        </w:tc>
        <w:tc>
          <w:tcPr>
            <w:tcW w:w="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(10,994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65,859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40" w:right="260" w:hanging="519"/>
        <w:spacing w:after="0" w:line="274"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40" w:right="360" w:hanging="519"/>
        <w:spacing w:after="0" w:line="277" w:lineRule="auto"/>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2016, the tax cost of the Company’s investments approximates their amortized cost.</w:t>
      </w:r>
    </w:p>
    <w:p>
      <w:pPr>
        <w:spacing w:after="0" w:line="23" w:lineRule="exact"/>
        <w:rPr>
          <w:rFonts w:ascii="Arial" w:cs="Arial" w:eastAsia="Arial" w:hAnsi="Arial"/>
          <w:sz w:val="18"/>
          <w:szCs w:val="18"/>
          <w:color w:val="auto"/>
        </w:rPr>
      </w:pPr>
    </w:p>
    <w:p>
      <w:pPr>
        <w:ind w:left="520" w:right="22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61"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Six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62,451</w:t>
            </w:r>
          </w:p>
        </w:tc>
        <w:tc>
          <w:tcPr>
            <w:tcW w:w="160" w:type="dxa"/>
            <w:vAlign w:val="bottom"/>
          </w:tcPr>
          <w:p>
            <w:pPr>
              <w:spacing w:after="0"/>
              <w:rPr>
                <w:sz w:val="19"/>
                <w:szCs w:val="19"/>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48,694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(16,668)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(46,269)</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Convertible Senior Notes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8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beginning of period</w:t>
            </w:r>
          </w:p>
        </w:tc>
        <w:tc>
          <w:tcPr>
            <w:tcW w:w="8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820,741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968,099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924,019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Undistributed Net Investment Income Included in Net Assets at the</w:t>
            </w: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40"/>
              <w:spacing w:after="0"/>
              <w:rPr>
                <w:sz w:val="20"/>
                <w:szCs w:val="20"/>
                <w:color w:val="auto"/>
              </w:rPr>
            </w:pPr>
            <w:r>
              <w:rPr>
                <w:rFonts w:ascii="Arial" w:cs="Arial" w:eastAsia="Arial" w:hAnsi="Arial"/>
                <w:sz w:val="18"/>
                <w:szCs w:val="18"/>
                <w:b w:val="1"/>
                <w:bCs w:val="1"/>
                <w:color w:val="auto"/>
              </w:rPr>
              <w:t>End of the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56,772</w:t>
            </w:r>
          </w:p>
        </w:tc>
        <w:tc>
          <w:tcPr>
            <w:tcW w:w="16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29,044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Six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60,104</w:t>
            </w:r>
          </w:p>
        </w:tc>
        <w:tc>
          <w:tcPr>
            <w:tcW w:w="160" w:type="dxa"/>
            <w:vAlign w:val="bottom"/>
          </w:tcPr>
          <w:p>
            <w:pPr>
              <w:spacing w:after="0"/>
              <w:rPr>
                <w:sz w:val="19"/>
                <w:szCs w:val="19"/>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change in unrealized gains on investments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(20,691)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change in unrealized gains on interest rate swaps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Convertible Senior Notes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(412,085)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(328,203)</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455,265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(3,452)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(8,239)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Borrowings on debt</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539,500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(649,275)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(259,095)</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Debt issuance costs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stockholders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(44,481)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(39,005)</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(158,074)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paid during the period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Excise taxes paid during the period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9"/>
                <w:szCs w:val="19"/>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Dividends declared during the period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49,116</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4,543</w:t>
            </w:r>
          </w:p>
        </w:tc>
        <w:tc>
          <w:tcPr>
            <w:tcW w:w="16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2016, which was filed with the Securities and Exchange Commission (“SEC”), on February 22, 2017.</w:t>
      </w:r>
    </w:p>
    <w:p>
      <w:pPr>
        <w:spacing w:after="0" w:line="154" w:lineRule="exact"/>
        <w:rPr>
          <w:sz w:val="20"/>
          <w:szCs w:val="20"/>
          <w:color w:val="auto"/>
        </w:rPr>
      </w:pPr>
    </w:p>
    <w:p>
      <w:pPr>
        <w:ind w:right="74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jc w:val="both"/>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2017,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right="20"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jc w:val="both"/>
        <w:ind w:right="560"/>
        <w:spacing w:after="0" w:line="264" w:lineRule="auto"/>
        <w:rPr>
          <w:sz w:val="20"/>
          <w:szCs w:val="20"/>
          <w:color w:val="auto"/>
        </w:rPr>
      </w:pPr>
      <w:r>
        <w:rPr>
          <w:rFonts w:ascii="Arial" w:cs="Arial" w:eastAsia="Arial" w:hAnsi="Arial"/>
          <w:sz w:val="18"/>
          <w:szCs w:val="18"/>
          <w:color w:val="auto"/>
        </w:rPr>
        <w:t>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1"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The Company records expenses related to initial registration statement filings and applicable offering costs as deferred financing costs in other assets and a portion of these expenses are charged as a reduction of capital upon completion of an offering of registered securities. The costs associated with subsequent renewals of the Company’s shelf registration statement are expensed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8"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2017</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(“ASU 2016-18”), “Statement of Cash Flows (Topic 230) - Restricted Cash.” The standard requires an entity’s reconciliation of the beginning-of-period and end-of-period total amounts shown on the statement of cash flows to include in cash and cash equivalents amounts generally described as restricted cash and restricted cash equivalents. ASU 2016-18 is effective for public business entities for annual and interim periods in fiscal years beginning after December 15, 2017. Early adoption is permitted, including adoption in an interim period. The Company adopted this guidance during the quarter ended March 31, 2017 and adjusted the prior period consolidated statement of cash flows to reflect the change.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expects that the adoption of this guidance will not have a material impact on the Company’s financial position, results of operations or cash flows.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2" w:name="page23"/>
    <w:bookmarkEnd w:id="22"/>
    <w:p>
      <w:pPr>
        <w:ind w:right="160" w:firstLine="259"/>
        <w:spacing w:after="0" w:line="259" w:lineRule="auto"/>
        <w:rPr>
          <w:sz w:val="20"/>
          <w:szCs w:val="20"/>
          <w:color w:val="auto"/>
        </w:rPr>
      </w:pPr>
      <w:r>
        <w:rPr>
          <w:rFonts w:ascii="Arial" w:cs="Arial" w:eastAsia="Arial" w:hAnsi="Arial"/>
          <w:sz w:val="18"/>
          <w:szCs w:val="18"/>
          <w:color w:val="auto"/>
        </w:rPr>
        <w:t>The Administration Agreement was amended in February 2017 to make certain clarifications to the agreement, including with respect to the scope of the costs and expenses of the Administrator’s services. Unless earlier terminated as described below, the Administration Agreement will remain in effect until February 2018, and may be extended subject to required approvals. The Administration Agreement may be terminated by either party without penalty on 60 days’ written notice to the other party.</w:t>
      </w:r>
    </w:p>
    <w:p>
      <w:pPr>
        <w:spacing w:after="0" w:line="187" w:lineRule="exact"/>
        <w:rPr>
          <w:sz w:val="20"/>
          <w:szCs w:val="20"/>
          <w:color w:val="auto"/>
        </w:rPr>
      </w:pPr>
    </w:p>
    <w:p>
      <w:pPr>
        <w:ind w:right="140" w:firstLine="259"/>
        <w:spacing w:after="0" w:line="312" w:lineRule="auto"/>
        <w:rPr>
          <w:sz w:val="20"/>
          <w:szCs w:val="20"/>
          <w:color w:val="auto"/>
        </w:rPr>
      </w:pPr>
      <w:r>
        <w:rPr>
          <w:rFonts w:ascii="Arial" w:cs="Arial" w:eastAsia="Arial" w:hAnsi="Arial"/>
          <w:sz w:val="16"/>
          <w:szCs w:val="16"/>
          <w:color w:val="auto"/>
        </w:rPr>
        <w:t>For the three and six months ended June 30, 2017, the Company incurred expenses of $1.0 million and $2.0 million, respectively, for administrative services payable to the Adviser under the terms of the Administration Agreement. For the three and six months ended June 30, 2016 the Company incurred expenses of $0.8 million and $1.7 million, respectively, for administrative services payable to the Adviser under the terms of the Administration Agreement.</w:t>
      </w:r>
    </w:p>
    <w:p>
      <w:pPr>
        <w:spacing w:after="0" w:line="147" w:lineRule="exact"/>
        <w:rPr>
          <w:sz w:val="20"/>
          <w:szCs w:val="20"/>
          <w:color w:val="auto"/>
        </w:rPr>
      </w:pPr>
    </w:p>
    <w:p>
      <w:pPr>
        <w:ind w:right="14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For the three and six months ended June 30, 2017 Management Fees were $6.0 million and $12.0 million, respectively. For the three and six months ended June 30, 2016, Management Fees were $6.0 million and $11.7 million, respectively.</w:t>
      </w:r>
    </w:p>
    <w:p>
      <w:pPr>
        <w:spacing w:after="0" w:line="170"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the periods ended December 31, 2016 and prior, the Adviser voluntarily waived the Management Fee on the Company’s ownership of shares of common stock in TICC Capital Corp. (the “TICC Shares”). The Adviser did not waive any Management Fees for the three and six months ended June 30, 2017.</w:t>
      </w:r>
    </w:p>
    <w:p>
      <w:pPr>
        <w:spacing w:after="0" w:line="181"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For the three and six months ended June 30, 2016, Management Fees of $16.1 and $30.7 were waived, respectively, consisting solely of Management Fees attributable to the Company’s ownership of the TICC Shares.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300" w:hanging="255"/>
        <w:spacing w:after="0" w:line="286"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right="4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right="8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left="520" w:right="60" w:hanging="255"/>
        <w:spacing w:after="0" w:line="289"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60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For the three and six months ended June 30, 2017, Incentive Fees were $7.2 million and $13.2 million, respectively, of which $7.2 million and $13.2 million, respectively, were realized and payable to the Adviser. For the three and six months ended June 30, 2016, Incentive Fees were $5.4 million and $10.3 million, respectively, of which $5.4 million and $10.3 million, respectively, were realized and payable to the Adviser.</w:t>
      </w:r>
    </w:p>
    <w:p>
      <w:pPr>
        <w:spacing w:after="0" w:line="166" w:lineRule="exact"/>
        <w:rPr>
          <w:sz w:val="20"/>
          <w:szCs w:val="20"/>
          <w:color w:val="auto"/>
        </w:rPr>
      </w:pPr>
    </w:p>
    <w:p>
      <w:pPr>
        <w:jc w:val="both"/>
        <w:ind w:right="280" w:firstLine="259"/>
        <w:spacing w:after="0" w:line="302" w:lineRule="auto"/>
        <w:rPr>
          <w:sz w:val="20"/>
          <w:szCs w:val="20"/>
          <w:color w:val="auto"/>
        </w:rPr>
      </w:pPr>
      <w:r>
        <w:rPr>
          <w:rFonts w:ascii="Arial" w:cs="Arial" w:eastAsia="Arial" w:hAnsi="Arial"/>
          <w:sz w:val="16"/>
          <w:szCs w:val="16"/>
          <w:color w:val="auto"/>
        </w:rPr>
        <w:t>For the periods ended December 31, 2016 and prior, the Adviser voluntarily waived the Incentive Fees attributable to pre-Incentive Fee net investment income accrued by the Company as a result of the Company’s ownership of the TICC Shares. The Adviser did not waive any part of the Capital Gains Fee attributable to the Company’s ownership of the TICC Shares and, accordingly, any realized capital gains or losses and unrealized capital depreciation with respect to the TICC Shares apply against the Company’s cumulative realized capital gains on which the Capital Gains Fee is calculated.</w:t>
      </w:r>
    </w:p>
    <w:p>
      <w:pPr>
        <w:spacing w:after="0" w:line="154" w:lineRule="exact"/>
        <w:rPr>
          <w:sz w:val="20"/>
          <w:szCs w:val="20"/>
          <w:color w:val="auto"/>
        </w:rPr>
      </w:pPr>
    </w:p>
    <w:p>
      <w:pPr>
        <w:jc w:val="both"/>
        <w:ind w:right="500" w:firstLine="259"/>
        <w:spacing w:after="0" w:line="264" w:lineRule="auto"/>
        <w:rPr>
          <w:sz w:val="20"/>
          <w:szCs w:val="20"/>
          <w:color w:val="auto"/>
        </w:rPr>
      </w:pPr>
      <w:r>
        <w:rPr>
          <w:rFonts w:ascii="Arial" w:cs="Arial" w:eastAsia="Arial" w:hAnsi="Arial"/>
          <w:sz w:val="18"/>
          <w:szCs w:val="18"/>
          <w:color w:val="auto"/>
        </w:rPr>
        <w:t>The Adviser did not waive any Incentive Fees for the three and six months ended June 30, 2017. For the three and six months ended June 30, 2016, Incentive Fees of $82.9 and $165.8 were waived, respectively, consisting solely of Incentive Fees attributable to the Company’s ownership of the TICC Shares. Any waived Incentive Fees are not subject to recoupment by the Adviser.</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180" w:firstLine="259"/>
        <w:spacing w:after="0" w:line="312" w:lineRule="auto"/>
        <w:rPr>
          <w:sz w:val="20"/>
          <w:szCs w:val="20"/>
          <w:color w:val="auto"/>
        </w:rPr>
      </w:pPr>
      <w:r>
        <w:rPr>
          <w:rFonts w:ascii="Arial" w:cs="Arial" w:eastAsia="Arial" w:hAnsi="Arial"/>
          <w:sz w:val="16"/>
          <w:szCs w:val="16"/>
          <w:color w:val="auto"/>
        </w:rPr>
        <w:t>In November 2016, the Board renewed the Investment Advisory Agreement. Unless earlier terminated as described below, the Investment Advisory Agreement will remain in effect until November 2017,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6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120" w:firstLine="259"/>
        <w:spacing w:after="0" w:line="293"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580"/>
        <w:spacing w:after="0" w:line="277" w:lineRule="auto"/>
        <w:rPr>
          <w:sz w:val="20"/>
          <w:szCs w:val="20"/>
          <w:color w:val="auto"/>
        </w:rPr>
      </w:pPr>
      <w:r>
        <w:rPr>
          <w:rFonts w:ascii="Arial" w:cs="Arial" w:eastAsia="Arial" w:hAnsi="Arial"/>
          <w:sz w:val="18"/>
          <w:szCs w:val="18"/>
          <w:color w:val="auto"/>
        </w:rPr>
        <w:t>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June 30, 2017 and December 31, 2016:</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4"/>
                <w:szCs w:val="14"/>
                <w:b w:val="1"/>
                <w:bCs w:val="1"/>
                <w:color w:val="auto"/>
                <w:w w:val="94"/>
              </w:rPr>
              <w:t>June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1,429,550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1,448,584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(2,053)</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(6,575)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1,544,045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1,554,451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2016</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1,592,753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1,599,578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(4,382)</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(12,655)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30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industry composition of Investments at fair value at June 30, 2017 and December 31, 2016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CFF0FC"/>
            </w:tcBorders>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23.2%</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6.5%</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11.1%</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Healthcare</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14.1%</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Internet services</w:t>
            </w:r>
          </w:p>
        </w:tc>
        <w:tc>
          <w:tcPr>
            <w:tcW w:w="14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0.4%</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30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8.9%</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1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40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312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0" w:type="dxa"/>
            <w:vAlign w:val="bottom"/>
            <w:vMerge w:val="restart"/>
          </w:tcPr>
          <w:p>
            <w:pPr>
              <w:jc w:val="right"/>
              <w:ind w:right="410"/>
              <w:spacing w:after="0"/>
              <w:rPr>
                <w:sz w:val="20"/>
                <w:szCs w:val="20"/>
                <w:color w:val="auto"/>
              </w:rPr>
            </w:pPr>
            <w:r>
              <w:rPr>
                <w:rFonts w:ascii="Arial" w:cs="Arial" w:eastAsia="Arial" w:hAnsi="Arial"/>
                <w:sz w:val="18"/>
                <w:szCs w:val="18"/>
                <w:color w:val="auto"/>
              </w:rPr>
              <w:t>25</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color w:val="auto"/>
        </w:rPr>
        <w:t>The geographic composition of Investments at fair value at June 30, 2017 and December 31, 2016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June 30, 2017</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South</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Canada</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In January 2015, in connection with its 2019 Convertible Senior Notes, the Company entered into two interest rate swap transactions, each with a $57.5 million notional amount. The Company receives fixed rate interest at 4.50% and pays variable rate interest based on the three-month London Interbank Offered Rate (“LIBOR”) plus 286 basis points. The swap transactions mature on December 15, 2019.</w:t>
      </w:r>
    </w:p>
    <w:p>
      <w:pPr>
        <w:spacing w:after="0" w:line="181" w:lineRule="exact"/>
        <w:rPr>
          <w:sz w:val="20"/>
          <w:szCs w:val="20"/>
          <w:color w:val="auto"/>
        </w:rPr>
      </w:pPr>
    </w:p>
    <w:p>
      <w:pPr>
        <w:ind w:right="280" w:firstLine="259"/>
        <w:spacing w:after="0" w:line="34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24"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In January 2017, in connection with a fixed rate investment, the Company entered into an interest rate swap transaction with a $33.3 million notional amount. The Company receives three-month LIBOR plus 665.25 basis points and pays fixed rate interest at 8.375%. The swap transaction matures on January 10, 2020.</w:t>
      </w:r>
    </w:p>
    <w:p>
      <w:pPr>
        <w:spacing w:after="0" w:line="181" w:lineRule="exact"/>
        <w:rPr>
          <w:sz w:val="20"/>
          <w:szCs w:val="20"/>
          <w:color w:val="auto"/>
        </w:rPr>
      </w:pPr>
    </w:p>
    <w:p>
      <w:pPr>
        <w:jc w:val="both"/>
        <w:ind w:right="20" w:firstLine="259"/>
        <w:spacing w:after="0" w:line="264" w:lineRule="auto"/>
        <w:rPr>
          <w:sz w:val="20"/>
          <w:szCs w:val="20"/>
          <w:color w:val="auto"/>
        </w:rPr>
      </w:pPr>
      <w:r>
        <w:rPr>
          <w:rFonts w:ascii="Arial" w:cs="Arial" w:eastAsia="Arial" w:hAnsi="Arial"/>
          <w:sz w:val="18"/>
          <w:szCs w:val="18"/>
          <w:color w:val="auto"/>
        </w:rPr>
        <w:t>In February 2017, in connection with the issuance of the 2022 Convertible Senior Notes, the Company entered into an interest rate swap transaction with a $115 million notional amount. The Company receives fixed rate interest at 4.50% and pays variable rate interest based on the three-month LIBOR plus 237.2 basis points. The swap transaction matures on August 1, 2022.</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June 30, 2017 and December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Gross Amount</w:t>
            </w:r>
          </w:p>
        </w:tc>
        <w:tc>
          <w:tcPr>
            <w:tcW w:w="10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Notional</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 Consolidated Balance Sheets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 xml:space="preserve">Amount </w:t>
            </w:r>
            <w:r>
              <w:rPr>
                <w:rFonts w:ascii="Arial" w:cs="Arial" w:eastAsia="Arial" w:hAnsi="Arial"/>
                <w:sz w:val="12"/>
                <w:szCs w:val="12"/>
                <w:b w:val="1"/>
                <w:bCs w:val="1"/>
                <w:color w:val="auto"/>
                <w:w w:val="95"/>
              </w:rPr>
              <w:t>(1)</w:t>
            </w: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2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8/1/2022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w:t>
            </w:r>
          </w:p>
        </w:tc>
        <w:tc>
          <w:tcPr>
            <w:tcW w:w="26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28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Gross Amount</w:t>
            </w:r>
          </w:p>
        </w:tc>
        <w:tc>
          <w:tcPr>
            <w:tcW w:w="10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Notional</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Account in the Consolidated Balance Sheets</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 xml:space="preserve">Amount </w:t>
            </w:r>
            <w:r>
              <w:rPr>
                <w:rFonts w:ascii="Arial" w:cs="Arial" w:eastAsia="Arial" w:hAnsi="Arial"/>
                <w:sz w:val="12"/>
                <w:szCs w:val="12"/>
                <w:b w:val="1"/>
                <w:bCs w:val="1"/>
                <w:color w:val="auto"/>
                <w:w w:val="95"/>
              </w:rPr>
              <w:t>(1)</w:t>
            </w: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12/15/2019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Interest rate swap</w:t>
            </w:r>
          </w:p>
        </w:tc>
        <w:tc>
          <w:tcPr>
            <w:tcW w:w="1120" w:type="dxa"/>
            <w:vAlign w:val="bottom"/>
          </w:tcPr>
          <w:p>
            <w:pPr>
              <w:jc w:val="right"/>
              <w:spacing w:after="0"/>
              <w:rPr>
                <w:sz w:val="20"/>
                <w:szCs w:val="20"/>
                <w:color w:val="auto"/>
              </w:rPr>
            </w:pPr>
            <w:r>
              <w:rPr>
                <w:rFonts w:ascii="Arial" w:cs="Arial" w:eastAsia="Arial" w:hAnsi="Arial"/>
                <w:sz w:val="18"/>
                <w:szCs w:val="18"/>
                <w:color w:val="auto"/>
              </w:rPr>
              <w:t>10/5/2018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Receivable for interest rate swaps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8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During the three and six months ended June 30, 2017, the Company received $1.3 million and $2.6 million, respectively, and paid $1.2 million and $2.3 million, respectively, related to the settlements of its $115 million notional amount interest rate swaps, which mature on December 15, 2019. The net amounts of these settlements are reductions to interest expense in the Company’s consolidated statements of operations.</w:t>
      </w:r>
    </w:p>
    <w:p>
      <w:pPr>
        <w:spacing w:after="0" w:line="166"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During the three and six months ended June 30, 2016, the Company received $1.3 million and $2.6 million, respectively, and paid $1.0 million and $2.0 million, respectively, related to the settlements of its $115 million notional amount interest rate swaps, which mature on December 15, 2019. These net amounts are reductions to interest expense in the Company’s consolidated statements of operations.</w:t>
      </w:r>
    </w:p>
    <w:p>
      <w:pPr>
        <w:spacing w:after="0" w:line="181" w:lineRule="exact"/>
        <w:rPr>
          <w:sz w:val="20"/>
          <w:szCs w:val="20"/>
          <w:color w:val="auto"/>
        </w:rPr>
      </w:pPr>
    </w:p>
    <w:p>
      <w:pPr>
        <w:ind w:right="280" w:firstLine="259"/>
        <w:spacing w:after="0" w:line="342" w:lineRule="auto"/>
        <w:rPr>
          <w:sz w:val="20"/>
          <w:szCs w:val="20"/>
          <w:color w:val="auto"/>
        </w:rPr>
      </w:pPr>
      <w:r>
        <w:rPr>
          <w:rFonts w:ascii="Arial" w:cs="Arial" w:eastAsia="Arial" w:hAnsi="Arial"/>
          <w:sz w:val="16"/>
          <w:szCs w:val="16"/>
          <w:color w:val="auto"/>
        </w:rPr>
        <w:t>During the three months ended June 30, 2017, the Company paid $1.0 million related to the settlement of its $115 million notional amount interest rate swap, which matures on August 1, 2022. The amount was an addition to interest expense in the Company’s consolidated statements of operations.</w:t>
      </w:r>
    </w:p>
    <w:p>
      <w:pPr>
        <w:spacing w:after="0" w:line="124" w:lineRule="exact"/>
        <w:rPr>
          <w:sz w:val="20"/>
          <w:szCs w:val="20"/>
          <w:color w:val="auto"/>
        </w:rPr>
      </w:pPr>
    </w:p>
    <w:p>
      <w:pPr>
        <w:jc w:val="both"/>
        <w:ind w:right="120" w:firstLine="259"/>
        <w:spacing w:after="0" w:line="286" w:lineRule="auto"/>
        <w:rPr>
          <w:sz w:val="20"/>
          <w:szCs w:val="20"/>
          <w:color w:val="auto"/>
        </w:rPr>
      </w:pPr>
      <w:r>
        <w:rPr>
          <w:rFonts w:ascii="Arial" w:cs="Arial" w:eastAsia="Arial" w:hAnsi="Arial"/>
          <w:sz w:val="17"/>
          <w:szCs w:val="17"/>
          <w:color w:val="auto"/>
        </w:rPr>
        <w:t>During the three and six months ended June 30, 2017, the Company received $0.2 million and $0.4 million, respectively, and paid $0.3 million and $0.5 million, respectively, related to the settlement of its $92.5 million notional amount interest rate swaps, which mature on October 5, 2018. The net amounts of these settlements are a reduction to interest income in the Company’s consolidated statements of operations.</w:t>
      </w:r>
    </w:p>
    <w:p>
      <w:pPr>
        <w:spacing w:after="0" w:line="166"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During the three and six months ended June 30, 2016, the Company received $0.1 million and $0.2 million, respectively, and paid $0.3 million and $0.5 million, respectively, related to the settlements of its $92.5 million notional amount interest rate swaps, which mature on October 5, 2018. These net amounts are reductions to interest income in the Company’s consolidated statements of operations.</w:t>
      </w:r>
    </w:p>
    <w:p>
      <w:pPr>
        <w:spacing w:after="0" w:line="181" w:lineRule="exact"/>
        <w:rPr>
          <w:sz w:val="20"/>
          <w:szCs w:val="20"/>
          <w:color w:val="auto"/>
        </w:rPr>
      </w:pPr>
    </w:p>
    <w:p>
      <w:pPr>
        <w:jc w:val="both"/>
        <w:ind w:right="180" w:firstLine="259"/>
        <w:spacing w:after="0" w:line="286" w:lineRule="auto"/>
        <w:rPr>
          <w:sz w:val="20"/>
          <w:szCs w:val="20"/>
          <w:color w:val="auto"/>
        </w:rPr>
      </w:pPr>
      <w:r>
        <w:rPr>
          <w:rFonts w:ascii="Arial" w:cs="Arial" w:eastAsia="Arial" w:hAnsi="Arial"/>
          <w:sz w:val="17"/>
          <w:szCs w:val="17"/>
          <w:color w:val="auto"/>
        </w:rPr>
        <w:t>During the three and six months ended June 30, 2017, the Company received $0.7 million and $1.1 million, respectively, and paid $0.7 million and $1.2 million, respectively, related to the settlements of its $33.3 million notional amount interest rate swap, which matures on January 10, 2020. The net amounts of these settlements are reductions to interest income in the Company’s consolidated statements of operations.</w:t>
      </w:r>
    </w:p>
    <w:p>
      <w:pPr>
        <w:spacing w:after="0" w:line="166"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For the three and six months ended June 30, 2017 the Company recognized $2.1 million and $2.3 million, respectively, of unrealized appreciation on interest rate swaps in the consolidated statement of operations related to the swap transactions. For the three and six months ended June 30, 2016, the Company recognized $0.3 million and $1.6 million, respectively, of unrealized appreciation on interest rate swaps in the consolidated statement of operations related to the swap transactions. As of June 30, 2017 and December 31, 2016, the swap transactions had a fair value of $2.4 million and $0.1 million, respectively, which is included in receivable for interest rate swaps on the Company’s consolidated balance sheet.</w:t>
      </w:r>
    </w:p>
    <w:p>
      <w:pPr>
        <w:spacing w:after="0" w:line="173"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June 30, 2017, $1.6 million of cash is pledged as collateral under the Company’s derivative instruments and is included in restricted cash as a component of cash and cash equivalents on the Company’s consolidated balance sheet. The Company had $1.1 million of cash collateral posted as of December 31, 2016, which is also included in restricted cash as a component of cash and cash equivalents on the Company’s consolidated balance sheet.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June 30, 2017 and December 31, 2016:</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June 30, 2017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54,402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1,394,182</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1,448,584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60,909</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38,855</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44,958</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1,493,946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1,554,451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1,493,946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1,556,807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1"/>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Hierarchy at December 31, 2016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1,599,578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19,577</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12,465</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27,567</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1,657,403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1,469,902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52"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1,436,641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1,454,261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234,958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248,460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(214,977)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(2,472)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(217,449)</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(21,134)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(19,026)</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(67,775)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2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1,394,182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1,493,946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As of and for the Six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2017</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and unsecured debt</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1,469,902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398,584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412,085</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(403,320)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(405,792)</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20,810</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(21,207)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(19,098)</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(67,775)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1,394,182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1,493,946</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1,267,992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1,373,423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189,966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189,966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(98,952)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(161,452)</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(6,023)</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1,377,204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1,418,388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6"/>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As of and for the Six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Second-lien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debt</w:t>
            </w:r>
          </w:p>
        </w:tc>
        <w:tc>
          <w:tcPr>
            <w:tcW w:w="1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1,335,940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282,403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282,398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(158,150)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(222,815)</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(6,023)</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1,377,204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1,418,388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29" w:name="page30"/>
    <w:bookmarkEnd w:id="29"/>
    <w:p>
      <w:pPr>
        <w:ind w:right="20" w:firstLine="259"/>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appreciation or depreciation on investments for which Level 3 inputs were used in determining fair value that are still held by the Company at June 30, 2017 and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388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Appreciation or (Depreciation)</w:t>
            </w:r>
          </w:p>
        </w:tc>
        <w:tc>
          <w:tcPr>
            <w:tcW w:w="60" w:type="dxa"/>
            <w:vAlign w:val="bottom"/>
          </w:tcPr>
          <w:p>
            <w:pPr>
              <w:spacing w:after="0"/>
              <w:rPr>
                <w:sz w:val="14"/>
                <w:szCs w:val="14"/>
                <w:color w:val="auto"/>
              </w:rPr>
            </w:pPr>
          </w:p>
        </w:tc>
        <w:tc>
          <w:tcPr>
            <w:tcW w:w="2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Appreciation or (Depreciation)</w:t>
            </w:r>
          </w:p>
        </w:tc>
      </w:tr>
      <w:tr>
        <w:trPr>
          <w:trHeight w:val="162"/>
        </w:trPr>
        <w:tc>
          <w:tcPr>
            <w:tcW w:w="388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 the Three Months Ended</w:t>
            </w:r>
          </w:p>
        </w:tc>
        <w:tc>
          <w:tcPr>
            <w:tcW w:w="60" w:type="dxa"/>
            <w:vAlign w:val="bottom"/>
          </w:tcPr>
          <w:p>
            <w:pPr>
              <w:spacing w:after="0"/>
              <w:rPr>
                <w:sz w:val="14"/>
                <w:szCs w:val="14"/>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2017 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2016 on</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Investments Held at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2016</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(2,070)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(4,992)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23"/>
        </w:trPr>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1440" w:gutter="0" w:footer="0" w:header="0"/>
        </w:sectPr>
      </w:pPr>
    </w:p>
    <w:p>
      <w:pPr>
        <w:spacing w:after="0" w:line="7"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left="560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for the Six Months Ended</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June 30, 2017 on</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Investments Held at</w:t>
      </w:r>
    </w:p>
    <w:p>
      <w:pPr>
        <w:jc w:val="center"/>
        <w:ind w:left="5600"/>
        <w:spacing w:after="0" w:line="233" w:lineRule="auto"/>
        <w:rPr>
          <w:sz w:val="20"/>
          <w:szCs w:val="20"/>
          <w:color w:val="auto"/>
        </w:rPr>
      </w:pPr>
      <w:r>
        <w:rPr>
          <w:rFonts w:ascii="Arial" w:cs="Arial" w:eastAsia="Arial" w:hAnsi="Arial"/>
          <w:sz w:val="14"/>
          <w:szCs w:val="14"/>
          <w:b w:val="1"/>
          <w:bCs w:val="1"/>
          <w:color w:val="auto"/>
        </w:rPr>
        <w:t>June 30, 2017</w:t>
      </w:r>
    </w:p>
    <w:p>
      <w:pPr>
        <w:spacing w:after="0" w:line="20" w:lineRule="exact"/>
        <w:rPr>
          <w:sz w:val="20"/>
          <w:szCs w:val="20"/>
          <w:color w:val="auto"/>
        </w:rPr>
      </w:pPr>
      <w:r>
        <w:rPr>
          <w:sz w:val="20"/>
          <w:szCs w:val="20"/>
          <w:color w:val="auto"/>
        </w:rPr>
        <w:br w:type="column"/>
      </w:r>
    </w:p>
    <w:p>
      <w:pPr>
        <w:jc w:val="center"/>
        <w:ind w:right="1820"/>
        <w:spacing w:after="0"/>
        <w:rPr>
          <w:sz w:val="20"/>
          <w:szCs w:val="20"/>
          <w:color w:val="auto"/>
        </w:rPr>
      </w:pPr>
      <w:r>
        <w:rPr>
          <w:rFonts w:ascii="Arial" w:cs="Arial" w:eastAsia="Arial" w:hAnsi="Arial"/>
          <w:sz w:val="14"/>
          <w:szCs w:val="14"/>
          <w:b w:val="1"/>
          <w:bCs w:val="1"/>
          <w:color w:val="auto"/>
        </w:rPr>
        <w:t>Net Change in Unrealized</w:t>
      </w:r>
    </w:p>
    <w:p>
      <w:pPr>
        <w:spacing w:after="0" w:line="17" w:lineRule="exact"/>
        <w:rPr>
          <w:sz w:val="20"/>
          <w:szCs w:val="20"/>
          <w:color w:val="auto"/>
        </w:rPr>
      </w:pPr>
    </w:p>
    <w:p>
      <w:pPr>
        <w:jc w:val="center"/>
        <w:ind w:right="1820"/>
        <w:spacing w:after="0"/>
        <w:rPr>
          <w:sz w:val="20"/>
          <w:szCs w:val="20"/>
          <w:color w:val="auto"/>
        </w:rPr>
      </w:pPr>
      <w:r>
        <w:rPr>
          <w:rFonts w:ascii="Arial" w:cs="Arial" w:eastAsia="Arial" w:hAnsi="Arial"/>
          <w:sz w:val="13"/>
          <w:szCs w:val="13"/>
          <w:b w:val="1"/>
          <w:bCs w:val="1"/>
          <w:color w:val="auto"/>
        </w:rPr>
        <w:t>Appreciation or (Depreciation)</w:t>
      </w:r>
    </w:p>
    <w:p>
      <w:pPr>
        <w:spacing w:after="0" w:line="13"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for the Six Months Ended</w:t>
      </w:r>
    </w:p>
    <w:p>
      <w:pPr>
        <w:spacing w:after="0" w:line="1"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June 30, 2016 on</w:t>
      </w:r>
    </w:p>
    <w:p>
      <w:pPr>
        <w:spacing w:after="0" w:line="1"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Investments Held at</w:t>
      </w:r>
    </w:p>
    <w:p>
      <w:pPr>
        <w:jc w:val="center"/>
        <w:ind w:right="1820"/>
        <w:spacing w:after="0" w:line="233" w:lineRule="auto"/>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sectPr>
          <w:pgSz w:w="11900" w:h="16838" w:orient="portrait"/>
          <w:cols w:equalWidth="0" w:num="2">
            <w:col w:w="7500" w:space="200"/>
            <w:col w:w="3720"/>
          </w:cols>
          <w:pgMar w:left="240" w:top="382" w:right="239" w:bottom="1440" w:gutter="0" w:footer="0" w:header="0"/>
          <w:type w:val="continuous"/>
        </w:sectPr>
      </w:pPr>
    </w:p>
    <w:tbl>
      <w:tblPr>
        <w:tblLayout w:type="fixed"/>
        <w:tblInd w:w="1720" w:type="dxa"/>
        <w:tblCellMar>
          <w:top w:w="0" w:type="dxa"/>
          <w:left w:w="0" w:type="dxa"/>
          <w:bottom w:w="0" w:type="dxa"/>
          <w:right w:w="0" w:type="dxa"/>
        </w:tblCellMar>
      </w:tblP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8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8,846</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(2,062)</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r>
      <w:tr>
        <w:trPr>
          <w:trHeight w:val="215"/>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Mezzanine and unsecured debt</w:t>
            </w:r>
          </w:p>
        </w:tc>
        <w:tc>
          <w:tcPr>
            <w:tcW w:w="8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20"/>
                <w:szCs w:val="20"/>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(3,255)</w:t>
            </w:r>
          </w:p>
        </w:tc>
        <w:tc>
          <w:tcPr>
            <w:tcW w:w="7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r>
        <w:trPr>
          <w:trHeight w:val="223"/>
        </w:trPr>
        <w:tc>
          <w:tcPr>
            <w:tcW w:w="3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2017 and December 31, 2016.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June 30, 2017</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w:t>
            </w:r>
          </w:p>
        </w:tc>
        <w:tc>
          <w:tcPr>
            <w:tcW w:w="19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500" w:type="dxa"/>
            <w:vAlign w:val="bottom"/>
          </w:tcPr>
          <w:p>
            <w:pPr>
              <w:spacing w:after="0"/>
              <w:rPr>
                <w:sz w:val="14"/>
                <w:szCs w:val="14"/>
                <w:color w:val="auto"/>
              </w:rPr>
            </w:pPr>
          </w:p>
        </w:tc>
        <w:tc>
          <w:tcPr>
            <w:tcW w:w="72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93"/>
              </w:rPr>
              <w:t>Average)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1,394,182</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72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91"/>
              </w:rPr>
              <w:t>— 13.3%</w:t>
            </w:r>
          </w:p>
        </w:tc>
        <w:tc>
          <w:tcPr>
            <w:tcW w:w="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Asset Valuation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55,032</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8.5x — 12.6x</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(10.2x)</w:t>
            </w:r>
          </w:p>
        </w:tc>
        <w:tc>
          <w:tcPr>
            <w:tcW w:w="1740" w:type="dxa"/>
            <w:vAlign w:val="bottom"/>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Second-lien debt investments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0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13.3%</w:t>
            </w:r>
          </w:p>
        </w:tc>
        <w:tc>
          <w:tcPr>
            <w:tcW w:w="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1"/>
              </w:rPr>
              <w:t>— 13.3%</w:t>
            </w:r>
          </w:p>
        </w:tc>
        <w:tc>
          <w:tcPr>
            <w:tcW w:w="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(13.3%)</w:t>
            </w: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Asset Valuation</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12.3%</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1"/>
              </w:rPr>
              <w:t>— 12.3%</w:t>
            </w:r>
          </w:p>
        </w:tc>
        <w:tc>
          <w:tcPr>
            <w:tcW w:w="620" w:type="dxa"/>
            <w:vAlign w:val="bottom"/>
          </w:tcPr>
          <w:p>
            <w:pPr>
              <w:ind w:left="20"/>
              <w:spacing w:after="0"/>
              <w:rPr>
                <w:sz w:val="20"/>
                <w:szCs w:val="20"/>
                <w:color w:val="auto"/>
              </w:rPr>
            </w:pPr>
            <w:r>
              <w:rPr>
                <w:rFonts w:ascii="Arial" w:cs="Arial" w:eastAsia="Arial" w:hAnsi="Arial"/>
                <w:sz w:val="18"/>
                <w:szCs w:val="18"/>
                <w:color w:val="auto"/>
                <w:w w:val="91"/>
              </w:rPr>
              <w:t>(12.3%)</w:t>
            </w:r>
          </w:p>
        </w:tc>
        <w:tc>
          <w:tcPr>
            <w:tcW w:w="1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57,534</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8.7x — 8.7x</w:t>
            </w:r>
          </w:p>
        </w:tc>
        <w:tc>
          <w:tcPr>
            <w:tcW w:w="800" w:type="dxa"/>
            <w:vAlign w:val="bottom"/>
            <w:gridSpan w:val="3"/>
          </w:tcPr>
          <w:p>
            <w:pPr>
              <w:ind w:left="20"/>
              <w:spacing w:after="0"/>
              <w:rPr>
                <w:sz w:val="20"/>
                <w:szCs w:val="20"/>
                <w:color w:val="auto"/>
              </w:rPr>
            </w:pPr>
            <w:r>
              <w:rPr>
                <w:rFonts w:ascii="Arial" w:cs="Arial" w:eastAsia="Arial" w:hAnsi="Arial"/>
                <w:sz w:val="18"/>
                <w:szCs w:val="18"/>
                <w:color w:val="auto"/>
              </w:rPr>
              <w:t>(8.7x)</w:t>
            </w:r>
          </w:p>
        </w:tc>
        <w:tc>
          <w:tcPr>
            <w:tcW w:w="1740" w:type="dxa"/>
            <w:vAlign w:val="bottom"/>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38,855</w:t>
            </w:r>
          </w:p>
        </w:tc>
        <w:tc>
          <w:tcPr>
            <w:tcW w:w="20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Comparable multiple</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4.9x — 13.5x</w:t>
            </w:r>
          </w:p>
        </w:tc>
        <w:tc>
          <w:tcPr>
            <w:tcW w:w="8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(11.2x)</w:t>
            </w: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320" w:hanging="512"/>
        <w:spacing w:after="0" w:line="25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$176.5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$22.4 million of equity investments which were valued using a weighted valuation approach.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w w:val="90"/>
              </w:rPr>
              <w:t>December 31, 2016</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w:t>
            </w:r>
          </w:p>
        </w:tc>
        <w:tc>
          <w:tcPr>
            <w:tcW w:w="19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500" w:type="dxa"/>
            <w:vAlign w:val="bottom"/>
          </w:tcPr>
          <w:p>
            <w:pPr>
              <w:spacing w:after="0"/>
              <w:rPr>
                <w:sz w:val="14"/>
                <w:szCs w:val="14"/>
                <w:color w:val="auto"/>
              </w:rPr>
            </w:pPr>
          </w:p>
        </w:tc>
        <w:tc>
          <w:tcPr>
            <w:tcW w:w="720" w:type="dxa"/>
            <w:vAlign w:val="bottom"/>
          </w:tcPr>
          <w:p>
            <w:pPr>
              <w:jc w:val="center"/>
              <w:ind w:left="36"/>
              <w:spacing w:after="0"/>
              <w:rPr>
                <w:sz w:val="20"/>
                <w:szCs w:val="20"/>
                <w:color w:val="auto"/>
              </w:rPr>
            </w:pPr>
            <w:r>
              <w:rPr>
                <w:rFonts w:ascii="Arial" w:cs="Arial" w:eastAsia="Arial" w:hAnsi="Arial"/>
                <w:sz w:val="14"/>
                <w:szCs w:val="14"/>
                <w:b w:val="1"/>
                <w:bCs w:val="1"/>
                <w:color w:val="auto"/>
                <w:w w:val="93"/>
              </w:rPr>
              <w:t>Average)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1,454,087</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1"/>
              </w:rPr>
              <w:t>— 12.9%</w:t>
            </w:r>
          </w:p>
        </w:tc>
        <w:tc>
          <w:tcPr>
            <w:tcW w:w="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3,350</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500" w:type="dxa"/>
            <w:vAlign w:val="bottom"/>
          </w:tcPr>
          <w:p>
            <w:pPr>
              <w:jc w:val="right"/>
              <w:spacing w:after="0"/>
              <w:rPr>
                <w:sz w:val="20"/>
                <w:szCs w:val="20"/>
                <w:color w:val="auto"/>
              </w:rPr>
            </w:pPr>
            <w:r>
              <w:rPr>
                <w:rFonts w:ascii="Arial" w:cs="Arial" w:eastAsia="Arial" w:hAnsi="Arial"/>
                <w:sz w:val="18"/>
                <w:szCs w:val="18"/>
                <w:color w:val="auto"/>
                <w:w w:val="86"/>
              </w:rPr>
              <w:t>13.6%</w:t>
            </w:r>
          </w:p>
        </w:tc>
        <w:tc>
          <w:tcPr>
            <w:tcW w:w="720" w:type="dxa"/>
            <w:vAlign w:val="bottom"/>
          </w:tcPr>
          <w:p>
            <w:pPr>
              <w:ind w:left="20"/>
              <w:spacing w:after="0"/>
              <w:rPr>
                <w:sz w:val="20"/>
                <w:szCs w:val="20"/>
                <w:color w:val="auto"/>
              </w:rPr>
            </w:pPr>
            <w:r>
              <w:rPr>
                <w:rFonts w:ascii="Arial" w:cs="Arial" w:eastAsia="Arial" w:hAnsi="Arial"/>
                <w:sz w:val="18"/>
                <w:szCs w:val="18"/>
                <w:color w:val="auto"/>
                <w:w w:val="91"/>
              </w:rPr>
              <w:t>— 13.6%</w:t>
            </w:r>
          </w:p>
        </w:tc>
        <w:tc>
          <w:tcPr>
            <w:tcW w:w="620" w:type="dxa"/>
            <w:vAlign w:val="bottom"/>
          </w:tcPr>
          <w:p>
            <w:pPr>
              <w:ind w:left="20"/>
              <w:spacing w:after="0"/>
              <w:rPr>
                <w:sz w:val="20"/>
                <w:szCs w:val="20"/>
                <w:color w:val="auto"/>
              </w:rPr>
            </w:pPr>
            <w:r>
              <w:rPr>
                <w:rFonts w:ascii="Arial" w:cs="Arial" w:eastAsia="Arial" w:hAnsi="Arial"/>
                <w:sz w:val="18"/>
                <w:szCs w:val="18"/>
                <w:color w:val="auto"/>
                <w:w w:val="91"/>
              </w:rPr>
              <w:t>(13.6%)</w:t>
            </w:r>
          </w:p>
        </w:tc>
        <w:tc>
          <w:tcPr>
            <w:tcW w:w="1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0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Comparable multiple</w:t>
            </w:r>
          </w:p>
        </w:tc>
        <w:tc>
          <w:tcPr>
            <w:tcW w:w="1960" w:type="dxa"/>
            <w:vAlign w:val="bottom"/>
            <w:gridSpan w:val="4"/>
            <w:shd w:val="clear" w:color="auto" w:fill="CFF0FC"/>
          </w:tcPr>
          <w:p>
            <w:pPr>
              <w:jc w:val="center"/>
              <w:ind w:right="120"/>
              <w:spacing w:after="0"/>
              <w:rPr>
                <w:sz w:val="20"/>
                <w:szCs w:val="20"/>
                <w:color w:val="auto"/>
              </w:rPr>
            </w:pPr>
            <w:r>
              <w:rPr>
                <w:rFonts w:ascii="Arial" w:cs="Arial" w:eastAsia="Arial" w:hAnsi="Arial"/>
                <w:sz w:val="18"/>
                <w:szCs w:val="18"/>
                <w:color w:val="auto"/>
                <w:w w:val="93"/>
              </w:rPr>
              <w:t>8.4x — 13.5x (10.1x)</w:t>
            </w: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$123.6 million of first-lien debt investments which were valued using an asset valuation waterfall.</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$4.7 million of equity investments which were valued using a weighted valuation approach.</w:t>
      </w:r>
    </w:p>
    <w:p>
      <w:pPr>
        <w:spacing w:after="0" w:line="21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June 30, 2017, approximates its carrying value as the outstanding balance is callable at carrying value. The fair value of the Company’s Convertible Senior Notes, which are categorized as Level 2 within the fair value hierarchy, as of June 30, 2017, was $240.3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4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the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June 30, 2017 and December 31, 2016, the Company’s asset coverage was 265.4% and 237.7%,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1" w:name="page32"/>
    <w:bookmarkEnd w:id="31"/>
    <w:p>
      <w:pPr>
        <w:ind w:left="260"/>
        <w:spacing w:after="0"/>
        <w:rPr>
          <w:sz w:val="20"/>
          <w:szCs w:val="20"/>
          <w:color w:val="auto"/>
        </w:rPr>
      </w:pPr>
      <w:r>
        <w:rPr>
          <w:rFonts w:ascii="Arial" w:cs="Arial" w:eastAsia="Arial" w:hAnsi="Arial"/>
          <w:sz w:val="18"/>
          <w:szCs w:val="18"/>
          <w:color w:val="auto"/>
        </w:rPr>
        <w:t>Debt obligations consisted of the following as of June 30, 2017 and December 31,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357,409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587,591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349,530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587,409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587,591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and 2022 Convertible Senior Notes are presented net of deferred financing costs of $7.9 million, $1.9 million, and $3.5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693,657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240" w:hanging="512"/>
        <w:spacing w:after="0" w:line="261"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2019 Convertible Senior Notes are presented net of deferred financing costs of $8.7 million and $2.3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six months ended June 30, 2017 and 2016, the components of interest expense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49"/>
        </w:trPr>
        <w:tc>
          <w:tcPr>
            <w:tcW w:w="3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324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9,585</w:t>
            </w:r>
          </w:p>
        </w:tc>
        <w:tc>
          <w:tcPr>
            <w:tcW w:w="18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Commitment fees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Swap settlement </w:t>
            </w:r>
            <w:r>
              <w:rPr>
                <w:rFonts w:ascii="Arial" w:cs="Arial" w:eastAsia="Arial" w:hAnsi="Arial"/>
                <w:sz w:val="15"/>
                <w:szCs w:val="15"/>
                <w:color w:val="auto"/>
              </w:rPr>
              <w:t>(1)</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(580)</w:t>
            </w:r>
          </w:p>
        </w:tc>
      </w:tr>
      <w:tr>
        <w:trPr>
          <w:trHeight w:val="263"/>
        </w:trPr>
        <w:tc>
          <w:tcPr>
            <w:tcW w:w="3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4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2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2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10,927</w:t>
            </w:r>
          </w:p>
        </w:tc>
        <w:tc>
          <w:tcPr>
            <w:tcW w:w="180" w:type="dxa"/>
            <w:vAlign w:val="bottom"/>
            <w:tcBorders>
              <w:bottom w:val="single" w:sz="8" w:color="CFF0FC"/>
            </w:tcBorders>
          </w:tcPr>
          <w:p>
            <w:pPr>
              <w:spacing w:after="0"/>
              <w:rPr>
                <w:sz w:val="22"/>
                <w:szCs w:val="22"/>
                <w:color w:val="auto"/>
              </w:rPr>
            </w:pPr>
          </w:p>
        </w:tc>
      </w:tr>
      <w:tr>
        <w:trPr>
          <w:trHeight w:val="21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646.1</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180" w:type="dxa"/>
            <w:vAlign w:val="bottom"/>
            <w:shd w:val="clear" w:color="auto" w:fill="CFF0FC"/>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0.44%</w:t>
            </w:r>
          </w:p>
        </w:tc>
      </w:tr>
    </w:tbl>
    <w:p>
      <w:pPr>
        <w:spacing w:after="0" w:line="24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settlement of the interest rate swaps related to the Company’s 2019 and 2022 Convertible Senior Notes.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360" w:firstLine="259"/>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300" w:hanging="255"/>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360" w:hanging="259"/>
        <w:spacing w:after="0" w:line="277" w:lineRule="auto"/>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20" w:firstLine="259"/>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80" w:hanging="255"/>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color w:val="auto"/>
        </w:rPr>
        <w:t>On December 22, 2016, the Company entered into a fifth amendment to the Revolving Credit Facility:</w:t>
      </w:r>
    </w:p>
    <w:p>
      <w:pPr>
        <w:spacing w:after="0" w:line="117"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680" w:firstLine="259"/>
        <w:spacing w:after="0" w:line="342" w:lineRule="auto"/>
        <w:rPr>
          <w:sz w:val="20"/>
          <w:szCs w:val="20"/>
          <w:color w:val="auto"/>
        </w:rPr>
      </w:pPr>
      <w:r>
        <w:rPr>
          <w:rFonts w:ascii="Arial" w:cs="Arial" w:eastAsia="Arial" w:hAnsi="Arial"/>
          <w:sz w:val="16"/>
          <w:szCs w:val="16"/>
          <w:color w:val="auto"/>
        </w:rPr>
        <w:t>The Company may borrow amounts in U.S. dollars or certain other permitted currencies. As of June 30, 2017, the Company had outstanding debt denominated in Euro (EUR) of 39.8 million on its Revolving Credit Facility, included in the Outstanding Principal amount in the table above.</w:t>
      </w:r>
    </w:p>
    <w:p>
      <w:pPr>
        <w:spacing w:after="0" w:line="124" w:lineRule="exact"/>
        <w:rPr>
          <w:sz w:val="20"/>
          <w:szCs w:val="20"/>
          <w:color w:val="auto"/>
        </w:rPr>
      </w:pPr>
    </w:p>
    <w:p>
      <w:pPr>
        <w:jc w:val="both"/>
        <w:ind w:right="140" w:firstLine="259"/>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2016 and net proceeds received from the issuance of the 2022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June 2014, the Company issued in a private offering $115 million aggregate principal amount convertible senior notes due December 2019 (the “2019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Convertible Senior Notes”). The 2019 Convertible Senior Notes were issued in a private placement only to qualified institutional buyers pursuant to Rule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144A under the Securities Act. The 2019 Convertible Senior Notes are unsecured, and bear interest at a rate of 4.50% per year, payable semiannually.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Senior Notes will mature on December 15, 2019. In certain circumstances, the 2019 Convertible Senior Notes will be convertible into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the Company’s common stock or a combination of cash and shares of the Company’s common stock, at the Company’s election, at an initial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conversion rate of 38.7162 shares of common stock per $1,000 principal amount of 2019 Convertible Senior Notes, which is equivalent to an initial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conversion price of approximately $25.83 per share of the Company’s common stock, subject to customary anti-dilution adjustments. As of June 30, 2017,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estimated adjusted conversion price was approximately $25.62. The sale of the 2019 Convertible Senior Notes generated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$110.8 million. The Company used the net proceeds of the offering to pay down debt under the Revolving Credit Facility. In connection with the offering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Senior Notes, the Company has entered into interest rate swaps to continue to align the interest rates of its liabilities with its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which consists of predominately floating rate loans. As a result of the swaps, the Company’s effective interest rate on the 2019 Convertible Senior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is three-month LIBOR plus 286 basis points. See Note 5 for further information related to the Company’s interest rate swaps.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140" w:firstLine="8"/>
        <w:spacing w:after="0" w:line="261"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(as defined in the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ind w:right="20"/>
        <w:spacing w:after="0" w:line="279" w:lineRule="auto"/>
        <w:rPr>
          <w:sz w:val="20"/>
          <w:szCs w:val="20"/>
          <w:color w:val="auto"/>
        </w:rPr>
      </w:pPr>
      <w:r>
        <w:rPr>
          <w:rFonts w:ascii="Arial" w:cs="Arial" w:eastAsia="Arial" w:hAnsi="Arial"/>
          <w:sz w:val="17"/>
          <w:szCs w:val="17"/>
          <w:color w:val="auto"/>
        </w:rPr>
        <w:t>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right="60" w:firstLine="259"/>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the Company’s common stock, subject to customary anti-dilution adjustments. As of June 30, 2017, the estimated adjusted conversion price was approximately $21.30. The sale of the 2022 Convertible Senior Notes generated net proceeds of approximately $111.2 million. The Company used the net proceeds of the offering to pay down debt under the Revolving Credit Facility. In connection with the offering of 2022 Convertible Senior Notes, the Company has entered into an interest rate swap to continue to align the interest rates of its liabilities with its investment portfolio, which consists of predominately floating rate loans. As a result of the swap, the Company’s effective interest rate on the 2022 Convertible Senior Notes is three-month LIBOR plus 237.2 basis points. See Note 5 for further information related to the Company’s interest rate swaps.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Holders may convert their 2022 Convertible Senior Notes at their option at any time prior to February 1, 2022 only under the following circumstances:</w:t>
      </w:r>
    </w:p>
    <w:p>
      <w:pPr>
        <w:spacing w:after="0" w:line="46" w:lineRule="exact"/>
        <w:rPr>
          <w:sz w:val="20"/>
          <w:szCs w:val="20"/>
          <w:color w:val="auto"/>
        </w:rPr>
      </w:pPr>
    </w:p>
    <w:p>
      <w:pPr>
        <w:ind w:right="100" w:firstLine="8"/>
        <w:spacing w:after="0" w:line="287"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180" w:firstLine="259"/>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six months ended June 30, 2017 and 2016, the components of interest expense related to the Convertible Senior Notes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Six Months Ended</w:t>
            </w:r>
          </w:p>
        </w:tc>
        <w:tc>
          <w:tcPr>
            <w:tcW w:w="174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78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w w:val="92"/>
              </w:rPr>
              <w:t>June 30,</w:t>
            </w:r>
          </w:p>
        </w:tc>
        <w:tc>
          <w:tcPr>
            <w:tcW w:w="1740" w:type="dxa"/>
            <w:vAlign w:val="bottom"/>
          </w:tcPr>
          <w:p>
            <w:pPr>
              <w:spacing w:after="0"/>
              <w:rPr>
                <w:sz w:val="12"/>
                <w:szCs w:val="12"/>
                <w:color w:val="auto"/>
              </w:rPr>
            </w:pPr>
          </w:p>
        </w:tc>
      </w:tr>
      <w:tr>
        <w:trPr>
          <w:trHeight w:val="171"/>
        </w:trPr>
        <w:tc>
          <w:tcPr>
            <w:tcW w:w="1720" w:type="dxa"/>
            <w:vAlign w:val="bottom"/>
          </w:tcPr>
          <w:p>
            <w:pPr>
              <w:spacing w:after="0"/>
              <w:rPr>
                <w:sz w:val="14"/>
                <w:szCs w:val="14"/>
                <w:color w:val="auto"/>
              </w:rPr>
            </w:pPr>
          </w:p>
        </w:tc>
        <w:tc>
          <w:tcPr>
            <w:tcW w:w="324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issuance cost</w:t>
            </w:r>
          </w:p>
        </w:tc>
        <w:tc>
          <w:tcPr>
            <w:tcW w:w="8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5" w:name="page36"/>
    <w:bookmarkEnd w:id="35"/>
    <w:p>
      <w:pPr>
        <w:ind w:right="40" w:firstLine="259"/>
        <w:spacing w:after="0" w:line="255" w:lineRule="auto"/>
        <w:rPr>
          <w:sz w:val="20"/>
          <w:szCs w:val="20"/>
          <w:color w:val="auto"/>
        </w:rPr>
      </w:pPr>
      <w:r>
        <w:rPr>
          <w:rFonts w:ascii="Arial" w:cs="Arial" w:eastAsia="Arial" w:hAnsi="Arial"/>
          <w:sz w:val="18"/>
          <w:szCs w:val="18"/>
          <w:color w:val="auto"/>
        </w:rPr>
        <w:t>Total interest expense in the table above does not include the effect of the interest rate swaps related to the Convertible Senior Notes. During the three and six months ended June 30, 2017 , the Company received $1.3 million and $2.6 million, respectively, and paid $2.1 million and $3.2 million, respectively, related to the settlements of its interest rate swaps related to the Convertible Senior Notes. During the three and six months ended June 30, 2016, the Company received $1.3 million and $2.6 million, respectively, and paid $1.0 million and $2.0 million, respectively, related to the settlements of its interest rate swaps. These net amounts are reductions to interest expense in the Company’s consolidated statements of operations. Please see Note 5 for further information about the Company’s interest rate swaps.</w:t>
      </w:r>
    </w:p>
    <w:p>
      <w:pPr>
        <w:spacing w:after="0" w:line="193"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As of June 30, 2017, the principal amount of the 2019 and 2022 Convertible Senior Notes exceeded the value of the underlying shares multiplied by the per share closing price of the Company’s common stock.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June 30, 2017, the components of the carrying value of the 2019 and 2022 Convertible Senior Notes and the stated interest rate were as follows: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December 2019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Senior Notes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Senior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6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111,479</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111,149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16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1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2019 and 2022 Convertible Senior Notes is three month LIBOR plus 286 basis points, and three month LIBOR plus 237.2 basis points, respectively. Please see Note 5 for further information about the Company’s interest rate swaps.</w:t>
      </w:r>
    </w:p>
    <w:p>
      <w:pPr>
        <w:spacing w:after="0" w:line="181"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color w:val="auto"/>
        </w:rPr>
        <w:t>The indentures governing the 2019 and 2022 Convertible Senior Notes contain certain covenants, including covenants requiring the Company to comply with the requirement under the 1940 Act that the Company’s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June 30, 2017, the Company was in compliance with the terms of the indentures governing the 2019 and 2022 Convertible Senior Notes.</w:t>
      </w:r>
    </w:p>
    <w:p>
      <w:pPr>
        <w:spacing w:after="0" w:line="173"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2019 and 2022 Convertible Senior Notes. The Company has determined that the embedded conversion options in the 2019 and 2022 Convertible Senior Notes are not required to be separately accounted for as a derivative under U.S. GAAP. In accounting for the 2019 and 2022 Convertible Senior Notes, the Company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debt issuance costs and equity issuance costs, respectively.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2017 and December 31, 2016, the Company was in compliance with the terms of its debt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2017 and December 31, 2016, the Company had the following commitments to fund investments in current portfolio companies: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1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Delayed Draw</w:t>
            </w: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1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Marketo, Inc.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My Alarm Center, LLC - Delayed Draw</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Network Merchants, Inc.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PaySimple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Rex Energy Corporation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Riskonnect, Inc.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Sailpoint Technologies, Inc.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r>
      <w:tr>
        <w:trPr>
          <w:trHeight w:val="223"/>
        </w:trPr>
        <w:tc>
          <w:tcPr>
            <w:tcW w:w="706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43,795</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As of June 30, 2017, the Company did not have any unfunded commitments to fund investments to new borrowers that were not current portfolio companies as of June 30, 2017. As of December 31, 2016, the Company had additional unfunded commitments of $50.0 million to fund investments to new borrowers that were not current portfolio companies as of December 31, 2016.</w:t>
      </w:r>
    </w:p>
    <w:p>
      <w:pPr>
        <w:spacing w:after="0" w:line="181"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2017 and December 31, 2016,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7" w:name="page38"/>
    <w:bookmarkEnd w:id="37"/>
    <w:p>
      <w:pPr>
        <w:ind w:right="4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six months ended June 30, 2017 and 2016.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2017</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2016</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December 31, 2016</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2017</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February 22, 2017</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May 1, 2017</w:t>
            </w:r>
          </w:p>
        </w:tc>
        <w:tc>
          <w:tcPr>
            <w:tcW w:w="1440" w:type="dxa"/>
            <w:vAlign w:val="bottom"/>
          </w:tcPr>
          <w:p>
            <w:pPr>
              <w:jc w:val="right"/>
              <w:spacing w:after="0"/>
              <w:rPr>
                <w:sz w:val="20"/>
                <w:szCs w:val="20"/>
                <w:color w:val="auto"/>
              </w:rPr>
            </w:pPr>
            <w:r>
              <w:rPr>
                <w:rFonts w:ascii="Arial" w:cs="Arial" w:eastAsia="Arial" w:hAnsi="Arial"/>
                <w:sz w:val="18"/>
                <w:szCs w:val="18"/>
                <w:color w:val="auto"/>
              </w:rPr>
              <w:t>109,847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3, 2017</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May 31, 2017</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30, 2017</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2016</w:t>
            </w: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Date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Record Date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3, 2015</w:t>
            </w:r>
          </w:p>
        </w:tc>
        <w:tc>
          <w:tcPr>
            <w:tcW w:w="1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December 31, 2015</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2016</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February 24, 2016</w:t>
            </w:r>
          </w:p>
        </w:tc>
        <w:tc>
          <w:tcPr>
            <w:tcW w:w="162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March 31, 2016</w:t>
            </w:r>
          </w:p>
        </w:tc>
        <w:tc>
          <w:tcPr>
            <w:tcW w:w="16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May 2, 2016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186,204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15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59"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54" w:lineRule="exact"/>
        <w:rPr>
          <w:sz w:val="20"/>
          <w:szCs w:val="20"/>
          <w:color w:val="auto"/>
        </w:rPr>
      </w:pPr>
    </w:p>
    <w:p>
      <w:pPr>
        <w:ind w:right="50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6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On August 2, 2017, the Board authorized the extension of the termination date of the Company 10b5-1 Plan to February 28, 2018.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8" w:name="page39"/>
    <w:bookmarkEnd w:id="38"/>
    <w:p>
      <w:pPr>
        <w:ind w:firstLine="259"/>
        <w:spacing w:after="0" w:line="312" w:lineRule="auto"/>
        <w:rPr>
          <w:sz w:val="20"/>
          <w:szCs w:val="20"/>
          <w:color w:val="auto"/>
        </w:rPr>
      </w:pPr>
      <w:r>
        <w:rPr>
          <w:rFonts w:ascii="Arial" w:cs="Arial" w:eastAsia="Arial" w:hAnsi="Arial"/>
          <w:sz w:val="16"/>
          <w:szCs w:val="16"/>
          <w:color w:val="auto"/>
        </w:rPr>
        <w:t>During the three and six months ended June 30, 2017, no shares were repurchased under the Company 10b5-1 Plan. During the six months ended June 30, 2016, the Company repurchased 86,081 shares under the Company 10b5-1 Plan at a weighted average price per share of $15.44, inclusive of commissions, for a total cost of $1.3 million. No shares were repurchased under the Company 10b5-1 Plan during the three months ended June 30, 2016.</w:t>
      </w:r>
    </w:p>
    <w:p>
      <w:pPr>
        <w:spacing w:after="0" w:line="129"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June 30, 2017</w:t>
            </w: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June 30, 2016</w:t>
            </w:r>
          </w:p>
        </w:tc>
        <w:tc>
          <w:tcPr>
            <w:tcW w:w="16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54"/>
              <w:spacing w:after="0" w:line="155" w:lineRule="exact"/>
              <w:rPr>
                <w:sz w:val="20"/>
                <w:szCs w:val="20"/>
                <w:color w:val="auto"/>
              </w:rPr>
            </w:pPr>
            <w:r>
              <w:rPr>
                <w:rFonts w:ascii="Arial" w:cs="Arial" w:eastAsia="Arial" w:hAnsi="Arial"/>
                <w:sz w:val="14"/>
                <w:szCs w:val="14"/>
                <w:b w:val="1"/>
                <w:bCs w:val="1"/>
                <w:color w:val="auto"/>
                <w:w w:val="96"/>
              </w:rPr>
              <w:t>June 30, 2017</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2016</w:t>
            </w:r>
          </w:p>
        </w:tc>
        <w:tc>
          <w:tcPr>
            <w:tcW w:w="60" w:type="dxa"/>
            <w:vAlign w:val="bottom"/>
          </w:tcPr>
          <w:p>
            <w:pPr>
              <w:spacing w:after="0"/>
              <w:rPr>
                <w:sz w:val="13"/>
                <w:szCs w:val="13"/>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Increase in net assets resulting from operations</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60,104</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67,409</w:t>
            </w:r>
          </w:p>
        </w:tc>
        <w:tc>
          <w:tcPr>
            <w:tcW w:w="60" w:type="dxa"/>
            <w:vAlign w:val="bottom"/>
            <w:tcBorders>
              <w:top w:val="single" w:sz="8" w:color="CFF0FC"/>
            </w:tcBorders>
            <w:shd w:val="clear" w:color="auto" w:fill="CFF0FC"/>
          </w:tcPr>
          <w:p>
            <w:pPr>
              <w:spacing w:after="0"/>
              <w:rPr>
                <w:sz w:val="19"/>
                <w:szCs w:val="19"/>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Weighted average shares of 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59,912,804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59,348,460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59,855,088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57,575,365</w:t>
            </w:r>
          </w:p>
        </w:tc>
        <w:tc>
          <w:tcPr>
            <w:tcW w:w="60" w:type="dxa"/>
            <w:vAlign w:val="bottom"/>
          </w:tcPr>
          <w:p>
            <w:pPr>
              <w:spacing w:after="0"/>
              <w:rPr>
                <w:sz w:val="20"/>
                <w:szCs w:val="20"/>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w w:val="92"/>
              </w:rPr>
              <w:t>Earnings per common share—basic and diluted</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and six months ended June 30, 2017 was less than the conversion price for the 2019 and 2022 Convertible Senior Notes outstanding as of June 30, 2017. Therefore, for all periods presented in the consolidated financial statements, the underlying shares for the intrinsic value of the embedded options in the 2019 and 2022 Convertible Senior Notes have no impact on the computation of diluted earnings per common share.</w:t>
      </w:r>
    </w:p>
    <w:p>
      <w:pPr>
        <w:spacing w:after="0" w:line="372"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dividends declared during the six months ended June 30,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Six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14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Record Date</w:t>
            </w:r>
          </w:p>
        </w:tc>
        <w:tc>
          <w:tcPr>
            <w:tcW w:w="13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3"/>
                <w:szCs w:val="13"/>
                <w:color w:val="auto"/>
              </w:rPr>
            </w:pP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28, 2017</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May 3, 2017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May 31, 2017</w:t>
            </w:r>
          </w:p>
        </w:tc>
        <w:tc>
          <w:tcPr>
            <w:tcW w:w="1380" w:type="dxa"/>
            <w:vAlign w:val="bottom"/>
          </w:tcPr>
          <w:p>
            <w:pPr>
              <w:jc w:val="right"/>
              <w:spacing w:after="0"/>
              <w:rPr>
                <w:sz w:val="20"/>
                <w:szCs w:val="20"/>
                <w:color w:val="auto"/>
              </w:rPr>
            </w:pPr>
            <w:r>
              <w:rPr>
                <w:rFonts w:ascii="Arial" w:cs="Arial" w:eastAsia="Arial" w:hAnsi="Arial"/>
                <w:sz w:val="18"/>
                <w:szCs w:val="18"/>
                <w:color w:val="auto"/>
              </w:rPr>
              <w:t>June 30, 2017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2017</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14, 2017</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Six Months Ended</w:t>
            </w: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14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Record Date</w:t>
            </w:r>
          </w:p>
        </w:tc>
        <w:tc>
          <w:tcPr>
            <w:tcW w:w="13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3"/>
                <w:szCs w:val="13"/>
                <w:color w:val="auto"/>
              </w:rPr>
            </w:pP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24, 2016</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1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29, 2016</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4, 2016</w:t>
            </w:r>
          </w:p>
        </w:tc>
        <w:tc>
          <w:tcPr>
            <w:tcW w:w="14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June 30, 2016</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July 29, 2016</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380" w:right="120" w:hanging="372"/>
        <w:spacing w:after="0" w:line="259"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The dividends declared during the three and six months ended June 30, 2017 and 2016 were derived from net investment income, determined on a tax basis.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2017 and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15.95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realized and unrealized gain (loss) </w:t>
            </w:r>
            <w:r>
              <w:rPr>
                <w:rFonts w:ascii="Arial" w:cs="Arial" w:eastAsia="Arial" w:hAnsi="Arial"/>
                <w:sz w:val="15"/>
                <w:szCs w:val="15"/>
                <w:color w:val="auto"/>
              </w:rPr>
              <w:t>(1)</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Total from operations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Dividends declared from net investment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5"/>
                <w:szCs w:val="15"/>
                <w:color w:val="auto"/>
              </w:rPr>
              <w:t>(2)</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increase in net assets</w:t>
            </w:r>
          </w:p>
        </w:tc>
        <w:tc>
          <w:tcPr>
            <w:tcW w:w="8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tcPr>
          <w:p>
            <w:pPr>
              <w:ind w:left="220"/>
              <w:spacing w:after="0"/>
              <w:rPr>
                <w:sz w:val="20"/>
                <w:szCs w:val="20"/>
                <w:color w:val="auto"/>
              </w:rPr>
            </w:pPr>
            <w:r>
              <w:rPr>
                <w:rFonts w:ascii="Arial" w:cs="Arial" w:eastAsia="Arial" w:hAnsi="Arial"/>
                <w:sz w:val="18"/>
                <w:szCs w:val="18"/>
                <w:b w:val="1"/>
                <w:bCs w:val="1"/>
                <w:color w:val="auto"/>
              </w:rPr>
              <w:t>Net Asset Value, End of Period</w:t>
            </w:r>
          </w:p>
        </w:tc>
        <w:tc>
          <w:tcPr>
            <w:tcW w:w="8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end of period</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(4)</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59,960,674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59,411,892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 average net assets</w:t>
            </w: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Portfolio turnover</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968,099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924,019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jc w:val="both"/>
        <w:ind w:left="520" w:right="200" w:hanging="512"/>
        <w:spacing w:after="0" w:line="250"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 On an annualized basis, the total return based on market value for the six months ended June 30, 2017 and 2016 is 27.73% and 15.58%, respectively.</w:t>
      </w:r>
    </w:p>
    <w:p>
      <w:pPr>
        <w:spacing w:after="0" w:line="1" w:lineRule="exact"/>
        <w:rPr>
          <w:rFonts w:ascii="Arial" w:cs="Arial" w:eastAsia="Arial" w:hAnsi="Arial"/>
          <w:sz w:val="18"/>
          <w:szCs w:val="18"/>
          <w:color w:val="auto"/>
        </w:rPr>
      </w:pPr>
    </w:p>
    <w:p>
      <w:pPr>
        <w:ind w:left="520" w:right="140" w:hanging="512"/>
        <w:spacing w:after="0" w:line="250"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 On an annualized basis, the total return based on net asset value for the six months ended June 30, 2017 and 2016 is 12.77% and 14.43%, respectively.</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right="60" w:hanging="512"/>
        <w:spacing w:after="0" w:line="250"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9.38% for the six months ended June 30, 2016. The Adviser did not waive any Management Fees or Incentive Fees for the six months ended June 30, 2017.</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six months ended June 30, 2017.</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an initial six month period, in accordance with the guidelines specified in Rule 10b-18 and Rule 10b5-1 of the Exchange Act, and has continued to authorize extensions of the plan termination date prior to its expiration since that time. On August 2, 2017, the Board authorized the extension of the termination date of the Company 10b5-1 Plan to February 28, 2018.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2017, we have originated more than $5.7 billion aggregate principal amount of investments and retained approximately $3.8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2017, our core portfolio companies, which excludes certain investments that fall outside of our typical borrower profile and represent 84.5% of our total investments based on fair value, had weighted average annual revenue of $129.0 million and weighted average annual EBITDA of $22.8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2017, the average investment size in each of our portfolio companies was approximately $33.8 million based on fair value.</w:t>
      </w:r>
    </w:p>
    <w:p>
      <w:pPr>
        <w:spacing w:after="0" w:line="225"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2017, the largest single investment based on fair value represented 4.9%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2017, the largest industry represented 23.2% of our total investment portfolio based on fair value.</w:t>
      </w:r>
    </w:p>
    <w:p>
      <w:pPr>
        <w:spacing w:after="0" w:line="225"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2017, approximately 97.1%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portfolio was invested in secured debt, including 93.2%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2017, the weighted average term on new investment commitments in new portfolio companies was 4.9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14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June 30, 2017, we had call protection on 77.8% of our debt investments based on fair value, with weighted average call prices of 106.3% for the first year, 103.4% for the second year and 101.4% for the third year, in each case from the date of the initial investment. As of June 30, 2017, 100.0% of our debt investments based on fair value bore interest at floating rates (when including investment specific hedges), with 92.4%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20"/>
        <w:spacing w:after="0" w:line="279" w:lineRule="auto"/>
        <w:rPr>
          <w:sz w:val="20"/>
          <w:szCs w:val="20"/>
          <w:color w:val="auto"/>
        </w:rPr>
      </w:pPr>
      <w:r>
        <w:rPr>
          <w:rFonts w:ascii="Arial" w:cs="Arial" w:eastAsia="Arial" w:hAnsi="Arial"/>
          <w:sz w:val="17"/>
          <w:szCs w:val="17"/>
          <w:color w:val="auto"/>
        </w:rPr>
        <w:t>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71"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TSSP, with over $19 billion of assets under management as of March 31,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June 30, 2017, twenty nine (29) of these personnel are dedicated to our business, including twenty one (21) investment professionals.</w:t>
      </w:r>
    </w:p>
    <w:p>
      <w:pPr>
        <w:spacing w:after="0" w:line="18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June 30, 2017, 100.0% of these investments based on fair value bore interest at a floating rate (when including investment specific hedges), with 92.4% of these subject to interest rate floors. Interest on debt investments is generally payable quarterly or semiannually. Some of our investments provide for deferred interest payments or PIK interest. For the six months ended June 30, 2017, 3.0% of our total investment income was comprised of PIK interest.</w:t>
      </w:r>
    </w:p>
    <w:p>
      <w:pPr>
        <w:spacing w:after="0" w:line="193"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2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80" w:hanging="255"/>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left="520" w:hanging="255"/>
        <w:spacing w:after="0" w:line="30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right="14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As of June 30, 2017, our portfolio based on fair value consisted of 93.2% first-lien debt investments, 3.9% second-lien debt investments, and 2.9% equity and other investments. As of December 31, 2016, our portfolio based on fair value consisted of 96.5% first-lien debt investments, 1.2% second-lien debt investments, 0.6% mezzanine and unsecured debt investments, and 1.7% equity and other investments.</w:t>
      </w:r>
    </w:p>
    <w:p>
      <w:pPr>
        <w:spacing w:after="0" w:line="181" w:lineRule="exact"/>
        <w:rPr>
          <w:sz w:val="20"/>
          <w:szCs w:val="20"/>
          <w:color w:val="auto"/>
        </w:rPr>
      </w:pPr>
    </w:p>
    <w:p>
      <w:pPr>
        <w:ind w:right="420" w:firstLine="259"/>
        <w:spacing w:after="0" w:line="312" w:lineRule="auto"/>
        <w:rPr>
          <w:sz w:val="20"/>
          <w:szCs w:val="20"/>
          <w:color w:val="auto"/>
        </w:rPr>
      </w:pPr>
      <w:r>
        <w:rPr>
          <w:rFonts w:ascii="Arial" w:cs="Arial" w:eastAsia="Arial" w:hAnsi="Arial"/>
          <w:sz w:val="16"/>
          <w:szCs w:val="16"/>
          <w:color w:val="auto"/>
        </w:rPr>
        <w:t>As of June 30, 2017 and December 31, 2016, our weighted average total yield of debt and income-producing securities at fair value (which includes interest income and amortization of fees and discounts) was 10.7% and 10.4%, respectively, and our weighted average total yield of debt and income-producing securities at amortized cost (which includes interest income and amortization of fees and discounts) was 10.8% and 10.4%, respectively.</w:t>
      </w:r>
    </w:p>
    <w:p>
      <w:pPr>
        <w:spacing w:after="0" w:line="14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June 30, 2017 and December 31, 2016, we had investments in 46 and 52 portfolio companies, respectively, with an aggregate fair value of $1,554.5 million and $1,657.4 million, respectively.</w:t>
      </w:r>
    </w:p>
    <w:p>
      <w:pPr>
        <w:spacing w:after="0" w:line="170"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For the three months ended June 30, 2017, we made new investment commitments of $267.7 million in five new portfolio companies and five existing portfolio companies. For this period, we had $270.7 million aggregate principal amount in exits and repayments.</w:t>
      </w:r>
    </w:p>
    <w:p>
      <w:pPr>
        <w:spacing w:after="0" w:line="170"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For the three months ended June 30, 2016, we made new investment commitments of $184.7 million in three new portfolio companies and three existing portfolio companies. For this period, we had $114.7 million aggregate principal amount in exits and repayments.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6" w:name="page47"/>
    <w:bookmarkEnd w:id="46"/>
    <w:p>
      <w:pPr>
        <w:ind w:right="620" w:firstLine="259"/>
        <w:spacing w:after="0" w:line="277" w:lineRule="auto"/>
        <w:rPr>
          <w:sz w:val="20"/>
          <w:szCs w:val="20"/>
          <w:color w:val="auto"/>
        </w:rPr>
      </w:pPr>
      <w:r>
        <w:rPr>
          <w:rFonts w:ascii="Arial" w:cs="Arial" w:eastAsia="Arial" w:hAnsi="Arial"/>
          <w:sz w:val="18"/>
          <w:szCs w:val="18"/>
          <w:color w:val="auto"/>
        </w:rPr>
        <w:t>Our investment activity for the three months ended June 30, 2017 and 2016 is presented below (information presented herein is at par value unless otherwise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vMerge w:val="restart"/>
          </w:tcPr>
          <w:p>
            <w:pPr>
              <w:ind w:left="172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0"/>
              </w:rPr>
              <w:t>June 30, 2017</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w w:val="92"/>
              </w:rPr>
              <w:t>June 30, 2016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397.7</w:t>
            </w:r>
          </w:p>
        </w:tc>
        <w:tc>
          <w:tcPr>
            <w:tcW w:w="1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tcPr>
          <w:p>
            <w:pPr>
              <w:ind w:left="500"/>
              <w:spacing w:after="0"/>
              <w:rPr>
                <w:sz w:val="20"/>
                <w:szCs w:val="20"/>
                <w:color w:val="auto"/>
              </w:rPr>
            </w:pPr>
            <w:r>
              <w:rPr>
                <w:rFonts w:ascii="Arial" w:cs="Arial" w:eastAsia="Arial" w:hAnsi="Arial"/>
                <w:sz w:val="18"/>
                <w:szCs w:val="18"/>
                <w:color w:val="auto"/>
                <w:w w:val="97"/>
              </w:rPr>
              <w:t>Total new investment commitments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267.7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Principal amount of investments funded:</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92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270.3</w:t>
            </w:r>
          </w:p>
        </w:tc>
        <w:tc>
          <w:tcPr>
            <w:tcW w:w="1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right w:val="single" w:sz="8" w:color="CFF0FC"/>
            </w:tcBorders>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Mezzanine and unsecured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270.7</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Borders>
              <w:bottom w:val="single" w:sz="8" w:color="CFF0FC"/>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36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5"/>
              </w:rPr>
              <w:t>Number of new investment commitments in</w:t>
            </w: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CFF0FC"/>
            </w:tcBorders>
            <w:shd w:val="clear" w:color="auto" w:fill="CFF0FC"/>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7"/>
              </w:rPr>
              <w:t>Weighted average term for new investment</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w w:val="96"/>
              </w:rPr>
              <w:t>commitments in new portfolio companies</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right w:val="single" w:sz="8" w:color="CFF0FC"/>
            </w:tcBorders>
            <w:shd w:val="clear" w:color="auto" w:fill="CFF0FC"/>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492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3"/>
              </w:rPr>
              <w:t>Weighted average spread over LIBOR of new</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w w:val="95"/>
              </w:rPr>
              <w:t>floating rate investment commitments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w w:val="89"/>
              </w:rPr>
              <w:t>Weighted average interest rate on investments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gridSpan w:val="6"/>
          </w:tcPr>
          <w:p>
            <w:pPr>
              <w:ind w:left="260"/>
              <w:spacing w:after="0"/>
              <w:rPr>
                <w:sz w:val="20"/>
                <w:szCs w:val="20"/>
                <w:color w:val="auto"/>
              </w:rPr>
            </w:pPr>
            <w:r>
              <w:rPr>
                <w:rFonts w:ascii="Arial" w:cs="Arial" w:eastAsia="Arial" w:hAnsi="Arial"/>
                <w:sz w:val="18"/>
                <w:szCs w:val="18"/>
                <w:color w:val="auto"/>
                <w:w w:val="92"/>
              </w:rPr>
              <w:t>As of June 30, 2017 and December 31, 2016, our investments consisted of the following:</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24"/>
                <w:szCs w:val="24"/>
                <w:color w:val="auto"/>
              </w:rPr>
            </w:pPr>
          </w:p>
        </w:tc>
        <w:tc>
          <w:tcPr>
            <w:tcW w:w="180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June 30, 2017</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6"/>
          </w:tcPr>
          <w:p>
            <w:pPr>
              <w:ind w:left="6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500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131"/>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1,448.6</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1,599.6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Mezzanine and unsecured debt investments</w:t>
            </w: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and other investments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1,544.0</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1,657.4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June 30, 2017 and December 31, 2016:</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vMerge w:val="restart"/>
          </w:tcPr>
          <w:p>
            <w:pPr>
              <w:spacing w:after="0"/>
              <w:rPr>
                <w:sz w:val="14"/>
                <w:szCs w:val="14"/>
                <w:color w:val="auto"/>
              </w:rPr>
            </w:pPr>
          </w:p>
        </w:tc>
        <w:tc>
          <w:tcPr>
            <w:tcW w:w="2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4"/>
          </w:tcPr>
          <w:p>
            <w:pPr>
              <w:jc w:val="right"/>
              <w:ind w:right="111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4"/>
          </w:tcPr>
          <w:p>
            <w:pPr>
              <w:jc w:val="right"/>
              <w:ind w:right="870"/>
              <w:spacing w:after="0"/>
              <w:rPr>
                <w:sz w:val="20"/>
                <w:szCs w:val="20"/>
                <w:color w:val="auto"/>
              </w:rPr>
            </w:pPr>
            <w:r>
              <w:rPr>
                <w:rFonts w:ascii="Arial" w:cs="Arial" w:eastAsia="Arial" w:hAnsi="Arial"/>
                <w:sz w:val="14"/>
                <w:szCs w:val="14"/>
                <w:b w:val="1"/>
                <w:bCs w:val="1"/>
                <w:color w:val="auto"/>
              </w:rPr>
              <w:t>December 31, 2016</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vMerge w:val="continue"/>
          </w:tcPr>
          <w:p>
            <w:pPr>
              <w:spacing w:after="0"/>
              <w:rPr>
                <w:sz w:val="13"/>
                <w:szCs w:val="13"/>
                <w:color w:val="auto"/>
              </w:rPr>
            </w:pPr>
          </w:p>
        </w:tc>
        <w:tc>
          <w:tcPr>
            <w:tcW w:w="2720" w:type="dxa"/>
            <w:vAlign w:val="bottom"/>
            <w:tcBorders>
              <w:bottom w:val="single" w:sz="8" w:color="CFF0FC"/>
            </w:tcBorders>
            <w:vMerge w:val="continue"/>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7" w:name="page48"/>
    <w:bookmarkEnd w:id="47"/>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ind w:left="820"/>
              <w:spacing w:after="0"/>
              <w:rPr>
                <w:sz w:val="20"/>
                <w:szCs w:val="20"/>
                <w:color w:val="auto"/>
              </w:rPr>
            </w:pPr>
            <w:r>
              <w:rPr>
                <w:rFonts w:ascii="Arial" w:cs="Arial" w:eastAsia="Arial" w:hAnsi="Arial"/>
                <w:sz w:val="14"/>
                <w:szCs w:val="14"/>
                <w:b w:val="1"/>
                <w:bCs w:val="1"/>
                <w:color w:val="auto"/>
                <w:w w:val="90"/>
              </w:rPr>
              <w:t>June 30, 2017</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89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7"/>
              </w:rPr>
              <w:t>Percentage</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6"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2017 and December 31, 2016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2017</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2016</w:t>
            </w:r>
          </w:p>
        </w:tc>
      </w:tr>
      <w:tr>
        <w:trPr>
          <w:trHeight w:val="20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(1)</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r>
    </w:tbl>
    <w:p>
      <w:pPr>
        <w:spacing w:after="0" w:line="24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66"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780" w:hanging="255"/>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3" w:lineRule="exact"/>
        <w:rPr>
          <w:rFonts w:ascii="Arial" w:cs="Arial" w:eastAsia="Arial" w:hAnsi="Arial"/>
          <w:sz w:val="18"/>
          <w:szCs w:val="18"/>
          <w:color w:val="auto"/>
        </w:rPr>
      </w:pPr>
    </w:p>
    <w:p>
      <w:pPr>
        <w:ind w:left="520" w:right="260" w:hanging="255"/>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hanging="255"/>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30" w:right="259" w:bottom="1440" w:gutter="0" w:footer="0" w:header="0"/>
        </w:sectPr>
      </w:pPr>
    </w:p>
    <w:bookmarkStart w:id="48" w:name="page49"/>
    <w:bookmarkEnd w:id="48"/>
    <w:p>
      <w:pPr>
        <w:ind w:left="520" w:right="260" w:hanging="255"/>
        <w:spacing w:after="0" w:line="276"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140" w:hanging="255"/>
        <w:spacing w:after="0" w:line="25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480" w:firstLine="259"/>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June 30, 2017 and December 31, 2016.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2017</w:t>
            </w: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5"/>
              </w:rPr>
              <w:t>December 31, 2016</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3"/>
          </w:tcPr>
          <w:p>
            <w:pPr>
              <w:jc w:val="center"/>
              <w:ind w:right="10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Percentage of</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 in millions)</w:t>
            </w:r>
          </w:p>
        </w:tc>
        <w:tc>
          <w:tcPr>
            <w:tcW w:w="3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4"/>
              </w:rPr>
              <w:t>Total Portfolio</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1,243.9</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80.0%</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183.7</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1,554.5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1,657.4</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six months ended June 30, 2017 and 2016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3020" w:type="dxa"/>
            <w:vAlign w:val="bottom"/>
            <w:gridSpan w:val="7"/>
          </w:tcPr>
          <w:p>
            <w:pPr>
              <w:ind w:left="640"/>
              <w:spacing w:after="0"/>
              <w:rPr>
                <w:sz w:val="20"/>
                <w:szCs w:val="20"/>
                <w:color w:val="auto"/>
              </w:rPr>
            </w:pPr>
            <w:r>
              <w:rPr>
                <w:rFonts w:ascii="Arial" w:cs="Arial" w:eastAsia="Arial" w:hAnsi="Arial"/>
                <w:sz w:val="14"/>
                <w:szCs w:val="14"/>
                <w:b w:val="1"/>
                <w:bCs w:val="1"/>
                <w:color w:val="auto"/>
                <w:w w:val="94"/>
              </w:rPr>
              <w:t>For the Three Months Ended 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w:t>
            </w:r>
            <w:r>
              <w:rPr>
                <w:rFonts w:ascii="Arial" w:cs="Arial" w:eastAsia="Arial" w:hAnsi="Arial"/>
                <w:sz w:val="15"/>
                <w:szCs w:val="15"/>
                <w:color w:val="auto"/>
              </w:rPr>
              <w:t>(1)</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w w:val="97"/>
              </w:rPr>
              <w:t>Net increase in net assets resulting from operations</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48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51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4"/>
                <w:szCs w:val="14"/>
                <w:color w:val="auto"/>
              </w:rPr>
              <w:t>($ in millions)</w:t>
            </w:r>
          </w:p>
        </w:tc>
        <w:tc>
          <w:tcPr>
            <w:tcW w:w="3020" w:type="dxa"/>
            <w:vAlign w:val="bottom"/>
            <w:gridSpan w:val="7"/>
          </w:tcPr>
          <w:p>
            <w:pPr>
              <w:ind w:left="640"/>
              <w:spacing w:after="0"/>
              <w:rPr>
                <w:sz w:val="20"/>
                <w:szCs w:val="20"/>
                <w:color w:val="auto"/>
              </w:rPr>
            </w:pPr>
            <w:r>
              <w:rPr>
                <w:rFonts w:ascii="Arial" w:cs="Arial" w:eastAsia="Arial" w:hAnsi="Arial"/>
                <w:sz w:val="14"/>
                <w:szCs w:val="14"/>
                <w:b w:val="1"/>
                <w:bCs w:val="1"/>
                <w:color w:val="auto"/>
                <w:w w:val="94"/>
              </w:rPr>
              <w:t>For the Three Months Ended June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Dividend income</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9" w:name="page50"/>
    <w:bookmarkEnd w:id="49"/>
    <w:p>
      <w:pPr>
        <w:ind w:right="20" w:firstLine="259"/>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$44.1 million for the three months ended June 30, 2016 to $56.4 million for the three months ended June 30, 2017, primarily due to the increase in LIBOR. The average size of our investment portfolio was $1.6 billion during each of the three months ended June 30, 2017 and 2016. In addition, accelerated amortization of upfront fees primarily from unscheduled paydowns increased from $1.2 million for the three months ended June 30, 2016 to $7.1 million for the three months ended June 30, 2017. Prepayment fees increased from $0.5 million for the three months ended June 30, 2016 to $8.7 million for the three months ended June 30, 2017. The accelerated amortization and prepayment fees primarily resulted from a full paydown on one portfolio investment and a partial paydown on one portfolio investment during the three months ended June 30, 2016 and full paydowns on six portfolio investments, a partial paydown on one portfolio investment and earning prepayment fees on five portfolio investments during the three months ended June 30, 2017. The increase in paydowns during the three months ended June 30, 2017 compared to the three months ended June 30, 2016 was primarily the result of tightening of credit spreads during 2017. Dividend income decreased from $0.5 million for the three months ended June 30, 2016 to less than $0.1 million for the three months ended June 30, 2017 following the partial sale of our holdings in TICC. Other income increased from $1.4 million for the three months ended June 30, 2016 to $2.4 million for the three months ended June 30, 2017, primarily due to higher commitment and amendment fees earned during the second quarter of 2017.</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from investments, which includes amortization of upfront fees and prepayment fees, increased from $85.6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2016 to $105.2 million for the six months ended June 30, 2017, primarily due to the increase in LIBOR. The average size of our investment portfolio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$1.6 billion during each of the six months ended June 30, 2017 and 2016. In addition, accelerated amortization of upfront fees primarily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unscheduled paydowns increased from $1.9 million for the six months ended June 30, 2016 to $14.1 million for the six months ended June 30,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prepayment fees increased from $2.1 million for the six months ended June 30, 2016 to $9.7 million for the six months ended June 30, 2017. The accelerated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and prepayment fees primarily resulted from full paydowns on two portfolio investments and a partial paydown on one portfolio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2016 and from full paydowns on ten portfolio investments; partial paydowns on six portfolio investments and earning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prepayment fees on eight portfolio investments during the six months ended June 30, 2017. The increase in paydowns during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compared to the six months ended June 30, 2016 was primarily the result of tightening of credit spreads during 2017. Other income increased from $2.3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for the six months ended June 30, 2016 to $4.6 million for the six months ended June 30, 2017, primarily due to higher syndication, amendment,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commitment and agency fees earned during the first half of 2017.</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six months ended June 30, 2017 and 2016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960" w:type="dxa"/>
            <w:vAlign w:val="bottom"/>
            <w:gridSpan w:val="6"/>
          </w:tcPr>
          <w:p>
            <w:pPr>
              <w:ind w:left="580"/>
              <w:spacing w:after="0"/>
              <w:rPr>
                <w:sz w:val="20"/>
                <w:szCs w:val="20"/>
                <w:color w:val="auto"/>
              </w:rPr>
            </w:pPr>
            <w:r>
              <w:rPr>
                <w:rFonts w:ascii="Arial" w:cs="Arial" w:eastAsia="Arial" w:hAnsi="Arial"/>
                <w:sz w:val="14"/>
                <w:szCs w:val="14"/>
                <w:b w:val="1"/>
                <w:bCs w:val="1"/>
                <w:color w:val="auto"/>
                <w:w w:val="94"/>
              </w:rPr>
              <w:t>For the Three Months Ended 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CFF0FC"/>
            </w:tcBorders>
            <w:vMerge w:val="continue"/>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 investment</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(net of waivers)</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Directors fees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4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$5.6 million for three months ended June 30, 2016 to $7.6 million for three months ended June 30, 2017. This increase was primarily due to an increase in the average interest rate on our debt outstanding from 2.6% for the three months ended June 30, 2016 to 4.1% for the three months ended June 30, 2017 following issuance of the 2022 Convertible Senior Notes and an increase in LIBOR.</w:t>
      </w:r>
    </w:p>
    <w:p>
      <w:pPr>
        <w:spacing w:after="0" w:line="79"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Interest expense, including other debt financing expenses, increased from $10.9 million for the six months ended June 30, 2016 to $14.5 million for the six months ended June 30, 2017. This increase was primarily due to an increase in the average interest rate on our debt outstanding from 2.6% for the six months ended June 30, 2016 to 3.6% for the six months ended June 30, 2017 following issuance of the 2022 Convertible Senior Notes and an increase in LIBOR.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Management Fees (net of waivers) remained flat at $6.0 million for the three months ended June 30, 2017 and 2016 due to assets remaining flat at an average of $1.6 billion for each of the three months ended June 30, 2017 and 2016. Management Fees waived were $16.1 for the three months ended June 30, 2016, consisting solely of Management Fees attributable to our ownership of shares of common stock in TICC Capital Corp., or the TICC Shares. The Adviser did not waive any Management Fees for the three months ended June 30, 2017.</w:t>
      </w:r>
    </w:p>
    <w:p>
      <w:pPr>
        <w:spacing w:after="0" w:line="79"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Management Fees (net of waivers) increased from $11.8 million for the six months ended June 30, 2016 to $12.1 million for the six months ended June 30, 2017. Management Fees increased from $11.8 million for the six months ended June 30, 2016 to $12.1 million for the six months ended June 30, 2017 due to the marginal increase in total assets, which remained relatively flat at an average of $1.6 billion for each of the six months ended June 30, 2017 and 2016. Management Fees waived were $30.7 for the six months ended June 30, 2016, consisting solely of Management Fees attributable to our ownership of shares of common stock in the TICC Shares. The Adviser did not waive any Management Fees for the six months ended June 30, 2017.</w:t>
      </w:r>
    </w:p>
    <w:p>
      <w:pPr>
        <w:spacing w:after="0" w:line="158"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For the periods ended December 31, 2016 and prior, the Adviser voluntarily waived the Management Fee on our ownership of the TICC Shares.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$5.3 million for three months ended June 30, 2016 to $7.2 million for the three months ended June 30, 2017. This increase resulted from the increase in prepayment fees and accelerated amortization of upfront fees primarily from unscheduled paydowns. For the three months ended June 30, 2016, Incentive Fees related to pre-Incentive Fee net investment income of $82.9 were waived, consisting solely of Incentive Fees attributable to our ownership of the TICC Shares. The Adviser did not waive any Incentive Fees related to pre-Incentive Fee net investment income for the three months ended June 30, 2017. There were no Incentive Fees related to capital gains and losses for each of the three months ended June 30, 2017 and 2016 due to unrealized losses on our investments.</w:t>
      </w:r>
    </w:p>
    <w:p>
      <w:pPr>
        <w:spacing w:after="0" w:line="178"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Incentive Fees (net of waivers) related to pre-Incentive Fee net investment income increased from $10.1 million for six months ended June 30, 2016 to $13.2 for the six months ended June 30, 2017. This increase resulted from the increase in prepayment fees and accelerated amortization of upfront fees primarily from unscheduled paydowns. For the six months ended June 30, 2016, Incentive Fees related to pre-Incentive Fee net investment income of $165.8 were waived, consisting solely of Incentive Fees attributable to our ownership of the TICC Shares. There were no Incentive Fees related to pre-Incentive Fee net investment income waived for the six months ended June 30, 2017. There were no Incentive Fees related to capital gains and losses for the six months ended June 30, 2017 and 2016 due to unrealized losses on our investments.</w:t>
      </w:r>
    </w:p>
    <w:p>
      <w:pPr>
        <w:spacing w:after="0" w:line="178"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For the periods ended December 31, 2016 and prior, the Adviser voluntarily waived the Incentive Fees attributable to pre-Incentive Fee net investment income accrued by us as a result of our ownership of the TICC Shares.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applies towards our cumulative realized capital gains on which the Incentive Fee related to capital gains and losses is calculated.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Professional fees decreased from $2.0 million for the three months ended June 30, 2016 to $1.8 million for the three months ended June 30, 2017 primarily due to a decrease in costs associated with our investment in TICC. Other general and administrative fees increased from $1.0 million for the three months ended June 30, 2016 to $1.3 for the three months ended June 30, 2017.</w:t>
      </w:r>
    </w:p>
    <w:p>
      <w:pPr>
        <w:spacing w:after="0" w:line="73"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Professional fees decreased from $3.9 million for the six months ended June 30, 2016 to $3.1 million for the six months ended June 30, 2017 primarily due to a decrease in costs associated with our investment in TICC. Other general and administrative fees increased from $2.3 million for the six months ended June 30, 2016 to $2.6 million for the six months ended June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months ended June 30, 2017 and 2016, we recorded a net expense of $0.9 million and $0.5 million, respectively, for U.S. federal excise tax.</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and six months ended June 30, 2017 and 2016:</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For the Three Months Ended</w:t>
            </w:r>
          </w:p>
        </w:tc>
        <w:tc>
          <w:tcPr>
            <w:tcW w:w="80" w:type="dxa"/>
            <w:vAlign w:val="bottom"/>
          </w:tcPr>
          <w:p>
            <w:pPr>
              <w:spacing w:after="0"/>
              <w:rPr>
                <w:sz w:val="14"/>
                <w:szCs w:val="14"/>
                <w:color w:val="auto"/>
              </w:rPr>
            </w:pPr>
          </w:p>
        </w:tc>
        <w:tc>
          <w:tcPr>
            <w:tcW w:w="2440" w:type="dxa"/>
            <w:vAlign w:val="bottom"/>
            <w:gridSpan w:val="7"/>
            <w:vMerge w:val="restart"/>
          </w:tcPr>
          <w:p>
            <w:pPr>
              <w:jc w:val="right"/>
              <w:ind w:right="200"/>
              <w:spacing w:after="0"/>
              <w:rPr>
                <w:sz w:val="20"/>
                <w:szCs w:val="20"/>
                <w:color w:val="auto"/>
              </w:rPr>
            </w:pPr>
            <w:r>
              <w:rPr>
                <w:rFonts w:ascii="Arial" w:cs="Arial" w:eastAsia="Arial" w:hAnsi="Arial"/>
                <w:sz w:val="14"/>
                <w:szCs w:val="14"/>
                <w:b w:val="1"/>
                <w:bCs w:val="1"/>
                <w:color w:val="auto"/>
                <w:w w:val="95"/>
              </w:rPr>
              <w:t>For the Six Months Ended June 30,</w:t>
            </w:r>
          </w:p>
        </w:tc>
        <w:tc>
          <w:tcPr>
            <w:tcW w:w="0" w:type="dxa"/>
            <w:vAlign w:val="bottom"/>
          </w:tcPr>
          <w:p>
            <w:pPr>
              <w:spacing w:after="0"/>
              <w:rPr>
                <w:sz w:val="1"/>
                <w:szCs w:val="1"/>
                <w:color w:val="auto"/>
              </w:rPr>
            </w:pPr>
          </w:p>
        </w:tc>
      </w:t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5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w:t>
            </w: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 on foreign currency investments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(losses) on foreign currency borrowings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on Investments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Unrealized appreciation (depreciation) on foreign currency</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 foreign</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appreciation on interest rate swaps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For the three and six months ended June 30, 2017 we had net realized losses on investments of $18.5 million and $17.2 million, respectively. For the three and six months ended June 30, 2017, we had net realized losses of less than $0.1 million and net realized gains of $0.2 million, respectively, on foreign currency transactions, primarily as a result of translating foreign currency related to our non-USD denominated investments. For the three and six months ended June 30, 2017, we had net realized losses of $0.1 million and $4.8 million, respectively, on foreign currency investments. For the three and six months ended June 30, 2017, we had net realized losses of less than $0.1 million and realized gains of $5.1 million, respectively, on foreign currency borrowings. The net realized gains on foreign currency borrowings and net realized losses on foreign currency investments for the six months ended June 30, 2017 were a result of exiting two investments and a partial realization on one investment.</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months ended June 30, 2017 we had $45.4 million in unrealized appreciation on 28 portfolio company investments, which was offset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$28.2 million in unrealized depreciation on 26 portfolio company investments. For the six months ended June 30, 2017 we had $52.7 million in unrealized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appreciation on 37 portfolio company investments, which was offset by $32.0 million in unrealized depreciation on 27 portfolio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investments. Unrealized appreciation resulted from an increase in fair value, primarily due to a tightening spread environment and positive credit-related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adjustments. Unrealized depreciation primarily resulted from the reversal of prior period unrealized appreciation and in some instances negative credit-related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40" w:firstLine="259"/>
        <w:spacing w:after="0" w:line="257" w:lineRule="auto"/>
        <w:rPr>
          <w:sz w:val="20"/>
          <w:szCs w:val="20"/>
          <w:color w:val="auto"/>
        </w:rPr>
      </w:pPr>
      <w:r>
        <w:rPr>
          <w:rFonts w:ascii="Arial" w:cs="Arial" w:eastAsia="Arial" w:hAnsi="Arial"/>
          <w:sz w:val="18"/>
          <w:szCs w:val="18"/>
          <w:color w:val="auto"/>
        </w:rPr>
        <w:t>For the three and six months ended June 30, 2017, we had unrealized depreciation on foreign currency borrowings of $2.8 million and $8.7 million, respectively, as a result of fluctuations in the GBP and EUR exchange rates. For the three and six months ended June 30, 2017, we had unrealized depreciation on foreign currency cash and forward contracts of less than $0.1 million and unrealized appreciation of less than $0.1 million, respectively. For the three and six months ended June 30, 2017, we had unrealized appreciation on interest rate swaps of $2.1 million and $2.3 million, respectively, on interest rate swaps due to fluctuations in interest rates.</w:t>
      </w:r>
    </w:p>
    <w:p>
      <w:pPr>
        <w:spacing w:after="0" w:line="188" w:lineRule="exact"/>
        <w:rPr>
          <w:sz w:val="20"/>
          <w:szCs w:val="20"/>
          <w:color w:val="auto"/>
        </w:rPr>
      </w:pPr>
    </w:p>
    <w:p>
      <w:pPr>
        <w:ind w:right="100" w:firstLine="259"/>
        <w:spacing w:after="0" w:line="297" w:lineRule="auto"/>
        <w:rPr>
          <w:sz w:val="20"/>
          <w:szCs w:val="20"/>
          <w:color w:val="auto"/>
        </w:rPr>
      </w:pPr>
      <w:r>
        <w:rPr>
          <w:rFonts w:ascii="Arial" w:cs="Arial" w:eastAsia="Arial" w:hAnsi="Arial"/>
          <w:sz w:val="16"/>
          <w:szCs w:val="16"/>
          <w:color w:val="auto"/>
        </w:rPr>
        <w:t>For the three and six months ended June 30, 2016, we had net realized gains on investments of $0.4 million. For the three and six months ended June 30, 2016, we did not have realized gains or losses on interest rate swaps. For the three and six months ended June 30, 2016, we had net realized losses of $0.1 million and $0.2 million, respectively, on foreign currency transactions, primarily as a result of translating foreign currency related to our non-USD denominated investments. For the three and six months ended June 30, 2016, we had net realized losses of $0.1 million on foreign currency investments. For the three and six months ended June 30, 2016, we had net realized gains of $0.1 million and $0.4 million, respectively, on foreign currency borrowings.</w:t>
      </w:r>
    </w:p>
    <w:p>
      <w:pPr>
        <w:spacing w:after="0" w:line="158"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For the three months ended June 30, 2016 we had $25.8 million in unrealized appreciation on 37 portfolio company investments, which was offset by $6.8 million in unrealized depreciation on 14 portfolio company investments. For the six months ended June 30, 2016 we had $26.0 million in unrealized appreciation on 34 portfolio company investments, which was offset by $11.2 million in unrealized depreciation on 18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93"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For the three and six months ended June 30, 2016, we had unrealized appreciation on foreign currency borrowings of $4.5 million and 1.8 million, respectively, as a result of fluctuations in the GBP, SEK and EUR exchange rates. For the three and six months ended June 30, 2016, we had unrealized depreciation on foreign currency cash and forward contracts of less than $0.1 million. For the three and six months ended June 30, 2016, we had unrealized appreciation on interest rate swaps of $0.3 million and $1.6 million, respectively, due to fluctuations in interest rates.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160" w:firstLine="259"/>
        <w:spacing w:after="0" w:line="286" w:lineRule="auto"/>
        <w:rPr>
          <w:sz w:val="20"/>
          <w:szCs w:val="20"/>
          <w:color w:val="auto"/>
        </w:rPr>
      </w:pPr>
      <w:r>
        <w:rPr>
          <w:rFonts w:ascii="Arial" w:cs="Arial" w:eastAsia="Arial" w:hAnsi="Arial"/>
          <w:sz w:val="17"/>
          <w:szCs w:val="17"/>
          <w:color w:val="auto"/>
        </w:rPr>
        <w:t>Since we began investing in 2011 through June 30, 2017, weighted by capital invested, our exited investments have generated an average realized gross internal rate of return to us of 19.7% (based on total capital invested of $2.1 billion and total proceeds from these exited investments of $2.6 billion). Ninety one percent of these exited investments resulted in a realized gross internal rate of return to us of 10% or greater.</w:t>
      </w:r>
    </w:p>
    <w:p>
      <w:pPr>
        <w:spacing w:after="0" w:line="166" w:lineRule="exact"/>
        <w:rPr>
          <w:sz w:val="20"/>
          <w:szCs w:val="20"/>
          <w:color w:val="auto"/>
        </w:rPr>
      </w:pPr>
    </w:p>
    <w:p>
      <w:pPr>
        <w:ind w:right="10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8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6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right="34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140" w:firstLine="259"/>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and six months ended June 30, 2017, we had $2.8 million and $8.7 million, respectively, of unrealized losses on the translation of our non-U.S. dollar denominated debt into U.S. dollars; such amounts approximate the corresponding unrealized gains and losses on the translation of our non-U.S. dollar denominated investments into U.S. dollars for the three and six months ended June 30, 2017. See Note 2 for additional disclosure regarding our accounting for foreign currency. See Note 7 for additional disclosure regarding the amounts of outstanding debt denominated in each foreign currency at June 30, 2017. See our consolidated schedule of investments for additional disclosure regarding the foreign currency amounts (in both par and fair value) of our non-U.S. dollar denominated investments.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June 30, 2017 and December 31, 2016, our asset coverage ratio was 265.4% and 237.7%,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79"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Cash and cash equivalents as of June 30, 2017, taken together with cash available under our credit facilities, is expected to be sufficient for our investing activities and to conduct our operations in the near term. As of June 30, 2017, we had approximately $587.6 million of availability on our Revolving Credit Facility, subject to asset coverage limitations.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2017, we had $13.5 million in cash and cash equivalents, an increase of $7.5 million from December 31, 2016. During the six months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2017, we provided $165.6 million in cash from operating activities, primarily as a result of repayments and proceeds from investments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$535.4 million and an increase in net assets resulting from operations of $60.1 million, which was offset by funding portfolio investments of $412.1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operating activity of $17.8 million. Lastly, cash used by financing activities was $158.1 million during the period, primarily due to paydowns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of $649.3 million, dividends paid of $44.5 million and debt issuance costs of $3.8 million, which was partially offset by borrowings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$539.5 million (including the issuance of $115.0 million principal amount of our 2022 Convertible Senior Notes).</w:t>
      </w:r>
    </w:p>
    <w:p>
      <w:pPr>
        <w:spacing w:after="0" w:line="211"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As of June 30, 2017, we had $1.6 million of restricted cash pledged as collateral under our interest rate swap agreements, an increase of $0.5 million from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color w:val="auto"/>
        </w:rPr>
        <w:t>During the six months ended June 30, 2017 and 2016, we issued 244,469 and 334,013 shares of our common stock, respectively, to investors who have not opted out of our dividend reinvestment plan for proceeds of $4.5 million and $5.2 million, respectively.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4" w:name="page55"/>
    <w:bookmarkEnd w:id="54"/>
    <w:p>
      <w:pPr>
        <w:ind w:right="60"/>
        <w:spacing w:after="0" w:line="264" w:lineRule="auto"/>
        <w:rPr>
          <w:sz w:val="20"/>
          <w:szCs w:val="20"/>
          <w:color w:val="auto"/>
        </w:rPr>
      </w:pPr>
      <w:r>
        <w:rPr>
          <w:rFonts w:ascii="Arial" w:cs="Arial" w:eastAsia="Arial" w:hAnsi="Arial"/>
          <w:sz w:val="18"/>
          <w:szCs w:val="18"/>
          <w:color w:val="auto"/>
        </w:rPr>
        <w:t>July 14, 2017, we issued 112,166 shares of our common stock through our dividend reinvestment plan for proceeds of $2.2 million, which is not reflected in the number of shares issued for the six months ended June 30, 2017 in this section or the consolidated financial statements for the three and six months ended June 30, 2017.</w:t>
      </w:r>
    </w:p>
    <w:p>
      <w:pPr>
        <w:spacing w:after="0" w:line="181"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August 2, 2017, the Board authorized the extension of the termination date of the Company 10b5-1 Plan to February 28, 2018.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158"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For the six months ended June 30, 2017, no shares were repurchased under the Company 10b5-1 Plan. During the six months ended June 30, 2016, 86,081 shares were repurchased under the Company 10b5-1 Plan at a weighted average price per share of $15.44, inclusive of commissions, for a total cost of $1.3 million.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2017 and December 31, 2016:</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June 30,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3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30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FF0FC"/>
          </w:tcPr>
          <w:p>
            <w:pPr>
              <w:spacing w:after="0"/>
              <w:rPr>
                <w:sz w:val="19"/>
                <w:szCs w:val="19"/>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and 2022 Convertible Senior Notes are presented net of deferred financing costs of $7.9 million, $1.9 million and $3.5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280" w:type="dxa"/>
            <w:vAlign w:val="bottom"/>
          </w:tcPr>
          <w:p>
            <w:pPr>
              <w:spacing w:after="0"/>
              <w:rPr>
                <w:sz w:val="12"/>
                <w:szCs w:val="12"/>
                <w:color w:val="auto"/>
              </w:rPr>
            </w:pPr>
          </w:p>
        </w:tc>
        <w:tc>
          <w:tcPr>
            <w:tcW w:w="1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9"/>
              <w:spacing w:after="0" w:line="147" w:lineRule="exact"/>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357"/>
              <w:spacing w:after="0" w:line="147"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77"/>
              <w:spacing w:after="0" w:line="147"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r>
      <w:tr>
        <w:trPr>
          <w:trHeight w:val="171"/>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17"/>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 Convertible Senior 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2019 Convertible Senior Notes are presented net of deferred financing costs of $8.7 million and $2.3 million,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160" w:firstLine="259"/>
        <w:spacing w:after="0" w:line="277" w:lineRule="auto"/>
        <w:rPr>
          <w:sz w:val="20"/>
          <w:szCs w:val="20"/>
          <w:color w:val="auto"/>
        </w:rPr>
      </w:pPr>
      <w:r>
        <w:rPr>
          <w:rFonts w:ascii="Arial" w:cs="Arial" w:eastAsia="Arial" w:hAnsi="Arial"/>
          <w:sz w:val="18"/>
          <w:szCs w:val="18"/>
          <w:color w:val="auto"/>
        </w:rPr>
        <w:t>As of June 30, 2017 and December 31, 2016,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62"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17" w:lineRule="exact"/>
        <w:rPr>
          <w:rFonts w:ascii="Arial" w:cs="Arial" w:eastAsia="Arial" w:hAnsi="Arial"/>
          <w:sz w:val="18"/>
          <w:szCs w:val="18"/>
          <w:color w:val="auto"/>
        </w:rPr>
      </w:pPr>
    </w:p>
    <w:p>
      <w:pPr>
        <w:ind w:left="520" w:right="500" w:hanging="255"/>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17" w:lineRule="exact"/>
        <w:rPr>
          <w:rFonts w:ascii="Arial" w:cs="Arial" w:eastAsia="Arial" w:hAnsi="Arial"/>
          <w:sz w:val="18"/>
          <w:szCs w:val="18"/>
          <w:color w:val="auto"/>
        </w:rPr>
      </w:pPr>
    </w:p>
    <w:p>
      <w:pPr>
        <w:ind w:left="780" w:right="260" w:hanging="257"/>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extended the expiration of the revolving period from June 30, 2017 to February 27, 2018, during which period we, subject to certain conditions,</w:t>
      </w:r>
      <w:r>
        <w:rPr>
          <w:rFonts w:ascii="Courier New" w:cs="Courier New" w:eastAsia="Courier New" w:hAnsi="Courier New"/>
          <w:sz w:val="18"/>
          <w:szCs w:val="18"/>
          <w:color w:val="auto"/>
        </w:rPr>
        <w:t xml:space="preserve"> </w:t>
      </w:r>
      <w:r>
        <w:rPr>
          <w:rFonts w:ascii="Arial" w:cs="Arial" w:eastAsia="Arial" w:hAnsi="Arial"/>
          <w:sz w:val="18"/>
          <w:szCs w:val="18"/>
          <w:color w:val="auto"/>
        </w:rPr>
        <w:t>may make borrowings under the facility, and</w:t>
      </w:r>
    </w:p>
    <w:p>
      <w:pPr>
        <w:spacing w:after="0" w:line="94"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extended the stated maturity date from July 2, 2018 to February 27, 2019; and</w:t>
      </w:r>
    </w:p>
    <w:p>
      <w:pPr>
        <w:spacing w:after="0" w:line="101" w:lineRule="exact"/>
        <w:rPr>
          <w:rFonts w:ascii="Arial" w:cs="Arial" w:eastAsia="Arial" w:hAnsi="Arial"/>
          <w:sz w:val="18"/>
          <w:szCs w:val="18"/>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jc w:val="both"/>
        <w:ind w:right="220" w:firstLine="259"/>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17" w:lineRule="exact"/>
        <w:rPr>
          <w:sz w:val="20"/>
          <w:szCs w:val="20"/>
          <w:color w:val="auto"/>
        </w:rPr>
      </w:pPr>
    </w:p>
    <w:p>
      <w:pPr>
        <w:ind w:left="520" w:right="120" w:hanging="255"/>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38" w:lineRule="exact"/>
        <w:rPr>
          <w:rFonts w:ascii="Arial" w:cs="Arial" w:eastAsia="Arial" w:hAnsi="Arial"/>
          <w:sz w:val="17"/>
          <w:szCs w:val="17"/>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17" w:lineRule="exact"/>
        <w:rPr>
          <w:sz w:val="20"/>
          <w:szCs w:val="20"/>
          <w:color w:val="auto"/>
        </w:rPr>
      </w:pPr>
    </w:p>
    <w:p>
      <w:pPr>
        <w:ind w:left="520" w:right="120" w:hanging="255"/>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17" w:lineRule="exact"/>
        <w:rPr>
          <w:rFonts w:ascii="Arial" w:cs="Arial" w:eastAsia="Arial" w:hAnsi="Arial"/>
          <w:sz w:val="18"/>
          <w:szCs w:val="18"/>
          <w:color w:val="auto"/>
        </w:rPr>
      </w:pPr>
    </w:p>
    <w:p>
      <w:pPr>
        <w:ind w:left="520" w:right="120" w:hanging="255"/>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December 22, 2016, we entered into a fifth amendment to the Revolving Credit Facility:</w:t>
      </w:r>
    </w:p>
    <w:p>
      <w:pPr>
        <w:spacing w:after="0" w:line="117" w:lineRule="exact"/>
        <w:rPr>
          <w:sz w:val="20"/>
          <w:szCs w:val="20"/>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increasing the aggregate commitments from $821.3 million to $945.0 million;</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$885.0 million in commitments,</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extending the revolving period from October 2, 2019 to December 22, 2020; and</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extending the stated maturity date from October 2, 2020 to December 22, 2021.</w:t>
      </w:r>
    </w:p>
    <w:p>
      <w:pPr>
        <w:spacing w:after="0" w:line="225"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We may borrow amounts in U.S. dollars or certain other permitted currencies. As of June 30, 2017, we had outstanding debt denominated in Euro (EUR) of 39.8 million on our Revolving Credit Facility, included in the Outstanding Principal amount in the table above.</w:t>
      </w:r>
    </w:p>
    <w:p>
      <w:pPr>
        <w:spacing w:after="0" w:line="170" w:lineRule="exact"/>
        <w:rPr>
          <w:sz w:val="20"/>
          <w:szCs w:val="20"/>
          <w:color w:val="auto"/>
        </w:rPr>
      </w:pPr>
    </w:p>
    <w:p>
      <w:pPr>
        <w:jc w:val="both"/>
        <w:ind w:right="80" w:firstLine="259"/>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380" w:hanging="255"/>
        <w:spacing w:after="0" w:line="375" w:lineRule="auto"/>
        <w:tabs>
          <w:tab w:leader="none" w:pos="5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2016, and net proceeds received from the issuance of the 2022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Senior Notes</w:t>
      </w:r>
    </w:p>
    <w:p>
      <w:pPr>
        <w:spacing w:after="0" w:line="117"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In June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 $25.83 per share of our common stock, subject to customary anti-dilution adjustments. As of June 30, 2017, the estimated adjusted conversion price was approximately $25.62.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220"/>
        <w:spacing w:after="0" w:line="277" w:lineRule="auto"/>
        <w:rPr>
          <w:sz w:val="20"/>
          <w:szCs w:val="20"/>
          <w:color w:val="auto"/>
        </w:rPr>
      </w:pPr>
      <w:r>
        <w:rPr>
          <w:rFonts w:ascii="Arial" w:cs="Arial" w:eastAsia="Arial" w:hAnsi="Arial"/>
          <w:sz w:val="18"/>
          <w:szCs w:val="18"/>
          <w:color w:val="auto"/>
        </w:rPr>
        <w:t>liabilities with our investment portfolio, which consists of predominately floating rate loans. As a result of the swaps, our effective interest rate on the 2019 Convertible Senior Notes is three-month LIBOR plus 286 basis points.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may convert their 2019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Senior Notes</w:t>
      </w:r>
    </w:p>
    <w:p>
      <w:pPr>
        <w:spacing w:after="0" w:line="117" w:lineRule="exact"/>
        <w:rPr>
          <w:sz w:val="20"/>
          <w:szCs w:val="20"/>
          <w:color w:val="auto"/>
        </w:rPr>
      </w:pPr>
    </w:p>
    <w:p>
      <w:pPr>
        <w:ind w:right="20" w:firstLine="259"/>
        <w:spacing w:after="0" w:line="287" w:lineRule="auto"/>
        <w:rPr>
          <w:sz w:val="20"/>
          <w:szCs w:val="20"/>
          <w:color w:val="auto"/>
        </w:rPr>
      </w:pPr>
      <w:r>
        <w:rPr>
          <w:rFonts w:ascii="Arial" w:cs="Arial" w:eastAsia="Arial" w:hAnsi="Arial"/>
          <w:sz w:val="16"/>
          <w:szCs w:val="16"/>
          <w:color w:val="auto"/>
        </w:rPr>
        <w:t>In February 2017, we issued in a private offering $115 million aggregate principal amount convertible senior notes due August 2022, or the 2022 Convertible Senior Notes. We refer to the 2019 Convertible Senior Notes and the 2022 Convertible Senior Notes collectively as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our common stock or a combination of cash and shares of our common stock, at our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As of June 30, 2017, the estimated adjusted conversion price was approximately $21.30. The sale of the 2022 Convertible Senior Notes generated net proceeds of approximately $111.2 million. We used the net proceeds of the offering to pay down debt under the Revolving Credit Facility. In connection with the offering of 2022 Convertible Senior Notes, we have entered into an interest rate swap to continue to align the interest rates of our liabilities with our investment portfolio, which consists of predominately floating rate loans. As a result of the swaps, our effective interest rate on the 2022 Convertible Senior Notes is three-month LIBOR plus 237.2 basis points.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Holders may convert their 2022 Convertible Senior Notes at their option at any time prior to February 1, 2022 only under the following circumstances:</w:t>
      </w:r>
    </w:p>
    <w:p>
      <w:pPr>
        <w:spacing w:after="0" w:line="35" w:lineRule="exact"/>
        <w:rPr>
          <w:sz w:val="20"/>
          <w:szCs w:val="20"/>
          <w:color w:val="auto"/>
        </w:rPr>
      </w:pPr>
    </w:p>
    <w:p>
      <w:pPr>
        <w:ind w:right="80" w:firstLine="8"/>
        <w:spacing w:after="0" w:line="287"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2022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The Convertible Senior Notes are our senior unsecured obligations and rank senior in right of payment to our future indebtedness that is expressly subordinated in right of payment to the Convertible Senior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of June 30, 2017, the principal amount of the 2019 and 2022 Convertible Senior Notes exceeded the value of the underlying shares multiplied by the per share closing price of our common stock.</w:t>
      </w:r>
    </w:p>
    <w:p>
      <w:pPr>
        <w:spacing w:after="0" w:line="170"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indentures governing the 2019 and 2022 Convertible Senior Notes contain certain covenants, including covenants requiring us to comply with the requirement under the 1940 Act that our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June 30, 2017, we were in compliance with the terms of the indentures governing the 2019 and 2022 Convertible Senior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firstLine="259"/>
        <w:spacing w:after="0" w:line="286"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2019 and 2022 Convertible Senior Notes. We have determined that the embedded conversion options in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2019 and 2022 Convertible Senior Notes are not required to be separately accounted for as a derivative under U.S. GAAP. In accounting for the 2019 and 2022 Convertible Senior Notes, we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debt issuance costs and equity issuance costs, respectively.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incorporated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2017 and December 31, 2016, we had the following commitments to fund investments in current portfolio companies:</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80" w:type="dxa"/>
            <w:vAlign w:val="bottom"/>
          </w:tcPr>
          <w:p>
            <w:pPr>
              <w:spacing w:after="0"/>
              <w:rPr>
                <w:sz w:val="20"/>
                <w:szCs w:val="20"/>
                <w:color w:val="auto"/>
              </w:rPr>
            </w:pPr>
            <w:r>
              <w:rPr>
                <w:rFonts w:ascii="Arial" w:cs="Arial" w:eastAsia="Arial" w:hAnsi="Arial"/>
                <w:sz w:val="14"/>
                <w:szCs w:val="14"/>
                <w:color w:val="auto"/>
              </w:rPr>
              <w:t>($ in millions)</w:t>
            </w:r>
          </w:p>
        </w:tc>
        <w:tc>
          <w:tcPr>
            <w:tcW w:w="1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2016</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Clarabridge, Inc. - Revolver</w:t>
            </w:r>
          </w:p>
        </w:tc>
        <w:tc>
          <w:tcPr>
            <w:tcW w:w="1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CrunchTime Information Systems, Inc. - Delayed Draw</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CrunchTime Information Systems, Inc. - Revolver</w:t>
            </w:r>
          </w:p>
        </w:tc>
        <w:tc>
          <w:tcPr>
            <w:tcW w:w="1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Ecommerce Industries, Inc. - Revolver</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Helix Health Ltd. - Revolver</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Marketo, Inc. - Revolver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My Alarm Center, LLC - Delayed Draw</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Network Merchants, Inc. - Revolver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PaySimple - Revolver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Rex Energy Corporation - Revolver</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Riskonnect, Inc. - Revolver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Sailpoint Technologies, Inc. - Revolver</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As of June 30, 2017, we did not have any unfunded commitments to fund new investments to new borrowers that were not current portfolio companies as of June 30, 2017. As of December 31, 2016, we had additional unfunded commitments of $50.0 million to fund investments to new borrowers that were not current portfolio companies as of December 31, 2016.</w:t>
      </w:r>
    </w:p>
    <w:p>
      <w:pPr>
        <w:spacing w:after="0" w:line="181"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ind w:right="160"/>
        <w:spacing w:after="0" w:line="276" w:lineRule="auto"/>
        <w:rPr>
          <w:sz w:val="20"/>
          <w:szCs w:val="20"/>
          <w:color w:val="auto"/>
        </w:rPr>
      </w:pPr>
      <w:r>
        <w:rPr>
          <w:rFonts w:ascii="Arial" w:cs="Arial" w:eastAsia="Arial" w:hAnsi="Arial"/>
          <w:sz w:val="17"/>
          <w:szCs w:val="17"/>
          <w:color w:val="auto"/>
        </w:rPr>
        <w:t>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June 30, 2017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638"/>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Senior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Senior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19"/>
                <w:szCs w:val="19"/>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8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20" w:hanging="255"/>
        <w:spacing w:after="0" w:line="264"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4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2016, filed with the SEC on February 22, 2017,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2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As of June 30, 2017, 100.0% of our debt investments based on fair value in our portfolio bore interest at floating rates (when including investment specific hedges), with 92.4% of these subject to interest rate floors. Our credit facilities also bear interest at floating rates and in connection with our 2019 Convertible Senior Notes and 2022 Convertible Senior Notes, which bear interest at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fixed rate; we entered into fixed-to-floating interest rate swaps in order to continue to align the interest rates of our liabilities with our investment portfolio.</w:t>
      </w:r>
    </w:p>
    <w:p>
      <w:pPr>
        <w:spacing w:after="0" w:line="24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June 30, 2017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24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in Part I, “Item 1A. Risk Factors” in our Annual Report on Form 10-K for the fiscal year ended December 31, 2016,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960"/>
        <w:spacing w:after="0"/>
        <w:rPr>
          <w:sz w:val="20"/>
          <w:szCs w:val="20"/>
          <w:color w:val="auto"/>
        </w:rPr>
      </w:pPr>
      <w:r>
        <w:rPr>
          <w:rFonts w:ascii="Arial" w:cs="Arial" w:eastAsia="Arial" w:hAnsi="Arial"/>
          <w:sz w:val="16"/>
          <w:szCs w:val="16"/>
          <w:b w:val="1"/>
          <w:bCs w:val="1"/>
          <w:color w:val="auto"/>
        </w:rPr>
        <w:t>Item 6. Exhibits.</w:t>
      </w:r>
    </w:p>
    <w:p>
      <w:pPr>
        <w:spacing w:after="0" w:line="140" w:lineRule="exact"/>
        <w:rPr>
          <w:sz w:val="20"/>
          <w:szCs w:val="20"/>
          <w:color w:val="auto"/>
        </w:rPr>
      </w:pPr>
    </w:p>
    <w:p>
      <w:pPr>
        <w:jc w:val="right"/>
        <w:ind w:right="9920"/>
        <w:spacing w:after="0"/>
        <w:tabs>
          <w:tab w:leader="none" w:pos="105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8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6">
        <w:r>
          <w:rPr>
            <w:rFonts w:ascii="Arial" w:cs="Arial" w:eastAsia="Arial" w:hAnsi="Arial"/>
            <w:sz w:val="16"/>
            <w:szCs w:val="16"/>
            <w:u w:val="single" w:color="auto"/>
            <w:color w:val="0000EE"/>
          </w:rPr>
          <w:t>Certification of Co-Chief Executive Officer Pursuant to 18 U.S.C. Section 1350, as Adopted Pursuant to Section 302 of the Sarbanes-Oxley Act of</w:t>
        </w:r>
      </w:hyperlink>
    </w:p>
    <w:p>
      <w:pPr>
        <w:spacing w:after="0" w:line="23" w:lineRule="exact"/>
        <w:rPr>
          <w:sz w:val="20"/>
          <w:szCs w:val="20"/>
          <w:color w:val="auto"/>
        </w:rPr>
      </w:pPr>
    </w:p>
    <w:p>
      <w:pPr>
        <w:ind w:left="5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2002</w:t>
        </w:r>
      </w:hyperlink>
    </w:p>
    <w:p>
      <w:pPr>
        <w:spacing w:after="0" w:line="116" w:lineRule="exact"/>
        <w:rPr>
          <w:sz w:val="20"/>
          <w:szCs w:val="20"/>
          <w:color w:val="auto"/>
        </w:rPr>
      </w:pPr>
    </w:p>
    <w:p>
      <w:pPr>
        <w:ind w:left="8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7">
        <w:r>
          <w:rPr>
            <w:rFonts w:ascii="Arial" w:cs="Arial" w:eastAsia="Arial" w:hAnsi="Arial"/>
            <w:sz w:val="16"/>
            <w:szCs w:val="16"/>
            <w:u w:val="single" w:color="auto"/>
            <w:color w:val="0000EE"/>
          </w:rPr>
          <w:t>Certification of Co-Chief Executive Officer Pursuant to 18 U.S.C. Section 1350, as Adopted Pursuant to Section 302 of the Sarbanes-Oxley Act of</w:t>
        </w:r>
      </w:hyperlink>
    </w:p>
    <w:p>
      <w:pPr>
        <w:spacing w:after="0" w:line="23" w:lineRule="exact"/>
        <w:rPr>
          <w:sz w:val="20"/>
          <w:szCs w:val="20"/>
          <w:color w:val="auto"/>
        </w:rPr>
      </w:pPr>
    </w:p>
    <w:p>
      <w:pPr>
        <w:ind w:left="5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2002</w:t>
        </w:r>
      </w:hyperlink>
    </w:p>
    <w:p>
      <w:pPr>
        <w:spacing w:after="0" w:line="116" w:lineRule="exact"/>
        <w:rPr>
          <w:sz w:val="20"/>
          <w:szCs w:val="20"/>
          <w:color w:val="auto"/>
        </w:rPr>
      </w:pPr>
    </w:p>
    <w:p>
      <w:pPr>
        <w:ind w:left="8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31.3</w:t>
      </w:r>
      <w:r>
        <w:rPr>
          <w:sz w:val="20"/>
          <w:szCs w:val="20"/>
          <w:color w:val="auto"/>
        </w:rPr>
        <w:tab/>
      </w:r>
      <w:hyperlink w:anchor="page68">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hyperlink>
    </w:p>
    <w:p>
      <w:pPr>
        <w:spacing w:after="0" w:line="131" w:lineRule="exact"/>
        <w:rPr>
          <w:sz w:val="20"/>
          <w:szCs w:val="20"/>
          <w:color w:val="auto"/>
        </w:rPr>
      </w:pPr>
    </w:p>
    <w:p>
      <w:pPr>
        <w:ind w:left="580" w:hanging="500"/>
        <w:spacing w:after="0"/>
        <w:tabs>
          <w:tab w:leader="none" w:pos="580" w:val="left"/>
        </w:tabs>
        <w:numPr>
          <w:ilvl w:val="0"/>
          <w:numId w:val="58"/>
        </w:numPr>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Certification of Co-CEOs and CFO Pursuant to 18 U.S.C. Section 1350, as Adopted Pursuant to Section 906 of the Sarbanes-Oxley Act of 2002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3280"/>
              <w:spacing w:after="0"/>
              <w:rPr>
                <w:sz w:val="20"/>
                <w:szCs w:val="20"/>
                <w:color w:val="auto"/>
              </w:rPr>
            </w:pPr>
            <w:r>
              <w:rPr>
                <w:rFonts w:ascii="Arial" w:cs="Arial" w:eastAsia="Arial" w:hAnsi="Arial"/>
                <w:sz w:val="18"/>
                <w:szCs w:val="18"/>
                <w:color w:val="auto"/>
              </w:rPr>
              <w:t>TPG SPECIALTY LENDING,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2, 2017</w:t>
            </w:r>
          </w:p>
        </w:tc>
        <w:tc>
          <w:tcPr>
            <w:tcW w:w="7840" w:type="dxa"/>
            <w:vAlign w:val="bottom"/>
            <w:gridSpan w:val="2"/>
          </w:tcPr>
          <w:p>
            <w:pPr>
              <w:ind w:left="3280"/>
              <w:spacing w:after="0"/>
              <w:rPr>
                <w:sz w:val="20"/>
                <w:szCs w:val="20"/>
                <w:color w:val="auto"/>
              </w:rPr>
            </w:pPr>
            <w:r>
              <w:rPr>
                <w:rFonts w:ascii="Arial" w:cs="Arial" w:eastAsia="Arial" w:hAnsi="Arial"/>
                <w:sz w:val="18"/>
                <w:szCs w:val="18"/>
                <w:color w:val="auto"/>
              </w:rPr>
              <w:t>By:  /s/ Joshua Easterly</w:t>
            </w:r>
          </w:p>
        </w:tc>
      </w:tr>
      <w:tr>
        <w:trPr>
          <w:trHeight w:val="195"/>
        </w:trPr>
        <w:tc>
          <w:tcPr>
            <w:tcW w:w="3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2, 2017</w:t>
            </w:r>
          </w:p>
        </w:tc>
        <w:tc>
          <w:tcPr>
            <w:tcW w:w="7840" w:type="dxa"/>
            <w:vAlign w:val="bottom"/>
            <w:gridSpan w:val="2"/>
          </w:tcPr>
          <w:p>
            <w:pPr>
              <w:ind w:left="3280"/>
              <w:spacing w:after="0"/>
              <w:rPr>
                <w:sz w:val="20"/>
                <w:szCs w:val="20"/>
                <w:color w:val="auto"/>
              </w:rPr>
            </w:pPr>
            <w:r>
              <w:rPr>
                <w:rFonts w:ascii="Arial" w:cs="Arial" w:eastAsia="Arial" w:hAnsi="Arial"/>
                <w:sz w:val="18"/>
                <w:szCs w:val="18"/>
                <w:color w:val="auto"/>
              </w:rPr>
              <w:t>By:  /s/ Michael Fishman</w:t>
            </w:r>
          </w:p>
        </w:tc>
      </w:tr>
      <w:tr>
        <w:trPr>
          <w:trHeight w:val="195"/>
        </w:trPr>
        <w:tc>
          <w:tcPr>
            <w:tcW w:w="3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3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2, 2017</w:t>
            </w:r>
          </w:p>
        </w:tc>
        <w:tc>
          <w:tcPr>
            <w:tcW w:w="7840" w:type="dxa"/>
            <w:vAlign w:val="bottom"/>
            <w:gridSpan w:val="2"/>
          </w:tcPr>
          <w:p>
            <w:pPr>
              <w:ind w:left="3280"/>
              <w:spacing w:after="0"/>
              <w:rPr>
                <w:sz w:val="20"/>
                <w:szCs w:val="20"/>
                <w:color w:val="auto"/>
              </w:rPr>
            </w:pPr>
            <w:r>
              <w:rPr>
                <w:rFonts w:ascii="Arial" w:cs="Arial" w:eastAsia="Arial" w:hAnsi="Arial"/>
                <w:sz w:val="18"/>
                <w:szCs w:val="18"/>
                <w:color w:val="auto"/>
              </w:rPr>
              <w:t>By:  /s/ Ian Simmonds</w:t>
            </w:r>
          </w:p>
        </w:tc>
      </w:tr>
      <w:tr>
        <w:trPr>
          <w:trHeight w:val="195"/>
        </w:trPr>
        <w:tc>
          <w:tcPr>
            <w:tcW w:w="3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80" w:type="dxa"/>
            <w:vAlign w:val="bottom"/>
          </w:tcPr>
          <w:p>
            <w:pPr>
              <w:spacing w:after="0"/>
              <w:rPr>
                <w:sz w:val="24"/>
                <w:szCs w:val="24"/>
                <w:color w:val="auto"/>
              </w:rPr>
            </w:pPr>
          </w:p>
        </w:tc>
        <w:tc>
          <w:tcPr>
            <w:tcW w:w="3660" w:type="dxa"/>
            <w:vAlign w:val="bottom"/>
          </w:tcPr>
          <w:p>
            <w:pPr>
              <w:ind w:left="2040"/>
              <w:spacing w:after="0"/>
              <w:rPr>
                <w:sz w:val="20"/>
                <w:szCs w:val="20"/>
                <w:color w:val="auto"/>
              </w:rPr>
            </w:pPr>
            <w:r>
              <w:rPr>
                <w:rFonts w:ascii="Arial" w:cs="Arial" w:eastAsia="Arial" w:hAnsi="Arial"/>
                <w:sz w:val="18"/>
                <w:szCs w:val="18"/>
                <w:color w:val="auto"/>
              </w:rPr>
              <w:t>65</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2, 2017</w:t>
            </w:r>
          </w:p>
        </w:tc>
        <w:tc>
          <w:tcPr>
            <w:tcW w:w="7220" w:type="dxa"/>
            <w:vAlign w:val="bottom"/>
            <w:gridSpan w:val="2"/>
          </w:tcPr>
          <w:p>
            <w:pPr>
              <w:ind w:left="2660"/>
              <w:spacing w:after="0"/>
              <w:rPr>
                <w:sz w:val="20"/>
                <w:szCs w:val="20"/>
                <w:color w:val="auto"/>
              </w:rPr>
            </w:pPr>
            <w:r>
              <w:rPr>
                <w:rFonts w:ascii="Arial" w:cs="Arial" w:eastAsia="Arial" w:hAnsi="Arial"/>
                <w:sz w:val="18"/>
                <w:szCs w:val="18"/>
                <w:color w:val="auto"/>
              </w:rPr>
              <w:t>By:  /s/ Joshua Easterly</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117" w:lineRule="exact"/>
        <w:rPr>
          <w:sz w:val="20"/>
          <w:szCs w:val="20"/>
          <w:color w:val="auto"/>
        </w:rPr>
      </w:pPr>
    </w:p>
    <w:p>
      <w:pPr>
        <w:ind w:left="780" w:hanging="515"/>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2, 2017</w:t>
            </w:r>
          </w:p>
        </w:tc>
        <w:tc>
          <w:tcPr>
            <w:tcW w:w="7220" w:type="dxa"/>
            <w:vAlign w:val="bottom"/>
            <w:gridSpan w:val="2"/>
          </w:tcPr>
          <w:p>
            <w:pPr>
              <w:ind w:left="2660"/>
              <w:spacing w:after="0"/>
              <w:rPr>
                <w:sz w:val="20"/>
                <w:szCs w:val="20"/>
                <w:color w:val="auto"/>
              </w:rPr>
            </w:pPr>
            <w:r>
              <w:rPr>
                <w:rFonts w:ascii="Arial" w:cs="Arial" w:eastAsia="Arial" w:hAnsi="Arial"/>
                <w:sz w:val="18"/>
                <w:szCs w:val="18"/>
                <w:color w:val="auto"/>
              </w:rPr>
              <w:t>By:  /s/ Michael Fishman</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Fishman</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260" w:hanging="515"/>
        <w:spacing w:after="0" w:line="342" w:lineRule="auto"/>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40" w:hanging="522"/>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2, 2017</w:t>
            </w:r>
          </w:p>
        </w:tc>
        <w:tc>
          <w:tcPr>
            <w:tcW w:w="7200" w:type="dxa"/>
            <w:vAlign w:val="bottom"/>
            <w:gridSpan w:val="2"/>
          </w:tcPr>
          <w:p>
            <w:pPr>
              <w:ind w:left="266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Ian Simmonds</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June 30, 2017, as filed with the Securities and Exchange Commission on the date hereof (the “Report”), Joshua Easterly and Michael Fishman, as Co-Chief Executive Officers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August 2, 2017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Michael Fishman</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Co-Chief Executive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ind w:left="220"/>
              <w:spacing w:after="0"/>
              <w:rPr>
                <w:sz w:val="20"/>
                <w:szCs w:val="20"/>
                <w:color w:val="auto"/>
              </w:rPr>
            </w:pPr>
            <w:r>
              <w:rPr>
                <w:rFonts w:ascii="Arial" w:cs="Arial" w:eastAsia="Arial" w:hAnsi="Arial"/>
                <w:sz w:val="18"/>
                <w:szCs w:val="18"/>
                <w:color w:val="auto"/>
              </w:rPr>
              <w:t>August 2, 2017</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ind w:left="220"/>
              <w:spacing w:after="0"/>
              <w:rPr>
                <w:sz w:val="20"/>
                <w:szCs w:val="20"/>
                <w:color w:val="auto"/>
              </w:rPr>
            </w:pPr>
            <w:r>
              <w:rPr>
                <w:rFonts w:ascii="Arial" w:cs="Arial" w:eastAsia="Arial" w:hAnsi="Arial"/>
                <w:sz w:val="18"/>
                <w:szCs w:val="18"/>
                <w:color w:val="auto"/>
              </w:rPr>
              <w:t>August 2, 2017</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1"/>
    </w:lvl>
    <w:lvl w:ilvl="1">
      <w:lvlJc w:val="left"/>
      <w:lvlText w:val="(%2)"/>
      <w:numFmt w:val="lowerLetter"/>
      <w:start w:val="1"/>
    </w:lvl>
  </w:abstractNum>
  <w:abstractNum w:abstractNumId="5">
    <w:nsid w:val="614FD4A1"/>
    <w:multiLevelType w:val="hybridMultilevel"/>
    <w:lvl w:ilvl="0">
      <w:lvlJc w:val="left"/>
      <w:lvlText w:val="(%1)"/>
      <w:numFmt w:val="decimal"/>
      <w:start w:val="8"/>
    </w:lvl>
    <w:lvl w:ilvl="1">
      <w:lvlJc w:val="left"/>
      <w:lvlText w:val="%2"/>
      <w:numFmt w:val="lowerLetter"/>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2"/>
    </w:lvl>
  </w:abstractNum>
  <w:abstractNum w:abstractNumId="8">
    <w:nsid w:val="440BADFC"/>
    <w:multiLevelType w:val="hybridMultilevel"/>
    <w:lvl w:ilvl="0">
      <w:lvlJc w:val="left"/>
      <w:lvlText w:val="%1"/>
      <w:numFmt w:val="decimal"/>
      <w:start w:val="1"/>
    </w:lvl>
    <w:lvl w:ilvl="1">
      <w:lvlJc w:val="left"/>
      <w:lvlText w:val="(%2)"/>
      <w:numFmt w:val="lowerLetter"/>
      <w:start w:val="1"/>
    </w:lvl>
  </w:abstractNum>
  <w:abstractNum w:abstractNumId="9">
    <w:nsid w:val="5072367"/>
    <w:multiLevelType w:val="hybridMultilevel"/>
    <w:lvl w:ilvl="0">
      <w:lvlJc w:val="left"/>
      <w:lvlText w:val="(%1)"/>
      <w:numFmt w:val="decimal"/>
      <w:start w:val="8"/>
    </w:lvl>
    <w:lvl w:ilvl="1">
      <w:lvlJc w:val="left"/>
      <w:lvlText w:val="%2"/>
      <w:numFmt w:val="lowerLetter"/>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lowerRoman"/>
      <w:start w:val="1"/>
    </w:lvl>
  </w:abstractNum>
  <w:abstractNum w:abstractNumId="14">
    <w:nsid w:val="2463B9EA"/>
    <w:multiLevelType w:val="hybridMultilevel"/>
    <w:lvl w:ilvl="0">
      <w:lvlJc w:val="left"/>
      <w:lvlText w:val="(%1)"/>
      <w:numFmt w:val="lowerRoman"/>
      <w:start w:val="2"/>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
      <w:numFmt w:val="bullet"/>
      <w:start w:val="1"/>
    </w:lvl>
    <w:lvl w:ilvl="1">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lvl w:ilvl="1">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0"/>
    </w:lvl>
  </w:abstractNum>
  <w:abstractNum w:abstractNumId="32">
    <w:nsid w:val="38437FDB"/>
    <w:multiLevelType w:val="hybridMultilevel"/>
    <w:lvl w:ilvl="0">
      <w:lvlJc w:val="left"/>
      <w:lvlText w:val="%1."/>
      <w:numFmt w:val="decimal"/>
      <w:start w:val="1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lvl w:ilvl="1">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32"/>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2019-12-29T05:26:50Z</dcterms:created>
  <dcterms:modified xsi:type="dcterms:W3CDTF">2019-12-29T05:26:50Z</dcterms:modified>
</cp:coreProperties>
</file>