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91440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00" w:right="240" w:hanging="492"/>
        <w:spacing w:after="0" w:line="236" w:lineRule="auto"/>
        <w:tabs>
          <w:tab w:leader="none" w:pos="5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-290195</wp:posOffset>
            </wp:positionV>
            <wp:extent cx="104140" cy="105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2020</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67" w:lineRule="exact"/>
        <w:rPr>
          <w:sz w:val="24"/>
          <w:szCs w:val="24"/>
          <w:color w:val="auto"/>
        </w:rPr>
      </w:pPr>
    </w:p>
    <w:p>
      <w:pPr>
        <w:ind w:left="500" w:right="220" w:hanging="492"/>
        <w:spacing w:after="0" w:line="256" w:lineRule="auto"/>
        <w:tabs>
          <w:tab w:leader="none" w:pos="5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-301625</wp:posOffset>
            </wp:positionV>
            <wp:extent cx="104140" cy="1054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3" w:lineRule="exact"/>
        <w:rPr>
          <w:sz w:val="24"/>
          <w:szCs w:val="24"/>
          <w:color w:val="auto"/>
        </w:rPr>
      </w:pPr>
    </w:p>
    <w:p>
      <w:pPr>
        <w:ind w:left="344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001-36364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9"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Sixth Street Specialty Lending,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8" w:lineRule="exact"/>
        <w:rPr>
          <w:sz w:val="24"/>
          <w:szCs w:val="24"/>
          <w:color w:val="auto"/>
        </w:rPr>
      </w:pPr>
    </w:p>
    <w:tbl>
      <w:tblPr>
        <w:tblLayout w:type="fixed"/>
        <w:tblInd w:w="1440" w:type="dxa"/>
        <w:tblCellMar>
          <w:top w:w="0" w:type="dxa"/>
          <w:left w:w="0" w:type="dxa"/>
          <w:bottom w:w="0" w:type="dxa"/>
          <w:right w:w="0" w:type="dxa"/>
        </w:tblCellMar>
      </w:tblPr>
      <w:tr>
        <w:trPr>
          <w:trHeight w:val="212"/>
        </w:trPr>
        <w:tc>
          <w:tcPr>
            <w:tcW w:w="4600" w:type="dxa"/>
            <w:vAlign w:val="bottom"/>
          </w:tcPr>
          <w:p>
            <w:pPr>
              <w:jc w:val="center"/>
              <w:ind w:right="1759"/>
              <w:spacing w:after="0"/>
              <w:rPr>
                <w:sz w:val="20"/>
                <w:szCs w:val="20"/>
                <w:color w:val="auto"/>
              </w:rPr>
            </w:pPr>
            <w:r>
              <w:rPr>
                <w:rFonts w:ascii="Arial" w:cs="Arial" w:eastAsia="Arial" w:hAnsi="Arial"/>
                <w:sz w:val="18"/>
                <w:szCs w:val="18"/>
                <w:b w:val="1"/>
                <w:bCs w:val="1"/>
                <w:color w:val="auto"/>
                <w:w w:val="91"/>
              </w:rPr>
              <w:t>Delaware</w:t>
            </w:r>
          </w:p>
        </w:tc>
        <w:tc>
          <w:tcPr>
            <w:tcW w:w="2960" w:type="dxa"/>
            <w:vAlign w:val="bottom"/>
          </w:tcPr>
          <w:p>
            <w:pPr>
              <w:jc w:val="right"/>
              <w:ind w:right="61"/>
              <w:spacing w:after="0"/>
              <w:rPr>
                <w:sz w:val="20"/>
                <w:szCs w:val="20"/>
                <w:color w:val="auto"/>
              </w:rPr>
            </w:pPr>
            <w:r>
              <w:rPr>
                <w:rFonts w:ascii="Arial" w:cs="Arial" w:eastAsia="Arial" w:hAnsi="Arial"/>
                <w:sz w:val="18"/>
                <w:szCs w:val="18"/>
                <w:b w:val="1"/>
                <w:bCs w:val="1"/>
                <w:color w:val="auto"/>
              </w:rPr>
              <w:t>27-3380000</w:t>
            </w:r>
          </w:p>
        </w:tc>
      </w:tr>
      <w:tr>
        <w:trPr>
          <w:trHeight w:val="148"/>
        </w:trPr>
        <w:tc>
          <w:tcPr>
            <w:tcW w:w="4600" w:type="dxa"/>
            <w:vAlign w:val="bottom"/>
          </w:tcPr>
          <w:p>
            <w:pPr>
              <w:jc w:val="center"/>
              <w:ind w:right="175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960" w:type="dxa"/>
            <w:vAlign w:val="bottom"/>
          </w:tcPr>
          <w:p>
            <w:pPr>
              <w:jc w:val="center"/>
              <w:ind w:left="176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600" w:type="dxa"/>
            <w:vAlign w:val="bottom"/>
          </w:tcPr>
          <w:p>
            <w:pPr>
              <w:jc w:val="center"/>
              <w:ind w:right="1759"/>
              <w:spacing w:after="0"/>
              <w:rPr>
                <w:sz w:val="20"/>
                <w:szCs w:val="20"/>
                <w:color w:val="auto"/>
              </w:rPr>
            </w:pPr>
            <w:r>
              <w:rPr>
                <w:rFonts w:ascii="Arial" w:cs="Arial" w:eastAsia="Arial" w:hAnsi="Arial"/>
                <w:sz w:val="14"/>
                <w:szCs w:val="14"/>
                <w:b w:val="1"/>
                <w:bCs w:val="1"/>
                <w:color w:val="auto"/>
                <w:w w:val="94"/>
              </w:rPr>
              <w:t>incorporation or organization)</w:t>
            </w:r>
          </w:p>
        </w:tc>
        <w:tc>
          <w:tcPr>
            <w:tcW w:w="2960" w:type="dxa"/>
            <w:vAlign w:val="bottom"/>
          </w:tcPr>
          <w:p>
            <w:pPr>
              <w:jc w:val="center"/>
              <w:ind w:left="1741"/>
              <w:spacing w:after="0"/>
              <w:rPr>
                <w:sz w:val="20"/>
                <w:szCs w:val="20"/>
                <w:color w:val="auto"/>
              </w:rPr>
            </w:pPr>
            <w:r>
              <w:rPr>
                <w:rFonts w:ascii="Arial" w:cs="Arial" w:eastAsia="Arial" w:hAnsi="Arial"/>
                <w:sz w:val="14"/>
                <w:szCs w:val="14"/>
                <w:b w:val="1"/>
                <w:bCs w:val="1"/>
                <w:color w:val="auto"/>
                <w:w w:val="96"/>
              </w:rPr>
              <w:t>Identification No.)</w:t>
            </w:r>
          </w:p>
        </w:tc>
      </w:tr>
      <w:tr>
        <w:trPr>
          <w:trHeight w:val="264"/>
        </w:trPr>
        <w:tc>
          <w:tcPr>
            <w:tcW w:w="4600" w:type="dxa"/>
            <w:vAlign w:val="bottom"/>
          </w:tcPr>
          <w:p>
            <w:pPr>
              <w:jc w:val="center"/>
              <w:ind w:right="1759"/>
              <w:spacing w:after="0"/>
              <w:rPr>
                <w:sz w:val="20"/>
                <w:szCs w:val="20"/>
                <w:color w:val="auto"/>
              </w:rPr>
            </w:pPr>
            <w:r>
              <w:rPr>
                <w:rFonts w:ascii="Arial" w:cs="Arial" w:eastAsia="Arial" w:hAnsi="Arial"/>
                <w:sz w:val="18"/>
                <w:szCs w:val="18"/>
                <w:b w:val="1"/>
                <w:bCs w:val="1"/>
                <w:color w:val="auto"/>
                <w:w w:val="90"/>
              </w:rPr>
              <w:t>2100 McKinney Avenue, Suite 1500,</w:t>
            </w:r>
          </w:p>
        </w:tc>
        <w:tc>
          <w:tcPr>
            <w:tcW w:w="2960" w:type="dxa"/>
            <w:vAlign w:val="bottom"/>
          </w:tcPr>
          <w:p>
            <w:pPr>
              <w:spacing w:after="0"/>
              <w:rPr>
                <w:sz w:val="22"/>
                <w:szCs w:val="22"/>
                <w:color w:val="auto"/>
              </w:rPr>
            </w:pPr>
          </w:p>
        </w:tc>
      </w:tr>
      <w:tr>
        <w:trPr>
          <w:trHeight w:val="212"/>
        </w:trPr>
        <w:tc>
          <w:tcPr>
            <w:tcW w:w="4600" w:type="dxa"/>
            <w:vAlign w:val="bottom"/>
          </w:tcPr>
          <w:p>
            <w:pPr>
              <w:jc w:val="center"/>
              <w:ind w:right="1779"/>
              <w:spacing w:after="0"/>
              <w:rPr>
                <w:sz w:val="20"/>
                <w:szCs w:val="20"/>
                <w:color w:val="auto"/>
              </w:rPr>
            </w:pPr>
            <w:r>
              <w:rPr>
                <w:rFonts w:ascii="Arial" w:cs="Arial" w:eastAsia="Arial" w:hAnsi="Arial"/>
                <w:sz w:val="18"/>
                <w:szCs w:val="18"/>
                <w:b w:val="1"/>
                <w:bCs w:val="1"/>
                <w:color w:val="auto"/>
                <w:w w:val="95"/>
              </w:rPr>
              <w:t>Dallas, TX</w:t>
            </w:r>
          </w:p>
        </w:tc>
        <w:tc>
          <w:tcPr>
            <w:tcW w:w="2960" w:type="dxa"/>
            <w:vAlign w:val="bottom"/>
          </w:tcPr>
          <w:p>
            <w:pPr>
              <w:jc w:val="right"/>
              <w:ind w:right="261"/>
              <w:spacing w:after="0"/>
              <w:rPr>
                <w:sz w:val="20"/>
                <w:szCs w:val="20"/>
                <w:color w:val="auto"/>
              </w:rPr>
            </w:pPr>
            <w:r>
              <w:rPr>
                <w:rFonts w:ascii="Arial" w:cs="Arial" w:eastAsia="Arial" w:hAnsi="Arial"/>
                <w:sz w:val="18"/>
                <w:szCs w:val="18"/>
                <w:b w:val="1"/>
                <w:bCs w:val="1"/>
                <w:color w:val="auto"/>
              </w:rPr>
              <w:t>75201</w:t>
            </w:r>
          </w:p>
        </w:tc>
      </w:tr>
      <w:tr>
        <w:trPr>
          <w:trHeight w:val="186"/>
        </w:trPr>
        <w:tc>
          <w:tcPr>
            <w:tcW w:w="4600" w:type="dxa"/>
            <w:vAlign w:val="bottom"/>
          </w:tcPr>
          <w:p>
            <w:pPr>
              <w:jc w:val="center"/>
              <w:ind w:right="17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960" w:type="dxa"/>
            <w:vAlign w:val="bottom"/>
          </w:tcPr>
          <w:p>
            <w:pPr>
              <w:jc w:val="center"/>
              <w:ind w:left="1741"/>
              <w:spacing w:after="0"/>
              <w:rPr>
                <w:sz w:val="20"/>
                <w:szCs w:val="20"/>
                <w:color w:val="auto"/>
              </w:rPr>
            </w:pPr>
            <w:r>
              <w:rPr>
                <w:rFonts w:ascii="Arial" w:cs="Arial" w:eastAsia="Arial" w:hAnsi="Arial"/>
                <w:sz w:val="14"/>
                <w:szCs w:val="14"/>
                <w:b w:val="1"/>
                <w:bCs w:val="1"/>
                <w:color w:val="auto"/>
                <w:w w:val="95"/>
              </w:rPr>
              <w:t>(Zip Code)</w:t>
            </w:r>
          </w:p>
        </w:tc>
      </w:tr>
    </w:tbl>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(469) 621-3001</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120"/>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112" w:lineRule="exact"/>
        <w:rPr>
          <w:sz w:val="24"/>
          <w:szCs w:val="24"/>
          <w:color w:val="auto"/>
        </w:rPr>
      </w:pPr>
    </w:p>
    <w:tbl>
      <w:tblPr>
        <w:tblLayout w:type="fixed"/>
        <w:tblInd w:w="10" w:type="dxa"/>
        <w:tblCellMar>
          <w:top w:w="0" w:type="dxa"/>
          <w:left w:w="0" w:type="dxa"/>
          <w:bottom w:w="0" w:type="dxa"/>
          <w:right w:w="0" w:type="dxa"/>
        </w:tblCellMar>
      </w:tblPr>
      <w:tr>
        <w:trPr>
          <w:trHeight w:val="162"/>
        </w:trPr>
        <w:tc>
          <w:tcPr>
            <w:tcW w:w="37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3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196"/>
        </w:trPr>
        <w:tc>
          <w:tcPr>
            <w:tcW w:w="3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Common Stock, par value $0.01 per share</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TSLX</w:t>
            </w:r>
          </w:p>
        </w:tc>
        <w:tc>
          <w:tcPr>
            <w:tcW w:w="3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The New York Stock Exchange</w:t>
            </w:r>
          </w:p>
        </w:tc>
      </w:tr>
    </w:tbl>
    <w:p>
      <w:pPr>
        <w:spacing w:after="0" w:line="62" w:lineRule="exact"/>
        <w:rPr>
          <w:sz w:val="24"/>
          <w:szCs w:val="24"/>
          <w:color w:val="auto"/>
        </w:rPr>
      </w:pPr>
    </w:p>
    <w:p>
      <w:pPr>
        <w:ind w:right="22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2" w:lineRule="exact"/>
        <w:rPr>
          <w:sz w:val="24"/>
          <w:szCs w:val="24"/>
          <w:color w:val="auto"/>
        </w:rPr>
      </w:pPr>
    </w:p>
    <w:p>
      <w:pPr>
        <w:ind w:right="10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2" w:lineRule="exact"/>
        <w:rPr>
          <w:sz w:val="24"/>
          <w:szCs w:val="24"/>
          <w:color w:val="auto"/>
        </w:rPr>
      </w:pPr>
    </w:p>
    <w:p>
      <w:pPr>
        <w:ind w:right="44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647" w:right="339" w:bottom="1440" w:gutter="0" w:footer="0" w:header="0"/>
        </w:sectPr>
      </w:pPr>
    </w:p>
    <w:p>
      <w:pPr>
        <w:spacing w:after="0" w:line="92" w:lineRule="exact"/>
        <w:rPr>
          <w:sz w:val="24"/>
          <w:szCs w:val="24"/>
          <w:color w:val="auto"/>
        </w:rPr>
      </w:pPr>
    </w:p>
    <w:p>
      <w:pPr>
        <w:spacing w:after="0" w:line="161" w:lineRule="exact"/>
        <w:tabs>
          <w:tab w:leader="none" w:pos="2860" w:val="left"/>
          <w:tab w:leader="none" w:pos="788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Accelerated filer</w:t>
      </w:r>
    </w:p>
    <w:p>
      <w:pPr>
        <w:spacing w:after="0" w:line="49" w:lineRule="exact"/>
        <w:rPr>
          <w:sz w:val="24"/>
          <w:szCs w:val="24"/>
          <w:color w:val="auto"/>
        </w:rPr>
      </w:pPr>
    </w:p>
    <w:p>
      <w:pPr>
        <w:spacing w:after="0" w:line="161" w:lineRule="exact"/>
        <w:tabs>
          <w:tab w:leader="none" w:pos="2860" w:val="left"/>
          <w:tab w:leader="none" w:pos="7880" w:val="left"/>
        </w:tabs>
        <w:rPr>
          <w:sz w:val="20"/>
          <w:szCs w:val="20"/>
          <w:color w:val="auto"/>
        </w:rPr>
      </w:pP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Smaller reporting company</w:t>
      </w:r>
    </w:p>
    <w:p>
      <w:pPr>
        <w:spacing w:after="0" w:line="31" w:lineRule="exact"/>
        <w:rPr>
          <w:sz w:val="24"/>
          <w:szCs w:val="24"/>
          <w:color w:val="auto"/>
        </w:rPr>
      </w:pPr>
    </w:p>
    <w:p>
      <w:pPr>
        <w:ind w:left="7900"/>
        <w:spacing w:after="0"/>
        <w:rPr>
          <w:sz w:val="20"/>
          <w:szCs w:val="20"/>
          <w:color w:val="auto"/>
        </w:rPr>
      </w:pPr>
      <w:r>
        <w:rPr>
          <w:rFonts w:ascii="Arial" w:cs="Arial" w:eastAsia="Arial" w:hAnsi="Arial"/>
          <w:sz w:val="14"/>
          <w:szCs w:val="14"/>
          <w:color w:val="auto"/>
        </w:rPr>
        <w:t>Emerging growth company</w:t>
      </w:r>
    </w:p>
    <w:p>
      <w:pPr>
        <w:spacing w:after="0" w:line="59"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8" w:lineRule="exact"/>
        <w:rPr>
          <w:sz w:val="24"/>
          <w:szCs w:val="24"/>
          <w:color w:val="auto"/>
        </w:rPr>
      </w:pPr>
    </w:p>
    <w:p>
      <w:pPr>
        <w:jc w:val="both"/>
        <w:ind w:right="3060"/>
        <w:spacing w:after="0" w:line="22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The number of shares of the registrant’s common stock, $.01 par value per share, outstanding at November 3, 2020 was 67,628,140.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762635</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7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3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ectPr>
          <w:pgSz w:w="11900" w:h="16838" w:orient="portrait"/>
          <w:cols w:equalWidth="0" w:num="2">
            <w:col w:w="10680" w:space="80"/>
            <w:col w:w="480"/>
          </w:cols>
          <w:pgMar w:left="320" w:top="647"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SIXTH STREET SPECIALTY LENDING, INC.</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340" w:type="dxa"/>
            <w:vAlign w:val="bottom"/>
            <w:gridSpan w:val="2"/>
            <w:vMerge w:val="restart"/>
          </w:tcPr>
          <w:p>
            <w:pPr>
              <w:ind w:left="3500"/>
              <w:spacing w:after="0"/>
              <w:rPr>
                <w:sz w:val="20"/>
                <w:szCs w:val="20"/>
                <w:color w:val="auto"/>
              </w:rPr>
            </w:pPr>
            <w:r>
              <w:rPr>
                <w:rFonts w:ascii="Arial" w:cs="Arial" w:eastAsia="Arial" w:hAnsi="Arial"/>
                <w:sz w:val="14"/>
                <w:szCs w:val="14"/>
                <w:b w:val="1"/>
                <w:bCs w:val="1"/>
                <w:color w:val="auto"/>
              </w:rPr>
              <w:t>INDEX</w:t>
            </w:r>
          </w:p>
        </w:tc>
        <w:tc>
          <w:tcPr>
            <w:tcW w:w="100" w:type="dxa"/>
            <w:vAlign w:val="bottom"/>
            <w:vMerge w:val="restart"/>
          </w:tcPr>
          <w:p>
            <w:pPr>
              <w:spacing w:after="0"/>
              <w:rPr>
                <w:sz w:val="14"/>
                <w:szCs w:val="14"/>
                <w:color w:val="auto"/>
              </w:rPr>
            </w:pPr>
          </w:p>
        </w:tc>
        <w:tc>
          <w:tcPr>
            <w:tcW w:w="900" w:type="dxa"/>
            <w:vAlign w:val="bottom"/>
          </w:tcPr>
          <w:p>
            <w:pPr>
              <w:jc w:val="right"/>
              <w:ind w:right="172"/>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1"/>
        </w:trPr>
        <w:tc>
          <w:tcPr>
            <w:tcW w:w="104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340" w:type="dxa"/>
            <w:vAlign w:val="bottom"/>
            <w:tcBorders>
              <w:bottom w:val="single" w:sz="8" w:color="auto"/>
            </w:tcBorders>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NO.</w:t>
            </w:r>
          </w:p>
        </w:tc>
        <w:tc>
          <w:tcPr>
            <w:tcW w:w="0" w:type="dxa"/>
            <w:vAlign w:val="bottom"/>
          </w:tcPr>
          <w:p>
            <w:pPr>
              <w:spacing w:after="0"/>
              <w:rPr>
                <w:sz w:val="1"/>
                <w:szCs w:val="1"/>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PART I.</w:t>
            </w:r>
          </w:p>
        </w:tc>
        <w:tc>
          <w:tcPr>
            <w:tcW w:w="9300" w:type="dxa"/>
            <w:vAlign w:val="bottom"/>
            <w:gridSpan w:val="4"/>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FINANCIAL INFORMATION</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11"/>
        </w:trPr>
        <w:tc>
          <w:tcPr>
            <w:tcW w:w="1040" w:type="dxa"/>
            <w:vAlign w:val="bottom"/>
          </w:tcPr>
          <w:p>
            <w:pPr>
              <w:spacing w:after="0"/>
              <w:rPr>
                <w:sz w:val="20"/>
                <w:szCs w:val="20"/>
                <w:color w:val="auto"/>
              </w:rPr>
            </w:pPr>
            <w:r>
              <w:rPr>
                <w:rFonts w:ascii="Arial" w:cs="Arial" w:eastAsia="Arial" w:hAnsi="Arial"/>
                <w:sz w:val="18"/>
                <w:szCs w:val="18"/>
                <w:color w:val="auto"/>
              </w:rPr>
              <w:t>Item 1.</w:t>
            </w:r>
          </w:p>
        </w:tc>
        <w:tc>
          <w:tcPr>
            <w:tcW w:w="9300" w:type="dxa"/>
            <w:vAlign w:val="bottom"/>
            <w:gridSpan w:val="4"/>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Financial Statements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10"/>
        </w:trPr>
        <w:tc>
          <w:tcPr>
            <w:tcW w:w="1040" w:type="dxa"/>
            <w:vAlign w:val="bottom"/>
          </w:tcPr>
          <w:p>
            <w:pPr>
              <w:spacing w:after="0"/>
              <w:rPr>
                <w:sz w:val="24"/>
                <w:szCs w:val="24"/>
                <w:color w:val="auto"/>
              </w:rPr>
            </w:pPr>
          </w:p>
        </w:tc>
        <w:tc>
          <w:tcPr>
            <w:tcW w:w="9300" w:type="dxa"/>
            <w:vAlign w:val="bottom"/>
            <w:gridSpan w:val="4"/>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Balance Sheets as of September 30, 2020 (Unaudited) and December 31, 2019</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11"/>
        </w:trPr>
        <w:tc>
          <w:tcPr>
            <w:tcW w:w="1040" w:type="dxa"/>
            <w:vAlign w:val="bottom"/>
          </w:tcPr>
          <w:p>
            <w:pPr>
              <w:spacing w:after="0"/>
              <w:rPr>
                <w:sz w:val="24"/>
                <w:szCs w:val="24"/>
                <w:color w:val="auto"/>
              </w:rPr>
            </w:pPr>
          </w:p>
        </w:tc>
        <w:tc>
          <w:tcPr>
            <w:tcW w:w="9300" w:type="dxa"/>
            <w:vAlign w:val="bottom"/>
            <w:gridSpan w:val="4"/>
          </w:tcPr>
          <w:p>
            <w:pPr>
              <w:spacing w:after="0"/>
              <w:rPr>
                <w:rFonts w:ascii="Arial" w:cs="Arial" w:eastAsia="Arial" w:hAnsi="Arial"/>
                <w:sz w:val="18"/>
                <w:szCs w:val="18"/>
                <w:u w:val="single" w:color="auto"/>
                <w:color w:val="0000EE"/>
                <w:w w:val="97"/>
              </w:rPr>
            </w:pPr>
            <w:hyperlink w:anchor="page5">
              <w:r>
                <w:rPr>
                  <w:rFonts w:ascii="Arial" w:cs="Arial" w:eastAsia="Arial" w:hAnsi="Arial"/>
                  <w:sz w:val="18"/>
                  <w:szCs w:val="18"/>
                  <w:u w:val="single" w:color="auto"/>
                  <w:color w:val="0000EE"/>
                  <w:w w:val="97"/>
                </w:rPr>
                <w:t>Consolidated Statements of Operations for the three and nine months ended September 30, 2020 and 2019 (Unaudited)</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11"/>
        </w:trPr>
        <w:tc>
          <w:tcPr>
            <w:tcW w:w="1040" w:type="dxa"/>
            <w:vAlign w:val="bottom"/>
          </w:tcPr>
          <w:p>
            <w:pPr>
              <w:spacing w:after="0"/>
              <w:rPr>
                <w:sz w:val="24"/>
                <w:szCs w:val="24"/>
                <w:color w:val="auto"/>
              </w:rPr>
            </w:pPr>
          </w:p>
        </w:tc>
        <w:tc>
          <w:tcPr>
            <w:tcW w:w="9300" w:type="dxa"/>
            <w:vAlign w:val="bottom"/>
            <w:gridSpan w:val="4"/>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Consolidated Schedules of Investments as of September 30, 2020 (Unaudited) and December 31, 2019</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83"/>
        </w:trPr>
        <w:tc>
          <w:tcPr>
            <w:tcW w:w="1040" w:type="dxa"/>
            <w:vAlign w:val="bottom"/>
          </w:tcPr>
          <w:p>
            <w:pPr>
              <w:spacing w:after="0"/>
              <w:rPr>
                <w:sz w:val="24"/>
                <w:szCs w:val="24"/>
                <w:color w:val="auto"/>
              </w:rPr>
            </w:pPr>
          </w:p>
        </w:tc>
        <w:tc>
          <w:tcPr>
            <w:tcW w:w="848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19">
              <w:r>
                <w:rPr>
                  <w:rFonts w:ascii="Arial" w:cs="Arial" w:eastAsia="Arial" w:hAnsi="Arial"/>
                  <w:sz w:val="18"/>
                  <w:szCs w:val="18"/>
                  <w:color w:val="0000EE"/>
                  <w:w w:val="88"/>
                </w:rPr>
                <w:t>Consolidated Statements of Changes in Net Assets for the three and nine months ended September 30, 2020 and 2019</w:t>
              </w:r>
            </w:hyperlink>
          </w:p>
        </w:tc>
        <w:tc>
          <w:tcPr>
            <w:tcW w:w="820" w:type="dxa"/>
            <w:vAlign w:val="bottom"/>
            <w:gridSpan w:val="2"/>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9300" w:type="dxa"/>
            <w:vAlign w:val="bottom"/>
            <w:gridSpan w:val="4"/>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(Unaudited)</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44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40" w:type="dxa"/>
            <w:vAlign w:val="bottom"/>
          </w:tcPr>
          <w:p>
            <w:pPr>
              <w:spacing w:after="0"/>
              <w:rPr>
                <w:sz w:val="24"/>
                <w:szCs w:val="24"/>
                <w:color w:val="auto"/>
              </w:rPr>
            </w:pPr>
          </w:p>
        </w:tc>
        <w:tc>
          <w:tcPr>
            <w:tcW w:w="9300" w:type="dxa"/>
            <w:vAlign w:val="bottom"/>
            <w:gridSpan w:val="4"/>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Consolidated Statements of Cash Flows for the nine months ended September 30, 2020 and 2019 (Unaudited)</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11"/>
        </w:trPr>
        <w:tc>
          <w:tcPr>
            <w:tcW w:w="1040" w:type="dxa"/>
            <w:vAlign w:val="bottom"/>
          </w:tcPr>
          <w:p>
            <w:pPr>
              <w:spacing w:after="0"/>
              <w:rPr>
                <w:sz w:val="24"/>
                <w:szCs w:val="24"/>
                <w:color w:val="auto"/>
              </w:rPr>
            </w:pPr>
          </w:p>
        </w:tc>
        <w:tc>
          <w:tcPr>
            <w:tcW w:w="9300" w:type="dxa"/>
            <w:vAlign w:val="bottom"/>
            <w:gridSpan w:val="4"/>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Notes to Consolidated Financial Statements (Unaudited)</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10"/>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9300" w:type="dxa"/>
            <w:vAlign w:val="bottom"/>
            <w:gridSpan w:val="4"/>
          </w:tcPr>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Management’s Discussion and Analysis of Financial Condition and Results of Operations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311"/>
        </w:trPr>
        <w:tc>
          <w:tcPr>
            <w:tcW w:w="1040" w:type="dxa"/>
            <w:vAlign w:val="bottom"/>
          </w:tcPr>
          <w:p>
            <w:pPr>
              <w:spacing w:after="0"/>
              <w:rPr>
                <w:sz w:val="20"/>
                <w:szCs w:val="20"/>
                <w:color w:val="auto"/>
              </w:rPr>
            </w:pPr>
            <w:r>
              <w:rPr>
                <w:rFonts w:ascii="Arial" w:cs="Arial" w:eastAsia="Arial" w:hAnsi="Arial"/>
                <w:sz w:val="18"/>
                <w:szCs w:val="18"/>
                <w:color w:val="auto"/>
              </w:rPr>
              <w:t>Item 3.</w:t>
            </w:r>
          </w:p>
        </w:tc>
        <w:tc>
          <w:tcPr>
            <w:tcW w:w="9300" w:type="dxa"/>
            <w:vAlign w:val="bottom"/>
            <w:gridSpan w:val="4"/>
          </w:tcPr>
          <w:p>
            <w:pPr>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Quantitative and Qualitative Disclosures About Market Risk</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310"/>
        </w:trPr>
        <w:tc>
          <w:tcPr>
            <w:tcW w:w="1040" w:type="dxa"/>
            <w:vAlign w:val="bottom"/>
          </w:tcPr>
          <w:p>
            <w:pPr>
              <w:spacing w:after="0"/>
              <w:rPr>
                <w:sz w:val="20"/>
                <w:szCs w:val="20"/>
                <w:color w:val="auto"/>
              </w:rPr>
            </w:pPr>
            <w:r>
              <w:rPr>
                <w:rFonts w:ascii="Arial" w:cs="Arial" w:eastAsia="Arial" w:hAnsi="Arial"/>
                <w:sz w:val="18"/>
                <w:szCs w:val="18"/>
                <w:color w:val="auto"/>
              </w:rPr>
              <w:t>Item 4.</w:t>
            </w:r>
          </w:p>
        </w:tc>
        <w:tc>
          <w:tcPr>
            <w:tcW w:w="9300" w:type="dxa"/>
            <w:vAlign w:val="bottom"/>
            <w:gridSpan w:val="4"/>
          </w:tcPr>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Controls and Procedures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311"/>
        </w:trPr>
        <w:tc>
          <w:tcPr>
            <w:tcW w:w="1040" w:type="dxa"/>
            <w:vAlign w:val="bottom"/>
          </w:tcPr>
          <w:p>
            <w:pPr>
              <w:spacing w:after="0"/>
              <w:rPr>
                <w:sz w:val="20"/>
                <w:szCs w:val="20"/>
                <w:color w:val="auto"/>
              </w:rPr>
            </w:pPr>
            <w:r>
              <w:rPr>
                <w:rFonts w:ascii="Arial" w:cs="Arial" w:eastAsia="Arial" w:hAnsi="Arial"/>
                <w:sz w:val="18"/>
                <w:szCs w:val="18"/>
                <w:color w:val="auto"/>
              </w:rPr>
              <w:t>PART II.</w:t>
            </w:r>
          </w:p>
        </w:tc>
        <w:tc>
          <w:tcPr>
            <w:tcW w:w="9300" w:type="dxa"/>
            <w:vAlign w:val="bottom"/>
            <w:gridSpan w:val="4"/>
          </w:tcPr>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OTHER INFORMATION</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311"/>
        </w:trPr>
        <w:tc>
          <w:tcPr>
            <w:tcW w:w="1040" w:type="dxa"/>
            <w:vAlign w:val="bottom"/>
          </w:tcPr>
          <w:p>
            <w:pPr>
              <w:spacing w:after="0"/>
              <w:rPr>
                <w:sz w:val="20"/>
                <w:szCs w:val="20"/>
                <w:color w:val="auto"/>
              </w:rPr>
            </w:pPr>
            <w:r>
              <w:rPr>
                <w:rFonts w:ascii="Arial" w:cs="Arial" w:eastAsia="Arial" w:hAnsi="Arial"/>
                <w:sz w:val="18"/>
                <w:szCs w:val="18"/>
                <w:color w:val="auto"/>
              </w:rPr>
              <w:t>Item 1.</w:t>
            </w:r>
          </w:p>
        </w:tc>
        <w:tc>
          <w:tcPr>
            <w:tcW w:w="9300" w:type="dxa"/>
            <w:vAlign w:val="bottom"/>
            <w:gridSpan w:val="4"/>
          </w:tcPr>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Legal Proceedings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310"/>
        </w:trPr>
        <w:tc>
          <w:tcPr>
            <w:tcW w:w="1040" w:type="dxa"/>
            <w:vAlign w:val="bottom"/>
          </w:tcPr>
          <w:p>
            <w:pPr>
              <w:spacing w:after="0"/>
              <w:rPr>
                <w:sz w:val="20"/>
                <w:szCs w:val="20"/>
                <w:color w:val="auto"/>
              </w:rPr>
            </w:pPr>
            <w:r>
              <w:rPr>
                <w:rFonts w:ascii="Arial" w:cs="Arial" w:eastAsia="Arial" w:hAnsi="Arial"/>
                <w:sz w:val="18"/>
                <w:szCs w:val="18"/>
                <w:color w:val="auto"/>
              </w:rPr>
              <w:t>Item 1A.</w:t>
            </w:r>
          </w:p>
        </w:tc>
        <w:tc>
          <w:tcPr>
            <w:tcW w:w="9300" w:type="dxa"/>
            <w:vAlign w:val="bottom"/>
            <w:gridSpan w:val="4"/>
          </w:tcPr>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Risk Factors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311"/>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9300" w:type="dxa"/>
            <w:vAlign w:val="bottom"/>
            <w:gridSpan w:val="4"/>
          </w:tcPr>
          <w:p>
            <w:pPr>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Unregistered Sales of Equity Securities and Use of Proceeds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310"/>
        </w:trPr>
        <w:tc>
          <w:tcPr>
            <w:tcW w:w="1040" w:type="dxa"/>
            <w:vAlign w:val="bottom"/>
          </w:tcPr>
          <w:p>
            <w:pPr>
              <w:spacing w:after="0"/>
              <w:rPr>
                <w:sz w:val="20"/>
                <w:szCs w:val="20"/>
                <w:color w:val="auto"/>
              </w:rPr>
            </w:pPr>
            <w:r>
              <w:rPr>
                <w:rFonts w:ascii="Arial" w:cs="Arial" w:eastAsia="Arial" w:hAnsi="Arial"/>
                <w:sz w:val="18"/>
                <w:szCs w:val="18"/>
                <w:color w:val="auto"/>
              </w:rPr>
              <w:t>Item 3.</w:t>
            </w:r>
          </w:p>
        </w:tc>
        <w:tc>
          <w:tcPr>
            <w:tcW w:w="9300" w:type="dxa"/>
            <w:vAlign w:val="bottom"/>
            <w:gridSpan w:val="4"/>
          </w:tcPr>
          <w:p>
            <w:pPr>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Defaults Upon Senior Securities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311"/>
        </w:trPr>
        <w:tc>
          <w:tcPr>
            <w:tcW w:w="1040" w:type="dxa"/>
            <w:vAlign w:val="bottom"/>
          </w:tcPr>
          <w:p>
            <w:pPr>
              <w:spacing w:after="0"/>
              <w:rPr>
                <w:sz w:val="20"/>
                <w:szCs w:val="20"/>
                <w:color w:val="auto"/>
              </w:rPr>
            </w:pPr>
            <w:r>
              <w:rPr>
                <w:rFonts w:ascii="Arial" w:cs="Arial" w:eastAsia="Arial" w:hAnsi="Arial"/>
                <w:sz w:val="18"/>
                <w:szCs w:val="18"/>
                <w:color w:val="auto"/>
              </w:rPr>
              <w:t>Item 4.</w:t>
            </w:r>
          </w:p>
        </w:tc>
        <w:tc>
          <w:tcPr>
            <w:tcW w:w="9300" w:type="dxa"/>
            <w:vAlign w:val="bottom"/>
            <w:gridSpan w:val="4"/>
          </w:tcPr>
          <w:p>
            <w:pPr>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Mine Safety Disclosures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310"/>
        </w:trPr>
        <w:tc>
          <w:tcPr>
            <w:tcW w:w="1040" w:type="dxa"/>
            <w:vAlign w:val="bottom"/>
          </w:tcPr>
          <w:p>
            <w:pPr>
              <w:spacing w:after="0"/>
              <w:rPr>
                <w:sz w:val="20"/>
                <w:szCs w:val="20"/>
                <w:color w:val="auto"/>
              </w:rPr>
            </w:pPr>
            <w:r>
              <w:rPr>
                <w:rFonts w:ascii="Arial" w:cs="Arial" w:eastAsia="Arial" w:hAnsi="Arial"/>
                <w:sz w:val="18"/>
                <w:szCs w:val="18"/>
                <w:color w:val="auto"/>
              </w:rPr>
              <w:t>Item 5.</w:t>
            </w:r>
          </w:p>
        </w:tc>
        <w:tc>
          <w:tcPr>
            <w:tcW w:w="9300" w:type="dxa"/>
            <w:vAlign w:val="bottom"/>
            <w:gridSpan w:val="4"/>
          </w:tcPr>
          <w:p>
            <w:pPr>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Other Information</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310"/>
        </w:trPr>
        <w:tc>
          <w:tcPr>
            <w:tcW w:w="1040" w:type="dxa"/>
            <w:vAlign w:val="bottom"/>
          </w:tcPr>
          <w:p>
            <w:pPr>
              <w:spacing w:after="0"/>
              <w:rPr>
                <w:sz w:val="20"/>
                <w:szCs w:val="20"/>
                <w:color w:val="auto"/>
              </w:rPr>
            </w:pPr>
            <w:r>
              <w:rPr>
                <w:rFonts w:ascii="Arial" w:cs="Arial" w:eastAsia="Arial" w:hAnsi="Arial"/>
                <w:sz w:val="18"/>
                <w:szCs w:val="18"/>
                <w:color w:val="auto"/>
              </w:rPr>
              <w:t>Item 6.</w:t>
            </w:r>
          </w:p>
        </w:tc>
        <w:tc>
          <w:tcPr>
            <w:tcW w:w="9300" w:type="dxa"/>
            <w:vAlign w:val="bottom"/>
            <w:gridSpan w:val="4"/>
          </w:tcPr>
          <w:p>
            <w:pPr>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Exhibits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310"/>
        </w:trPr>
        <w:tc>
          <w:tcPr>
            <w:tcW w:w="10340" w:type="dxa"/>
            <w:vAlign w:val="bottom"/>
            <w:gridSpan w:val="5"/>
          </w:tcPr>
          <w:p>
            <w:pPr>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SIGNATURES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right="120" w:firstLine="255"/>
        <w:spacing w:after="0" w:line="293" w:lineRule="auto"/>
        <w:rPr>
          <w:sz w:val="20"/>
          <w:szCs w:val="20"/>
          <w:color w:val="auto"/>
        </w:rPr>
      </w:pPr>
      <w:r>
        <w:rPr>
          <w:rFonts w:ascii="Arial" w:cs="Arial" w:eastAsia="Arial" w:hAnsi="Arial"/>
          <w:sz w:val="16"/>
          <w:szCs w:val="16"/>
          <w:color w:val="auto"/>
        </w:rPr>
        <w:t>This report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64" w:lineRule="exact"/>
        <w:rPr>
          <w:sz w:val="20"/>
          <w:szCs w:val="20"/>
          <w:color w:val="auto"/>
        </w:rPr>
      </w:pPr>
    </w:p>
    <w:p>
      <w:pPr>
        <w:ind w:right="280" w:firstLine="255"/>
        <w:spacing w:after="0" w:line="263" w:lineRule="auto"/>
        <w:rPr>
          <w:sz w:val="20"/>
          <w:szCs w:val="20"/>
          <w:color w:val="auto"/>
        </w:rPr>
      </w:pPr>
      <w:r>
        <w:rPr>
          <w:rFonts w:ascii="Arial" w:cs="Arial" w:eastAsia="Arial" w:hAnsi="Arial"/>
          <w:sz w:val="18"/>
          <w:szCs w:val="18"/>
          <w:color w:val="auto"/>
        </w:rPr>
        <w:t>In addition to factors previously identified elsewhere in the reports and other documents Sixth Street Specialty Lending, Inc. has filed with the Securities and Exchange Commission, or SEC, the following factors, among others, could cause actual results to differ materially from forward-looking statements or historical performance:</w:t>
      </w:r>
    </w:p>
    <w:p>
      <w:pPr>
        <w:spacing w:after="0" w:line="76" w:lineRule="exact"/>
        <w:rPr>
          <w:sz w:val="20"/>
          <w:szCs w:val="20"/>
          <w:color w:val="auto"/>
        </w:rPr>
      </w:pPr>
    </w:p>
    <w:p>
      <w:pPr>
        <w:ind w:left="500" w:right="540" w:hanging="249"/>
        <w:spacing w:after="0" w:line="308" w:lineRule="auto"/>
        <w:tabs>
          <w:tab w:leader="none" w:pos="500" w:val="left"/>
        </w:tabs>
        <w:numPr>
          <w:ilvl w:val="0"/>
          <w:numId w:val="3"/>
        </w:numPr>
        <w:rPr>
          <w:rFonts w:ascii="Arial" w:cs="Arial" w:eastAsia="Arial" w:hAnsi="Arial"/>
          <w:sz w:val="17"/>
          <w:szCs w:val="17"/>
          <w:color w:val="auto"/>
        </w:rPr>
      </w:pPr>
      <w:r>
        <w:rPr>
          <w:rFonts w:ascii="Arial" w:cs="Arial" w:eastAsia="Arial" w:hAnsi="Arial"/>
          <w:sz w:val="17"/>
          <w:szCs w:val="17"/>
          <w:color w:val="auto"/>
        </w:rPr>
        <w:t>an economic downturn, including the current and future economic effects of the COVID-19 pandemic, could impair our portfolio companies’ abilities to continue to operate, which could lead to the loss of some or all of our investments in those portfolio companies;</w:t>
      </w:r>
    </w:p>
    <w:p>
      <w:pPr>
        <w:spacing w:after="0" w:line="38" w:lineRule="exact"/>
        <w:rPr>
          <w:rFonts w:ascii="Arial" w:cs="Arial" w:eastAsia="Arial" w:hAnsi="Arial"/>
          <w:sz w:val="17"/>
          <w:szCs w:val="17"/>
          <w:color w:val="auto"/>
        </w:rPr>
      </w:pPr>
    </w:p>
    <w:p>
      <w:pPr>
        <w:ind w:left="500" w:right="240" w:hanging="249"/>
        <w:spacing w:after="0" w:line="342" w:lineRule="auto"/>
        <w:tabs>
          <w:tab w:leader="none" w:pos="500" w:val="left"/>
        </w:tabs>
        <w:numPr>
          <w:ilvl w:val="0"/>
          <w:numId w:val="3"/>
        </w:numPr>
        <w:rPr>
          <w:rFonts w:ascii="Arial" w:cs="Arial" w:eastAsia="Arial" w:hAnsi="Arial"/>
          <w:sz w:val="16"/>
          <w:szCs w:val="16"/>
          <w:color w:val="auto"/>
        </w:rPr>
      </w:pPr>
      <w:r>
        <w:rPr>
          <w:rFonts w:ascii="Arial" w:cs="Arial" w:eastAsia="Arial" w:hAnsi="Arial"/>
          <w:sz w:val="16"/>
          <w:szCs w:val="16"/>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15" w:lineRule="exact"/>
        <w:rPr>
          <w:rFonts w:ascii="Arial" w:cs="Arial" w:eastAsia="Arial" w:hAnsi="Arial"/>
          <w:sz w:val="16"/>
          <w:szCs w:val="16"/>
          <w:color w:val="auto"/>
        </w:rPr>
      </w:pPr>
    </w:p>
    <w:p>
      <w:pPr>
        <w:ind w:left="500" w:hanging="249"/>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such an economic downturn could also impact availability and pricing of our financing;</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inability to access the capital markets could impair our ability to raise capital and our investment activities; and</w:t>
      </w:r>
    </w:p>
    <w:p>
      <w:pPr>
        <w:spacing w:after="0" w:line="117" w:lineRule="exact"/>
        <w:rPr>
          <w:rFonts w:ascii="Arial" w:cs="Arial" w:eastAsia="Arial" w:hAnsi="Arial"/>
          <w:sz w:val="18"/>
          <w:szCs w:val="18"/>
          <w:color w:val="auto"/>
        </w:rPr>
      </w:pPr>
    </w:p>
    <w:p>
      <w:pPr>
        <w:ind w:left="500" w:right="120" w:hanging="249"/>
        <w:spacing w:after="0" w:line="263"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risks, uncertainties and other factors we identify in the section entitled “Risk Factors” in this report, in our Annual Report on Form 10-K for the year ended December 31, 2019, filed with the SEC on February 19, 2020, in our Quarterly Report on Form 10-Q for the quarter ending June 30, 2020, filed with the SEC on August 4, 2020, and elsewhere in our filings with the SEC.</w:t>
      </w:r>
    </w:p>
    <w:p>
      <w:pPr>
        <w:spacing w:after="0" w:line="184" w:lineRule="exact"/>
        <w:rPr>
          <w:sz w:val="20"/>
          <w:szCs w:val="20"/>
          <w:color w:val="auto"/>
        </w:rPr>
      </w:pPr>
    </w:p>
    <w:p>
      <w:pPr>
        <w:ind w:right="20" w:firstLine="255"/>
        <w:spacing w:after="0" w:line="273" w:lineRule="auto"/>
        <w:rPr>
          <w:sz w:val="20"/>
          <w:szCs w:val="20"/>
          <w:color w:val="auto"/>
        </w:rPr>
      </w:pPr>
      <w:r>
        <w:rPr>
          <w:rFonts w:ascii="Arial" w:cs="Arial" w:eastAsia="Arial" w:hAnsi="Arial"/>
          <w:sz w:val="17"/>
          <w:szCs w:val="17"/>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report should not be regarded as a representation by us that our plans and objectives will be achieved. You should not place undue reliance on these forward-looking statements, which apply only as of the date of this report. We do not undertake any obligation to update or revise any forward-looking statements or any other information contained herein, except as required by applicable law.</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“TSLX” and “TAO” marks are marks of Sixth Street. Sixth Street and TPG are no longer affiliates, and accordingly, TPG is not an affiliate of ours.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products and services referred to herein are managed exclusively by Sixth Street, which is entirely responsible for their nature and performance.</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Sixth Street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3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9"/>
              </w:rPr>
              <w:t>Non-controlled, non-affiliated investments (amortized cost of $2,010,422 and $2,099,781,</w:t>
            </w:r>
          </w:p>
        </w:tc>
        <w:tc>
          <w:tcPr>
            <w:tcW w:w="2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respectively)</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2,066,866</w:t>
            </w:r>
          </w:p>
        </w:tc>
        <w:tc>
          <w:tcPr>
            <w:tcW w:w="28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2,147,876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320" w:type="dxa"/>
            <w:vAlign w:val="bottom"/>
          </w:tcPr>
          <w:p>
            <w:pPr>
              <w:ind w:left="260"/>
              <w:spacing w:after="0"/>
              <w:rPr>
                <w:sz w:val="20"/>
                <w:szCs w:val="20"/>
                <w:color w:val="auto"/>
              </w:rPr>
            </w:pPr>
            <w:r>
              <w:rPr>
                <w:rFonts w:ascii="Arial" w:cs="Arial" w:eastAsia="Arial" w:hAnsi="Arial"/>
                <w:sz w:val="18"/>
                <w:szCs w:val="18"/>
                <w:color w:val="auto"/>
              </w:rPr>
              <w:t>Non-controlled, affiliated investments (amortized cost of $0 and $49,445, respectively)</w:t>
            </w:r>
          </w:p>
        </w:tc>
        <w:tc>
          <w:tcPr>
            <w:tcW w:w="260" w:type="dxa"/>
            <w:vAlign w:val="bottom"/>
          </w:tcPr>
          <w:p>
            <w:pPr>
              <w:spacing w:after="0"/>
              <w:rPr>
                <w:sz w:val="19"/>
                <w:szCs w:val="19"/>
                <w:color w:val="auto"/>
              </w:rPr>
            </w:pPr>
          </w:p>
        </w:tc>
        <w:tc>
          <w:tcPr>
            <w:tcW w:w="1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50,136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Controlled, affiliated investments (amortized cost of $89,185 and $88,811, respectively)</w:t>
            </w:r>
          </w:p>
        </w:tc>
        <w:tc>
          <w:tcPr>
            <w:tcW w:w="26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33,899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47,916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Total investments at fair value (amortized cost of $2,099,607 and $2,238,037, respectively)</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2,100,765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2,245,928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(restricted cash of $11,815 and $9,315, respectively)</w:t>
            </w:r>
          </w:p>
        </w:tc>
        <w:tc>
          <w:tcPr>
            <w:tcW w:w="2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15,660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Interest receivable</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9,952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13,055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 and other assets</w:t>
            </w:r>
          </w:p>
        </w:tc>
        <w:tc>
          <w:tcPr>
            <w:tcW w:w="26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10,272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32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2,136,649</w:t>
            </w:r>
          </w:p>
        </w:tc>
        <w:tc>
          <w:tcPr>
            <w:tcW w:w="2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2,280,931</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2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20" w:type="dxa"/>
            <w:vAlign w:val="bottom"/>
          </w:tcPr>
          <w:p>
            <w:pPr>
              <w:spacing w:after="0"/>
              <w:rPr>
                <w:sz w:val="20"/>
                <w:szCs w:val="20"/>
                <w:color w:val="auto"/>
              </w:rPr>
            </w:pPr>
            <w:r>
              <w:rPr>
                <w:rFonts w:ascii="Arial" w:cs="Arial" w:eastAsia="Arial" w:hAnsi="Arial"/>
                <w:sz w:val="18"/>
                <w:szCs w:val="18"/>
                <w:color w:val="auto"/>
              </w:rPr>
              <w:t>Debt (net of deferred financing costs of $18,438 and $18,471, respectively)</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929,380</w:t>
            </w:r>
          </w:p>
        </w:tc>
        <w:tc>
          <w:tcPr>
            <w:tcW w:w="280" w:type="dxa"/>
            <w:vAlign w:val="bottom"/>
          </w:tcPr>
          <w:p>
            <w:pPr>
              <w:spacing w:after="0"/>
              <w:rPr>
                <w:sz w:val="19"/>
                <w:szCs w:val="19"/>
                <w:color w:val="auto"/>
              </w:rPr>
            </w:pPr>
          </w:p>
        </w:tc>
        <w:tc>
          <w:tcPr>
            <w:tcW w:w="280" w:type="dxa"/>
            <w:vAlign w:val="bottom"/>
            <w:gridSpan w:val="2"/>
          </w:tcPr>
          <w:p>
            <w:pPr>
              <w:jc w:val="right"/>
              <w:ind w:right="107"/>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1,094,467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Management fees payable to affiliate</w:t>
            </w:r>
          </w:p>
        </w:tc>
        <w:tc>
          <w:tcPr>
            <w:tcW w:w="2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7,839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Incentive fees payable to affiliate</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8,719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7,161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Dividends payable</w:t>
            </w:r>
          </w:p>
        </w:tc>
        <w:tc>
          <w:tcPr>
            <w:tcW w:w="2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27,728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Other payables to affiliate</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3,166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1,948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18,597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Liabilities</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995,429</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1,161,634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8)</w:t>
            </w:r>
          </w:p>
        </w:tc>
        <w:tc>
          <w:tcPr>
            <w:tcW w:w="26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b w:val="1"/>
                <w:bCs w:val="1"/>
                <w:color w:val="auto"/>
              </w:rPr>
              <w:t>Net Assets</w:t>
            </w: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Preferred stock, $0.01 par value; 100,000,000 shares authorized; no shares</w:t>
            </w:r>
          </w:p>
        </w:tc>
        <w:tc>
          <w:tcPr>
            <w:tcW w:w="2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issued and outstanding</w:t>
            </w:r>
          </w:p>
        </w:tc>
        <w:tc>
          <w:tcPr>
            <w:tcW w:w="260" w:type="dxa"/>
            <w:vAlign w:val="bottom"/>
            <w:shd w:val="clear" w:color="auto" w:fill="CFF0FC"/>
          </w:tcPr>
          <w:p>
            <w:pPr>
              <w:spacing w:after="0"/>
              <w:rPr>
                <w:sz w:val="20"/>
                <w:szCs w:val="20"/>
                <w:color w:val="auto"/>
              </w:rPr>
            </w:pPr>
          </w:p>
        </w:tc>
        <w:tc>
          <w:tcPr>
            <w:tcW w:w="17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320" w:type="dxa"/>
            <w:vAlign w:val="bottom"/>
          </w:tcPr>
          <w:p>
            <w:pPr>
              <w:spacing w:after="0"/>
              <w:rPr>
                <w:sz w:val="20"/>
                <w:szCs w:val="20"/>
                <w:color w:val="auto"/>
              </w:rPr>
            </w:pPr>
            <w:r>
              <w:rPr>
                <w:rFonts w:ascii="Arial" w:cs="Arial" w:eastAsia="Arial" w:hAnsi="Arial"/>
                <w:sz w:val="18"/>
                <w:szCs w:val="18"/>
                <w:color w:val="auto"/>
              </w:rPr>
              <w:t>Common stock, $0.01 par value; 400,000,000 shares authorized, 67,924,184 and</w:t>
            </w: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40"/>
              <w:spacing w:after="0"/>
              <w:rPr>
                <w:sz w:val="20"/>
                <w:szCs w:val="20"/>
                <w:color w:val="auto"/>
              </w:rPr>
            </w:pPr>
            <w:r>
              <w:rPr>
                <w:rFonts w:ascii="Arial" w:cs="Arial" w:eastAsia="Arial" w:hAnsi="Arial"/>
                <w:sz w:val="18"/>
                <w:szCs w:val="18"/>
                <w:color w:val="auto"/>
              </w:rPr>
              <w:t>66,613,671 shares issued, respectively; and 67,628,140 and 66,524,591 shares</w:t>
            </w: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140"/>
              <w:spacing w:after="0"/>
              <w:rPr>
                <w:sz w:val="20"/>
                <w:szCs w:val="20"/>
                <w:color w:val="auto"/>
              </w:rPr>
            </w:pPr>
            <w:r>
              <w:rPr>
                <w:rFonts w:ascii="Arial" w:cs="Arial" w:eastAsia="Arial" w:hAnsi="Arial"/>
                <w:sz w:val="18"/>
                <w:szCs w:val="18"/>
                <w:color w:val="auto"/>
              </w:rPr>
              <w:t>outstanding, respectively</w:t>
            </w:r>
          </w:p>
        </w:tc>
        <w:tc>
          <w:tcPr>
            <w:tcW w:w="2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679</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1,028,532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1,009,270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Treasury stock at cost; 296,044 and 89,080 shares held, respectively</w:t>
            </w:r>
          </w:p>
        </w:tc>
        <w:tc>
          <w:tcPr>
            <w:tcW w:w="260" w:type="dxa"/>
            <w:vAlign w:val="bottom"/>
          </w:tcPr>
          <w:p>
            <w:pPr>
              <w:spacing w:after="0"/>
              <w:rPr>
                <w:sz w:val="19"/>
                <w:szCs w:val="19"/>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(4,291)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Distributable earnings</w:t>
            </w:r>
          </w:p>
        </w:tc>
        <w:tc>
          <w:tcPr>
            <w:tcW w:w="26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116,300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110,720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Net Assets</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1,141,220</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1,119,297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Total Liabilities and Net Assets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2,136,649</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2,280,931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vMerge w:val="restart"/>
          </w:tcPr>
          <w:p>
            <w:pPr>
              <w:ind w:left="500"/>
              <w:spacing w:after="0"/>
              <w:rPr>
                <w:sz w:val="20"/>
                <w:szCs w:val="20"/>
                <w:color w:val="auto"/>
              </w:rPr>
            </w:pPr>
            <w:r>
              <w:rPr>
                <w:rFonts w:ascii="Arial" w:cs="Arial" w:eastAsia="Arial" w:hAnsi="Arial"/>
                <w:sz w:val="18"/>
                <w:szCs w:val="18"/>
                <w:b w:val="1"/>
                <w:bCs w:val="1"/>
                <w:color w:val="auto"/>
              </w:rPr>
              <w:t>Net Asset Value Per Share</w:t>
            </w:r>
          </w:p>
        </w:tc>
        <w:tc>
          <w:tcPr>
            <w:tcW w:w="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20" w:type="dxa"/>
            <w:vAlign w:val="bottom"/>
            <w:vMerge w:val="continue"/>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16.87</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Sixth Street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20" w:type="dxa"/>
            <w:vAlign w:val="bottom"/>
            <w:gridSpan w:val="5"/>
          </w:tcPr>
          <w:p>
            <w:pPr>
              <w:jc w:val="right"/>
              <w:ind w:right="1060"/>
              <w:spacing w:after="0"/>
              <w:rPr>
                <w:sz w:val="20"/>
                <w:szCs w:val="20"/>
                <w:color w:val="auto"/>
              </w:rPr>
            </w:pPr>
            <w:r>
              <w:rPr>
                <w:rFonts w:ascii="Arial" w:cs="Arial" w:eastAsia="Arial" w:hAnsi="Arial"/>
                <w:sz w:val="13"/>
                <w:szCs w:val="13"/>
                <w:b w:val="1"/>
                <w:bCs w:val="1"/>
                <w:color w:val="auto"/>
              </w:rPr>
              <w:t>Three Months Ended</w:t>
            </w:r>
          </w:p>
        </w:tc>
        <w:tc>
          <w:tcPr>
            <w:tcW w:w="80" w:type="dxa"/>
            <w:vAlign w:val="bottom"/>
          </w:tcPr>
          <w:p>
            <w:pPr>
              <w:spacing w:after="0"/>
              <w:rPr>
                <w:sz w:val="13"/>
                <w:szCs w:val="13"/>
                <w:color w:val="auto"/>
              </w:rPr>
            </w:pPr>
          </w:p>
        </w:tc>
        <w:tc>
          <w:tcPr>
            <w:tcW w:w="2840" w:type="dxa"/>
            <w:vAlign w:val="bottom"/>
            <w:gridSpan w:val="5"/>
          </w:tcPr>
          <w:p>
            <w:pPr>
              <w:jc w:val="right"/>
              <w:ind w:right="980"/>
              <w:spacing w:after="0"/>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153"/>
        </w:trPr>
        <w:tc>
          <w:tcPr>
            <w:tcW w:w="4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w w:val="85"/>
              </w:rPr>
              <w:t>September 30, 2020</w:t>
            </w:r>
          </w:p>
        </w:tc>
        <w:tc>
          <w:tcPr>
            <w:tcW w:w="80" w:type="dxa"/>
            <w:vAlign w:val="bottom"/>
          </w:tcPr>
          <w:p>
            <w:pPr>
              <w:spacing w:after="0"/>
              <w:rPr>
                <w:sz w:val="13"/>
                <w:szCs w:val="13"/>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w w:val="85"/>
              </w:rPr>
              <w:t>September 30, 2019</w:t>
            </w:r>
          </w:p>
        </w:tc>
        <w:tc>
          <w:tcPr>
            <w:tcW w:w="80" w:type="dxa"/>
            <w:vAlign w:val="bottom"/>
          </w:tcPr>
          <w:p>
            <w:pPr>
              <w:spacing w:after="0"/>
              <w:rPr>
                <w:sz w:val="13"/>
                <w:szCs w:val="13"/>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w w:val="87"/>
              </w:rPr>
              <w:t>September 30, 2020</w:t>
            </w:r>
          </w:p>
        </w:tc>
        <w:tc>
          <w:tcPr>
            <w:tcW w:w="80" w:type="dxa"/>
            <w:vAlign w:val="bottom"/>
          </w:tcPr>
          <w:p>
            <w:pPr>
              <w:spacing w:after="0"/>
              <w:rPr>
                <w:sz w:val="13"/>
                <w:szCs w:val="13"/>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87"/>
              </w:rPr>
              <w:t>September 30, 2019</w:t>
            </w:r>
          </w:p>
        </w:tc>
        <w:tc>
          <w:tcPr>
            <w:tcW w:w="0" w:type="dxa"/>
            <w:vAlign w:val="bottom"/>
          </w:tcPr>
          <w:p>
            <w:pPr>
              <w:spacing w:after="0"/>
              <w:rPr>
                <w:sz w:val="1"/>
                <w:szCs w:val="1"/>
                <w:color w:val="auto"/>
              </w:rPr>
            </w:pPr>
          </w:p>
        </w:tc>
      </w:tr>
      <w:tr>
        <w:trPr>
          <w:trHeight w:val="156"/>
        </w:trPr>
        <w:tc>
          <w:tcPr>
            <w:tcW w:w="4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3"/>
                <w:szCs w:val="13"/>
                <w:b w:val="1"/>
                <w:bCs w:val="1"/>
                <w:color w:val="auto"/>
              </w:rPr>
              <w:t>Income</w:t>
            </w:r>
          </w:p>
        </w:tc>
        <w:tc>
          <w:tcPr>
            <w:tcW w:w="4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116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118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120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120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880" w:type="dxa"/>
            <w:vAlign w:val="bottom"/>
          </w:tcPr>
          <w:p>
            <w:pPr>
              <w:spacing w:after="0"/>
              <w:rPr>
                <w:sz w:val="20"/>
                <w:szCs w:val="20"/>
                <w:color w:val="auto"/>
              </w:rPr>
            </w:pPr>
            <w:r>
              <w:rPr>
                <w:rFonts w:ascii="Arial" w:cs="Arial" w:eastAsia="Arial" w:hAnsi="Arial"/>
                <w:sz w:val="13"/>
                <w:szCs w:val="13"/>
                <w:color w:val="auto"/>
              </w:rPr>
              <w:t>Investment income from non-controlled, non-affiliated investments:</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Interest from investments</w:t>
            </w: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59,786</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64,451</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181,667</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168,606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80" w:type="dxa"/>
            <w:vAlign w:val="bottom"/>
          </w:tcPr>
          <w:p>
            <w:pPr>
              <w:ind w:left="260"/>
              <w:spacing w:after="0"/>
              <w:rPr>
                <w:sz w:val="20"/>
                <w:szCs w:val="20"/>
                <w:color w:val="auto"/>
              </w:rPr>
            </w:pPr>
            <w:r>
              <w:rPr>
                <w:rFonts w:ascii="Arial" w:cs="Arial" w:eastAsia="Arial" w:hAnsi="Arial"/>
                <w:sz w:val="13"/>
                <w:szCs w:val="13"/>
                <w:color w:val="auto"/>
              </w:rPr>
              <w:t>Dividend income</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463</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1,339</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Other income</w:t>
            </w:r>
          </w:p>
        </w:tc>
        <w:tc>
          <w:tcPr>
            <w:tcW w:w="44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8,080</w:t>
            </w:r>
          </w:p>
        </w:tc>
        <w:tc>
          <w:tcPr>
            <w:tcW w:w="26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2,712</w:t>
            </w:r>
          </w:p>
        </w:tc>
        <w:tc>
          <w:tcPr>
            <w:tcW w:w="24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17,306</w:t>
            </w:r>
          </w:p>
        </w:tc>
        <w:tc>
          <w:tcPr>
            <w:tcW w:w="24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6,730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880" w:type="dxa"/>
            <w:vAlign w:val="bottom"/>
          </w:tcPr>
          <w:p>
            <w:pPr>
              <w:ind w:left="500"/>
              <w:spacing w:after="0"/>
              <w:rPr>
                <w:sz w:val="20"/>
                <w:szCs w:val="20"/>
                <w:color w:val="auto"/>
              </w:rPr>
            </w:pPr>
            <w:r>
              <w:rPr>
                <w:rFonts w:ascii="Arial" w:cs="Arial" w:eastAsia="Arial" w:hAnsi="Arial"/>
                <w:sz w:val="13"/>
                <w:szCs w:val="13"/>
                <w:color w:val="auto"/>
              </w:rPr>
              <w:t>Total investment income from non-controlled, non-affiliated investments</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68,329</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67,163</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200,312</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175,337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880" w:type="dxa"/>
            <w:vAlign w:val="bottom"/>
            <w:shd w:val="clear" w:color="auto" w:fill="CFF0FC"/>
          </w:tcPr>
          <w:p>
            <w:pPr>
              <w:spacing w:after="0"/>
              <w:rPr>
                <w:sz w:val="20"/>
                <w:szCs w:val="20"/>
                <w:color w:val="auto"/>
              </w:rPr>
            </w:pPr>
            <w:r>
              <w:rPr>
                <w:rFonts w:ascii="Arial" w:cs="Arial" w:eastAsia="Arial" w:hAnsi="Arial"/>
                <w:sz w:val="13"/>
                <w:szCs w:val="13"/>
                <w:color w:val="auto"/>
              </w:rPr>
              <w:t>Investment income from non-controlled, affiliated investments:</w:t>
            </w:r>
          </w:p>
        </w:tc>
        <w:tc>
          <w:tcPr>
            <w:tcW w:w="4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80" w:type="dxa"/>
            <w:vAlign w:val="bottom"/>
          </w:tcPr>
          <w:p>
            <w:pPr>
              <w:ind w:left="260"/>
              <w:spacing w:after="0"/>
              <w:rPr>
                <w:sz w:val="20"/>
                <w:szCs w:val="20"/>
                <w:color w:val="auto"/>
              </w:rPr>
            </w:pPr>
            <w:r>
              <w:rPr>
                <w:rFonts w:ascii="Arial" w:cs="Arial" w:eastAsia="Arial" w:hAnsi="Arial"/>
                <w:sz w:val="13"/>
                <w:szCs w:val="13"/>
                <w:color w:val="auto"/>
              </w:rPr>
              <w:t>Interest from investments</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2,069</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1,332</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4,551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5,093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Other income</w:t>
            </w:r>
          </w:p>
        </w:tc>
        <w:tc>
          <w:tcPr>
            <w:tcW w:w="44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22</w:t>
            </w:r>
          </w:p>
        </w:tc>
        <w:tc>
          <w:tcPr>
            <w:tcW w:w="26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19</w:t>
            </w:r>
          </w:p>
        </w:tc>
        <w:tc>
          <w:tcPr>
            <w:tcW w:w="24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59</w:t>
            </w:r>
          </w:p>
        </w:tc>
        <w:tc>
          <w:tcPr>
            <w:tcW w:w="24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880" w:type="dxa"/>
            <w:vAlign w:val="bottom"/>
          </w:tcPr>
          <w:p>
            <w:pPr>
              <w:ind w:left="500"/>
              <w:spacing w:after="0"/>
              <w:rPr>
                <w:sz w:val="20"/>
                <w:szCs w:val="20"/>
                <w:color w:val="auto"/>
              </w:rPr>
            </w:pPr>
            <w:r>
              <w:rPr>
                <w:rFonts w:ascii="Arial" w:cs="Arial" w:eastAsia="Arial" w:hAnsi="Arial"/>
                <w:sz w:val="13"/>
                <w:szCs w:val="13"/>
                <w:color w:val="auto"/>
              </w:rPr>
              <w:t>Total investment income from non-controlled, affiliated investments</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2,091</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1,351</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4,610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5,162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880" w:type="dxa"/>
            <w:vAlign w:val="bottom"/>
            <w:shd w:val="clear" w:color="auto" w:fill="CFF0FC"/>
          </w:tcPr>
          <w:p>
            <w:pPr>
              <w:spacing w:after="0"/>
              <w:rPr>
                <w:sz w:val="20"/>
                <w:szCs w:val="20"/>
                <w:color w:val="auto"/>
              </w:rPr>
            </w:pPr>
            <w:r>
              <w:rPr>
                <w:rFonts w:ascii="Arial" w:cs="Arial" w:eastAsia="Arial" w:hAnsi="Arial"/>
                <w:sz w:val="13"/>
                <w:szCs w:val="13"/>
                <w:color w:val="auto"/>
              </w:rPr>
              <w:t>Investment income from controlled, affiliated investments:</w:t>
            </w:r>
          </w:p>
        </w:tc>
        <w:tc>
          <w:tcPr>
            <w:tcW w:w="4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80" w:type="dxa"/>
            <w:vAlign w:val="bottom"/>
          </w:tcPr>
          <w:p>
            <w:pPr>
              <w:ind w:left="260"/>
              <w:spacing w:after="0"/>
              <w:rPr>
                <w:sz w:val="20"/>
                <w:szCs w:val="20"/>
                <w:color w:val="auto"/>
              </w:rPr>
            </w:pPr>
            <w:r>
              <w:rPr>
                <w:rFonts w:ascii="Arial" w:cs="Arial" w:eastAsia="Arial" w:hAnsi="Arial"/>
                <w:sz w:val="13"/>
                <w:szCs w:val="13"/>
                <w:color w:val="auto"/>
              </w:rPr>
              <w:t>Interest from investments</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895</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1,535</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2,893</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4,454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Other income</w:t>
            </w:r>
          </w:p>
        </w:tc>
        <w:tc>
          <w:tcPr>
            <w:tcW w:w="44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26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24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w:t>
            </w:r>
          </w:p>
        </w:tc>
        <w:tc>
          <w:tcPr>
            <w:tcW w:w="24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880" w:type="dxa"/>
            <w:vAlign w:val="bottom"/>
            <w:tcBorders>
              <w:bottom w:val="single" w:sz="8" w:color="CFF0FC"/>
            </w:tcBorders>
          </w:tcPr>
          <w:p>
            <w:pPr>
              <w:ind w:left="500"/>
              <w:spacing w:after="0"/>
              <w:rPr>
                <w:sz w:val="20"/>
                <w:szCs w:val="20"/>
                <w:color w:val="auto"/>
              </w:rPr>
            </w:pPr>
            <w:r>
              <w:rPr>
                <w:rFonts w:ascii="Arial" w:cs="Arial" w:eastAsia="Arial" w:hAnsi="Arial"/>
                <w:sz w:val="13"/>
                <w:szCs w:val="13"/>
                <w:color w:val="auto"/>
              </w:rPr>
              <w:t>Total investment income from controlled, affiliated investments</w:t>
            </w:r>
          </w:p>
        </w:tc>
        <w:tc>
          <w:tcPr>
            <w:tcW w:w="44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896</w:t>
            </w:r>
          </w:p>
        </w:tc>
        <w:tc>
          <w:tcPr>
            <w:tcW w:w="26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1,536</w:t>
            </w:r>
          </w:p>
        </w:tc>
        <w:tc>
          <w:tcPr>
            <w:tcW w:w="24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2,897</w:t>
            </w:r>
          </w:p>
        </w:tc>
        <w:tc>
          <w:tcPr>
            <w:tcW w:w="24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4,464</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880" w:type="dxa"/>
            <w:vAlign w:val="bottom"/>
            <w:shd w:val="clear" w:color="auto" w:fill="CFF0FC"/>
          </w:tcPr>
          <w:p>
            <w:pPr>
              <w:ind w:left="740"/>
              <w:spacing w:after="0"/>
              <w:rPr>
                <w:sz w:val="20"/>
                <w:szCs w:val="20"/>
                <w:color w:val="auto"/>
              </w:rPr>
            </w:pPr>
            <w:r>
              <w:rPr>
                <w:rFonts w:ascii="Arial" w:cs="Arial" w:eastAsia="Arial" w:hAnsi="Arial"/>
                <w:sz w:val="13"/>
                <w:szCs w:val="13"/>
                <w:b w:val="1"/>
                <w:bCs w:val="1"/>
                <w:color w:val="auto"/>
              </w:rPr>
              <w:t>Total Investment Income</w:t>
            </w:r>
          </w:p>
        </w:tc>
        <w:tc>
          <w:tcPr>
            <w:tcW w:w="44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71,316</w:t>
            </w:r>
          </w:p>
        </w:tc>
        <w:tc>
          <w:tcPr>
            <w:tcW w:w="26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70,050</w:t>
            </w:r>
          </w:p>
        </w:tc>
        <w:tc>
          <w:tcPr>
            <w:tcW w:w="24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207,819</w:t>
            </w:r>
          </w:p>
        </w:tc>
        <w:tc>
          <w:tcPr>
            <w:tcW w:w="24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184,963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880" w:type="dxa"/>
            <w:vAlign w:val="bottom"/>
          </w:tcPr>
          <w:p>
            <w:pPr>
              <w:spacing w:after="0"/>
              <w:rPr>
                <w:sz w:val="20"/>
                <w:szCs w:val="20"/>
                <w:color w:val="auto"/>
              </w:rPr>
            </w:pPr>
            <w:r>
              <w:rPr>
                <w:rFonts w:ascii="Arial" w:cs="Arial" w:eastAsia="Arial" w:hAnsi="Arial"/>
                <w:sz w:val="13"/>
                <w:szCs w:val="13"/>
                <w:b w:val="1"/>
                <w:bCs w:val="1"/>
                <w:color w:val="auto"/>
              </w:rPr>
              <w:t>Expenses</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880" w:type="dxa"/>
            <w:vAlign w:val="bottom"/>
            <w:shd w:val="clear" w:color="auto" w:fill="CFF0FC"/>
          </w:tcPr>
          <w:p>
            <w:pPr>
              <w:spacing w:after="0"/>
              <w:rPr>
                <w:sz w:val="20"/>
                <w:szCs w:val="20"/>
                <w:color w:val="auto"/>
              </w:rPr>
            </w:pPr>
            <w:r>
              <w:rPr>
                <w:rFonts w:ascii="Arial" w:cs="Arial" w:eastAsia="Arial" w:hAnsi="Arial"/>
                <w:sz w:val="13"/>
                <w:szCs w:val="13"/>
                <w:color w:val="auto"/>
              </w:rPr>
              <w:t>Interest</w:t>
            </w:r>
          </w:p>
        </w:tc>
        <w:tc>
          <w:tcPr>
            <w:tcW w:w="4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8,399</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12,570</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31,159</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35,664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80" w:type="dxa"/>
            <w:vAlign w:val="bottom"/>
          </w:tcPr>
          <w:p>
            <w:pPr>
              <w:spacing w:after="0"/>
              <w:rPr>
                <w:sz w:val="20"/>
                <w:szCs w:val="20"/>
                <w:color w:val="auto"/>
              </w:rPr>
            </w:pPr>
            <w:r>
              <w:rPr>
                <w:rFonts w:ascii="Arial" w:cs="Arial" w:eastAsia="Arial" w:hAnsi="Arial"/>
                <w:sz w:val="13"/>
                <w:szCs w:val="13"/>
                <w:color w:val="auto"/>
              </w:rPr>
              <w:t>Management fees</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7,839</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7,875</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23,670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21,870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80" w:type="dxa"/>
            <w:vAlign w:val="bottom"/>
            <w:shd w:val="clear" w:color="auto" w:fill="CFF0FC"/>
          </w:tcPr>
          <w:p>
            <w:pPr>
              <w:spacing w:after="0"/>
              <w:rPr>
                <w:sz w:val="20"/>
                <w:szCs w:val="20"/>
                <w:color w:val="auto"/>
              </w:rPr>
            </w:pPr>
            <w:r>
              <w:rPr>
                <w:rFonts w:ascii="Arial" w:cs="Arial" w:eastAsia="Arial" w:hAnsi="Arial"/>
                <w:sz w:val="13"/>
                <w:szCs w:val="13"/>
                <w:color w:val="auto"/>
              </w:rPr>
              <w:t>Incentive fees</w:t>
            </w:r>
          </w:p>
        </w:tc>
        <w:tc>
          <w:tcPr>
            <w:tcW w:w="4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8,719</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7,794</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24,232</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20,050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80" w:type="dxa"/>
            <w:vAlign w:val="bottom"/>
          </w:tcPr>
          <w:p>
            <w:pPr>
              <w:spacing w:after="0"/>
              <w:rPr>
                <w:sz w:val="20"/>
                <w:szCs w:val="20"/>
                <w:color w:val="auto"/>
              </w:rPr>
            </w:pPr>
            <w:r>
              <w:rPr>
                <w:rFonts w:ascii="Arial" w:cs="Arial" w:eastAsia="Arial" w:hAnsi="Arial"/>
                <w:sz w:val="13"/>
                <w:szCs w:val="13"/>
                <w:color w:val="auto"/>
              </w:rPr>
              <w:t>Professional fees</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1,562</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1,760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5,186</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4,951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80" w:type="dxa"/>
            <w:vAlign w:val="bottom"/>
            <w:shd w:val="clear" w:color="auto" w:fill="CFF0FC"/>
          </w:tcPr>
          <w:p>
            <w:pPr>
              <w:spacing w:after="0"/>
              <w:rPr>
                <w:sz w:val="20"/>
                <w:szCs w:val="20"/>
                <w:color w:val="auto"/>
              </w:rPr>
            </w:pPr>
            <w:r>
              <w:rPr>
                <w:rFonts w:ascii="Arial" w:cs="Arial" w:eastAsia="Arial" w:hAnsi="Arial"/>
                <w:sz w:val="13"/>
                <w:szCs w:val="13"/>
                <w:color w:val="auto"/>
              </w:rPr>
              <w:t>Directors’ fees</w:t>
            </w:r>
          </w:p>
        </w:tc>
        <w:tc>
          <w:tcPr>
            <w:tcW w:w="4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188</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139</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611</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8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Other general and administrative</w:t>
            </w:r>
          </w:p>
        </w:tc>
        <w:tc>
          <w:tcPr>
            <w:tcW w:w="44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1,505</w:t>
            </w:r>
          </w:p>
        </w:tc>
        <w:tc>
          <w:tcPr>
            <w:tcW w:w="26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1,619</w:t>
            </w:r>
          </w:p>
        </w:tc>
        <w:tc>
          <w:tcPr>
            <w:tcW w:w="24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4,717</w:t>
            </w:r>
          </w:p>
        </w:tc>
        <w:tc>
          <w:tcPr>
            <w:tcW w:w="24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4,652</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880" w:type="dxa"/>
            <w:vAlign w:val="bottom"/>
            <w:shd w:val="clear" w:color="auto" w:fill="CFF0FC"/>
          </w:tcPr>
          <w:p>
            <w:pPr>
              <w:ind w:left="500"/>
              <w:spacing w:after="0"/>
              <w:rPr>
                <w:sz w:val="20"/>
                <w:szCs w:val="20"/>
                <w:color w:val="auto"/>
              </w:rPr>
            </w:pPr>
            <w:r>
              <w:rPr>
                <w:rFonts w:ascii="Arial" w:cs="Arial" w:eastAsia="Arial" w:hAnsi="Arial"/>
                <w:sz w:val="13"/>
                <w:szCs w:val="13"/>
                <w:color w:val="auto"/>
              </w:rPr>
              <w:t>Total expenses</w:t>
            </w:r>
          </w:p>
        </w:tc>
        <w:tc>
          <w:tcPr>
            <w:tcW w:w="44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28,212</w:t>
            </w:r>
          </w:p>
        </w:tc>
        <w:tc>
          <w:tcPr>
            <w:tcW w:w="26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31,757</w:t>
            </w:r>
          </w:p>
        </w:tc>
        <w:tc>
          <w:tcPr>
            <w:tcW w:w="24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89,575</w:t>
            </w:r>
          </w:p>
        </w:tc>
        <w:tc>
          <w:tcPr>
            <w:tcW w:w="24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87,590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880" w:type="dxa"/>
            <w:vAlign w:val="bottom"/>
          </w:tcPr>
          <w:p>
            <w:pPr>
              <w:spacing w:after="0"/>
              <w:rPr>
                <w:sz w:val="20"/>
                <w:szCs w:val="20"/>
                <w:color w:val="auto"/>
              </w:rPr>
            </w:pPr>
            <w:r>
              <w:rPr>
                <w:rFonts w:ascii="Arial" w:cs="Arial" w:eastAsia="Arial" w:hAnsi="Arial"/>
                <w:sz w:val="13"/>
                <w:szCs w:val="13"/>
                <w:color w:val="auto"/>
              </w:rPr>
              <w:t>Management and incentive fees waived (Note 3)</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488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3"/>
                <w:szCs w:val="13"/>
                <w:b w:val="1"/>
                <w:bCs w:val="1"/>
                <w:color w:val="auto"/>
              </w:rPr>
              <w:t>Net Expenses</w:t>
            </w:r>
          </w:p>
        </w:tc>
        <w:tc>
          <w:tcPr>
            <w:tcW w:w="4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28,212</w:t>
            </w:r>
          </w:p>
        </w:tc>
        <w:tc>
          <w:tcPr>
            <w:tcW w:w="26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31,757</w:t>
            </w:r>
          </w:p>
        </w:tc>
        <w:tc>
          <w:tcPr>
            <w:tcW w:w="2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89,575</w:t>
            </w:r>
          </w:p>
        </w:tc>
        <w:tc>
          <w:tcPr>
            <w:tcW w:w="2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87,590</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880" w:type="dxa"/>
            <w:vAlign w:val="bottom"/>
          </w:tcPr>
          <w:p>
            <w:pPr>
              <w:spacing w:after="0"/>
              <w:rPr>
                <w:sz w:val="20"/>
                <w:szCs w:val="20"/>
                <w:color w:val="auto"/>
              </w:rPr>
            </w:pPr>
            <w:r>
              <w:rPr>
                <w:rFonts w:ascii="Arial" w:cs="Arial" w:eastAsia="Arial" w:hAnsi="Arial"/>
                <w:sz w:val="13"/>
                <w:szCs w:val="13"/>
                <w:b w:val="1"/>
                <w:bCs w:val="1"/>
                <w:color w:val="auto"/>
              </w:rPr>
              <w:t>Net Investment Income Before Income Taxes</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43,104</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38,293</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118,244</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97,373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880" w:type="dxa"/>
            <w:vAlign w:val="bottom"/>
            <w:shd w:val="clear" w:color="auto" w:fill="CFF0FC"/>
          </w:tcPr>
          <w:p>
            <w:pPr>
              <w:spacing w:after="0"/>
              <w:rPr>
                <w:sz w:val="20"/>
                <w:szCs w:val="20"/>
                <w:color w:val="auto"/>
              </w:rPr>
            </w:pPr>
            <w:r>
              <w:rPr>
                <w:rFonts w:ascii="Arial" w:cs="Arial" w:eastAsia="Arial" w:hAnsi="Arial"/>
                <w:sz w:val="13"/>
                <w:szCs w:val="13"/>
                <w:color w:val="auto"/>
              </w:rPr>
              <w:t>Income taxes, including excise taxes</w:t>
            </w:r>
          </w:p>
        </w:tc>
        <w:tc>
          <w:tcPr>
            <w:tcW w:w="44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2,000</w:t>
            </w:r>
          </w:p>
        </w:tc>
        <w:tc>
          <w:tcPr>
            <w:tcW w:w="26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1,550</w:t>
            </w:r>
          </w:p>
        </w:tc>
        <w:tc>
          <w:tcPr>
            <w:tcW w:w="24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4,010</w:t>
            </w:r>
          </w:p>
        </w:tc>
        <w:tc>
          <w:tcPr>
            <w:tcW w:w="24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2,850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880" w:type="dxa"/>
            <w:vAlign w:val="bottom"/>
          </w:tcPr>
          <w:p>
            <w:pPr>
              <w:spacing w:after="0"/>
              <w:rPr>
                <w:sz w:val="20"/>
                <w:szCs w:val="20"/>
                <w:color w:val="auto"/>
              </w:rPr>
            </w:pPr>
            <w:r>
              <w:rPr>
                <w:rFonts w:ascii="Arial" w:cs="Arial" w:eastAsia="Arial" w:hAnsi="Arial"/>
                <w:sz w:val="13"/>
                <w:szCs w:val="13"/>
                <w:b w:val="1"/>
                <w:bCs w:val="1"/>
                <w:color w:val="auto"/>
              </w:rPr>
              <w:t>Net Investment Income</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41,104</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36,743</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114,234</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94,523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88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Unrealized and Realized Gains (Losses)</w:t>
            </w:r>
          </w:p>
        </w:tc>
        <w:tc>
          <w:tcPr>
            <w:tcW w:w="4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80" w:type="dxa"/>
            <w:vAlign w:val="bottom"/>
          </w:tcPr>
          <w:p>
            <w:pPr>
              <w:spacing w:after="0"/>
              <w:rPr>
                <w:sz w:val="20"/>
                <w:szCs w:val="20"/>
                <w:color w:val="auto"/>
              </w:rPr>
            </w:pPr>
            <w:r>
              <w:rPr>
                <w:rFonts w:ascii="Arial" w:cs="Arial" w:eastAsia="Arial" w:hAnsi="Arial"/>
                <w:sz w:val="13"/>
                <w:szCs w:val="13"/>
                <w:color w:val="auto"/>
              </w:rPr>
              <w:t>Net change in unrealized gains (losses):</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Non-controlled, non-affiliated investments</w:t>
            </w:r>
          </w:p>
        </w:tc>
        <w:tc>
          <w:tcPr>
            <w:tcW w:w="4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39,106</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(11,589)</w:t>
            </w:r>
          </w:p>
        </w:tc>
        <w:tc>
          <w:tcPr>
            <w:tcW w:w="8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8,349</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16,478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80" w:type="dxa"/>
            <w:vAlign w:val="bottom"/>
          </w:tcPr>
          <w:p>
            <w:pPr>
              <w:ind w:left="260"/>
              <w:spacing w:after="0"/>
              <w:rPr>
                <w:sz w:val="20"/>
                <w:szCs w:val="20"/>
                <w:color w:val="auto"/>
              </w:rPr>
            </w:pPr>
            <w:r>
              <w:rPr>
                <w:rFonts w:ascii="Arial" w:cs="Arial" w:eastAsia="Arial" w:hAnsi="Arial"/>
                <w:sz w:val="13"/>
                <w:szCs w:val="13"/>
                <w:color w:val="auto"/>
              </w:rPr>
              <w:t>Non-controlled, affiliated investments</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3"/>
                <w:szCs w:val="13"/>
                <w:color w:val="auto"/>
              </w:rPr>
              <w:t>(3,607)</w:t>
            </w: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84</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3"/>
                <w:szCs w:val="13"/>
                <w:color w:val="auto"/>
              </w:rPr>
              <w:t>(691)</w:t>
            </w: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620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Controlled, affiliated investments</w:t>
            </w:r>
          </w:p>
        </w:tc>
        <w:tc>
          <w:tcPr>
            <w:tcW w:w="4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331</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(4,399)</w:t>
            </w:r>
          </w:p>
        </w:tc>
        <w:tc>
          <w:tcPr>
            <w:tcW w:w="8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(14,392)</w:t>
            </w:r>
          </w:p>
        </w:tc>
        <w:tc>
          <w:tcPr>
            <w:tcW w:w="8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(12,365)</w:t>
            </w:r>
          </w:p>
        </w:tc>
        <w:tc>
          <w:tcPr>
            <w:tcW w:w="0" w:type="dxa"/>
            <w:vAlign w:val="bottom"/>
          </w:tcPr>
          <w:p>
            <w:pPr>
              <w:spacing w:after="0"/>
              <w:rPr>
                <w:sz w:val="1"/>
                <w:szCs w:val="1"/>
                <w:color w:val="auto"/>
              </w:rPr>
            </w:pPr>
          </w:p>
        </w:tc>
      </w:tr>
      <w:tr>
        <w:trPr>
          <w:trHeight w:val="162"/>
        </w:trPr>
        <w:tc>
          <w:tcPr>
            <w:tcW w:w="4880" w:type="dxa"/>
            <w:vAlign w:val="bottom"/>
          </w:tcPr>
          <w:p>
            <w:pPr>
              <w:ind w:left="260"/>
              <w:spacing w:after="0"/>
              <w:rPr>
                <w:sz w:val="20"/>
                <w:szCs w:val="20"/>
                <w:color w:val="auto"/>
              </w:rPr>
            </w:pPr>
            <w:r>
              <w:rPr>
                <w:rFonts w:ascii="Arial" w:cs="Arial" w:eastAsia="Arial" w:hAnsi="Arial"/>
                <w:sz w:val="13"/>
                <w:szCs w:val="13"/>
                <w:color w:val="auto"/>
              </w:rPr>
              <w:t>Translation of other assets and liabilities in foreign currencies</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3"/>
                <w:szCs w:val="13"/>
                <w:color w:val="auto"/>
              </w:rPr>
              <w:t>(4,557)</w:t>
            </w: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2,962</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863</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765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Interest rate swaps</w:t>
            </w:r>
          </w:p>
        </w:tc>
        <w:tc>
          <w:tcPr>
            <w:tcW w:w="4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(1,498)</w:t>
            </w:r>
          </w:p>
        </w:tc>
        <w:tc>
          <w:tcPr>
            <w:tcW w:w="8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1,464</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8,200</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10,908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80" w:type="dxa"/>
            <w:vAlign w:val="bottom"/>
            <w:vMerge w:val="restart"/>
          </w:tcPr>
          <w:p>
            <w:pPr>
              <w:ind w:left="740"/>
              <w:spacing w:after="0"/>
              <w:rPr>
                <w:sz w:val="20"/>
                <w:szCs w:val="20"/>
                <w:color w:val="auto"/>
              </w:rPr>
            </w:pPr>
            <w:r>
              <w:rPr>
                <w:rFonts w:ascii="Arial" w:cs="Arial" w:eastAsia="Arial" w:hAnsi="Arial"/>
                <w:sz w:val="13"/>
                <w:szCs w:val="13"/>
                <w:color w:val="auto"/>
              </w:rPr>
              <w:t>Total net change in unrealized gains (losses)</w:t>
            </w: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88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29,775</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3"/>
                <w:szCs w:val="13"/>
                <w:color w:val="auto"/>
              </w:rPr>
              <w:t>(11,478)</w:t>
            </w:r>
          </w:p>
        </w:tc>
        <w:tc>
          <w:tcPr>
            <w:tcW w:w="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2,329</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16,406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3"/>
                <w:szCs w:val="13"/>
                <w:color w:val="auto"/>
              </w:rPr>
              <w:t>Realized gains (losses):</w:t>
            </w:r>
          </w:p>
        </w:tc>
        <w:tc>
          <w:tcPr>
            <w:tcW w:w="4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116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118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120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120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880" w:type="dxa"/>
            <w:vAlign w:val="bottom"/>
          </w:tcPr>
          <w:p>
            <w:pPr>
              <w:ind w:left="260"/>
              <w:spacing w:after="0"/>
              <w:rPr>
                <w:sz w:val="20"/>
                <w:szCs w:val="20"/>
                <w:color w:val="auto"/>
              </w:rPr>
            </w:pPr>
            <w:r>
              <w:rPr>
                <w:rFonts w:ascii="Arial" w:cs="Arial" w:eastAsia="Arial" w:hAnsi="Arial"/>
                <w:sz w:val="13"/>
                <w:szCs w:val="13"/>
                <w:color w:val="auto"/>
              </w:rPr>
              <w:t>Non-controlled, non-affiliated investments</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3"/>
                <w:szCs w:val="13"/>
                <w:color w:val="auto"/>
              </w:rPr>
              <w:t>(265)</w:t>
            </w: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4,868</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3"/>
                <w:szCs w:val="13"/>
                <w:color w:val="auto"/>
              </w:rPr>
              <w:t>(190)</w:t>
            </w: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5,323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Non-controlled, affiliated investments</w:t>
            </w:r>
          </w:p>
        </w:tc>
        <w:tc>
          <w:tcPr>
            <w:tcW w:w="4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11,819</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11,819</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4880" w:type="dxa"/>
            <w:vAlign w:val="bottom"/>
          </w:tcPr>
          <w:p>
            <w:pPr>
              <w:ind w:left="260"/>
              <w:spacing w:after="0"/>
              <w:rPr>
                <w:sz w:val="20"/>
                <w:szCs w:val="20"/>
                <w:color w:val="auto"/>
              </w:rPr>
            </w:pPr>
            <w:r>
              <w:rPr>
                <w:rFonts w:ascii="Arial" w:cs="Arial" w:eastAsia="Arial" w:hAnsi="Arial"/>
                <w:sz w:val="13"/>
                <w:szCs w:val="13"/>
                <w:color w:val="auto"/>
              </w:rPr>
              <w:t>Controlled, affiliated investments</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3"/>
                <w:szCs w:val="13"/>
                <w:color w:val="auto"/>
              </w:rPr>
              <w:t>(498)</w:t>
            </w:r>
          </w:p>
        </w:tc>
        <w:tc>
          <w:tcPr>
            <w:tcW w:w="80" w:type="dxa"/>
            <w:vAlign w:val="bottom"/>
          </w:tcPr>
          <w:p>
            <w:pPr>
              <w:spacing w:after="0"/>
              <w:rPr>
                <w:sz w:val="14"/>
                <w:szCs w:val="14"/>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3"/>
                <w:szCs w:val="13"/>
                <w:color w:val="auto"/>
              </w:rPr>
              <w:t>(4,133)</w:t>
            </w: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570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Extinguishment of debt</w:t>
            </w:r>
          </w:p>
        </w:tc>
        <w:tc>
          <w:tcPr>
            <w:tcW w:w="4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739</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4880" w:type="dxa"/>
            <w:vAlign w:val="bottom"/>
          </w:tcPr>
          <w:p>
            <w:pPr>
              <w:ind w:left="260"/>
              <w:spacing w:after="0"/>
              <w:rPr>
                <w:sz w:val="20"/>
                <w:szCs w:val="20"/>
                <w:color w:val="auto"/>
              </w:rPr>
            </w:pPr>
            <w:r>
              <w:rPr>
                <w:rFonts w:ascii="Arial" w:cs="Arial" w:eastAsia="Arial" w:hAnsi="Arial"/>
                <w:sz w:val="13"/>
                <w:szCs w:val="13"/>
                <w:color w:val="auto"/>
              </w:rPr>
              <w:t>Interest rate swaps</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41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41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Foreign currency transactions</w:t>
            </w:r>
          </w:p>
        </w:tc>
        <w:tc>
          <w:tcPr>
            <w:tcW w:w="4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(78)</w:t>
            </w:r>
          </w:p>
        </w:tc>
        <w:tc>
          <w:tcPr>
            <w:tcW w:w="8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167</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(170)</w:t>
            </w:r>
          </w:p>
        </w:tc>
        <w:tc>
          <w:tcPr>
            <w:tcW w:w="8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880" w:type="dxa"/>
            <w:vAlign w:val="bottom"/>
            <w:tcBorders>
              <w:bottom w:val="single" w:sz="8" w:color="CFF0FC"/>
            </w:tcBorders>
          </w:tcPr>
          <w:p>
            <w:pPr>
              <w:ind w:left="740"/>
              <w:spacing w:after="0"/>
              <w:rPr>
                <w:sz w:val="20"/>
                <w:szCs w:val="20"/>
                <w:color w:val="auto"/>
              </w:rPr>
            </w:pPr>
            <w:r>
              <w:rPr>
                <w:rFonts w:ascii="Arial" w:cs="Arial" w:eastAsia="Arial" w:hAnsi="Arial"/>
                <w:sz w:val="13"/>
                <w:szCs w:val="13"/>
                <w:color w:val="auto"/>
              </w:rPr>
              <w:t>Total net realized gains (losses)</w:t>
            </w:r>
          </w:p>
        </w:tc>
        <w:tc>
          <w:tcPr>
            <w:tcW w:w="440" w:type="dxa"/>
            <w:vAlign w:val="bottom"/>
            <w:tcBorders>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10,978</w:t>
            </w:r>
          </w:p>
        </w:tc>
        <w:tc>
          <w:tcPr>
            <w:tcW w:w="260" w:type="dxa"/>
            <w:vAlign w:val="bottom"/>
            <w:tcBorders>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5,076</w:t>
            </w:r>
          </w:p>
        </w:tc>
        <w:tc>
          <w:tcPr>
            <w:tcW w:w="240" w:type="dxa"/>
            <w:vAlign w:val="bottom"/>
            <w:tcBorders>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8,065</w:t>
            </w:r>
          </w:p>
        </w:tc>
        <w:tc>
          <w:tcPr>
            <w:tcW w:w="240" w:type="dxa"/>
            <w:vAlign w:val="bottom"/>
            <w:tcBorders>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5,952</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880" w:type="dxa"/>
            <w:vAlign w:val="bottom"/>
            <w:shd w:val="clear" w:color="auto" w:fill="CFF0FC"/>
          </w:tcPr>
          <w:p>
            <w:pPr>
              <w:ind w:left="1000"/>
              <w:spacing w:after="0"/>
              <w:rPr>
                <w:sz w:val="20"/>
                <w:szCs w:val="20"/>
                <w:color w:val="auto"/>
              </w:rPr>
            </w:pPr>
            <w:r>
              <w:rPr>
                <w:rFonts w:ascii="Arial" w:cs="Arial" w:eastAsia="Arial" w:hAnsi="Arial"/>
                <w:sz w:val="13"/>
                <w:szCs w:val="13"/>
                <w:b w:val="1"/>
                <w:bCs w:val="1"/>
                <w:color w:val="auto"/>
              </w:rPr>
              <w:t>Total Net Unrealized and Realized Gains (Losses)</w:t>
            </w:r>
          </w:p>
        </w:tc>
        <w:tc>
          <w:tcPr>
            <w:tcW w:w="4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40,753</w:t>
            </w:r>
          </w:p>
        </w:tc>
        <w:tc>
          <w:tcPr>
            <w:tcW w:w="2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(6,402)</w:t>
            </w:r>
          </w:p>
        </w:tc>
        <w:tc>
          <w:tcPr>
            <w:tcW w:w="8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10,394</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22,358</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80" w:type="dxa"/>
            <w:vAlign w:val="bottom"/>
            <w:vMerge w:val="restart"/>
          </w:tcPr>
          <w:p>
            <w:pPr>
              <w:ind w:left="1000"/>
              <w:spacing w:after="0"/>
              <w:rPr>
                <w:sz w:val="20"/>
                <w:szCs w:val="20"/>
                <w:color w:val="auto"/>
              </w:rPr>
            </w:pPr>
            <w:r>
              <w:rPr>
                <w:rFonts w:ascii="Arial" w:cs="Arial" w:eastAsia="Arial" w:hAnsi="Arial"/>
                <w:sz w:val="13"/>
                <w:szCs w:val="13"/>
                <w:b w:val="1"/>
                <w:bCs w:val="1"/>
                <w:color w:val="auto"/>
              </w:rPr>
              <w:t>Increase in Net Assets Resulting from Operations</w:t>
            </w: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880" w:type="dxa"/>
            <w:vAlign w:val="bottom"/>
            <w:vMerge w:val="continue"/>
          </w:tcPr>
          <w:p>
            <w:pPr>
              <w:spacing w:after="0"/>
              <w:rPr>
                <w:sz w:val="15"/>
                <w:szCs w:val="15"/>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81,857</w:t>
            </w:r>
          </w:p>
        </w:tc>
        <w:tc>
          <w:tcPr>
            <w:tcW w:w="2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30,341</w:t>
            </w:r>
          </w:p>
        </w:tc>
        <w:tc>
          <w:tcPr>
            <w:tcW w:w="2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124,628</w:t>
            </w:r>
          </w:p>
        </w:tc>
        <w:tc>
          <w:tcPr>
            <w:tcW w:w="2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116,881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8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3"/>
                <w:szCs w:val="13"/>
                <w:color w:val="auto"/>
              </w:rPr>
              <w:t>Earnings per common share—basic and diluted</w:t>
            </w: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880" w:type="dxa"/>
            <w:vAlign w:val="bottom"/>
            <w:vMerge w:val="continue"/>
            <w:shd w:val="clear" w:color="auto" w:fill="CFF0FC"/>
          </w:tcPr>
          <w:p>
            <w:pPr>
              <w:spacing w:after="0"/>
              <w:rPr>
                <w:sz w:val="12"/>
                <w:szCs w:val="12"/>
                <w:color w:val="auto"/>
              </w:rPr>
            </w:pPr>
          </w:p>
        </w:tc>
        <w:tc>
          <w:tcPr>
            <w:tcW w:w="520" w:type="dxa"/>
            <w:vAlign w:val="bottom"/>
            <w:gridSpan w:val="2"/>
            <w:shd w:val="clear" w:color="auto" w:fill="CFF0FC"/>
          </w:tcPr>
          <w:p>
            <w:pPr>
              <w:jc w:val="right"/>
              <w:ind w:right="20"/>
              <w:spacing w:after="0" w:line="143" w:lineRule="exact"/>
              <w:rPr>
                <w:sz w:val="20"/>
                <w:szCs w:val="20"/>
                <w:color w:val="auto"/>
              </w:rPr>
            </w:pPr>
            <w:r>
              <w:rPr>
                <w:rFonts w:ascii="Arial" w:cs="Arial" w:eastAsia="Arial" w:hAnsi="Arial"/>
                <w:sz w:val="13"/>
                <w:szCs w:val="13"/>
                <w:color w:val="auto"/>
              </w:rPr>
              <w:t>$</w:t>
            </w:r>
          </w:p>
        </w:tc>
        <w:tc>
          <w:tcPr>
            <w:tcW w:w="116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1.21</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0.46</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w w:val="82"/>
              </w:rPr>
              <w:t>$</w:t>
            </w:r>
          </w:p>
        </w:tc>
        <w:tc>
          <w:tcPr>
            <w:tcW w:w="120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1.86</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1.77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880" w:type="dxa"/>
            <w:vAlign w:val="bottom"/>
          </w:tcPr>
          <w:p>
            <w:pPr>
              <w:spacing w:after="0"/>
              <w:rPr>
                <w:sz w:val="20"/>
                <w:szCs w:val="20"/>
                <w:color w:val="auto"/>
              </w:rPr>
            </w:pPr>
            <w:r>
              <w:rPr>
                <w:rFonts w:ascii="Arial" w:cs="Arial" w:eastAsia="Arial" w:hAnsi="Arial"/>
                <w:sz w:val="13"/>
                <w:szCs w:val="13"/>
                <w:color w:val="auto"/>
              </w:rPr>
              <w:t>Weighted average shares of common stock outstanding—basic and diluted</w:t>
            </w:r>
          </w:p>
        </w:tc>
        <w:tc>
          <w:tcPr>
            <w:tcW w:w="44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67,584,660</w:t>
            </w:r>
          </w:p>
        </w:tc>
        <w:tc>
          <w:tcPr>
            <w:tcW w:w="2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66,235,594</w:t>
            </w:r>
          </w:p>
        </w:tc>
        <w:tc>
          <w:tcPr>
            <w:tcW w:w="24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67,068,166</w:t>
            </w:r>
          </w:p>
        </w:tc>
        <w:tc>
          <w:tcPr>
            <w:tcW w:w="24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65,940,148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Sixth Street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as of September 30, 2020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4"/>
              </w:rPr>
              <w:t>Initial</w:t>
            </w:r>
          </w:p>
        </w:tc>
        <w:tc>
          <w:tcPr>
            <w:tcW w:w="10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5"/>
              </w:rPr>
              <w:t>Reference</w:t>
            </w: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35"/>
        </w:trPr>
        <w:tc>
          <w:tcPr>
            <w:tcW w:w="2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10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Rate and</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Amortized</w:t>
            </w: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tcPr>
          <w:p>
            <w:pPr>
              <w:jc w:val="right"/>
              <w:ind w:right="179"/>
              <w:spacing w:after="0" w:line="135" w:lineRule="exact"/>
              <w:rPr>
                <w:sz w:val="20"/>
                <w:szCs w:val="20"/>
                <w:color w:val="auto"/>
              </w:rPr>
            </w:pPr>
            <w:r>
              <w:rPr>
                <w:rFonts w:ascii="Arial" w:cs="Arial" w:eastAsia="Arial" w:hAnsi="Arial"/>
                <w:sz w:val="13"/>
                <w:szCs w:val="13"/>
                <w:b w:val="1"/>
                <w:bCs w:val="1"/>
                <w:color w:val="auto"/>
                <w:w w:val="91"/>
              </w:rPr>
              <w:t>Percentage</w:t>
            </w:r>
          </w:p>
        </w:tc>
      </w:tr>
      <w:tr>
        <w:trPr>
          <w:trHeight w:val="153"/>
        </w:trPr>
        <w:tc>
          <w:tcPr>
            <w:tcW w:w="2580" w:type="dxa"/>
            <w:vAlign w:val="bottom"/>
          </w:tcPr>
          <w:p>
            <w:pPr>
              <w:spacing w:after="0"/>
              <w:rPr>
                <w:sz w:val="20"/>
                <w:szCs w:val="20"/>
                <w:color w:val="auto"/>
              </w:rPr>
            </w:pPr>
            <w:r>
              <w:rPr>
                <w:rFonts w:ascii="Arial" w:cs="Arial" w:eastAsia="Arial" w:hAnsi="Arial"/>
                <w:sz w:val="13"/>
                <w:szCs w:val="13"/>
                <w:b w:val="1"/>
                <w:bCs w:val="1"/>
                <w:color w:val="auto"/>
              </w:rPr>
              <w:t xml:space="preserve">Company </w:t>
            </w:r>
            <w:r>
              <w:rPr>
                <w:rFonts w:ascii="Arial" w:cs="Arial" w:eastAsia="Arial" w:hAnsi="Arial"/>
                <w:sz w:val="10"/>
                <w:szCs w:val="10"/>
                <w:b w:val="1"/>
                <w:bCs w:val="1"/>
                <w:color w:val="auto"/>
              </w:rPr>
              <w:t>(1)</w:t>
            </w:r>
          </w:p>
        </w:tc>
        <w:tc>
          <w:tcPr>
            <w:tcW w:w="80" w:type="dxa"/>
            <w:vAlign w:val="bottom"/>
          </w:tcPr>
          <w:p>
            <w:pPr>
              <w:spacing w:after="0"/>
              <w:rPr>
                <w:sz w:val="13"/>
                <w:szCs w:val="13"/>
                <w:color w:val="auto"/>
              </w:rPr>
            </w:pPr>
          </w:p>
        </w:tc>
        <w:tc>
          <w:tcPr>
            <w:tcW w:w="2640" w:type="dxa"/>
            <w:vAlign w:val="bottom"/>
            <w:gridSpan w:val="2"/>
          </w:tcPr>
          <w:p>
            <w:pPr>
              <w:ind w:left="960"/>
              <w:spacing w:after="0"/>
              <w:rPr>
                <w:sz w:val="20"/>
                <w:szCs w:val="20"/>
                <w:color w:val="auto"/>
              </w:rPr>
            </w:pPr>
            <w:r>
              <w:rPr>
                <w:rFonts w:ascii="Arial" w:cs="Arial" w:eastAsia="Arial" w:hAnsi="Arial"/>
                <w:sz w:val="13"/>
                <w:szCs w:val="13"/>
                <w:b w:val="1"/>
                <w:bCs w:val="1"/>
                <w:color w:val="auto"/>
              </w:rPr>
              <w:t>Investment</w:t>
            </w:r>
          </w:p>
        </w:tc>
        <w:tc>
          <w:tcPr>
            <w:tcW w:w="9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Date</w:t>
            </w:r>
          </w:p>
        </w:tc>
        <w:tc>
          <w:tcPr>
            <w:tcW w:w="10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Spread</w:t>
            </w:r>
          </w:p>
        </w:tc>
        <w:tc>
          <w:tcPr>
            <w:tcW w:w="9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1"/>
              </w:rPr>
              <w:t>Interest Rate</w:t>
            </w:r>
          </w:p>
        </w:tc>
        <w:tc>
          <w:tcPr>
            <w:tcW w:w="60" w:type="dxa"/>
            <w:vAlign w:val="bottom"/>
          </w:tcPr>
          <w:p>
            <w:pPr>
              <w:spacing w:after="0"/>
              <w:rPr>
                <w:sz w:val="13"/>
                <w:szCs w:val="13"/>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 xml:space="preserve">Cost </w:t>
            </w:r>
            <w:r>
              <w:rPr>
                <w:rFonts w:ascii="Arial" w:cs="Arial" w:eastAsia="Arial" w:hAnsi="Arial"/>
                <w:sz w:val="10"/>
                <w:szCs w:val="10"/>
                <w:b w:val="1"/>
                <w:bCs w:val="1"/>
                <w:color w:val="auto"/>
                <w:w w:val="91"/>
              </w:rPr>
              <w:t>(2)(8)</w:t>
            </w:r>
          </w:p>
        </w:tc>
        <w:tc>
          <w:tcPr>
            <w:tcW w:w="1020" w:type="dxa"/>
            <w:vAlign w:val="bottom"/>
            <w:gridSpan w:val="2"/>
          </w:tcPr>
          <w:p>
            <w:pPr>
              <w:ind w:left="20"/>
              <w:spacing w:after="0"/>
              <w:rPr>
                <w:sz w:val="20"/>
                <w:szCs w:val="20"/>
                <w:color w:val="auto"/>
              </w:rPr>
            </w:pPr>
            <w:r>
              <w:rPr>
                <w:rFonts w:ascii="Arial" w:cs="Arial" w:eastAsia="Arial" w:hAnsi="Arial"/>
                <w:sz w:val="13"/>
                <w:szCs w:val="13"/>
                <w:b w:val="1"/>
                <w:bCs w:val="1"/>
                <w:color w:val="auto"/>
              </w:rPr>
              <w:t xml:space="preserve">Fair Value </w:t>
            </w:r>
            <w:r>
              <w:rPr>
                <w:rFonts w:ascii="Arial" w:cs="Arial" w:eastAsia="Arial" w:hAnsi="Arial"/>
                <w:sz w:val="10"/>
                <w:szCs w:val="10"/>
                <w:b w:val="1"/>
                <w:bCs w:val="1"/>
                <w:color w:val="auto"/>
              </w:rPr>
              <w:t>(10)</w:t>
            </w:r>
          </w:p>
        </w:tc>
        <w:tc>
          <w:tcPr>
            <w:tcW w:w="920" w:type="dxa"/>
            <w:vAlign w:val="bottom"/>
            <w:gridSpan w:val="2"/>
          </w:tcPr>
          <w:p>
            <w:pPr>
              <w:jc w:val="right"/>
              <w:ind w:right="119"/>
              <w:spacing w:after="0"/>
              <w:rPr>
                <w:sz w:val="20"/>
                <w:szCs w:val="20"/>
                <w:color w:val="auto"/>
              </w:rPr>
            </w:pPr>
            <w:r>
              <w:rPr>
                <w:rFonts w:ascii="Arial" w:cs="Arial" w:eastAsia="Arial" w:hAnsi="Arial"/>
                <w:sz w:val="13"/>
                <w:szCs w:val="13"/>
                <w:b w:val="1"/>
                <w:bCs w:val="1"/>
                <w:color w:val="auto"/>
                <w:w w:val="84"/>
              </w:rPr>
              <w:t>of Net Assets</w:t>
            </w:r>
          </w:p>
        </w:tc>
      </w:tr>
      <w:tr>
        <w:trPr>
          <w:trHeight w:val="209"/>
        </w:trPr>
        <w:tc>
          <w:tcPr>
            <w:tcW w:w="25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Debt Investments</w:t>
            </w:r>
          </w:p>
        </w:tc>
        <w:tc>
          <w:tcPr>
            <w:tcW w:w="80" w:type="dxa"/>
            <w:vAlign w:val="bottom"/>
            <w:tcBorders>
              <w:top w:val="single" w:sz="8" w:color="CFF0FC"/>
            </w:tcBorders>
            <w:shd w:val="clear" w:color="auto" w:fill="CFF0FC"/>
          </w:tcPr>
          <w:p>
            <w:pPr>
              <w:spacing w:after="0"/>
              <w:rPr>
                <w:sz w:val="18"/>
                <w:szCs w:val="18"/>
                <w:color w:val="auto"/>
              </w:rPr>
            </w:pPr>
          </w:p>
        </w:tc>
        <w:tc>
          <w:tcPr>
            <w:tcW w:w="25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r>
      <w:tr>
        <w:trPr>
          <w:trHeight w:val="213"/>
        </w:trPr>
        <w:tc>
          <w:tcPr>
            <w:tcW w:w="2580" w:type="dxa"/>
            <w:vAlign w:val="bottom"/>
          </w:tcPr>
          <w:p>
            <w:pPr>
              <w:spacing w:after="0"/>
              <w:rPr>
                <w:sz w:val="20"/>
                <w:szCs w:val="20"/>
                <w:color w:val="auto"/>
              </w:rPr>
            </w:pPr>
            <w:r>
              <w:rPr>
                <w:rFonts w:ascii="Arial" w:cs="Arial" w:eastAsia="Arial" w:hAnsi="Arial"/>
                <w:sz w:val="16"/>
                <w:szCs w:val="16"/>
                <w:b w:val="1"/>
                <w:bCs w:val="1"/>
                <w:color w:val="auto"/>
              </w:rPr>
              <w:t>Business services</w:t>
            </w:r>
          </w:p>
        </w:tc>
        <w:tc>
          <w:tcPr>
            <w:tcW w:w="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6"/>
        </w:trPr>
        <w:tc>
          <w:tcPr>
            <w:tcW w:w="2580" w:type="dxa"/>
            <w:vAlign w:val="bottom"/>
            <w:shd w:val="clear" w:color="auto" w:fill="CFF0FC"/>
          </w:tcPr>
          <w:p>
            <w:pPr>
              <w:spacing w:after="0"/>
              <w:rPr>
                <w:sz w:val="20"/>
                <w:szCs w:val="20"/>
                <w:color w:val="auto"/>
              </w:rPr>
            </w:pPr>
            <w:r>
              <w:rPr>
                <w:rFonts w:ascii="Arial" w:cs="Arial" w:eastAsia="Arial" w:hAnsi="Arial"/>
                <w:sz w:val="16"/>
                <w:szCs w:val="16"/>
                <w:color w:val="auto"/>
              </w:rPr>
              <w:t>Acceo Solutions,</w:t>
            </w:r>
          </w:p>
        </w:tc>
        <w:tc>
          <w:tcPr>
            <w:tcW w:w="2720" w:type="dxa"/>
            <w:vAlign w:val="bottom"/>
            <w:gridSpan w:val="3"/>
            <w:shd w:val="clear" w:color="auto" w:fill="CFF0FC"/>
          </w:tcPr>
          <w:p>
            <w:pPr>
              <w:ind w:left="80"/>
              <w:spacing w:after="0"/>
              <w:rPr>
                <w:sz w:val="20"/>
                <w:szCs w:val="20"/>
                <w:color w:val="auto"/>
              </w:rPr>
            </w:pPr>
            <w:r>
              <w:rPr>
                <w:rFonts w:ascii="Arial" w:cs="Arial" w:eastAsia="Arial" w:hAnsi="Arial"/>
                <w:sz w:val="16"/>
                <w:szCs w:val="16"/>
                <w:color w:val="auto"/>
              </w:rPr>
              <w:t>First-lien loan (CAD 62,223 par, due</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7/6/2018</w:t>
            </w:r>
          </w:p>
        </w:tc>
        <w:tc>
          <w:tcPr>
            <w:tcW w:w="1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C + 4.75%</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5.75%</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   46,814</w:t>
            </w: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$47,048</w:t>
            </w:r>
          </w:p>
        </w:tc>
        <w:tc>
          <w:tcPr>
            <w:tcW w:w="2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4.0%</w:t>
            </w:r>
          </w:p>
        </w:tc>
      </w:tr>
      <w:tr>
        <w:trPr>
          <w:trHeight w:val="206"/>
        </w:trPr>
        <w:tc>
          <w:tcPr>
            <w:tcW w:w="25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 xml:space="preserve">Inc. </w:t>
            </w:r>
            <w:r>
              <w:rPr>
                <w:rFonts w:ascii="Arial" w:cs="Arial" w:eastAsia="Arial" w:hAnsi="Arial"/>
                <w:sz w:val="13"/>
                <w:szCs w:val="13"/>
                <w:color w:val="auto"/>
              </w:rPr>
              <w:t>(3)(4)(5)</w:t>
            </w:r>
          </w:p>
        </w:tc>
        <w:tc>
          <w:tcPr>
            <w:tcW w:w="262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7/2023)</w:t>
            </w: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ind w:left="420"/>
              <w:spacing w:after="0"/>
              <w:rPr>
                <w:sz w:val="20"/>
                <w:szCs w:val="20"/>
                <w:color w:val="auto"/>
              </w:rPr>
            </w:pPr>
            <w:r>
              <w:rPr>
                <w:rFonts w:ascii="Arial" w:cs="Arial" w:eastAsia="Arial" w:hAnsi="Arial"/>
                <w:sz w:val="16"/>
                <w:szCs w:val="16"/>
                <w:color w:val="auto"/>
              </w:rPr>
              <w:t>(CAD</w:t>
            </w: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r>
      <w:tr>
        <w:trPr>
          <w:trHeight w:val="212"/>
        </w:trPr>
        <w:tc>
          <w:tcPr>
            <w:tcW w:w="25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62,845)</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06"/>
        </w:trPr>
        <w:tc>
          <w:tcPr>
            <w:tcW w:w="2580" w:type="dxa"/>
            <w:vAlign w:val="bottom"/>
          </w:tcPr>
          <w:p>
            <w:pPr>
              <w:spacing w:after="0" w:line="207" w:lineRule="exact"/>
              <w:rPr>
                <w:sz w:val="20"/>
                <w:szCs w:val="20"/>
                <w:color w:val="auto"/>
              </w:rPr>
            </w:pPr>
            <w:r>
              <w:rPr>
                <w:rFonts w:ascii="Arial" w:cs="Arial" w:eastAsia="Arial" w:hAnsi="Arial"/>
                <w:sz w:val="14"/>
                <w:szCs w:val="14"/>
                <w:color w:val="auto"/>
              </w:rPr>
              <w:t xml:space="preserve">Alpha Midco, Inc. </w:t>
            </w:r>
            <w:r>
              <w:rPr>
                <w:rFonts w:ascii="Arial" w:cs="Arial" w:eastAsia="Arial" w:hAnsi="Arial"/>
                <w:sz w:val="23"/>
                <w:szCs w:val="23"/>
                <w:color w:val="auto"/>
                <w:vertAlign w:val="superscript"/>
              </w:rPr>
              <w:t>(3)(5)</w:t>
            </w:r>
          </w:p>
        </w:tc>
        <w:tc>
          <w:tcPr>
            <w:tcW w:w="2720" w:type="dxa"/>
            <w:vAlign w:val="bottom"/>
            <w:gridSpan w:val="3"/>
          </w:tcPr>
          <w:p>
            <w:pPr>
              <w:ind w:left="80"/>
              <w:spacing w:after="0"/>
              <w:rPr>
                <w:sz w:val="20"/>
                <w:szCs w:val="20"/>
                <w:color w:val="auto"/>
              </w:rPr>
            </w:pPr>
            <w:r>
              <w:rPr>
                <w:rFonts w:ascii="Arial" w:cs="Arial" w:eastAsia="Arial" w:hAnsi="Arial"/>
                <w:sz w:val="16"/>
                <w:szCs w:val="16"/>
                <w:color w:val="auto"/>
              </w:rPr>
              <w:t>First-lien loan ($64,044 par, due</w:t>
            </w:r>
          </w:p>
        </w:tc>
        <w:tc>
          <w:tcPr>
            <w:tcW w:w="860" w:type="dxa"/>
            <w:vAlign w:val="bottom"/>
          </w:tcPr>
          <w:p>
            <w:pPr>
              <w:jc w:val="right"/>
              <w:spacing w:after="0"/>
              <w:rPr>
                <w:sz w:val="20"/>
                <w:szCs w:val="20"/>
                <w:color w:val="auto"/>
              </w:rPr>
            </w:pPr>
            <w:r>
              <w:rPr>
                <w:rFonts w:ascii="Arial" w:cs="Arial" w:eastAsia="Arial" w:hAnsi="Arial"/>
                <w:sz w:val="16"/>
                <w:szCs w:val="16"/>
                <w:color w:val="auto"/>
              </w:rPr>
              <w:t>8/15/2019</w:t>
            </w:r>
          </w:p>
        </w:tc>
        <w:tc>
          <w:tcPr>
            <w:tcW w:w="1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L + 6.75%</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7.75%</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62,659</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63,400</w:t>
            </w:r>
          </w:p>
        </w:tc>
        <w:tc>
          <w:tcPr>
            <w:tcW w:w="2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5.6%</w:t>
            </w:r>
          </w:p>
        </w:tc>
      </w:tr>
      <w:tr>
        <w:trPr>
          <w:trHeight w:val="209"/>
        </w:trPr>
        <w:tc>
          <w:tcPr>
            <w:tcW w:w="2580" w:type="dxa"/>
            <w:vAlign w:val="bottom"/>
          </w:tcPr>
          <w:p>
            <w:pPr>
              <w:spacing w:after="0"/>
              <w:rPr>
                <w:sz w:val="18"/>
                <w:szCs w:val="18"/>
                <w:color w:val="auto"/>
              </w:rPr>
            </w:pPr>
          </w:p>
        </w:tc>
        <w:tc>
          <w:tcPr>
            <w:tcW w:w="2620" w:type="dxa"/>
            <w:vAlign w:val="bottom"/>
            <w:gridSpan w:val="2"/>
          </w:tcPr>
          <w:p>
            <w:pPr>
              <w:ind w:left="80"/>
              <w:spacing w:after="0"/>
              <w:rPr>
                <w:sz w:val="20"/>
                <w:szCs w:val="20"/>
                <w:color w:val="auto"/>
              </w:rPr>
            </w:pPr>
            <w:r>
              <w:rPr>
                <w:rFonts w:ascii="Arial" w:cs="Arial" w:eastAsia="Arial" w:hAnsi="Arial"/>
                <w:sz w:val="16"/>
                <w:szCs w:val="16"/>
                <w:color w:val="auto"/>
              </w:rPr>
              <w:t>8/2025)</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258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Exela Receivables 1, LLC </w:t>
            </w:r>
            <w:r>
              <w:rPr>
                <w:rFonts w:ascii="Arial" w:cs="Arial" w:eastAsia="Arial" w:hAnsi="Arial"/>
                <w:sz w:val="24"/>
                <w:szCs w:val="24"/>
                <w:color w:val="auto"/>
                <w:vertAlign w:val="superscript"/>
              </w:rPr>
              <w:t>(3)(5)</w:t>
            </w:r>
          </w:p>
        </w:tc>
        <w:tc>
          <w:tcPr>
            <w:tcW w:w="2720" w:type="dxa"/>
            <w:vAlign w:val="bottom"/>
            <w:gridSpan w:val="3"/>
            <w:shd w:val="clear" w:color="auto" w:fill="CFF0FC"/>
          </w:tcPr>
          <w:p>
            <w:pPr>
              <w:ind w:left="80"/>
              <w:spacing w:after="0"/>
              <w:rPr>
                <w:sz w:val="20"/>
                <w:szCs w:val="20"/>
                <w:color w:val="auto"/>
              </w:rPr>
            </w:pPr>
            <w:r>
              <w:rPr>
                <w:rFonts w:ascii="Arial" w:cs="Arial" w:eastAsia="Arial" w:hAnsi="Arial"/>
                <w:sz w:val="16"/>
                <w:szCs w:val="16"/>
                <w:color w:val="auto"/>
                <w:w w:val="99"/>
              </w:rPr>
              <w:t>First-lien revolving loan ($40,000 par,</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5/11/2020</w:t>
            </w: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L + 6.75%</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7.75%</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40,000</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40,800</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3.6%</w:t>
            </w:r>
          </w:p>
        </w:tc>
      </w:tr>
      <w:tr>
        <w:trPr>
          <w:trHeight w:val="212"/>
        </w:trPr>
        <w:tc>
          <w:tcPr>
            <w:tcW w:w="2580" w:type="dxa"/>
            <w:vAlign w:val="bottom"/>
            <w:shd w:val="clear" w:color="auto" w:fill="CFF0FC"/>
          </w:tcPr>
          <w:p>
            <w:pPr>
              <w:spacing w:after="0"/>
              <w:rPr>
                <w:sz w:val="18"/>
                <w:szCs w:val="18"/>
                <w:color w:val="auto"/>
              </w:rPr>
            </w:pPr>
          </w:p>
        </w:tc>
        <w:tc>
          <w:tcPr>
            <w:tcW w:w="2720" w:type="dxa"/>
            <w:vAlign w:val="bottom"/>
            <w:gridSpan w:val="3"/>
            <w:shd w:val="clear" w:color="auto" w:fill="CFF0FC"/>
          </w:tcPr>
          <w:p>
            <w:pPr>
              <w:ind w:left="80"/>
              <w:spacing w:after="0"/>
              <w:rPr>
                <w:sz w:val="20"/>
                <w:szCs w:val="20"/>
                <w:color w:val="auto"/>
              </w:rPr>
            </w:pPr>
            <w:r>
              <w:rPr>
                <w:rFonts w:ascii="Arial" w:cs="Arial" w:eastAsia="Arial" w:hAnsi="Arial"/>
                <w:sz w:val="16"/>
                <w:szCs w:val="16"/>
                <w:color w:val="auto"/>
              </w:rPr>
              <w:t>due 1/2025)</w:t>
            </w: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06"/>
        </w:trPr>
        <w:tc>
          <w:tcPr>
            <w:tcW w:w="2580" w:type="dxa"/>
            <w:vAlign w:val="bottom"/>
          </w:tcPr>
          <w:p>
            <w:pPr>
              <w:spacing w:after="0" w:line="207" w:lineRule="exact"/>
              <w:rPr>
                <w:sz w:val="20"/>
                <w:szCs w:val="20"/>
                <w:color w:val="auto"/>
              </w:rPr>
            </w:pPr>
            <w:r>
              <w:rPr>
                <w:rFonts w:ascii="Arial" w:cs="Arial" w:eastAsia="Arial" w:hAnsi="Arial"/>
                <w:sz w:val="14"/>
                <w:szCs w:val="14"/>
                <w:color w:val="auto"/>
              </w:rPr>
              <w:t xml:space="preserve">ForeScout Technologies, Inc. </w:t>
            </w:r>
            <w:r>
              <w:rPr>
                <w:rFonts w:ascii="Arial" w:cs="Arial" w:eastAsia="Arial" w:hAnsi="Arial"/>
                <w:sz w:val="23"/>
                <w:szCs w:val="23"/>
                <w:color w:val="auto"/>
                <w:vertAlign w:val="superscript"/>
              </w:rPr>
              <w:t>(3)</w:t>
            </w:r>
          </w:p>
        </w:tc>
        <w:tc>
          <w:tcPr>
            <w:tcW w:w="2720" w:type="dxa"/>
            <w:vAlign w:val="bottom"/>
            <w:gridSpan w:val="3"/>
          </w:tcPr>
          <w:p>
            <w:pPr>
              <w:ind w:left="80"/>
              <w:spacing w:after="0"/>
              <w:rPr>
                <w:sz w:val="20"/>
                <w:szCs w:val="20"/>
                <w:color w:val="auto"/>
              </w:rPr>
            </w:pPr>
            <w:r>
              <w:rPr>
                <w:rFonts w:ascii="Arial" w:cs="Arial" w:eastAsia="Arial" w:hAnsi="Arial"/>
                <w:sz w:val="16"/>
                <w:szCs w:val="16"/>
                <w:color w:val="auto"/>
              </w:rPr>
              <w:t>First-lien loan ($4,500 par, due</w:t>
            </w:r>
          </w:p>
        </w:tc>
        <w:tc>
          <w:tcPr>
            <w:tcW w:w="860" w:type="dxa"/>
            <w:vAlign w:val="bottom"/>
          </w:tcPr>
          <w:p>
            <w:pPr>
              <w:jc w:val="right"/>
              <w:spacing w:after="0"/>
              <w:rPr>
                <w:sz w:val="20"/>
                <w:szCs w:val="20"/>
                <w:color w:val="auto"/>
              </w:rPr>
            </w:pPr>
            <w:r>
              <w:rPr>
                <w:rFonts w:ascii="Arial" w:cs="Arial" w:eastAsia="Arial" w:hAnsi="Arial"/>
                <w:sz w:val="16"/>
                <w:szCs w:val="16"/>
                <w:color w:val="auto"/>
              </w:rPr>
              <w:t>8/17/2020</w:t>
            </w:r>
          </w:p>
        </w:tc>
        <w:tc>
          <w:tcPr>
            <w:tcW w:w="1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L + 9.50%</w:t>
            </w:r>
          </w:p>
        </w:tc>
        <w:tc>
          <w:tcPr>
            <w:tcW w:w="780" w:type="dxa"/>
            <w:vAlign w:val="bottom"/>
          </w:tcPr>
          <w:p>
            <w:pPr>
              <w:jc w:val="right"/>
              <w:spacing w:after="0"/>
              <w:rPr>
                <w:sz w:val="20"/>
                <w:szCs w:val="20"/>
                <w:color w:val="auto"/>
              </w:rPr>
            </w:pPr>
            <w:r>
              <w:rPr>
                <w:rFonts w:ascii="Arial" w:cs="Arial" w:eastAsia="Arial" w:hAnsi="Arial"/>
                <w:sz w:val="16"/>
                <w:szCs w:val="16"/>
                <w:color w:val="auto"/>
              </w:rPr>
              <w:t>10.50%</w:t>
            </w:r>
          </w:p>
        </w:tc>
        <w:tc>
          <w:tcPr>
            <w:tcW w:w="20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4,377</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4,412</w:t>
            </w:r>
          </w:p>
        </w:tc>
        <w:tc>
          <w:tcPr>
            <w:tcW w:w="2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0.4%</w:t>
            </w:r>
          </w:p>
        </w:tc>
      </w:tr>
      <w:tr>
        <w:trPr>
          <w:trHeight w:val="209"/>
        </w:trPr>
        <w:tc>
          <w:tcPr>
            <w:tcW w:w="2580" w:type="dxa"/>
            <w:vAlign w:val="bottom"/>
          </w:tcPr>
          <w:p>
            <w:pPr>
              <w:spacing w:after="0"/>
              <w:rPr>
                <w:sz w:val="18"/>
                <w:szCs w:val="18"/>
                <w:color w:val="auto"/>
              </w:rPr>
            </w:pPr>
          </w:p>
        </w:tc>
        <w:tc>
          <w:tcPr>
            <w:tcW w:w="2620" w:type="dxa"/>
            <w:vAlign w:val="bottom"/>
            <w:gridSpan w:val="2"/>
          </w:tcPr>
          <w:p>
            <w:pPr>
              <w:ind w:left="80"/>
              <w:spacing w:after="0"/>
              <w:rPr>
                <w:sz w:val="20"/>
                <w:szCs w:val="20"/>
                <w:color w:val="auto"/>
              </w:rPr>
            </w:pPr>
            <w:r>
              <w:rPr>
                <w:rFonts w:ascii="Arial" w:cs="Arial" w:eastAsia="Arial" w:hAnsi="Arial"/>
                <w:sz w:val="16"/>
                <w:szCs w:val="16"/>
                <w:color w:val="auto"/>
              </w:rPr>
              <w:t>8/2026)</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PIK</w:t>
            </w: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258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Integration Appliance, Inc. </w:t>
            </w:r>
            <w:r>
              <w:rPr>
                <w:rFonts w:ascii="Arial" w:cs="Arial" w:eastAsia="Arial" w:hAnsi="Arial"/>
                <w:sz w:val="24"/>
                <w:szCs w:val="24"/>
                <w:color w:val="auto"/>
                <w:vertAlign w:val="superscript"/>
              </w:rPr>
              <w:t>(3)</w:t>
            </w:r>
          </w:p>
        </w:tc>
        <w:tc>
          <w:tcPr>
            <w:tcW w:w="2720" w:type="dxa"/>
            <w:vAlign w:val="bottom"/>
            <w:gridSpan w:val="3"/>
            <w:shd w:val="clear" w:color="auto" w:fill="CFF0FC"/>
          </w:tcPr>
          <w:p>
            <w:pPr>
              <w:ind w:left="80"/>
              <w:spacing w:after="0"/>
              <w:rPr>
                <w:sz w:val="20"/>
                <w:szCs w:val="20"/>
                <w:color w:val="auto"/>
              </w:rPr>
            </w:pPr>
            <w:r>
              <w:rPr>
                <w:rFonts w:ascii="Arial" w:cs="Arial" w:eastAsia="Arial" w:hAnsi="Arial"/>
                <w:sz w:val="16"/>
                <w:szCs w:val="16"/>
                <w:color w:val="auto"/>
              </w:rPr>
              <w:t>First-lien loan ($71,500 par, due</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8/13/2018</w:t>
            </w: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L + 7.25%</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8.25%</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70,803</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72,215</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6.3%</w:t>
            </w:r>
          </w:p>
        </w:tc>
      </w:tr>
      <w:tr>
        <w:trPr>
          <w:trHeight w:val="212"/>
        </w:trPr>
        <w:tc>
          <w:tcPr>
            <w:tcW w:w="2580" w:type="dxa"/>
            <w:vAlign w:val="bottom"/>
            <w:shd w:val="clear" w:color="auto" w:fill="CFF0FC"/>
          </w:tcPr>
          <w:p>
            <w:pPr>
              <w:spacing w:after="0"/>
              <w:rPr>
                <w:sz w:val="18"/>
                <w:szCs w:val="18"/>
                <w:color w:val="auto"/>
              </w:rPr>
            </w:pPr>
          </w:p>
        </w:tc>
        <w:tc>
          <w:tcPr>
            <w:tcW w:w="262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8/2023)</w:t>
            </w: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06"/>
        </w:trPr>
        <w:tc>
          <w:tcPr>
            <w:tcW w:w="2580" w:type="dxa"/>
            <w:vAlign w:val="bottom"/>
          </w:tcPr>
          <w:p>
            <w:pPr>
              <w:spacing w:after="0"/>
              <w:rPr>
                <w:sz w:val="17"/>
                <w:szCs w:val="17"/>
                <w:color w:val="auto"/>
              </w:rPr>
            </w:pPr>
          </w:p>
        </w:tc>
        <w:tc>
          <w:tcPr>
            <w:tcW w:w="2720" w:type="dxa"/>
            <w:vAlign w:val="bottom"/>
            <w:gridSpan w:val="3"/>
          </w:tcPr>
          <w:p>
            <w:pPr>
              <w:ind w:left="80"/>
              <w:spacing w:after="0"/>
              <w:rPr>
                <w:sz w:val="20"/>
                <w:szCs w:val="20"/>
                <w:color w:val="auto"/>
              </w:rPr>
            </w:pPr>
            <w:r>
              <w:rPr>
                <w:rFonts w:ascii="Arial" w:cs="Arial" w:eastAsia="Arial" w:hAnsi="Arial"/>
                <w:sz w:val="16"/>
                <w:szCs w:val="16"/>
                <w:color w:val="auto"/>
              </w:rPr>
              <w:t>First-lien revolving loan ($1,310 par,</w:t>
            </w:r>
          </w:p>
        </w:tc>
        <w:tc>
          <w:tcPr>
            <w:tcW w:w="860" w:type="dxa"/>
            <w:vAlign w:val="bottom"/>
          </w:tcPr>
          <w:p>
            <w:pPr>
              <w:jc w:val="right"/>
              <w:spacing w:after="0"/>
              <w:rPr>
                <w:sz w:val="20"/>
                <w:szCs w:val="20"/>
                <w:color w:val="auto"/>
              </w:rPr>
            </w:pPr>
            <w:r>
              <w:rPr>
                <w:rFonts w:ascii="Arial" w:cs="Arial" w:eastAsia="Arial" w:hAnsi="Arial"/>
                <w:sz w:val="16"/>
                <w:szCs w:val="16"/>
                <w:color w:val="auto"/>
              </w:rPr>
              <w:t>8/13/2018</w:t>
            </w:r>
          </w:p>
        </w:tc>
        <w:tc>
          <w:tcPr>
            <w:tcW w:w="1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L + 7.25%</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8.25%</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1,287</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1,336</w:t>
            </w:r>
          </w:p>
        </w:tc>
        <w:tc>
          <w:tcPr>
            <w:tcW w:w="2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0.1%</w:t>
            </w:r>
          </w:p>
        </w:tc>
      </w:tr>
      <w:tr>
        <w:trPr>
          <w:trHeight w:val="209"/>
        </w:trPr>
        <w:tc>
          <w:tcPr>
            <w:tcW w:w="2580" w:type="dxa"/>
            <w:vAlign w:val="bottom"/>
          </w:tcPr>
          <w:p>
            <w:pPr>
              <w:spacing w:after="0"/>
              <w:rPr>
                <w:sz w:val="18"/>
                <w:szCs w:val="18"/>
                <w:color w:val="auto"/>
              </w:rPr>
            </w:pPr>
          </w:p>
        </w:tc>
        <w:tc>
          <w:tcPr>
            <w:tcW w:w="2720" w:type="dxa"/>
            <w:vAlign w:val="bottom"/>
            <w:gridSpan w:val="3"/>
          </w:tcPr>
          <w:p>
            <w:pPr>
              <w:ind w:left="80"/>
              <w:spacing w:after="0"/>
              <w:rPr>
                <w:sz w:val="20"/>
                <w:szCs w:val="20"/>
                <w:color w:val="auto"/>
              </w:rPr>
            </w:pPr>
            <w:r>
              <w:rPr>
                <w:rFonts w:ascii="Arial" w:cs="Arial" w:eastAsia="Arial" w:hAnsi="Arial"/>
                <w:sz w:val="16"/>
                <w:szCs w:val="16"/>
                <w:color w:val="auto"/>
              </w:rPr>
              <w:t>due 8/2023)</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258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Motus, LLC </w:t>
            </w:r>
            <w:r>
              <w:rPr>
                <w:rFonts w:ascii="Arial" w:cs="Arial" w:eastAsia="Arial" w:hAnsi="Arial"/>
                <w:sz w:val="24"/>
                <w:szCs w:val="24"/>
                <w:color w:val="auto"/>
                <w:vertAlign w:val="superscript"/>
              </w:rPr>
              <w:t>(3)(5)</w:t>
            </w:r>
          </w:p>
        </w:tc>
        <w:tc>
          <w:tcPr>
            <w:tcW w:w="2720" w:type="dxa"/>
            <w:vAlign w:val="bottom"/>
            <w:gridSpan w:val="3"/>
            <w:shd w:val="clear" w:color="auto" w:fill="CFF0FC"/>
          </w:tcPr>
          <w:p>
            <w:pPr>
              <w:ind w:left="80"/>
              <w:spacing w:after="0"/>
              <w:rPr>
                <w:sz w:val="20"/>
                <w:szCs w:val="20"/>
                <w:color w:val="auto"/>
              </w:rPr>
            </w:pPr>
            <w:r>
              <w:rPr>
                <w:rFonts w:ascii="Arial" w:cs="Arial" w:eastAsia="Arial" w:hAnsi="Arial"/>
                <w:sz w:val="16"/>
                <w:szCs w:val="16"/>
                <w:color w:val="auto"/>
              </w:rPr>
              <w:t>First-lien loan ($61,960 par, due</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1/17/2018</w:t>
            </w: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L + 5.50%</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6.50%</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60,994</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63,044</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5.5%</w:t>
            </w:r>
          </w:p>
        </w:tc>
      </w:tr>
      <w:tr>
        <w:trPr>
          <w:trHeight w:val="212"/>
        </w:trPr>
        <w:tc>
          <w:tcPr>
            <w:tcW w:w="2580" w:type="dxa"/>
            <w:vAlign w:val="bottom"/>
            <w:shd w:val="clear" w:color="auto" w:fill="CFF0FC"/>
          </w:tcPr>
          <w:p>
            <w:pPr>
              <w:spacing w:after="0"/>
              <w:rPr>
                <w:sz w:val="18"/>
                <w:szCs w:val="18"/>
                <w:color w:val="auto"/>
              </w:rPr>
            </w:pPr>
          </w:p>
        </w:tc>
        <w:tc>
          <w:tcPr>
            <w:tcW w:w="262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1/2024)</w:t>
            </w: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06"/>
        </w:trPr>
        <w:tc>
          <w:tcPr>
            <w:tcW w:w="2580" w:type="dxa"/>
            <w:vAlign w:val="bottom"/>
          </w:tcPr>
          <w:p>
            <w:pPr>
              <w:spacing w:after="0" w:line="207" w:lineRule="exact"/>
              <w:rPr>
                <w:sz w:val="20"/>
                <w:szCs w:val="20"/>
                <w:color w:val="auto"/>
              </w:rPr>
            </w:pPr>
            <w:r>
              <w:rPr>
                <w:rFonts w:ascii="Arial" w:cs="Arial" w:eastAsia="Arial" w:hAnsi="Arial"/>
                <w:sz w:val="14"/>
                <w:szCs w:val="14"/>
                <w:color w:val="auto"/>
              </w:rPr>
              <w:t xml:space="preserve">Netwrix Corp. </w:t>
            </w:r>
            <w:r>
              <w:rPr>
                <w:rFonts w:ascii="Arial" w:cs="Arial" w:eastAsia="Arial" w:hAnsi="Arial"/>
                <w:sz w:val="23"/>
                <w:szCs w:val="23"/>
                <w:color w:val="auto"/>
                <w:vertAlign w:val="superscript"/>
              </w:rPr>
              <w:t>(3)(5)</w:t>
            </w:r>
          </w:p>
        </w:tc>
        <w:tc>
          <w:tcPr>
            <w:tcW w:w="2720" w:type="dxa"/>
            <w:vAlign w:val="bottom"/>
            <w:gridSpan w:val="3"/>
          </w:tcPr>
          <w:p>
            <w:pPr>
              <w:ind w:left="80"/>
              <w:spacing w:after="0"/>
              <w:rPr>
                <w:sz w:val="20"/>
                <w:szCs w:val="20"/>
                <w:color w:val="auto"/>
              </w:rPr>
            </w:pPr>
            <w:r>
              <w:rPr>
                <w:rFonts w:ascii="Arial" w:cs="Arial" w:eastAsia="Arial" w:hAnsi="Arial"/>
                <w:sz w:val="16"/>
                <w:szCs w:val="16"/>
                <w:color w:val="auto"/>
              </w:rPr>
              <w:t>First-lien loan ($27,511 par, due</w:t>
            </w:r>
          </w:p>
        </w:tc>
        <w:tc>
          <w:tcPr>
            <w:tcW w:w="860" w:type="dxa"/>
            <w:vAlign w:val="bottom"/>
          </w:tcPr>
          <w:p>
            <w:pPr>
              <w:jc w:val="right"/>
              <w:spacing w:after="0"/>
              <w:rPr>
                <w:sz w:val="20"/>
                <w:szCs w:val="20"/>
                <w:color w:val="auto"/>
              </w:rPr>
            </w:pPr>
            <w:r>
              <w:rPr>
                <w:rFonts w:ascii="Arial" w:cs="Arial" w:eastAsia="Arial" w:hAnsi="Arial"/>
                <w:sz w:val="16"/>
                <w:szCs w:val="16"/>
                <w:color w:val="auto"/>
              </w:rPr>
              <w:t>9/30/2020</w:t>
            </w:r>
          </w:p>
        </w:tc>
        <w:tc>
          <w:tcPr>
            <w:tcW w:w="1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L + 6.25%</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7.25%</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26,452</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26,411</w:t>
            </w:r>
          </w:p>
        </w:tc>
        <w:tc>
          <w:tcPr>
            <w:tcW w:w="2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2.3%</w:t>
            </w:r>
          </w:p>
        </w:tc>
      </w:tr>
      <w:tr>
        <w:trPr>
          <w:trHeight w:val="209"/>
        </w:trPr>
        <w:tc>
          <w:tcPr>
            <w:tcW w:w="2580" w:type="dxa"/>
            <w:vAlign w:val="bottom"/>
          </w:tcPr>
          <w:p>
            <w:pPr>
              <w:spacing w:after="0"/>
              <w:rPr>
                <w:sz w:val="18"/>
                <w:szCs w:val="18"/>
                <w:color w:val="auto"/>
              </w:rPr>
            </w:pPr>
          </w:p>
        </w:tc>
        <w:tc>
          <w:tcPr>
            <w:tcW w:w="2620" w:type="dxa"/>
            <w:vAlign w:val="bottom"/>
            <w:gridSpan w:val="2"/>
          </w:tcPr>
          <w:p>
            <w:pPr>
              <w:ind w:left="80"/>
              <w:spacing w:after="0"/>
              <w:rPr>
                <w:sz w:val="20"/>
                <w:szCs w:val="20"/>
                <w:color w:val="auto"/>
              </w:rPr>
            </w:pPr>
            <w:r>
              <w:rPr>
                <w:rFonts w:ascii="Arial" w:cs="Arial" w:eastAsia="Arial" w:hAnsi="Arial"/>
                <w:sz w:val="16"/>
                <w:szCs w:val="16"/>
                <w:color w:val="auto"/>
              </w:rPr>
              <w:t>9/2026)</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258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Nintex Global, Ltd. </w:t>
            </w:r>
            <w:r>
              <w:rPr>
                <w:rFonts w:ascii="Arial" w:cs="Arial" w:eastAsia="Arial" w:hAnsi="Arial"/>
                <w:sz w:val="24"/>
                <w:szCs w:val="24"/>
                <w:color w:val="auto"/>
                <w:vertAlign w:val="superscript"/>
              </w:rPr>
              <w:t>(3)(5)</w:t>
            </w:r>
          </w:p>
        </w:tc>
        <w:tc>
          <w:tcPr>
            <w:tcW w:w="2720" w:type="dxa"/>
            <w:vAlign w:val="bottom"/>
            <w:gridSpan w:val="3"/>
            <w:shd w:val="clear" w:color="auto" w:fill="CFF0FC"/>
          </w:tcPr>
          <w:p>
            <w:pPr>
              <w:ind w:left="80"/>
              <w:spacing w:after="0"/>
              <w:rPr>
                <w:sz w:val="20"/>
                <w:szCs w:val="20"/>
                <w:color w:val="auto"/>
              </w:rPr>
            </w:pPr>
            <w:r>
              <w:rPr>
                <w:rFonts w:ascii="Arial" w:cs="Arial" w:eastAsia="Arial" w:hAnsi="Arial"/>
                <w:sz w:val="16"/>
                <w:szCs w:val="16"/>
                <w:color w:val="auto"/>
              </w:rPr>
              <w:t>First-lien loan ($73,657 par, due</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3/30/2018</w:t>
            </w: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L + 6.25%</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7.25%</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72,499</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75,314</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6.6%</w:t>
            </w:r>
          </w:p>
        </w:tc>
      </w:tr>
      <w:tr>
        <w:trPr>
          <w:trHeight w:val="212"/>
        </w:trPr>
        <w:tc>
          <w:tcPr>
            <w:tcW w:w="2580" w:type="dxa"/>
            <w:vAlign w:val="bottom"/>
            <w:shd w:val="clear" w:color="auto" w:fill="CFF0FC"/>
          </w:tcPr>
          <w:p>
            <w:pPr>
              <w:spacing w:after="0"/>
              <w:rPr>
                <w:sz w:val="18"/>
                <w:szCs w:val="18"/>
                <w:color w:val="auto"/>
              </w:rPr>
            </w:pPr>
          </w:p>
        </w:tc>
        <w:tc>
          <w:tcPr>
            <w:tcW w:w="262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4/2024)</w:t>
            </w: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06"/>
        </w:trPr>
        <w:tc>
          <w:tcPr>
            <w:tcW w:w="2580" w:type="dxa"/>
            <w:vAlign w:val="bottom"/>
          </w:tcPr>
          <w:p>
            <w:pPr>
              <w:spacing w:after="0" w:line="207" w:lineRule="exact"/>
              <w:rPr>
                <w:sz w:val="20"/>
                <w:szCs w:val="20"/>
                <w:color w:val="auto"/>
              </w:rPr>
            </w:pPr>
            <w:r>
              <w:rPr>
                <w:rFonts w:ascii="Arial" w:cs="Arial" w:eastAsia="Arial" w:hAnsi="Arial"/>
                <w:sz w:val="14"/>
                <w:szCs w:val="14"/>
                <w:color w:val="auto"/>
              </w:rPr>
              <w:t xml:space="preserve">ServiceChannel Holdings, Inc. </w:t>
            </w:r>
            <w:r>
              <w:rPr>
                <w:rFonts w:ascii="Arial" w:cs="Arial" w:eastAsia="Arial" w:hAnsi="Arial"/>
                <w:sz w:val="23"/>
                <w:szCs w:val="23"/>
                <w:color w:val="auto"/>
                <w:vertAlign w:val="superscript"/>
              </w:rPr>
              <w:t>(9)</w:t>
            </w:r>
          </w:p>
        </w:tc>
        <w:tc>
          <w:tcPr>
            <w:tcW w:w="2720" w:type="dxa"/>
            <w:vAlign w:val="bottom"/>
            <w:gridSpan w:val="3"/>
          </w:tcPr>
          <w:p>
            <w:pPr>
              <w:ind w:left="80"/>
              <w:spacing w:after="0"/>
              <w:rPr>
                <w:sz w:val="20"/>
                <w:szCs w:val="20"/>
                <w:color w:val="auto"/>
              </w:rPr>
            </w:pPr>
            <w:r>
              <w:rPr>
                <w:rFonts w:ascii="Arial" w:cs="Arial" w:eastAsia="Arial" w:hAnsi="Arial"/>
                <w:sz w:val="16"/>
                <w:szCs w:val="16"/>
                <w:color w:val="auto"/>
              </w:rPr>
              <w:t>Second-lien loan ($5,200 par, due</w:t>
            </w:r>
          </w:p>
        </w:tc>
        <w:tc>
          <w:tcPr>
            <w:tcW w:w="860" w:type="dxa"/>
            <w:vAlign w:val="bottom"/>
          </w:tcPr>
          <w:p>
            <w:pPr>
              <w:jc w:val="right"/>
              <w:spacing w:after="0"/>
              <w:rPr>
                <w:sz w:val="20"/>
                <w:szCs w:val="20"/>
                <w:color w:val="auto"/>
              </w:rPr>
            </w:pPr>
            <w:r>
              <w:rPr>
                <w:rFonts w:ascii="Arial" w:cs="Arial" w:eastAsia="Arial" w:hAnsi="Arial"/>
                <w:sz w:val="16"/>
                <w:szCs w:val="16"/>
                <w:color w:val="auto"/>
              </w:rPr>
              <w:t>6/3/2020</w:t>
            </w:r>
          </w:p>
        </w:tc>
        <w:tc>
          <w:tcPr>
            <w:tcW w:w="1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12.00%</w:t>
            </w:r>
          </w:p>
        </w:tc>
        <w:tc>
          <w:tcPr>
            <w:tcW w:w="780" w:type="dxa"/>
            <w:vAlign w:val="bottom"/>
          </w:tcPr>
          <w:p>
            <w:pPr>
              <w:jc w:val="right"/>
              <w:spacing w:after="0"/>
              <w:rPr>
                <w:sz w:val="20"/>
                <w:szCs w:val="20"/>
                <w:color w:val="auto"/>
              </w:rPr>
            </w:pPr>
            <w:r>
              <w:rPr>
                <w:rFonts w:ascii="Arial" w:cs="Arial" w:eastAsia="Arial" w:hAnsi="Arial"/>
                <w:sz w:val="16"/>
                <w:szCs w:val="16"/>
                <w:color w:val="auto"/>
              </w:rPr>
              <w:t>12.00%</w:t>
            </w:r>
          </w:p>
        </w:tc>
        <w:tc>
          <w:tcPr>
            <w:tcW w:w="20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4,817</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4,823</w:t>
            </w:r>
          </w:p>
        </w:tc>
        <w:tc>
          <w:tcPr>
            <w:tcW w:w="2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0.4%</w:t>
            </w:r>
          </w:p>
        </w:tc>
      </w:tr>
      <w:tr>
        <w:trPr>
          <w:trHeight w:val="209"/>
        </w:trPr>
        <w:tc>
          <w:tcPr>
            <w:tcW w:w="2580" w:type="dxa"/>
            <w:vAlign w:val="bottom"/>
          </w:tcPr>
          <w:p>
            <w:pPr>
              <w:spacing w:after="0"/>
              <w:rPr>
                <w:sz w:val="18"/>
                <w:szCs w:val="18"/>
                <w:color w:val="auto"/>
              </w:rPr>
            </w:pPr>
          </w:p>
        </w:tc>
        <w:tc>
          <w:tcPr>
            <w:tcW w:w="2620" w:type="dxa"/>
            <w:vAlign w:val="bottom"/>
            <w:gridSpan w:val="2"/>
          </w:tcPr>
          <w:p>
            <w:pPr>
              <w:ind w:left="80"/>
              <w:spacing w:after="0"/>
              <w:rPr>
                <w:sz w:val="20"/>
                <w:szCs w:val="20"/>
                <w:color w:val="auto"/>
              </w:rPr>
            </w:pPr>
            <w:r>
              <w:rPr>
                <w:rFonts w:ascii="Arial" w:cs="Arial" w:eastAsia="Arial" w:hAnsi="Arial"/>
                <w:sz w:val="16"/>
                <w:szCs w:val="16"/>
                <w:color w:val="auto"/>
              </w:rPr>
              <w:t>6/2025)</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PIK</w:t>
            </w: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2580" w:type="dxa"/>
            <w:vAlign w:val="bottom"/>
            <w:shd w:val="clear" w:color="auto" w:fill="CFF0FC"/>
          </w:tcPr>
          <w:p>
            <w:pPr>
              <w:spacing w:after="0"/>
              <w:rPr>
                <w:sz w:val="20"/>
                <w:szCs w:val="20"/>
                <w:color w:val="auto"/>
              </w:rPr>
            </w:pPr>
            <w:r>
              <w:rPr>
                <w:rFonts w:ascii="Arial" w:cs="Arial" w:eastAsia="Arial" w:hAnsi="Arial"/>
                <w:sz w:val="16"/>
                <w:szCs w:val="16"/>
                <w:color w:val="auto"/>
              </w:rPr>
              <w:t>Sprinklr, Inc.</w:t>
            </w:r>
          </w:p>
        </w:tc>
        <w:tc>
          <w:tcPr>
            <w:tcW w:w="2720" w:type="dxa"/>
            <w:vAlign w:val="bottom"/>
            <w:gridSpan w:val="3"/>
            <w:shd w:val="clear" w:color="auto" w:fill="CFF0FC"/>
          </w:tcPr>
          <w:p>
            <w:pPr>
              <w:ind w:left="80"/>
              <w:spacing w:after="0"/>
              <w:rPr>
                <w:sz w:val="20"/>
                <w:szCs w:val="20"/>
                <w:color w:val="auto"/>
              </w:rPr>
            </w:pPr>
            <w:r>
              <w:rPr>
                <w:rFonts w:ascii="Arial" w:cs="Arial" w:eastAsia="Arial" w:hAnsi="Arial"/>
                <w:sz w:val="16"/>
                <w:szCs w:val="16"/>
                <w:color w:val="auto"/>
              </w:rPr>
              <w:t>Convertible note ($3,824 par, due</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5/20/2020</w:t>
            </w: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9.88%</w:t>
            </w: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9.88% PIK</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3,758</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4,350</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0.4%</w:t>
            </w:r>
          </w:p>
        </w:tc>
      </w:tr>
      <w:tr>
        <w:trPr>
          <w:trHeight w:val="212"/>
        </w:trPr>
        <w:tc>
          <w:tcPr>
            <w:tcW w:w="2580" w:type="dxa"/>
            <w:vAlign w:val="bottom"/>
            <w:shd w:val="clear" w:color="auto" w:fill="CFF0FC"/>
          </w:tcPr>
          <w:p>
            <w:pPr>
              <w:spacing w:after="0"/>
              <w:rPr>
                <w:sz w:val="18"/>
                <w:szCs w:val="18"/>
                <w:color w:val="auto"/>
              </w:rPr>
            </w:pPr>
          </w:p>
        </w:tc>
        <w:tc>
          <w:tcPr>
            <w:tcW w:w="262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5/2025)</w:t>
            </w: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06"/>
        </w:trPr>
        <w:tc>
          <w:tcPr>
            <w:tcW w:w="2580" w:type="dxa"/>
            <w:vAlign w:val="bottom"/>
          </w:tcPr>
          <w:p>
            <w:pPr>
              <w:spacing w:after="0" w:line="207" w:lineRule="exact"/>
              <w:rPr>
                <w:sz w:val="20"/>
                <w:szCs w:val="20"/>
                <w:color w:val="auto"/>
              </w:rPr>
            </w:pPr>
            <w:r>
              <w:rPr>
                <w:rFonts w:ascii="Arial" w:cs="Arial" w:eastAsia="Arial" w:hAnsi="Arial"/>
                <w:sz w:val="14"/>
                <w:szCs w:val="14"/>
                <w:color w:val="auto"/>
              </w:rPr>
              <w:t xml:space="preserve">Tech Data Corp. </w:t>
            </w:r>
            <w:r>
              <w:rPr>
                <w:rFonts w:ascii="Arial" w:cs="Arial" w:eastAsia="Arial" w:hAnsi="Arial"/>
                <w:sz w:val="23"/>
                <w:szCs w:val="23"/>
                <w:color w:val="auto"/>
                <w:vertAlign w:val="superscript"/>
              </w:rPr>
              <w:t>(3)(11)</w:t>
            </w:r>
          </w:p>
        </w:tc>
        <w:tc>
          <w:tcPr>
            <w:tcW w:w="2720" w:type="dxa"/>
            <w:vAlign w:val="bottom"/>
            <w:gridSpan w:val="3"/>
          </w:tcPr>
          <w:p>
            <w:pPr>
              <w:ind w:left="80"/>
              <w:spacing w:after="0"/>
              <w:rPr>
                <w:sz w:val="20"/>
                <w:szCs w:val="20"/>
                <w:color w:val="auto"/>
              </w:rPr>
            </w:pPr>
            <w:r>
              <w:rPr>
                <w:rFonts w:ascii="Arial" w:cs="Arial" w:eastAsia="Arial" w:hAnsi="Arial"/>
                <w:sz w:val="16"/>
                <w:szCs w:val="16"/>
                <w:color w:val="auto"/>
              </w:rPr>
              <w:t>ABL FILO term loan ($12,000 par,</w:t>
            </w:r>
          </w:p>
        </w:tc>
        <w:tc>
          <w:tcPr>
            <w:tcW w:w="860" w:type="dxa"/>
            <w:vAlign w:val="bottom"/>
          </w:tcPr>
          <w:p>
            <w:pPr>
              <w:jc w:val="right"/>
              <w:spacing w:after="0"/>
              <w:rPr>
                <w:sz w:val="20"/>
                <w:szCs w:val="20"/>
                <w:color w:val="auto"/>
              </w:rPr>
            </w:pPr>
            <w:r>
              <w:rPr>
                <w:rFonts w:ascii="Arial" w:cs="Arial" w:eastAsia="Arial" w:hAnsi="Arial"/>
                <w:sz w:val="16"/>
                <w:szCs w:val="16"/>
                <w:color w:val="auto"/>
              </w:rPr>
              <w:t>7/10/2020</w:t>
            </w:r>
          </w:p>
        </w:tc>
        <w:tc>
          <w:tcPr>
            <w:tcW w:w="1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L + 5.50%</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5.64%</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11,046</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11,685</w:t>
            </w:r>
          </w:p>
        </w:tc>
        <w:tc>
          <w:tcPr>
            <w:tcW w:w="2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1.0%</w:t>
            </w:r>
          </w:p>
        </w:tc>
      </w:tr>
      <w:tr>
        <w:trPr>
          <w:trHeight w:val="209"/>
        </w:trPr>
        <w:tc>
          <w:tcPr>
            <w:tcW w:w="2580" w:type="dxa"/>
            <w:vAlign w:val="bottom"/>
          </w:tcPr>
          <w:p>
            <w:pPr>
              <w:spacing w:after="0"/>
              <w:rPr>
                <w:sz w:val="18"/>
                <w:szCs w:val="18"/>
                <w:color w:val="auto"/>
              </w:rPr>
            </w:pPr>
          </w:p>
        </w:tc>
        <w:tc>
          <w:tcPr>
            <w:tcW w:w="2720" w:type="dxa"/>
            <w:vAlign w:val="bottom"/>
            <w:gridSpan w:val="3"/>
          </w:tcPr>
          <w:p>
            <w:pPr>
              <w:ind w:left="80"/>
              <w:spacing w:after="0"/>
              <w:rPr>
                <w:sz w:val="20"/>
                <w:szCs w:val="20"/>
                <w:color w:val="auto"/>
              </w:rPr>
            </w:pPr>
            <w:r>
              <w:rPr>
                <w:rFonts w:ascii="Arial" w:cs="Arial" w:eastAsia="Arial" w:hAnsi="Arial"/>
                <w:sz w:val="16"/>
                <w:szCs w:val="16"/>
                <w:color w:val="auto"/>
              </w:rPr>
              <w:t>due 6/2025)</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258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WideOrbit, Inc. </w:t>
            </w:r>
            <w:r>
              <w:rPr>
                <w:rFonts w:ascii="Arial" w:cs="Arial" w:eastAsia="Arial" w:hAnsi="Arial"/>
                <w:sz w:val="24"/>
                <w:szCs w:val="24"/>
                <w:color w:val="auto"/>
                <w:vertAlign w:val="superscript"/>
              </w:rPr>
              <w:t>(3)</w:t>
            </w:r>
          </w:p>
        </w:tc>
        <w:tc>
          <w:tcPr>
            <w:tcW w:w="2720" w:type="dxa"/>
            <w:vAlign w:val="bottom"/>
            <w:gridSpan w:val="3"/>
            <w:shd w:val="clear" w:color="auto" w:fill="CFF0FC"/>
          </w:tcPr>
          <w:p>
            <w:pPr>
              <w:ind w:left="80"/>
              <w:spacing w:after="0"/>
              <w:rPr>
                <w:sz w:val="20"/>
                <w:szCs w:val="20"/>
                <w:color w:val="auto"/>
              </w:rPr>
            </w:pPr>
            <w:r>
              <w:rPr>
                <w:rFonts w:ascii="Arial" w:cs="Arial" w:eastAsia="Arial" w:hAnsi="Arial"/>
                <w:sz w:val="16"/>
                <w:szCs w:val="16"/>
                <w:color w:val="auto"/>
              </w:rPr>
              <w:t>First-lien loan ($60,093 par, due</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7/8/2020</w:t>
            </w: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L + 8.50%</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9.75%</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59,153</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60,580</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5.3%</w:t>
            </w:r>
          </w:p>
        </w:tc>
      </w:tr>
      <w:tr>
        <w:trPr>
          <w:trHeight w:val="209"/>
        </w:trPr>
        <w:tc>
          <w:tcPr>
            <w:tcW w:w="2580" w:type="dxa"/>
            <w:vAlign w:val="bottom"/>
            <w:shd w:val="clear" w:color="auto" w:fill="CFF0FC"/>
          </w:tcPr>
          <w:p>
            <w:pPr>
              <w:spacing w:after="0"/>
              <w:rPr>
                <w:sz w:val="18"/>
                <w:szCs w:val="18"/>
                <w:color w:val="auto"/>
              </w:rPr>
            </w:pPr>
          </w:p>
        </w:tc>
        <w:tc>
          <w:tcPr>
            <w:tcW w:w="262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7/2025)</w:t>
            </w: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09"/>
        </w:trPr>
        <w:tc>
          <w:tcPr>
            <w:tcW w:w="2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464,659</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475,418</w:t>
            </w:r>
          </w:p>
        </w:tc>
        <w:tc>
          <w:tcPr>
            <w:tcW w:w="2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41.5%</w:t>
            </w:r>
          </w:p>
        </w:tc>
      </w:tr>
      <w:tr>
        <w:trPr>
          <w:trHeight w:val="213"/>
        </w:trPr>
        <w:tc>
          <w:tcPr>
            <w:tcW w:w="2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Chemicals</w:t>
            </w:r>
          </w:p>
        </w:tc>
        <w:tc>
          <w:tcPr>
            <w:tcW w:w="80" w:type="dxa"/>
            <w:vAlign w:val="bottom"/>
            <w:tcBorders>
              <w:top w:val="single" w:sz="8" w:color="CFF0FC"/>
            </w:tcBorders>
            <w:shd w:val="clear" w:color="auto" w:fill="CFF0FC"/>
          </w:tcPr>
          <w:p>
            <w:pPr>
              <w:spacing w:after="0"/>
              <w:rPr>
                <w:sz w:val="18"/>
                <w:szCs w:val="18"/>
                <w:color w:val="auto"/>
              </w:rPr>
            </w:pPr>
          </w:p>
        </w:tc>
        <w:tc>
          <w:tcPr>
            <w:tcW w:w="25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r>
      <w:tr>
        <w:trPr>
          <w:trHeight w:val="206"/>
        </w:trPr>
        <w:tc>
          <w:tcPr>
            <w:tcW w:w="2580" w:type="dxa"/>
            <w:vAlign w:val="bottom"/>
          </w:tcPr>
          <w:p>
            <w:pPr>
              <w:spacing w:after="0" w:line="207" w:lineRule="exact"/>
              <w:rPr>
                <w:sz w:val="20"/>
                <w:szCs w:val="20"/>
                <w:color w:val="auto"/>
              </w:rPr>
            </w:pPr>
            <w:r>
              <w:rPr>
                <w:rFonts w:ascii="Arial" w:cs="Arial" w:eastAsia="Arial" w:hAnsi="Arial"/>
                <w:sz w:val="14"/>
                <w:szCs w:val="14"/>
                <w:color w:val="auto"/>
              </w:rPr>
              <w:t xml:space="preserve">Vertellus Specialties, Inc. </w:t>
            </w:r>
            <w:r>
              <w:rPr>
                <w:rFonts w:ascii="Arial" w:cs="Arial" w:eastAsia="Arial" w:hAnsi="Arial"/>
                <w:sz w:val="23"/>
                <w:szCs w:val="23"/>
                <w:color w:val="auto"/>
                <w:vertAlign w:val="superscript"/>
              </w:rPr>
              <w:t>(3)</w:t>
            </w:r>
          </w:p>
        </w:tc>
        <w:tc>
          <w:tcPr>
            <w:tcW w:w="2720" w:type="dxa"/>
            <w:vAlign w:val="bottom"/>
            <w:gridSpan w:val="3"/>
          </w:tcPr>
          <w:p>
            <w:pPr>
              <w:ind w:left="80"/>
              <w:spacing w:after="0"/>
              <w:rPr>
                <w:sz w:val="20"/>
                <w:szCs w:val="20"/>
                <w:color w:val="auto"/>
              </w:rPr>
            </w:pPr>
            <w:r>
              <w:rPr>
                <w:rFonts w:ascii="Arial" w:cs="Arial" w:eastAsia="Arial" w:hAnsi="Arial"/>
                <w:sz w:val="16"/>
                <w:szCs w:val="16"/>
                <w:color w:val="auto"/>
              </w:rPr>
              <w:t>Second-lien loan ($4,357 par, due</w:t>
            </w:r>
          </w:p>
        </w:tc>
        <w:tc>
          <w:tcPr>
            <w:tcW w:w="860" w:type="dxa"/>
            <w:vAlign w:val="bottom"/>
          </w:tcPr>
          <w:p>
            <w:pPr>
              <w:jc w:val="right"/>
              <w:spacing w:after="0"/>
              <w:rPr>
                <w:sz w:val="20"/>
                <w:szCs w:val="20"/>
                <w:color w:val="auto"/>
              </w:rPr>
            </w:pPr>
            <w:r>
              <w:rPr>
                <w:rFonts w:ascii="Arial" w:cs="Arial" w:eastAsia="Arial" w:hAnsi="Arial"/>
                <w:sz w:val="16"/>
                <w:szCs w:val="16"/>
                <w:color w:val="auto"/>
              </w:rPr>
              <w:t>10/31/2016</w:t>
            </w:r>
          </w:p>
        </w:tc>
        <w:tc>
          <w:tcPr>
            <w:tcW w:w="1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L + 12.00%</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13.00%</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4,357</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4,379</w:t>
            </w:r>
          </w:p>
        </w:tc>
        <w:tc>
          <w:tcPr>
            <w:tcW w:w="2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0.4%</w:t>
            </w:r>
          </w:p>
        </w:tc>
      </w:tr>
      <w:tr>
        <w:trPr>
          <w:trHeight w:val="209"/>
        </w:trPr>
        <w:tc>
          <w:tcPr>
            <w:tcW w:w="2580" w:type="dxa"/>
            <w:vAlign w:val="bottom"/>
          </w:tcPr>
          <w:p>
            <w:pPr>
              <w:spacing w:after="0"/>
              <w:rPr>
                <w:sz w:val="18"/>
                <w:szCs w:val="18"/>
                <w:color w:val="auto"/>
              </w:rPr>
            </w:pPr>
          </w:p>
        </w:tc>
        <w:tc>
          <w:tcPr>
            <w:tcW w:w="2620" w:type="dxa"/>
            <w:vAlign w:val="bottom"/>
            <w:gridSpan w:val="2"/>
          </w:tcPr>
          <w:p>
            <w:pPr>
              <w:ind w:left="80"/>
              <w:spacing w:after="0"/>
              <w:rPr>
                <w:sz w:val="20"/>
                <w:szCs w:val="20"/>
                <w:color w:val="auto"/>
              </w:rPr>
            </w:pPr>
            <w:r>
              <w:rPr>
                <w:rFonts w:ascii="Arial" w:cs="Arial" w:eastAsia="Arial" w:hAnsi="Arial"/>
                <w:sz w:val="16"/>
                <w:szCs w:val="16"/>
                <w:color w:val="auto"/>
              </w:rPr>
              <w:t>10/2021)</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9"/>
        </w:trPr>
        <w:tc>
          <w:tcPr>
            <w:tcW w:w="25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Communications</w:t>
            </w:r>
          </w:p>
        </w:tc>
        <w:tc>
          <w:tcPr>
            <w:tcW w:w="80" w:type="dxa"/>
            <w:vAlign w:val="bottom"/>
            <w:shd w:val="clear" w:color="auto" w:fill="CFF0FC"/>
          </w:tcPr>
          <w:p>
            <w:pPr>
              <w:spacing w:after="0"/>
              <w:rPr>
                <w:sz w:val="19"/>
                <w:szCs w:val="19"/>
                <w:color w:val="auto"/>
              </w:rPr>
            </w:pPr>
          </w:p>
        </w:tc>
        <w:tc>
          <w:tcPr>
            <w:tcW w:w="2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r>
      <w:tr>
        <w:trPr>
          <w:trHeight w:val="203"/>
        </w:trPr>
        <w:tc>
          <w:tcPr>
            <w:tcW w:w="2580" w:type="dxa"/>
            <w:vAlign w:val="bottom"/>
          </w:tcPr>
          <w:p>
            <w:pPr>
              <w:spacing w:after="0"/>
              <w:rPr>
                <w:sz w:val="20"/>
                <w:szCs w:val="20"/>
                <w:color w:val="auto"/>
              </w:rPr>
            </w:pPr>
            <w:r>
              <w:rPr>
                <w:rFonts w:ascii="Arial" w:cs="Arial" w:eastAsia="Arial" w:hAnsi="Arial"/>
                <w:sz w:val="16"/>
                <w:szCs w:val="16"/>
                <w:color w:val="auto"/>
              </w:rPr>
              <w:t>IntelePeer Holdings, Inc.</w:t>
            </w:r>
          </w:p>
        </w:tc>
        <w:tc>
          <w:tcPr>
            <w:tcW w:w="2720" w:type="dxa"/>
            <w:vAlign w:val="bottom"/>
            <w:gridSpan w:val="3"/>
          </w:tcPr>
          <w:p>
            <w:pPr>
              <w:ind w:left="80"/>
              <w:spacing w:after="0"/>
              <w:rPr>
                <w:sz w:val="20"/>
                <w:szCs w:val="20"/>
                <w:color w:val="auto"/>
              </w:rPr>
            </w:pPr>
            <w:r>
              <w:rPr>
                <w:rFonts w:ascii="Arial" w:cs="Arial" w:eastAsia="Arial" w:hAnsi="Arial"/>
                <w:sz w:val="16"/>
                <w:szCs w:val="16"/>
                <w:color w:val="auto"/>
              </w:rPr>
              <w:t>First-lien loan ($42,992 par, due</w:t>
            </w:r>
          </w:p>
        </w:tc>
        <w:tc>
          <w:tcPr>
            <w:tcW w:w="860" w:type="dxa"/>
            <w:vAlign w:val="bottom"/>
          </w:tcPr>
          <w:p>
            <w:pPr>
              <w:jc w:val="right"/>
              <w:spacing w:after="0"/>
              <w:rPr>
                <w:sz w:val="20"/>
                <w:szCs w:val="20"/>
                <w:color w:val="auto"/>
              </w:rPr>
            </w:pPr>
            <w:r>
              <w:rPr>
                <w:rFonts w:ascii="Arial" w:cs="Arial" w:eastAsia="Arial" w:hAnsi="Arial"/>
                <w:sz w:val="16"/>
                <w:szCs w:val="16"/>
                <w:color w:val="auto"/>
              </w:rPr>
              <w:t>12/2/2019</w:t>
            </w:r>
          </w:p>
        </w:tc>
        <w:tc>
          <w:tcPr>
            <w:tcW w:w="1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L + 8.25%</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9.75%</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42,882</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42,347</w:t>
            </w:r>
          </w:p>
        </w:tc>
        <w:tc>
          <w:tcPr>
            <w:tcW w:w="2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3.7%</w:t>
            </w:r>
          </w:p>
        </w:tc>
      </w:tr>
      <w:tr>
        <w:trPr>
          <w:trHeight w:val="216"/>
        </w:trPr>
        <w:tc>
          <w:tcPr>
            <w:tcW w:w="2580" w:type="dxa"/>
            <w:vAlign w:val="bottom"/>
          </w:tcPr>
          <w:p>
            <w:pPr>
              <w:spacing w:after="0"/>
              <w:rPr>
                <w:sz w:val="18"/>
                <w:szCs w:val="18"/>
                <w:color w:val="auto"/>
              </w:rPr>
            </w:pPr>
          </w:p>
        </w:tc>
        <w:tc>
          <w:tcPr>
            <w:tcW w:w="2620" w:type="dxa"/>
            <w:vAlign w:val="bottom"/>
            <w:gridSpan w:val="2"/>
          </w:tcPr>
          <w:p>
            <w:pPr>
              <w:ind w:left="80"/>
              <w:spacing w:after="0" w:line="216" w:lineRule="exact"/>
              <w:rPr>
                <w:sz w:val="20"/>
                <w:szCs w:val="20"/>
                <w:color w:val="auto"/>
              </w:rPr>
            </w:pPr>
            <w:r>
              <w:rPr>
                <w:rFonts w:ascii="Arial" w:cs="Arial" w:eastAsia="Arial" w:hAnsi="Arial"/>
                <w:sz w:val="15"/>
                <w:szCs w:val="15"/>
                <w:color w:val="auto"/>
              </w:rPr>
              <w:t xml:space="preserve">12/2024) </w:t>
            </w:r>
            <w:r>
              <w:rPr>
                <w:rFonts w:ascii="Arial" w:cs="Arial" w:eastAsia="Arial" w:hAnsi="Arial"/>
                <w:sz w:val="25"/>
                <w:szCs w:val="25"/>
                <w:color w:val="auto"/>
                <w:vertAlign w:val="superscript"/>
              </w:rPr>
              <w:t>(3)</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6"/>
        </w:trPr>
        <w:tc>
          <w:tcPr>
            <w:tcW w:w="2580" w:type="dxa"/>
            <w:vAlign w:val="bottom"/>
            <w:shd w:val="clear" w:color="auto" w:fill="CFF0FC"/>
          </w:tcPr>
          <w:p>
            <w:pPr>
              <w:spacing w:after="0"/>
              <w:rPr>
                <w:sz w:val="17"/>
                <w:szCs w:val="17"/>
                <w:color w:val="auto"/>
              </w:rPr>
            </w:pPr>
          </w:p>
        </w:tc>
        <w:tc>
          <w:tcPr>
            <w:tcW w:w="2720" w:type="dxa"/>
            <w:vAlign w:val="bottom"/>
            <w:gridSpan w:val="3"/>
            <w:shd w:val="clear" w:color="auto" w:fill="CFF0FC"/>
          </w:tcPr>
          <w:p>
            <w:pPr>
              <w:ind w:left="80"/>
              <w:spacing w:after="0"/>
              <w:rPr>
                <w:sz w:val="20"/>
                <w:szCs w:val="20"/>
                <w:color w:val="auto"/>
              </w:rPr>
            </w:pPr>
            <w:r>
              <w:rPr>
                <w:rFonts w:ascii="Arial" w:cs="Arial" w:eastAsia="Arial" w:hAnsi="Arial"/>
                <w:sz w:val="16"/>
                <w:szCs w:val="16"/>
                <w:color w:val="auto"/>
              </w:rPr>
              <w:t>Convertible note ($350 par, due</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2/28/2020</w:t>
            </w:r>
          </w:p>
        </w:tc>
        <w:tc>
          <w:tcPr>
            <w:tcW w:w="1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8.00%</w:t>
            </w: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8.00% PIK</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291</w:t>
            </w: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227</w:t>
            </w:r>
          </w:p>
        </w:tc>
        <w:tc>
          <w:tcPr>
            <w:tcW w:w="2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0.0%</w:t>
            </w:r>
          </w:p>
        </w:tc>
      </w:tr>
      <w:tr>
        <w:trPr>
          <w:trHeight w:val="212"/>
        </w:trPr>
        <w:tc>
          <w:tcPr>
            <w:tcW w:w="2580" w:type="dxa"/>
            <w:vAlign w:val="bottom"/>
            <w:shd w:val="clear" w:color="auto" w:fill="CFF0FC"/>
          </w:tcPr>
          <w:p>
            <w:pPr>
              <w:spacing w:after="0"/>
              <w:rPr>
                <w:sz w:val="18"/>
                <w:szCs w:val="18"/>
                <w:color w:val="auto"/>
              </w:rPr>
            </w:pPr>
          </w:p>
        </w:tc>
        <w:tc>
          <w:tcPr>
            <w:tcW w:w="262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12/2020)</w:t>
            </w: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07"/>
        </w:trPr>
        <w:tc>
          <w:tcPr>
            <w:tcW w:w="2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43,173</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42,574</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3.7</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r>
      <w:tr>
        <w:trPr>
          <w:trHeight w:val="212"/>
        </w:trPr>
        <w:tc>
          <w:tcPr>
            <w:tcW w:w="2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Education</w:t>
            </w:r>
          </w:p>
        </w:tc>
        <w:tc>
          <w:tcPr>
            <w:tcW w:w="80" w:type="dxa"/>
            <w:vAlign w:val="bottom"/>
            <w:tcBorders>
              <w:top w:val="single" w:sz="8" w:color="CFF0FC"/>
            </w:tcBorders>
            <w:shd w:val="clear" w:color="auto" w:fill="CFF0FC"/>
          </w:tcPr>
          <w:p>
            <w:pPr>
              <w:spacing w:after="0"/>
              <w:rPr>
                <w:sz w:val="18"/>
                <w:szCs w:val="18"/>
                <w:color w:val="auto"/>
              </w:rPr>
            </w:pPr>
          </w:p>
        </w:tc>
        <w:tc>
          <w:tcPr>
            <w:tcW w:w="25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r>
      <w:tr>
        <w:trPr>
          <w:trHeight w:val="206"/>
        </w:trPr>
        <w:tc>
          <w:tcPr>
            <w:tcW w:w="2580" w:type="dxa"/>
            <w:vAlign w:val="bottom"/>
          </w:tcPr>
          <w:p>
            <w:pPr>
              <w:spacing w:after="0" w:line="207" w:lineRule="exact"/>
              <w:rPr>
                <w:sz w:val="20"/>
                <w:szCs w:val="20"/>
                <w:color w:val="auto"/>
              </w:rPr>
            </w:pPr>
            <w:r>
              <w:rPr>
                <w:rFonts w:ascii="Arial" w:cs="Arial" w:eastAsia="Arial" w:hAnsi="Arial"/>
                <w:sz w:val="14"/>
                <w:szCs w:val="14"/>
                <w:color w:val="auto"/>
              </w:rPr>
              <w:t xml:space="preserve">EMS Linq, Inc. </w:t>
            </w:r>
            <w:r>
              <w:rPr>
                <w:rFonts w:ascii="Arial" w:cs="Arial" w:eastAsia="Arial" w:hAnsi="Arial"/>
                <w:sz w:val="23"/>
                <w:szCs w:val="23"/>
                <w:color w:val="auto"/>
                <w:vertAlign w:val="superscript"/>
              </w:rPr>
              <w:t>(3)(5)</w:t>
            </w:r>
          </w:p>
        </w:tc>
        <w:tc>
          <w:tcPr>
            <w:tcW w:w="2720" w:type="dxa"/>
            <w:vAlign w:val="bottom"/>
            <w:gridSpan w:val="3"/>
          </w:tcPr>
          <w:p>
            <w:pPr>
              <w:ind w:left="80"/>
              <w:spacing w:after="0"/>
              <w:rPr>
                <w:sz w:val="20"/>
                <w:szCs w:val="20"/>
                <w:color w:val="auto"/>
              </w:rPr>
            </w:pPr>
            <w:r>
              <w:rPr>
                <w:rFonts w:ascii="Arial" w:cs="Arial" w:eastAsia="Arial" w:hAnsi="Arial"/>
                <w:sz w:val="16"/>
                <w:szCs w:val="16"/>
                <w:color w:val="auto"/>
              </w:rPr>
              <w:t>First-lien loan ($27,500 par, due</w:t>
            </w:r>
          </w:p>
        </w:tc>
        <w:tc>
          <w:tcPr>
            <w:tcW w:w="860" w:type="dxa"/>
            <w:vAlign w:val="bottom"/>
          </w:tcPr>
          <w:p>
            <w:pPr>
              <w:jc w:val="right"/>
              <w:spacing w:after="0"/>
              <w:rPr>
                <w:sz w:val="20"/>
                <w:szCs w:val="20"/>
                <w:color w:val="auto"/>
              </w:rPr>
            </w:pPr>
            <w:r>
              <w:rPr>
                <w:rFonts w:ascii="Arial" w:cs="Arial" w:eastAsia="Arial" w:hAnsi="Arial"/>
                <w:sz w:val="16"/>
                <w:szCs w:val="16"/>
                <w:color w:val="auto"/>
              </w:rPr>
              <w:t>9/17/2020</w:t>
            </w:r>
          </w:p>
        </w:tc>
        <w:tc>
          <w:tcPr>
            <w:tcW w:w="1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L + 7.75%</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8.75%</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26,668</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26,881</w:t>
            </w:r>
          </w:p>
        </w:tc>
        <w:tc>
          <w:tcPr>
            <w:tcW w:w="2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2.4%</w:t>
            </w:r>
          </w:p>
        </w:tc>
      </w:tr>
      <w:tr>
        <w:trPr>
          <w:trHeight w:val="209"/>
        </w:trPr>
        <w:tc>
          <w:tcPr>
            <w:tcW w:w="2580" w:type="dxa"/>
            <w:vAlign w:val="bottom"/>
          </w:tcPr>
          <w:p>
            <w:pPr>
              <w:spacing w:after="0"/>
              <w:rPr>
                <w:sz w:val="18"/>
                <w:szCs w:val="18"/>
                <w:color w:val="auto"/>
              </w:rPr>
            </w:pPr>
          </w:p>
        </w:tc>
        <w:tc>
          <w:tcPr>
            <w:tcW w:w="2620" w:type="dxa"/>
            <w:vAlign w:val="bottom"/>
            <w:gridSpan w:val="2"/>
          </w:tcPr>
          <w:p>
            <w:pPr>
              <w:ind w:left="80"/>
              <w:spacing w:after="0"/>
              <w:rPr>
                <w:sz w:val="20"/>
                <w:szCs w:val="20"/>
                <w:color w:val="auto"/>
              </w:rPr>
            </w:pPr>
            <w:r>
              <w:rPr>
                <w:rFonts w:ascii="Arial" w:cs="Arial" w:eastAsia="Arial" w:hAnsi="Arial"/>
                <w:sz w:val="16"/>
                <w:szCs w:val="16"/>
                <w:color w:val="auto"/>
              </w:rPr>
              <w:t>9/2025)</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6"/>
        </w:trPr>
        <w:tc>
          <w:tcPr>
            <w:tcW w:w="2580" w:type="dxa"/>
            <w:vAlign w:val="bottom"/>
            <w:shd w:val="clear" w:color="auto" w:fill="CFF0FC"/>
          </w:tcPr>
          <w:p>
            <w:pPr>
              <w:spacing w:after="0"/>
              <w:rPr>
                <w:sz w:val="20"/>
                <w:szCs w:val="20"/>
                <w:color w:val="auto"/>
              </w:rPr>
            </w:pPr>
            <w:r>
              <w:rPr>
                <w:rFonts w:ascii="Arial" w:cs="Arial" w:eastAsia="Arial" w:hAnsi="Arial"/>
                <w:sz w:val="16"/>
                <w:szCs w:val="16"/>
                <w:color w:val="auto"/>
              </w:rPr>
              <w:t>Frontline Technologies</w:t>
            </w:r>
          </w:p>
        </w:tc>
        <w:tc>
          <w:tcPr>
            <w:tcW w:w="2720" w:type="dxa"/>
            <w:vAlign w:val="bottom"/>
            <w:gridSpan w:val="3"/>
            <w:shd w:val="clear" w:color="auto" w:fill="CFF0FC"/>
          </w:tcPr>
          <w:p>
            <w:pPr>
              <w:ind w:left="80"/>
              <w:spacing w:after="0"/>
              <w:rPr>
                <w:sz w:val="20"/>
                <w:szCs w:val="20"/>
                <w:color w:val="auto"/>
              </w:rPr>
            </w:pPr>
            <w:r>
              <w:rPr>
                <w:rFonts w:ascii="Arial" w:cs="Arial" w:eastAsia="Arial" w:hAnsi="Arial"/>
                <w:sz w:val="16"/>
                <w:szCs w:val="16"/>
                <w:color w:val="auto"/>
              </w:rPr>
              <w:t>First-lien loan ($65,303 par, due</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9/18/2017</w:t>
            </w:r>
          </w:p>
        </w:tc>
        <w:tc>
          <w:tcPr>
            <w:tcW w:w="1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L + 5.75%</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6.75%</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64,977</w:t>
            </w: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65,630</w:t>
            </w:r>
          </w:p>
        </w:tc>
        <w:tc>
          <w:tcPr>
            <w:tcW w:w="2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5.8%</w:t>
            </w:r>
          </w:p>
        </w:tc>
      </w:tr>
      <w:tr>
        <w:trPr>
          <w:trHeight w:val="216"/>
        </w:trPr>
        <w:tc>
          <w:tcPr>
            <w:tcW w:w="2580" w:type="dxa"/>
            <w:vAlign w:val="bottom"/>
            <w:shd w:val="clear" w:color="auto" w:fill="CFF0FC"/>
          </w:tcPr>
          <w:p>
            <w:pPr>
              <w:ind w:left="120"/>
              <w:spacing w:after="0" w:line="216" w:lineRule="exact"/>
              <w:rPr>
                <w:sz w:val="20"/>
                <w:szCs w:val="20"/>
                <w:color w:val="auto"/>
              </w:rPr>
            </w:pPr>
            <w:r>
              <w:rPr>
                <w:rFonts w:ascii="Arial" w:cs="Arial" w:eastAsia="Arial" w:hAnsi="Arial"/>
                <w:sz w:val="15"/>
                <w:szCs w:val="15"/>
                <w:color w:val="auto"/>
              </w:rPr>
              <w:t xml:space="preserve">Group, LLC </w:t>
            </w:r>
            <w:r>
              <w:rPr>
                <w:rFonts w:ascii="Arial" w:cs="Arial" w:eastAsia="Arial" w:hAnsi="Arial"/>
                <w:sz w:val="25"/>
                <w:szCs w:val="25"/>
                <w:color w:val="auto"/>
                <w:vertAlign w:val="superscript"/>
              </w:rPr>
              <w:t>(3)</w:t>
            </w:r>
          </w:p>
        </w:tc>
        <w:tc>
          <w:tcPr>
            <w:tcW w:w="262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9/2023)</w:t>
            </w: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03"/>
        </w:trPr>
        <w:tc>
          <w:tcPr>
            <w:tcW w:w="2580" w:type="dxa"/>
            <w:vAlign w:val="bottom"/>
          </w:tcPr>
          <w:p>
            <w:pPr>
              <w:spacing w:after="0"/>
              <w:rPr>
                <w:sz w:val="20"/>
                <w:szCs w:val="20"/>
                <w:color w:val="auto"/>
              </w:rPr>
            </w:pPr>
            <w:r>
              <w:rPr>
                <w:rFonts w:ascii="Arial" w:cs="Arial" w:eastAsia="Arial" w:hAnsi="Arial"/>
                <w:sz w:val="16"/>
                <w:szCs w:val="16"/>
                <w:color w:val="auto"/>
              </w:rPr>
              <w:t>Illuminate Education,</w:t>
            </w:r>
          </w:p>
        </w:tc>
        <w:tc>
          <w:tcPr>
            <w:tcW w:w="2720" w:type="dxa"/>
            <w:vAlign w:val="bottom"/>
            <w:gridSpan w:val="3"/>
          </w:tcPr>
          <w:p>
            <w:pPr>
              <w:ind w:left="80"/>
              <w:spacing w:after="0"/>
              <w:rPr>
                <w:sz w:val="20"/>
                <w:szCs w:val="20"/>
                <w:color w:val="auto"/>
              </w:rPr>
            </w:pPr>
            <w:r>
              <w:rPr>
                <w:rFonts w:ascii="Arial" w:cs="Arial" w:eastAsia="Arial" w:hAnsi="Arial"/>
                <w:sz w:val="16"/>
                <w:szCs w:val="16"/>
                <w:color w:val="auto"/>
              </w:rPr>
              <w:t>First-lien loan ($63,538 par, due</w:t>
            </w:r>
          </w:p>
        </w:tc>
        <w:tc>
          <w:tcPr>
            <w:tcW w:w="860" w:type="dxa"/>
            <w:vAlign w:val="bottom"/>
          </w:tcPr>
          <w:p>
            <w:pPr>
              <w:jc w:val="right"/>
              <w:spacing w:after="0"/>
              <w:rPr>
                <w:sz w:val="20"/>
                <w:szCs w:val="20"/>
                <w:color w:val="auto"/>
              </w:rPr>
            </w:pPr>
            <w:r>
              <w:rPr>
                <w:rFonts w:ascii="Arial" w:cs="Arial" w:eastAsia="Arial" w:hAnsi="Arial"/>
                <w:sz w:val="16"/>
                <w:szCs w:val="16"/>
                <w:color w:val="auto"/>
              </w:rPr>
              <w:t>8/25/2017</w:t>
            </w:r>
          </w:p>
        </w:tc>
        <w:tc>
          <w:tcPr>
            <w:tcW w:w="1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L + 6.25%</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7.25%</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62,953</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63,220</w:t>
            </w:r>
          </w:p>
        </w:tc>
        <w:tc>
          <w:tcPr>
            <w:tcW w:w="2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5.6%</w:t>
            </w:r>
          </w:p>
        </w:tc>
      </w:tr>
      <w:tr>
        <w:trPr>
          <w:trHeight w:val="213"/>
        </w:trPr>
        <w:tc>
          <w:tcPr>
            <w:tcW w:w="2580" w:type="dxa"/>
            <w:vAlign w:val="bottom"/>
            <w:tcBorders>
              <w:bottom w:val="single" w:sz="8" w:color="CFF0FC"/>
            </w:tcBorders>
          </w:tcPr>
          <w:p>
            <w:pPr>
              <w:ind w:left="120"/>
              <w:spacing w:after="0"/>
              <w:rPr>
                <w:sz w:val="20"/>
                <w:szCs w:val="20"/>
                <w:color w:val="auto"/>
              </w:rPr>
            </w:pPr>
            <w:r>
              <w:rPr>
                <w:rFonts w:ascii="Arial" w:cs="Arial" w:eastAsia="Arial" w:hAnsi="Arial"/>
                <w:sz w:val="16"/>
                <w:szCs w:val="16"/>
                <w:color w:val="auto"/>
              </w:rPr>
              <w:t>Inc.</w:t>
            </w:r>
            <w:r>
              <w:rPr>
                <w:rFonts w:ascii="Arial" w:cs="Arial" w:eastAsia="Arial" w:hAnsi="Arial"/>
                <w:sz w:val="13"/>
                <w:szCs w:val="13"/>
                <w:color w:val="auto"/>
              </w:rPr>
              <w:t>(3)(5)</w:t>
            </w:r>
          </w:p>
        </w:tc>
        <w:tc>
          <w:tcPr>
            <w:tcW w:w="2620" w:type="dxa"/>
            <w:vAlign w:val="bottom"/>
            <w:tcBorders>
              <w:bottom w:val="single" w:sz="8" w:color="CFF0FC"/>
            </w:tcBorders>
            <w:gridSpan w:val="2"/>
          </w:tcPr>
          <w:p>
            <w:pPr>
              <w:ind w:left="80"/>
              <w:spacing w:after="0"/>
              <w:rPr>
                <w:sz w:val="20"/>
                <w:szCs w:val="20"/>
                <w:color w:val="auto"/>
              </w:rPr>
            </w:pPr>
            <w:r>
              <w:rPr>
                <w:rFonts w:ascii="Arial" w:cs="Arial" w:eastAsia="Arial" w:hAnsi="Arial"/>
                <w:sz w:val="16"/>
                <w:szCs w:val="16"/>
                <w:color w:val="auto"/>
              </w:rPr>
              <w:t>8/2022)</w:t>
            </w:r>
          </w:p>
        </w:tc>
        <w:tc>
          <w:tcPr>
            <w:tcW w:w="100" w:type="dxa"/>
            <w:vAlign w:val="bottom"/>
            <w:tcBorders>
              <w:bottom w:val="single" w:sz="8" w:color="CFF0FC"/>
            </w:tcBorders>
          </w:tcPr>
          <w:p>
            <w:pPr>
              <w:spacing w:after="0"/>
              <w:rPr>
                <w:sz w:val="18"/>
                <w:szCs w:val="18"/>
                <w:color w:val="auto"/>
              </w:rPr>
            </w:pPr>
          </w:p>
        </w:tc>
        <w:tc>
          <w:tcPr>
            <w:tcW w:w="8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78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78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r>
      <w:tr>
        <w:trPr>
          <w:trHeight w:val="213"/>
        </w:trPr>
        <w:tc>
          <w:tcPr>
            <w:tcW w:w="25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154,598</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155,731</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13.8%</w:t>
            </w:r>
          </w:p>
        </w:tc>
      </w:tr>
      <w:tr>
        <w:trPr>
          <w:trHeight w:val="207"/>
        </w:trPr>
        <w:tc>
          <w:tcPr>
            <w:tcW w:w="2580" w:type="dxa"/>
            <w:vAlign w:val="bottom"/>
          </w:tcPr>
          <w:p>
            <w:pPr>
              <w:spacing w:after="0"/>
              <w:rPr>
                <w:sz w:val="20"/>
                <w:szCs w:val="20"/>
                <w:color w:val="auto"/>
              </w:rPr>
            </w:pPr>
            <w:r>
              <w:rPr>
                <w:rFonts w:ascii="Arial" w:cs="Arial" w:eastAsia="Arial" w:hAnsi="Arial"/>
                <w:sz w:val="16"/>
                <w:szCs w:val="16"/>
                <w:b w:val="1"/>
                <w:bCs w:val="1"/>
                <w:color w:val="auto"/>
              </w:rPr>
              <w:t>Financial services</w:t>
            </w:r>
          </w:p>
        </w:tc>
        <w:tc>
          <w:tcPr>
            <w:tcW w:w="8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09"/>
        </w:trPr>
        <w:tc>
          <w:tcPr>
            <w:tcW w:w="258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AvidXchange, Inc. </w:t>
            </w:r>
            <w:r>
              <w:rPr>
                <w:rFonts w:ascii="Arial" w:cs="Arial" w:eastAsia="Arial" w:hAnsi="Arial"/>
                <w:sz w:val="24"/>
                <w:szCs w:val="24"/>
                <w:color w:val="auto"/>
                <w:vertAlign w:val="superscript"/>
              </w:rPr>
              <w:t>(3)(5)</w:t>
            </w:r>
          </w:p>
        </w:tc>
        <w:tc>
          <w:tcPr>
            <w:tcW w:w="2720" w:type="dxa"/>
            <w:vAlign w:val="bottom"/>
            <w:gridSpan w:val="3"/>
            <w:shd w:val="clear" w:color="auto" w:fill="CFF0FC"/>
          </w:tcPr>
          <w:p>
            <w:pPr>
              <w:ind w:left="80"/>
              <w:spacing w:after="0"/>
              <w:rPr>
                <w:sz w:val="20"/>
                <w:szCs w:val="20"/>
                <w:color w:val="auto"/>
              </w:rPr>
            </w:pPr>
            <w:r>
              <w:rPr>
                <w:rFonts w:ascii="Arial" w:cs="Arial" w:eastAsia="Arial" w:hAnsi="Arial"/>
                <w:sz w:val="16"/>
                <w:szCs w:val="16"/>
                <w:color w:val="auto"/>
              </w:rPr>
              <w:t>First-lien loan ($10,708 par, due</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10/1/2019</w:t>
            </w: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L + 9.00%</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10.00%</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10,583</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10,708</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0.9%</w:t>
            </w:r>
          </w:p>
        </w:tc>
      </w:tr>
      <w:tr>
        <w:trPr>
          <w:trHeight w:val="212"/>
        </w:trPr>
        <w:tc>
          <w:tcPr>
            <w:tcW w:w="2580" w:type="dxa"/>
            <w:vAlign w:val="bottom"/>
            <w:shd w:val="clear" w:color="auto" w:fill="CFF0FC"/>
          </w:tcPr>
          <w:p>
            <w:pPr>
              <w:spacing w:after="0"/>
              <w:rPr>
                <w:sz w:val="18"/>
                <w:szCs w:val="18"/>
                <w:color w:val="auto"/>
              </w:rPr>
            </w:pPr>
          </w:p>
        </w:tc>
        <w:tc>
          <w:tcPr>
            <w:tcW w:w="262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4/2024)</w:t>
            </w: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06"/>
        </w:trPr>
        <w:tc>
          <w:tcPr>
            <w:tcW w:w="2580" w:type="dxa"/>
            <w:vAlign w:val="bottom"/>
          </w:tcPr>
          <w:p>
            <w:pPr>
              <w:spacing w:after="0" w:line="207" w:lineRule="exact"/>
              <w:rPr>
                <w:sz w:val="20"/>
                <w:szCs w:val="20"/>
                <w:color w:val="auto"/>
              </w:rPr>
            </w:pPr>
            <w:r>
              <w:rPr>
                <w:rFonts w:ascii="Arial" w:cs="Arial" w:eastAsia="Arial" w:hAnsi="Arial"/>
                <w:sz w:val="14"/>
                <w:szCs w:val="14"/>
                <w:color w:val="auto"/>
              </w:rPr>
              <w:t xml:space="preserve">Bear OpCo, LLC </w:t>
            </w:r>
            <w:r>
              <w:rPr>
                <w:rFonts w:ascii="Arial" w:cs="Arial" w:eastAsia="Arial" w:hAnsi="Arial"/>
                <w:sz w:val="23"/>
                <w:szCs w:val="23"/>
                <w:color w:val="auto"/>
                <w:vertAlign w:val="superscript"/>
              </w:rPr>
              <w:t>(3)(5)</w:t>
            </w:r>
          </w:p>
        </w:tc>
        <w:tc>
          <w:tcPr>
            <w:tcW w:w="2720" w:type="dxa"/>
            <w:vAlign w:val="bottom"/>
            <w:gridSpan w:val="3"/>
          </w:tcPr>
          <w:p>
            <w:pPr>
              <w:ind w:left="80"/>
              <w:spacing w:after="0"/>
              <w:rPr>
                <w:sz w:val="20"/>
                <w:szCs w:val="20"/>
                <w:color w:val="auto"/>
              </w:rPr>
            </w:pPr>
            <w:r>
              <w:rPr>
                <w:rFonts w:ascii="Arial" w:cs="Arial" w:eastAsia="Arial" w:hAnsi="Arial"/>
                <w:sz w:val="16"/>
                <w:szCs w:val="16"/>
                <w:color w:val="auto"/>
              </w:rPr>
              <w:t>First-lien loan ($17,325 par, due</w:t>
            </w:r>
          </w:p>
        </w:tc>
        <w:tc>
          <w:tcPr>
            <w:tcW w:w="860" w:type="dxa"/>
            <w:vAlign w:val="bottom"/>
          </w:tcPr>
          <w:p>
            <w:pPr>
              <w:jc w:val="right"/>
              <w:spacing w:after="0"/>
              <w:rPr>
                <w:sz w:val="20"/>
                <w:szCs w:val="20"/>
                <w:color w:val="auto"/>
              </w:rPr>
            </w:pPr>
            <w:r>
              <w:rPr>
                <w:rFonts w:ascii="Arial" w:cs="Arial" w:eastAsia="Arial" w:hAnsi="Arial"/>
                <w:sz w:val="16"/>
                <w:szCs w:val="16"/>
                <w:color w:val="auto"/>
              </w:rPr>
              <w:t>10/10/2019</w:t>
            </w:r>
          </w:p>
        </w:tc>
        <w:tc>
          <w:tcPr>
            <w:tcW w:w="1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L + 5.00%</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6.00%</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16,916</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17,022</w:t>
            </w:r>
          </w:p>
        </w:tc>
        <w:tc>
          <w:tcPr>
            <w:tcW w:w="2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1.5%</w:t>
            </w:r>
          </w:p>
        </w:tc>
      </w:tr>
      <w:tr>
        <w:trPr>
          <w:trHeight w:val="209"/>
        </w:trPr>
        <w:tc>
          <w:tcPr>
            <w:tcW w:w="2580" w:type="dxa"/>
            <w:vAlign w:val="bottom"/>
          </w:tcPr>
          <w:p>
            <w:pPr>
              <w:spacing w:after="0"/>
              <w:rPr>
                <w:sz w:val="18"/>
                <w:szCs w:val="18"/>
                <w:color w:val="auto"/>
              </w:rPr>
            </w:pPr>
          </w:p>
        </w:tc>
        <w:tc>
          <w:tcPr>
            <w:tcW w:w="2620" w:type="dxa"/>
            <w:vAlign w:val="bottom"/>
            <w:gridSpan w:val="2"/>
          </w:tcPr>
          <w:p>
            <w:pPr>
              <w:ind w:left="80"/>
              <w:spacing w:after="0"/>
              <w:rPr>
                <w:sz w:val="20"/>
                <w:szCs w:val="20"/>
                <w:color w:val="auto"/>
              </w:rPr>
            </w:pPr>
            <w:r>
              <w:rPr>
                <w:rFonts w:ascii="Arial" w:cs="Arial" w:eastAsia="Arial" w:hAnsi="Arial"/>
                <w:sz w:val="16"/>
                <w:szCs w:val="16"/>
                <w:color w:val="auto"/>
              </w:rPr>
              <w:t>10/2024)</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258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BlueSnap, Inc. </w:t>
            </w:r>
            <w:r>
              <w:rPr>
                <w:rFonts w:ascii="Arial" w:cs="Arial" w:eastAsia="Arial" w:hAnsi="Arial"/>
                <w:sz w:val="24"/>
                <w:szCs w:val="24"/>
                <w:color w:val="auto"/>
                <w:vertAlign w:val="superscript"/>
              </w:rPr>
              <w:t>(3)</w:t>
            </w:r>
          </w:p>
        </w:tc>
        <w:tc>
          <w:tcPr>
            <w:tcW w:w="2720" w:type="dxa"/>
            <w:vAlign w:val="bottom"/>
            <w:gridSpan w:val="3"/>
            <w:shd w:val="clear" w:color="auto" w:fill="CFF0FC"/>
          </w:tcPr>
          <w:p>
            <w:pPr>
              <w:ind w:left="80"/>
              <w:spacing w:after="0"/>
              <w:rPr>
                <w:sz w:val="20"/>
                <w:szCs w:val="20"/>
                <w:color w:val="auto"/>
              </w:rPr>
            </w:pPr>
            <w:r>
              <w:rPr>
                <w:rFonts w:ascii="Arial" w:cs="Arial" w:eastAsia="Arial" w:hAnsi="Arial"/>
                <w:sz w:val="16"/>
                <w:szCs w:val="16"/>
                <w:color w:val="auto"/>
              </w:rPr>
              <w:t>First-lien loan ($35,000 par, due</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10/25/2019</w:t>
            </w: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L + 7.00%</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8.00%</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34,410</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34,912</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3.1%</w:t>
            </w:r>
          </w:p>
        </w:tc>
      </w:tr>
      <w:tr>
        <w:trPr>
          <w:trHeight w:val="212"/>
        </w:trPr>
        <w:tc>
          <w:tcPr>
            <w:tcW w:w="2580" w:type="dxa"/>
            <w:vAlign w:val="bottom"/>
            <w:shd w:val="clear" w:color="auto" w:fill="CFF0FC"/>
          </w:tcPr>
          <w:p>
            <w:pPr>
              <w:spacing w:after="0"/>
              <w:rPr>
                <w:sz w:val="18"/>
                <w:szCs w:val="18"/>
                <w:color w:val="auto"/>
              </w:rPr>
            </w:pPr>
          </w:p>
        </w:tc>
        <w:tc>
          <w:tcPr>
            <w:tcW w:w="262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10/2024)</w:t>
            </w: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3"/>
        </w:trPr>
        <w:tc>
          <w:tcPr>
            <w:tcW w:w="2500" w:type="dxa"/>
            <w:vAlign w:val="bottom"/>
          </w:tcPr>
          <w:p>
            <w:pPr>
              <w:spacing w:after="0"/>
              <w:rPr>
                <w:sz w:val="17"/>
                <w:szCs w:val="17"/>
                <w:color w:val="auto"/>
              </w:rPr>
            </w:pPr>
          </w:p>
        </w:tc>
        <w:tc>
          <w:tcPr>
            <w:tcW w:w="2740" w:type="dxa"/>
            <w:vAlign w:val="bottom"/>
          </w:tcPr>
          <w:p>
            <w:pPr>
              <w:ind w:left="160"/>
              <w:spacing w:after="0"/>
              <w:rPr>
                <w:sz w:val="20"/>
                <w:szCs w:val="20"/>
                <w:color w:val="auto"/>
              </w:rPr>
            </w:pPr>
            <w:r>
              <w:rPr>
                <w:rFonts w:ascii="Arial" w:cs="Arial" w:eastAsia="Arial" w:hAnsi="Arial"/>
                <w:sz w:val="16"/>
                <w:szCs w:val="16"/>
                <w:color w:val="auto"/>
              </w:rPr>
              <w:t>First-lien revolving loan ($2,500 par,</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10/25/2019</w:t>
            </w:r>
          </w:p>
        </w:tc>
        <w:tc>
          <w:tcPr>
            <w:tcW w:w="940" w:type="dxa"/>
            <w:vAlign w:val="bottom"/>
          </w:tcPr>
          <w:p>
            <w:pPr>
              <w:jc w:val="right"/>
              <w:spacing w:after="0"/>
              <w:rPr>
                <w:sz w:val="20"/>
                <w:szCs w:val="20"/>
                <w:color w:val="auto"/>
              </w:rPr>
            </w:pPr>
            <w:r>
              <w:rPr>
                <w:rFonts w:ascii="Arial" w:cs="Arial" w:eastAsia="Arial" w:hAnsi="Arial"/>
                <w:sz w:val="16"/>
                <w:szCs w:val="16"/>
                <w:color w:val="auto"/>
              </w:rPr>
              <w:t>P + 6.00%</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9.25%</w:t>
            </w:r>
          </w:p>
        </w:tc>
        <w:tc>
          <w:tcPr>
            <w:tcW w:w="780" w:type="dxa"/>
            <w:vAlign w:val="bottom"/>
          </w:tcPr>
          <w:p>
            <w:pPr>
              <w:jc w:val="right"/>
              <w:spacing w:after="0"/>
              <w:rPr>
                <w:sz w:val="20"/>
                <w:szCs w:val="20"/>
                <w:color w:val="auto"/>
              </w:rPr>
            </w:pPr>
            <w:r>
              <w:rPr>
                <w:rFonts w:ascii="Arial" w:cs="Arial" w:eastAsia="Arial" w:hAnsi="Arial"/>
                <w:sz w:val="16"/>
                <w:szCs w:val="16"/>
                <w:color w:val="auto"/>
              </w:rPr>
              <w:t>2,459</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2,494</w:t>
            </w:r>
          </w:p>
        </w:tc>
        <w:tc>
          <w:tcPr>
            <w:tcW w:w="2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0.2%</w:t>
            </w:r>
          </w:p>
        </w:tc>
      </w:tr>
      <w:tr>
        <w:trPr>
          <w:trHeight w:val="209"/>
        </w:trPr>
        <w:tc>
          <w:tcPr>
            <w:tcW w:w="2500" w:type="dxa"/>
            <w:vAlign w:val="bottom"/>
          </w:tcPr>
          <w:p>
            <w:pPr>
              <w:spacing w:after="0"/>
              <w:rPr>
                <w:sz w:val="18"/>
                <w:szCs w:val="18"/>
                <w:color w:val="auto"/>
              </w:rPr>
            </w:pPr>
          </w:p>
        </w:tc>
        <w:tc>
          <w:tcPr>
            <w:tcW w:w="2740" w:type="dxa"/>
            <w:vAlign w:val="bottom"/>
          </w:tcPr>
          <w:p>
            <w:pPr>
              <w:ind w:left="160"/>
              <w:spacing w:after="0"/>
              <w:rPr>
                <w:sz w:val="20"/>
                <w:szCs w:val="20"/>
                <w:color w:val="auto"/>
              </w:rPr>
            </w:pPr>
            <w:r>
              <w:rPr>
                <w:rFonts w:ascii="Arial" w:cs="Arial" w:eastAsia="Arial" w:hAnsi="Arial"/>
                <w:sz w:val="16"/>
                <w:szCs w:val="16"/>
                <w:color w:val="auto"/>
              </w:rPr>
              <w:t>due 10/2024)</w:t>
            </w: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250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Factor Systems, Inc. </w:t>
            </w:r>
            <w:r>
              <w:rPr>
                <w:rFonts w:ascii="Arial" w:cs="Arial" w:eastAsia="Arial" w:hAnsi="Arial"/>
                <w:sz w:val="24"/>
                <w:szCs w:val="24"/>
                <w:color w:val="auto"/>
                <w:vertAlign w:val="superscript"/>
              </w:rPr>
              <w:t>(3)(5)</w:t>
            </w:r>
          </w:p>
        </w:tc>
        <w:tc>
          <w:tcPr>
            <w:tcW w:w="2740" w:type="dxa"/>
            <w:vAlign w:val="bottom"/>
            <w:shd w:val="clear" w:color="auto" w:fill="CFF0FC"/>
          </w:tcPr>
          <w:p>
            <w:pPr>
              <w:ind w:left="160"/>
              <w:spacing w:after="0"/>
              <w:rPr>
                <w:sz w:val="20"/>
                <w:szCs w:val="20"/>
                <w:color w:val="auto"/>
              </w:rPr>
            </w:pPr>
            <w:r>
              <w:rPr>
                <w:rFonts w:ascii="Arial" w:cs="Arial" w:eastAsia="Arial" w:hAnsi="Arial"/>
                <w:sz w:val="16"/>
                <w:szCs w:val="16"/>
                <w:color w:val="auto"/>
              </w:rPr>
              <w:t>First-lien loan ($29,850 par, due</w:t>
            </w:r>
          </w:p>
        </w:tc>
        <w:tc>
          <w:tcPr>
            <w:tcW w:w="10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1/17/2020</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L + 7.00%</w:t>
            </w: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8.50%</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29,278</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29,850</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2.6%</w:t>
            </w:r>
          </w:p>
        </w:tc>
      </w:tr>
      <w:tr>
        <w:trPr>
          <w:trHeight w:val="212"/>
        </w:trPr>
        <w:tc>
          <w:tcPr>
            <w:tcW w:w="2500" w:type="dxa"/>
            <w:vAlign w:val="bottom"/>
            <w:shd w:val="clear" w:color="auto" w:fill="CFF0FC"/>
          </w:tcPr>
          <w:p>
            <w:pPr>
              <w:spacing w:after="0"/>
              <w:rPr>
                <w:sz w:val="18"/>
                <w:szCs w:val="18"/>
                <w:color w:val="auto"/>
              </w:rPr>
            </w:pPr>
          </w:p>
        </w:tc>
        <w:tc>
          <w:tcPr>
            <w:tcW w:w="2740" w:type="dxa"/>
            <w:vAlign w:val="bottom"/>
            <w:shd w:val="clear" w:color="auto" w:fill="CFF0FC"/>
          </w:tcPr>
          <w:p>
            <w:pPr>
              <w:ind w:left="160"/>
              <w:spacing w:after="0"/>
              <w:rPr>
                <w:sz w:val="20"/>
                <w:szCs w:val="20"/>
                <w:color w:val="auto"/>
              </w:rPr>
            </w:pPr>
            <w:r>
              <w:rPr>
                <w:rFonts w:ascii="Arial" w:cs="Arial" w:eastAsia="Arial" w:hAnsi="Arial"/>
                <w:sz w:val="16"/>
                <w:szCs w:val="16"/>
                <w:color w:val="auto"/>
              </w:rPr>
              <w:t>1/2025)</w:t>
            </w:r>
          </w:p>
        </w:tc>
        <w:tc>
          <w:tcPr>
            <w:tcW w:w="10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06"/>
        </w:trPr>
        <w:tc>
          <w:tcPr>
            <w:tcW w:w="2500" w:type="dxa"/>
            <w:vAlign w:val="bottom"/>
          </w:tcPr>
          <w:p>
            <w:pPr>
              <w:spacing w:after="0" w:line="207" w:lineRule="exact"/>
              <w:rPr>
                <w:sz w:val="20"/>
                <w:szCs w:val="20"/>
                <w:color w:val="auto"/>
              </w:rPr>
            </w:pPr>
            <w:r>
              <w:rPr>
                <w:rFonts w:ascii="Arial" w:cs="Arial" w:eastAsia="Arial" w:hAnsi="Arial"/>
                <w:sz w:val="14"/>
                <w:szCs w:val="14"/>
                <w:color w:val="auto"/>
              </w:rPr>
              <w:t xml:space="preserve">G Treasury SS, LLC </w:t>
            </w:r>
            <w:r>
              <w:rPr>
                <w:rFonts w:ascii="Arial" w:cs="Arial" w:eastAsia="Arial" w:hAnsi="Arial"/>
                <w:sz w:val="23"/>
                <w:szCs w:val="23"/>
                <w:color w:val="auto"/>
                <w:vertAlign w:val="superscript"/>
              </w:rPr>
              <w:t>(3)(5)</w:t>
            </w:r>
          </w:p>
        </w:tc>
        <w:tc>
          <w:tcPr>
            <w:tcW w:w="2740" w:type="dxa"/>
            <w:vAlign w:val="bottom"/>
          </w:tcPr>
          <w:p>
            <w:pPr>
              <w:ind w:left="160"/>
              <w:spacing w:after="0"/>
              <w:rPr>
                <w:sz w:val="20"/>
                <w:szCs w:val="20"/>
                <w:color w:val="auto"/>
              </w:rPr>
            </w:pPr>
            <w:r>
              <w:rPr>
                <w:rFonts w:ascii="Arial" w:cs="Arial" w:eastAsia="Arial" w:hAnsi="Arial"/>
                <w:sz w:val="16"/>
                <w:szCs w:val="16"/>
                <w:color w:val="auto"/>
              </w:rPr>
              <w:t>First-lien loan ($30,844 par, due</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4/9/2018</w:t>
            </w:r>
          </w:p>
        </w:tc>
        <w:tc>
          <w:tcPr>
            <w:tcW w:w="940" w:type="dxa"/>
            <w:vAlign w:val="bottom"/>
          </w:tcPr>
          <w:p>
            <w:pPr>
              <w:jc w:val="right"/>
              <w:spacing w:after="0"/>
              <w:rPr>
                <w:sz w:val="20"/>
                <w:szCs w:val="20"/>
                <w:color w:val="auto"/>
              </w:rPr>
            </w:pPr>
            <w:r>
              <w:rPr>
                <w:rFonts w:ascii="Arial" w:cs="Arial" w:eastAsia="Arial" w:hAnsi="Arial"/>
                <w:sz w:val="16"/>
                <w:szCs w:val="16"/>
                <w:color w:val="auto"/>
              </w:rPr>
              <w:t>L + 8.25%</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9.25%</w:t>
            </w:r>
          </w:p>
        </w:tc>
        <w:tc>
          <w:tcPr>
            <w:tcW w:w="780" w:type="dxa"/>
            <w:vAlign w:val="bottom"/>
          </w:tcPr>
          <w:p>
            <w:pPr>
              <w:jc w:val="right"/>
              <w:spacing w:after="0"/>
              <w:rPr>
                <w:sz w:val="20"/>
                <w:szCs w:val="20"/>
                <w:color w:val="auto"/>
              </w:rPr>
            </w:pPr>
            <w:r>
              <w:rPr>
                <w:rFonts w:ascii="Arial" w:cs="Arial" w:eastAsia="Arial" w:hAnsi="Arial"/>
                <w:sz w:val="16"/>
                <w:szCs w:val="16"/>
                <w:color w:val="auto"/>
              </w:rPr>
              <w:t>30,559</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31,307</w:t>
            </w:r>
          </w:p>
        </w:tc>
        <w:tc>
          <w:tcPr>
            <w:tcW w:w="2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2.7%</w:t>
            </w:r>
          </w:p>
        </w:tc>
      </w:tr>
      <w:tr>
        <w:trPr>
          <w:trHeight w:val="209"/>
        </w:trPr>
        <w:tc>
          <w:tcPr>
            <w:tcW w:w="2500" w:type="dxa"/>
            <w:vAlign w:val="bottom"/>
          </w:tcPr>
          <w:p>
            <w:pPr>
              <w:spacing w:after="0"/>
              <w:rPr>
                <w:sz w:val="18"/>
                <w:szCs w:val="18"/>
                <w:color w:val="auto"/>
              </w:rPr>
            </w:pPr>
          </w:p>
        </w:tc>
        <w:tc>
          <w:tcPr>
            <w:tcW w:w="2740" w:type="dxa"/>
            <w:vAlign w:val="bottom"/>
          </w:tcPr>
          <w:p>
            <w:pPr>
              <w:ind w:left="160"/>
              <w:spacing w:after="0"/>
              <w:rPr>
                <w:sz w:val="20"/>
                <w:szCs w:val="20"/>
                <w:color w:val="auto"/>
              </w:rPr>
            </w:pPr>
            <w:r>
              <w:rPr>
                <w:rFonts w:ascii="Arial" w:cs="Arial" w:eastAsia="Arial" w:hAnsi="Arial"/>
                <w:sz w:val="16"/>
                <w:szCs w:val="16"/>
                <w:color w:val="auto"/>
              </w:rPr>
              <w:t>4/2023)</w:t>
            </w: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250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GC Agile Holdings, Ltd. </w:t>
            </w:r>
            <w:r>
              <w:rPr>
                <w:rFonts w:ascii="Arial" w:cs="Arial" w:eastAsia="Arial" w:hAnsi="Arial"/>
                <w:sz w:val="24"/>
                <w:szCs w:val="24"/>
                <w:color w:val="auto"/>
                <w:vertAlign w:val="superscript"/>
              </w:rPr>
              <w:t>(3)(4)</w:t>
            </w:r>
          </w:p>
        </w:tc>
        <w:tc>
          <w:tcPr>
            <w:tcW w:w="2740" w:type="dxa"/>
            <w:vAlign w:val="bottom"/>
            <w:shd w:val="clear" w:color="auto" w:fill="CFF0FC"/>
          </w:tcPr>
          <w:p>
            <w:pPr>
              <w:ind w:left="160"/>
              <w:spacing w:after="0"/>
              <w:rPr>
                <w:sz w:val="20"/>
                <w:szCs w:val="20"/>
                <w:color w:val="auto"/>
              </w:rPr>
            </w:pPr>
            <w:r>
              <w:rPr>
                <w:rFonts w:ascii="Arial" w:cs="Arial" w:eastAsia="Arial" w:hAnsi="Arial"/>
                <w:sz w:val="16"/>
                <w:szCs w:val="16"/>
                <w:color w:val="auto"/>
              </w:rPr>
              <w:t>First-lien loan ($39,423 par, due</w:t>
            </w:r>
          </w:p>
        </w:tc>
        <w:tc>
          <w:tcPr>
            <w:tcW w:w="10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1/31/2019</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L + 7.00%</w:t>
            </w: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8.25%</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38,886</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39,226</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3.4%</w:t>
            </w:r>
          </w:p>
        </w:tc>
      </w:tr>
      <w:tr>
        <w:trPr>
          <w:trHeight w:val="212"/>
        </w:trPr>
        <w:tc>
          <w:tcPr>
            <w:tcW w:w="2500" w:type="dxa"/>
            <w:vAlign w:val="bottom"/>
            <w:shd w:val="clear" w:color="auto" w:fill="CFF0FC"/>
          </w:tcPr>
          <w:p>
            <w:pPr>
              <w:spacing w:after="0"/>
              <w:rPr>
                <w:sz w:val="18"/>
                <w:szCs w:val="18"/>
                <w:color w:val="auto"/>
              </w:rPr>
            </w:pPr>
          </w:p>
        </w:tc>
        <w:tc>
          <w:tcPr>
            <w:tcW w:w="2740" w:type="dxa"/>
            <w:vAlign w:val="bottom"/>
            <w:shd w:val="clear" w:color="auto" w:fill="CFF0FC"/>
          </w:tcPr>
          <w:p>
            <w:pPr>
              <w:ind w:left="160"/>
              <w:spacing w:after="0"/>
              <w:rPr>
                <w:sz w:val="20"/>
                <w:szCs w:val="20"/>
                <w:color w:val="auto"/>
              </w:rPr>
            </w:pPr>
            <w:r>
              <w:rPr>
                <w:rFonts w:ascii="Arial" w:cs="Arial" w:eastAsia="Arial" w:hAnsi="Arial"/>
                <w:sz w:val="16"/>
                <w:szCs w:val="16"/>
                <w:color w:val="auto"/>
              </w:rPr>
              <w:t>6/2025)</w:t>
            </w:r>
          </w:p>
        </w:tc>
        <w:tc>
          <w:tcPr>
            <w:tcW w:w="10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06"/>
        </w:trPr>
        <w:tc>
          <w:tcPr>
            <w:tcW w:w="2500" w:type="dxa"/>
            <w:vAlign w:val="bottom"/>
          </w:tcPr>
          <w:p>
            <w:pPr>
              <w:spacing w:after="0" w:line="207" w:lineRule="exact"/>
              <w:rPr>
                <w:sz w:val="20"/>
                <w:szCs w:val="20"/>
                <w:color w:val="auto"/>
              </w:rPr>
            </w:pPr>
            <w:r>
              <w:rPr>
                <w:rFonts w:ascii="Arial" w:cs="Arial" w:eastAsia="Arial" w:hAnsi="Arial"/>
                <w:sz w:val="14"/>
                <w:szCs w:val="14"/>
                <w:color w:val="auto"/>
              </w:rPr>
              <w:t>Kyriba Corp.</w:t>
            </w:r>
            <w:r>
              <w:rPr>
                <w:rFonts w:ascii="Arial" w:cs="Arial" w:eastAsia="Arial" w:hAnsi="Arial"/>
                <w:sz w:val="23"/>
                <w:szCs w:val="23"/>
                <w:color w:val="auto"/>
                <w:vertAlign w:val="superscript"/>
              </w:rPr>
              <w:t>(3)</w:t>
            </w:r>
          </w:p>
        </w:tc>
        <w:tc>
          <w:tcPr>
            <w:tcW w:w="2740" w:type="dxa"/>
            <w:vAlign w:val="bottom"/>
          </w:tcPr>
          <w:p>
            <w:pPr>
              <w:ind w:left="160"/>
              <w:spacing w:after="0"/>
              <w:rPr>
                <w:sz w:val="20"/>
                <w:szCs w:val="20"/>
                <w:color w:val="auto"/>
              </w:rPr>
            </w:pPr>
            <w:r>
              <w:rPr>
                <w:rFonts w:ascii="Arial" w:cs="Arial" w:eastAsia="Arial" w:hAnsi="Arial"/>
                <w:sz w:val="16"/>
                <w:szCs w:val="16"/>
                <w:color w:val="auto"/>
              </w:rPr>
              <w:t>First-lien loan ($13,608 par, due</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4/9/2019</w:t>
            </w:r>
          </w:p>
        </w:tc>
        <w:tc>
          <w:tcPr>
            <w:tcW w:w="940" w:type="dxa"/>
            <w:vAlign w:val="bottom"/>
          </w:tcPr>
          <w:p>
            <w:pPr>
              <w:jc w:val="right"/>
              <w:spacing w:after="0"/>
              <w:rPr>
                <w:sz w:val="20"/>
                <w:szCs w:val="20"/>
                <w:color w:val="auto"/>
              </w:rPr>
            </w:pPr>
            <w:r>
              <w:rPr>
                <w:rFonts w:ascii="Arial" w:cs="Arial" w:eastAsia="Arial" w:hAnsi="Arial"/>
                <w:sz w:val="16"/>
                <w:szCs w:val="16"/>
                <w:color w:val="auto"/>
              </w:rPr>
              <w:t>L + 9.00%</w:t>
            </w: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10.50%</w:t>
            </w:r>
          </w:p>
        </w:tc>
        <w:tc>
          <w:tcPr>
            <w:tcW w:w="780" w:type="dxa"/>
            <w:vAlign w:val="bottom"/>
          </w:tcPr>
          <w:p>
            <w:pPr>
              <w:jc w:val="right"/>
              <w:spacing w:after="0"/>
              <w:rPr>
                <w:sz w:val="20"/>
                <w:szCs w:val="20"/>
                <w:color w:val="auto"/>
              </w:rPr>
            </w:pPr>
            <w:r>
              <w:rPr>
                <w:rFonts w:ascii="Arial" w:cs="Arial" w:eastAsia="Arial" w:hAnsi="Arial"/>
                <w:sz w:val="16"/>
                <w:szCs w:val="16"/>
                <w:color w:val="auto"/>
              </w:rPr>
              <w:t>13,318</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14,499</w:t>
            </w:r>
          </w:p>
        </w:tc>
        <w:tc>
          <w:tcPr>
            <w:tcW w:w="2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1.3%</w:t>
            </w:r>
          </w:p>
        </w:tc>
      </w:tr>
      <w:tr>
        <w:trPr>
          <w:trHeight w:val="203"/>
        </w:trPr>
        <w:tc>
          <w:tcPr>
            <w:tcW w:w="2500" w:type="dxa"/>
            <w:vAlign w:val="bottom"/>
          </w:tcPr>
          <w:p>
            <w:pPr>
              <w:spacing w:after="0"/>
              <w:rPr>
                <w:sz w:val="17"/>
                <w:szCs w:val="17"/>
                <w:color w:val="auto"/>
              </w:rPr>
            </w:pPr>
          </w:p>
        </w:tc>
        <w:tc>
          <w:tcPr>
            <w:tcW w:w="2740" w:type="dxa"/>
            <w:vAlign w:val="bottom"/>
          </w:tcPr>
          <w:p>
            <w:pPr>
              <w:ind w:left="160"/>
              <w:spacing w:after="0"/>
              <w:rPr>
                <w:sz w:val="20"/>
                <w:szCs w:val="20"/>
                <w:color w:val="auto"/>
              </w:rPr>
            </w:pPr>
            <w:r>
              <w:rPr>
                <w:rFonts w:ascii="Arial" w:cs="Arial" w:eastAsia="Arial" w:hAnsi="Arial"/>
                <w:sz w:val="16"/>
                <w:szCs w:val="16"/>
                <w:color w:val="auto"/>
              </w:rPr>
              <w:t>4/2025)</w:t>
            </w: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(incl.</w:t>
            </w: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25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9.00%</w:t>
            </w: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9"/>
        </w:trPr>
        <w:tc>
          <w:tcPr>
            <w:tcW w:w="25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PIK)</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2500" w:type="dxa"/>
            <w:vAlign w:val="bottom"/>
            <w:shd w:val="clear" w:color="auto" w:fill="CFF0FC"/>
          </w:tcPr>
          <w:p>
            <w:pPr>
              <w:spacing w:after="0"/>
              <w:rPr>
                <w:sz w:val="18"/>
                <w:szCs w:val="18"/>
                <w:color w:val="auto"/>
              </w:rPr>
            </w:pPr>
          </w:p>
        </w:tc>
        <w:tc>
          <w:tcPr>
            <w:tcW w:w="2740" w:type="dxa"/>
            <w:vAlign w:val="bottom"/>
            <w:shd w:val="clear" w:color="auto" w:fill="CFF0FC"/>
          </w:tcPr>
          <w:p>
            <w:pPr>
              <w:ind w:left="160"/>
              <w:spacing w:after="0"/>
              <w:rPr>
                <w:sz w:val="20"/>
                <w:szCs w:val="20"/>
                <w:color w:val="auto"/>
              </w:rPr>
            </w:pPr>
            <w:r>
              <w:rPr>
                <w:rFonts w:ascii="Arial" w:cs="Arial" w:eastAsia="Arial" w:hAnsi="Arial"/>
                <w:sz w:val="16"/>
                <w:szCs w:val="16"/>
                <w:color w:val="auto"/>
              </w:rPr>
              <w:t>First-lien loan (EUR 8,102 par, due</w:t>
            </w:r>
          </w:p>
        </w:tc>
        <w:tc>
          <w:tcPr>
            <w:tcW w:w="10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4/9/2019</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E + 9.00%</w:t>
            </w:r>
          </w:p>
        </w:tc>
        <w:tc>
          <w:tcPr>
            <w:tcW w:w="10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9.00% PIK</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8,883</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8,598</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0.7%</w:t>
            </w:r>
          </w:p>
        </w:tc>
      </w:tr>
      <w:tr>
        <w:trPr>
          <w:trHeight w:val="203"/>
        </w:trPr>
        <w:tc>
          <w:tcPr>
            <w:tcW w:w="2500" w:type="dxa"/>
            <w:vAlign w:val="bottom"/>
            <w:shd w:val="clear" w:color="auto" w:fill="CFF0FC"/>
          </w:tcPr>
          <w:p>
            <w:pPr>
              <w:spacing w:after="0"/>
              <w:rPr>
                <w:sz w:val="17"/>
                <w:szCs w:val="17"/>
                <w:color w:val="auto"/>
              </w:rPr>
            </w:pPr>
          </w:p>
        </w:tc>
        <w:tc>
          <w:tcPr>
            <w:tcW w:w="2740" w:type="dxa"/>
            <w:vAlign w:val="bottom"/>
            <w:shd w:val="clear" w:color="auto" w:fill="CFF0FC"/>
          </w:tcPr>
          <w:p>
            <w:pPr>
              <w:ind w:left="160"/>
              <w:spacing w:after="0"/>
              <w:rPr>
                <w:sz w:val="20"/>
                <w:szCs w:val="20"/>
                <w:color w:val="auto"/>
              </w:rPr>
            </w:pPr>
            <w:r>
              <w:rPr>
                <w:rFonts w:ascii="Arial" w:cs="Arial" w:eastAsia="Arial" w:hAnsi="Arial"/>
                <w:sz w:val="16"/>
                <w:szCs w:val="16"/>
                <w:color w:val="auto"/>
              </w:rPr>
              <w:t>4/2025)</w:t>
            </w:r>
          </w:p>
        </w:tc>
        <w:tc>
          <w:tcPr>
            <w:tcW w:w="10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(EUR</w:t>
            </w: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r>
      <w:tr>
        <w:trPr>
          <w:trHeight w:val="212"/>
        </w:trPr>
        <w:tc>
          <w:tcPr>
            <w:tcW w:w="2500" w:type="dxa"/>
            <w:vAlign w:val="bottom"/>
            <w:shd w:val="clear" w:color="auto" w:fill="CFF0FC"/>
          </w:tcPr>
          <w:p>
            <w:pPr>
              <w:spacing w:after="0"/>
              <w:rPr>
                <w:sz w:val="18"/>
                <w:szCs w:val="18"/>
                <w:color w:val="auto"/>
              </w:rPr>
            </w:pPr>
          </w:p>
        </w:tc>
        <w:tc>
          <w:tcPr>
            <w:tcW w:w="27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7,332)</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06"/>
        </w:trPr>
        <w:tc>
          <w:tcPr>
            <w:tcW w:w="2500" w:type="dxa"/>
            <w:vAlign w:val="bottom"/>
          </w:tcPr>
          <w:p>
            <w:pPr>
              <w:spacing w:after="0"/>
              <w:rPr>
                <w:sz w:val="17"/>
                <w:szCs w:val="17"/>
                <w:color w:val="auto"/>
              </w:rPr>
            </w:pPr>
          </w:p>
        </w:tc>
        <w:tc>
          <w:tcPr>
            <w:tcW w:w="2740" w:type="dxa"/>
            <w:vAlign w:val="bottom"/>
          </w:tcPr>
          <w:p>
            <w:pPr>
              <w:ind w:left="160"/>
              <w:spacing w:after="0"/>
              <w:rPr>
                <w:sz w:val="20"/>
                <w:szCs w:val="20"/>
                <w:color w:val="auto"/>
              </w:rPr>
            </w:pPr>
            <w:r>
              <w:rPr>
                <w:rFonts w:ascii="Arial" w:cs="Arial" w:eastAsia="Arial" w:hAnsi="Arial"/>
                <w:sz w:val="16"/>
                <w:szCs w:val="16"/>
                <w:color w:val="auto"/>
              </w:rPr>
              <w:t>First-lien revolving loan ($1,411 par,</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4/9/2019</w:t>
            </w:r>
          </w:p>
        </w:tc>
        <w:tc>
          <w:tcPr>
            <w:tcW w:w="940" w:type="dxa"/>
            <w:vAlign w:val="bottom"/>
          </w:tcPr>
          <w:p>
            <w:pPr>
              <w:jc w:val="right"/>
              <w:spacing w:after="0"/>
              <w:rPr>
                <w:sz w:val="20"/>
                <w:szCs w:val="20"/>
                <w:color w:val="auto"/>
              </w:rPr>
            </w:pPr>
            <w:r>
              <w:rPr>
                <w:rFonts w:ascii="Arial" w:cs="Arial" w:eastAsia="Arial" w:hAnsi="Arial"/>
                <w:sz w:val="16"/>
                <w:szCs w:val="16"/>
                <w:color w:val="auto"/>
              </w:rPr>
              <w:t>L + 7.25%</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8.75%</w:t>
            </w:r>
          </w:p>
        </w:tc>
        <w:tc>
          <w:tcPr>
            <w:tcW w:w="780" w:type="dxa"/>
            <w:vAlign w:val="bottom"/>
          </w:tcPr>
          <w:p>
            <w:pPr>
              <w:jc w:val="right"/>
              <w:spacing w:after="0"/>
              <w:rPr>
                <w:sz w:val="20"/>
                <w:szCs w:val="20"/>
                <w:color w:val="auto"/>
              </w:rPr>
            </w:pPr>
            <w:r>
              <w:rPr>
                <w:rFonts w:ascii="Arial" w:cs="Arial" w:eastAsia="Arial" w:hAnsi="Arial"/>
                <w:sz w:val="16"/>
                <w:szCs w:val="16"/>
                <w:color w:val="auto"/>
              </w:rPr>
              <w:t>1,378</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1,827</w:t>
            </w:r>
          </w:p>
        </w:tc>
        <w:tc>
          <w:tcPr>
            <w:tcW w:w="2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0.2%</w:t>
            </w:r>
          </w:p>
        </w:tc>
      </w:tr>
      <w:tr>
        <w:trPr>
          <w:trHeight w:val="209"/>
        </w:trPr>
        <w:tc>
          <w:tcPr>
            <w:tcW w:w="2500" w:type="dxa"/>
            <w:vAlign w:val="bottom"/>
          </w:tcPr>
          <w:p>
            <w:pPr>
              <w:spacing w:after="0"/>
              <w:rPr>
                <w:sz w:val="18"/>
                <w:szCs w:val="18"/>
                <w:color w:val="auto"/>
              </w:rPr>
            </w:pPr>
          </w:p>
        </w:tc>
        <w:tc>
          <w:tcPr>
            <w:tcW w:w="2740" w:type="dxa"/>
            <w:vAlign w:val="bottom"/>
          </w:tcPr>
          <w:p>
            <w:pPr>
              <w:ind w:left="160"/>
              <w:spacing w:after="0"/>
              <w:rPr>
                <w:sz w:val="20"/>
                <w:szCs w:val="20"/>
                <w:color w:val="auto"/>
              </w:rPr>
            </w:pPr>
            <w:r>
              <w:rPr>
                <w:rFonts w:ascii="Arial" w:cs="Arial" w:eastAsia="Arial" w:hAnsi="Arial"/>
                <w:sz w:val="16"/>
                <w:szCs w:val="16"/>
                <w:color w:val="auto"/>
              </w:rPr>
              <w:t>due 4/2025)</w:t>
            </w: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2500" w:type="dxa"/>
            <w:vAlign w:val="bottom"/>
            <w:shd w:val="clear" w:color="auto" w:fill="CFF0FC"/>
          </w:tcPr>
          <w:p>
            <w:pPr>
              <w:spacing w:after="0"/>
              <w:rPr>
                <w:sz w:val="18"/>
                <w:szCs w:val="18"/>
                <w:color w:val="auto"/>
              </w:rPr>
            </w:pPr>
          </w:p>
        </w:tc>
        <w:tc>
          <w:tcPr>
            <w:tcW w:w="2740" w:type="dxa"/>
            <w:vAlign w:val="bottom"/>
            <w:shd w:val="clear" w:color="auto" w:fill="CFF0FC"/>
          </w:tcPr>
          <w:p>
            <w:pPr>
              <w:ind w:left="160"/>
              <w:spacing w:after="0"/>
              <w:rPr>
                <w:sz w:val="20"/>
                <w:szCs w:val="20"/>
                <w:color w:val="auto"/>
              </w:rPr>
            </w:pPr>
            <w:r>
              <w:rPr>
                <w:rFonts w:ascii="Arial" w:cs="Arial" w:eastAsia="Arial" w:hAnsi="Arial"/>
                <w:sz w:val="16"/>
                <w:szCs w:val="16"/>
                <w:color w:val="auto"/>
              </w:rPr>
              <w:t>First-lien revolving loan (EUR 336</w:t>
            </w:r>
          </w:p>
        </w:tc>
        <w:tc>
          <w:tcPr>
            <w:tcW w:w="10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4/9/2019</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E + 7.25%</w:t>
            </w: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7.25%</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368</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356</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0.0%</w:t>
            </w:r>
          </w:p>
        </w:tc>
      </w:tr>
      <w:tr>
        <w:trPr>
          <w:trHeight w:val="212"/>
        </w:trPr>
        <w:tc>
          <w:tcPr>
            <w:tcW w:w="2500" w:type="dxa"/>
            <w:vAlign w:val="bottom"/>
            <w:shd w:val="clear" w:color="auto" w:fill="CFF0FC"/>
          </w:tcPr>
          <w:p>
            <w:pPr>
              <w:spacing w:after="0"/>
              <w:rPr>
                <w:sz w:val="18"/>
                <w:szCs w:val="18"/>
                <w:color w:val="auto"/>
              </w:rPr>
            </w:pPr>
          </w:p>
        </w:tc>
        <w:tc>
          <w:tcPr>
            <w:tcW w:w="2740" w:type="dxa"/>
            <w:vAlign w:val="bottom"/>
            <w:shd w:val="clear" w:color="auto" w:fill="CFF0FC"/>
          </w:tcPr>
          <w:p>
            <w:pPr>
              <w:ind w:left="160"/>
              <w:spacing w:after="0"/>
              <w:rPr>
                <w:sz w:val="20"/>
                <w:szCs w:val="20"/>
                <w:color w:val="auto"/>
              </w:rPr>
            </w:pPr>
            <w:r>
              <w:rPr>
                <w:rFonts w:ascii="Arial" w:cs="Arial" w:eastAsia="Arial" w:hAnsi="Arial"/>
                <w:sz w:val="16"/>
                <w:szCs w:val="16"/>
                <w:color w:val="auto"/>
              </w:rPr>
              <w:t>par, due 4/2025)</w:t>
            </w:r>
          </w:p>
        </w:tc>
        <w:tc>
          <w:tcPr>
            <w:tcW w:w="10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(EUR 304)</w:t>
            </w: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06"/>
        </w:trPr>
        <w:tc>
          <w:tcPr>
            <w:tcW w:w="2500" w:type="dxa"/>
            <w:vAlign w:val="bottom"/>
          </w:tcPr>
          <w:p>
            <w:pPr>
              <w:spacing w:after="0" w:line="207" w:lineRule="exact"/>
              <w:rPr>
                <w:sz w:val="20"/>
                <w:szCs w:val="20"/>
                <w:color w:val="auto"/>
              </w:rPr>
            </w:pPr>
            <w:r>
              <w:rPr>
                <w:rFonts w:ascii="Arial" w:cs="Arial" w:eastAsia="Arial" w:hAnsi="Arial"/>
                <w:sz w:val="14"/>
                <w:szCs w:val="14"/>
                <w:color w:val="auto"/>
              </w:rPr>
              <w:t xml:space="preserve">PayLease, LLC </w:t>
            </w:r>
            <w:r>
              <w:rPr>
                <w:rFonts w:ascii="Arial" w:cs="Arial" w:eastAsia="Arial" w:hAnsi="Arial"/>
                <w:sz w:val="23"/>
                <w:szCs w:val="23"/>
                <w:color w:val="auto"/>
                <w:vertAlign w:val="superscript"/>
              </w:rPr>
              <w:t>(3)</w:t>
            </w:r>
          </w:p>
        </w:tc>
        <w:tc>
          <w:tcPr>
            <w:tcW w:w="2740" w:type="dxa"/>
            <w:vAlign w:val="bottom"/>
          </w:tcPr>
          <w:p>
            <w:pPr>
              <w:ind w:left="160"/>
              <w:spacing w:after="0"/>
              <w:rPr>
                <w:sz w:val="20"/>
                <w:szCs w:val="20"/>
                <w:color w:val="auto"/>
              </w:rPr>
            </w:pPr>
            <w:r>
              <w:rPr>
                <w:rFonts w:ascii="Arial" w:cs="Arial" w:eastAsia="Arial" w:hAnsi="Arial"/>
                <w:sz w:val="16"/>
                <w:szCs w:val="16"/>
                <w:color w:val="auto"/>
              </w:rPr>
              <w:t>First-lien loan ($63,835 par, due</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7/28/2017</w:t>
            </w:r>
          </w:p>
        </w:tc>
        <w:tc>
          <w:tcPr>
            <w:tcW w:w="940" w:type="dxa"/>
            <w:vAlign w:val="bottom"/>
          </w:tcPr>
          <w:p>
            <w:pPr>
              <w:jc w:val="right"/>
              <w:spacing w:after="0"/>
              <w:rPr>
                <w:sz w:val="20"/>
                <w:szCs w:val="20"/>
                <w:color w:val="auto"/>
              </w:rPr>
            </w:pPr>
            <w:r>
              <w:rPr>
                <w:rFonts w:ascii="Arial" w:cs="Arial" w:eastAsia="Arial" w:hAnsi="Arial"/>
                <w:sz w:val="16"/>
                <w:szCs w:val="16"/>
                <w:color w:val="auto"/>
              </w:rPr>
              <w:t>L + 7.25%</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8.25%</w:t>
            </w:r>
          </w:p>
        </w:tc>
        <w:tc>
          <w:tcPr>
            <w:tcW w:w="780" w:type="dxa"/>
            <w:vAlign w:val="bottom"/>
          </w:tcPr>
          <w:p>
            <w:pPr>
              <w:jc w:val="right"/>
              <w:spacing w:after="0"/>
              <w:rPr>
                <w:sz w:val="20"/>
                <w:szCs w:val="20"/>
                <w:color w:val="auto"/>
              </w:rPr>
            </w:pPr>
            <w:r>
              <w:rPr>
                <w:rFonts w:ascii="Arial" w:cs="Arial" w:eastAsia="Arial" w:hAnsi="Arial"/>
                <w:sz w:val="16"/>
                <w:szCs w:val="16"/>
                <w:color w:val="auto"/>
              </w:rPr>
              <w:t>63,273</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64,793</w:t>
            </w:r>
          </w:p>
        </w:tc>
        <w:tc>
          <w:tcPr>
            <w:tcW w:w="2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5.7%</w:t>
            </w:r>
          </w:p>
        </w:tc>
      </w:tr>
      <w:tr>
        <w:trPr>
          <w:trHeight w:val="209"/>
        </w:trPr>
        <w:tc>
          <w:tcPr>
            <w:tcW w:w="2500" w:type="dxa"/>
            <w:vAlign w:val="bottom"/>
          </w:tcPr>
          <w:p>
            <w:pPr>
              <w:spacing w:after="0"/>
              <w:rPr>
                <w:sz w:val="18"/>
                <w:szCs w:val="18"/>
                <w:color w:val="auto"/>
              </w:rPr>
            </w:pPr>
          </w:p>
        </w:tc>
        <w:tc>
          <w:tcPr>
            <w:tcW w:w="2740" w:type="dxa"/>
            <w:vAlign w:val="bottom"/>
          </w:tcPr>
          <w:p>
            <w:pPr>
              <w:ind w:left="160"/>
              <w:spacing w:after="0"/>
              <w:rPr>
                <w:sz w:val="20"/>
                <w:szCs w:val="20"/>
                <w:color w:val="auto"/>
              </w:rPr>
            </w:pPr>
            <w:r>
              <w:rPr>
                <w:rFonts w:ascii="Arial" w:cs="Arial" w:eastAsia="Arial" w:hAnsi="Arial"/>
                <w:sz w:val="16"/>
                <w:szCs w:val="16"/>
                <w:color w:val="auto"/>
              </w:rPr>
              <w:t>7/2022)</w:t>
            </w: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2500" w:type="dxa"/>
            <w:vAlign w:val="bottom"/>
            <w:shd w:val="clear" w:color="auto" w:fill="CFF0FC"/>
          </w:tcPr>
          <w:p>
            <w:pPr>
              <w:spacing w:after="0"/>
              <w:rPr>
                <w:sz w:val="18"/>
                <w:szCs w:val="18"/>
                <w:color w:val="auto"/>
              </w:rPr>
            </w:pPr>
          </w:p>
        </w:tc>
        <w:tc>
          <w:tcPr>
            <w:tcW w:w="2740" w:type="dxa"/>
            <w:vAlign w:val="bottom"/>
            <w:shd w:val="clear" w:color="auto" w:fill="CFF0FC"/>
          </w:tcPr>
          <w:p>
            <w:pPr>
              <w:ind w:left="160"/>
              <w:spacing w:after="0"/>
              <w:rPr>
                <w:sz w:val="20"/>
                <w:szCs w:val="20"/>
                <w:color w:val="auto"/>
              </w:rPr>
            </w:pPr>
            <w:r>
              <w:rPr>
                <w:rFonts w:ascii="Arial" w:cs="Arial" w:eastAsia="Arial" w:hAnsi="Arial"/>
                <w:sz w:val="16"/>
                <w:szCs w:val="16"/>
                <w:color w:val="auto"/>
              </w:rPr>
              <w:t>First-lien revolving loan ($3,333 par,</w:t>
            </w:r>
          </w:p>
        </w:tc>
        <w:tc>
          <w:tcPr>
            <w:tcW w:w="10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7/28/2017</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L + 7.25%</w:t>
            </w: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8.25%</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3,309</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3,383</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0.3%</w:t>
            </w:r>
          </w:p>
        </w:tc>
      </w:tr>
      <w:tr>
        <w:trPr>
          <w:trHeight w:val="212"/>
        </w:trPr>
        <w:tc>
          <w:tcPr>
            <w:tcW w:w="2500" w:type="dxa"/>
            <w:vAlign w:val="bottom"/>
            <w:shd w:val="clear" w:color="auto" w:fill="CFF0FC"/>
          </w:tcPr>
          <w:p>
            <w:pPr>
              <w:spacing w:after="0"/>
              <w:rPr>
                <w:sz w:val="18"/>
                <w:szCs w:val="18"/>
                <w:color w:val="auto"/>
              </w:rPr>
            </w:pPr>
          </w:p>
        </w:tc>
        <w:tc>
          <w:tcPr>
            <w:tcW w:w="2740" w:type="dxa"/>
            <w:vAlign w:val="bottom"/>
            <w:shd w:val="clear" w:color="auto" w:fill="CFF0FC"/>
          </w:tcPr>
          <w:p>
            <w:pPr>
              <w:ind w:left="160"/>
              <w:spacing w:after="0"/>
              <w:rPr>
                <w:sz w:val="20"/>
                <w:szCs w:val="20"/>
                <w:color w:val="auto"/>
              </w:rPr>
            </w:pPr>
            <w:r>
              <w:rPr>
                <w:rFonts w:ascii="Arial" w:cs="Arial" w:eastAsia="Arial" w:hAnsi="Arial"/>
                <w:sz w:val="16"/>
                <w:szCs w:val="16"/>
                <w:color w:val="auto"/>
              </w:rPr>
              <w:t>due 7/2022)</w:t>
            </w:r>
          </w:p>
        </w:tc>
        <w:tc>
          <w:tcPr>
            <w:tcW w:w="10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06"/>
        </w:trPr>
        <w:tc>
          <w:tcPr>
            <w:tcW w:w="2500" w:type="dxa"/>
            <w:vAlign w:val="bottom"/>
          </w:tcPr>
          <w:p>
            <w:pPr>
              <w:spacing w:after="0" w:line="207" w:lineRule="exact"/>
              <w:rPr>
                <w:sz w:val="20"/>
                <w:szCs w:val="20"/>
                <w:color w:val="auto"/>
              </w:rPr>
            </w:pPr>
            <w:r>
              <w:rPr>
                <w:rFonts w:ascii="Arial" w:cs="Arial" w:eastAsia="Arial" w:hAnsi="Arial"/>
                <w:sz w:val="14"/>
                <w:szCs w:val="14"/>
                <w:color w:val="auto"/>
              </w:rPr>
              <w:t xml:space="preserve">PrimeRevenue, Inc. </w:t>
            </w:r>
            <w:r>
              <w:rPr>
                <w:rFonts w:ascii="Arial" w:cs="Arial" w:eastAsia="Arial" w:hAnsi="Arial"/>
                <w:sz w:val="23"/>
                <w:szCs w:val="23"/>
                <w:color w:val="auto"/>
                <w:vertAlign w:val="superscript"/>
              </w:rPr>
              <w:t>(3)</w:t>
            </w:r>
          </w:p>
        </w:tc>
        <w:tc>
          <w:tcPr>
            <w:tcW w:w="2740" w:type="dxa"/>
            <w:vAlign w:val="bottom"/>
          </w:tcPr>
          <w:p>
            <w:pPr>
              <w:ind w:left="160"/>
              <w:spacing w:after="0"/>
              <w:rPr>
                <w:sz w:val="20"/>
                <w:szCs w:val="20"/>
                <w:color w:val="auto"/>
              </w:rPr>
            </w:pPr>
            <w:r>
              <w:rPr>
                <w:rFonts w:ascii="Arial" w:cs="Arial" w:eastAsia="Arial" w:hAnsi="Arial"/>
                <w:sz w:val="16"/>
                <w:szCs w:val="16"/>
                <w:color w:val="auto"/>
              </w:rPr>
              <w:t>First-lien loan ($22,007 par, due</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12/31/2018</w:t>
            </w:r>
          </w:p>
        </w:tc>
        <w:tc>
          <w:tcPr>
            <w:tcW w:w="940" w:type="dxa"/>
            <w:vAlign w:val="bottom"/>
          </w:tcPr>
          <w:p>
            <w:pPr>
              <w:jc w:val="right"/>
              <w:spacing w:after="0"/>
              <w:rPr>
                <w:sz w:val="20"/>
                <w:szCs w:val="20"/>
                <w:color w:val="auto"/>
              </w:rPr>
            </w:pPr>
            <w:r>
              <w:rPr>
                <w:rFonts w:ascii="Arial" w:cs="Arial" w:eastAsia="Arial" w:hAnsi="Arial"/>
                <w:sz w:val="16"/>
                <w:szCs w:val="16"/>
                <w:color w:val="auto"/>
              </w:rPr>
              <w:t>L + 9.50%</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11.00%</w:t>
            </w:r>
          </w:p>
        </w:tc>
        <w:tc>
          <w:tcPr>
            <w:tcW w:w="780" w:type="dxa"/>
            <w:vAlign w:val="bottom"/>
          </w:tcPr>
          <w:p>
            <w:pPr>
              <w:jc w:val="right"/>
              <w:spacing w:after="0"/>
              <w:rPr>
                <w:sz w:val="20"/>
                <w:szCs w:val="20"/>
                <w:color w:val="auto"/>
              </w:rPr>
            </w:pPr>
            <w:r>
              <w:rPr>
                <w:rFonts w:ascii="Arial" w:cs="Arial" w:eastAsia="Arial" w:hAnsi="Arial"/>
                <w:sz w:val="16"/>
                <w:szCs w:val="16"/>
                <w:color w:val="auto"/>
              </w:rPr>
              <w:t>21,786</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22,732</w:t>
            </w:r>
          </w:p>
        </w:tc>
        <w:tc>
          <w:tcPr>
            <w:tcW w:w="2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2.1%</w:t>
            </w:r>
          </w:p>
        </w:tc>
      </w:tr>
      <w:tr>
        <w:trPr>
          <w:trHeight w:val="209"/>
        </w:trPr>
        <w:tc>
          <w:tcPr>
            <w:tcW w:w="2500" w:type="dxa"/>
            <w:vAlign w:val="bottom"/>
          </w:tcPr>
          <w:p>
            <w:pPr>
              <w:spacing w:after="0"/>
              <w:rPr>
                <w:sz w:val="18"/>
                <w:szCs w:val="18"/>
                <w:color w:val="auto"/>
              </w:rPr>
            </w:pPr>
          </w:p>
        </w:tc>
        <w:tc>
          <w:tcPr>
            <w:tcW w:w="2740" w:type="dxa"/>
            <w:vAlign w:val="bottom"/>
          </w:tcPr>
          <w:p>
            <w:pPr>
              <w:ind w:left="160"/>
              <w:spacing w:after="0"/>
              <w:rPr>
                <w:sz w:val="20"/>
                <w:szCs w:val="20"/>
                <w:color w:val="auto"/>
              </w:rPr>
            </w:pPr>
            <w:r>
              <w:rPr>
                <w:rFonts w:ascii="Arial" w:cs="Arial" w:eastAsia="Arial" w:hAnsi="Arial"/>
                <w:sz w:val="16"/>
                <w:szCs w:val="16"/>
                <w:color w:val="auto"/>
              </w:rPr>
              <w:t>12/2023)</w:t>
            </w: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250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Swift Gift, Ltd. </w:t>
            </w:r>
            <w:r>
              <w:rPr>
                <w:rFonts w:ascii="Arial" w:cs="Arial" w:eastAsia="Arial" w:hAnsi="Arial"/>
                <w:sz w:val="24"/>
                <w:szCs w:val="24"/>
                <w:color w:val="auto"/>
                <w:vertAlign w:val="superscript"/>
              </w:rPr>
              <w:t>(3)(5)</w:t>
            </w:r>
          </w:p>
        </w:tc>
        <w:tc>
          <w:tcPr>
            <w:tcW w:w="2740" w:type="dxa"/>
            <w:vAlign w:val="bottom"/>
            <w:shd w:val="clear" w:color="auto" w:fill="CFF0FC"/>
          </w:tcPr>
          <w:p>
            <w:pPr>
              <w:ind w:left="160"/>
              <w:spacing w:after="0"/>
              <w:rPr>
                <w:sz w:val="20"/>
                <w:szCs w:val="20"/>
                <w:color w:val="auto"/>
              </w:rPr>
            </w:pPr>
            <w:r>
              <w:rPr>
                <w:rFonts w:ascii="Arial" w:cs="Arial" w:eastAsia="Arial" w:hAnsi="Arial"/>
                <w:sz w:val="16"/>
                <w:szCs w:val="16"/>
                <w:color w:val="auto"/>
              </w:rPr>
              <w:t>First-lien loan ($27,599 par, due</w:t>
            </w:r>
          </w:p>
        </w:tc>
        <w:tc>
          <w:tcPr>
            <w:tcW w:w="10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7/31/2017</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L + 6.50%</w:t>
            </w: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7.50%</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27,360</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27,806</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2.5%</w:t>
            </w:r>
          </w:p>
        </w:tc>
      </w:tr>
      <w:tr>
        <w:trPr>
          <w:trHeight w:val="209"/>
        </w:trPr>
        <w:tc>
          <w:tcPr>
            <w:tcW w:w="2500" w:type="dxa"/>
            <w:vAlign w:val="bottom"/>
            <w:shd w:val="clear" w:color="auto" w:fill="CFF0FC"/>
          </w:tcPr>
          <w:p>
            <w:pPr>
              <w:spacing w:after="0"/>
              <w:rPr>
                <w:sz w:val="18"/>
                <w:szCs w:val="18"/>
                <w:color w:val="auto"/>
              </w:rPr>
            </w:pPr>
          </w:p>
        </w:tc>
        <w:tc>
          <w:tcPr>
            <w:tcW w:w="2740" w:type="dxa"/>
            <w:vAlign w:val="bottom"/>
            <w:shd w:val="clear" w:color="auto" w:fill="CFF0FC"/>
          </w:tcPr>
          <w:p>
            <w:pPr>
              <w:ind w:left="160"/>
              <w:spacing w:after="0"/>
              <w:rPr>
                <w:sz w:val="20"/>
                <w:szCs w:val="20"/>
                <w:color w:val="auto"/>
              </w:rPr>
            </w:pPr>
            <w:r>
              <w:rPr>
                <w:rFonts w:ascii="Arial" w:cs="Arial" w:eastAsia="Arial" w:hAnsi="Arial"/>
                <w:sz w:val="16"/>
                <w:szCs w:val="16"/>
                <w:color w:val="auto"/>
              </w:rPr>
              <w:t>1/2022)</w:t>
            </w:r>
          </w:p>
        </w:tc>
        <w:tc>
          <w:tcPr>
            <w:tcW w:w="10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09"/>
        </w:trPr>
        <w:tc>
          <w:tcPr>
            <w:tcW w:w="25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302,766</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309,513</w:t>
            </w:r>
          </w:p>
        </w:tc>
        <w:tc>
          <w:tcPr>
            <w:tcW w:w="2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27.2%</w:t>
            </w:r>
          </w:p>
        </w:tc>
      </w:tr>
      <w:tr>
        <w:trPr>
          <w:trHeight w:val="213"/>
        </w:trPr>
        <w:tc>
          <w:tcPr>
            <w:tcW w:w="2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Healthcare</w:t>
            </w:r>
          </w:p>
        </w:tc>
        <w:tc>
          <w:tcPr>
            <w:tcW w:w="274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r>
      <w:tr>
        <w:trPr>
          <w:trHeight w:val="206"/>
        </w:trPr>
        <w:tc>
          <w:tcPr>
            <w:tcW w:w="2500" w:type="dxa"/>
            <w:vAlign w:val="bottom"/>
          </w:tcPr>
          <w:p>
            <w:pPr>
              <w:spacing w:after="0"/>
              <w:rPr>
                <w:sz w:val="20"/>
                <w:szCs w:val="20"/>
                <w:color w:val="auto"/>
              </w:rPr>
            </w:pPr>
            <w:r>
              <w:rPr>
                <w:rFonts w:ascii="Arial" w:cs="Arial" w:eastAsia="Arial" w:hAnsi="Arial"/>
                <w:sz w:val="16"/>
                <w:szCs w:val="16"/>
                <w:color w:val="auto"/>
              </w:rPr>
              <w:t>Caris Life Sciences, Ltd.</w:t>
            </w:r>
          </w:p>
        </w:tc>
        <w:tc>
          <w:tcPr>
            <w:tcW w:w="2740" w:type="dxa"/>
            <w:vAlign w:val="bottom"/>
          </w:tcPr>
          <w:p>
            <w:pPr>
              <w:ind w:left="160"/>
              <w:spacing w:after="0"/>
              <w:rPr>
                <w:sz w:val="20"/>
                <w:szCs w:val="20"/>
                <w:color w:val="auto"/>
              </w:rPr>
            </w:pPr>
            <w:r>
              <w:rPr>
                <w:rFonts w:ascii="Arial" w:cs="Arial" w:eastAsia="Arial" w:hAnsi="Arial"/>
                <w:sz w:val="16"/>
                <w:szCs w:val="16"/>
                <w:color w:val="auto"/>
              </w:rPr>
              <w:t>First-lien loan ($8,750 par, due</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9/21/2018</w:t>
            </w:r>
          </w:p>
        </w:tc>
        <w:tc>
          <w:tcPr>
            <w:tcW w:w="940" w:type="dxa"/>
            <w:vAlign w:val="bottom"/>
          </w:tcPr>
          <w:p>
            <w:pPr>
              <w:jc w:val="right"/>
              <w:spacing w:after="0"/>
              <w:rPr>
                <w:sz w:val="20"/>
                <w:szCs w:val="20"/>
                <w:color w:val="auto"/>
              </w:rPr>
            </w:pPr>
            <w:r>
              <w:rPr>
                <w:rFonts w:ascii="Arial" w:cs="Arial" w:eastAsia="Arial" w:hAnsi="Arial"/>
                <w:sz w:val="16"/>
                <w:szCs w:val="16"/>
                <w:color w:val="auto"/>
              </w:rPr>
              <w:t>11.30%</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11.30%</w:t>
            </w:r>
          </w:p>
        </w:tc>
        <w:tc>
          <w:tcPr>
            <w:tcW w:w="780" w:type="dxa"/>
            <w:vAlign w:val="bottom"/>
          </w:tcPr>
          <w:p>
            <w:pPr>
              <w:jc w:val="right"/>
              <w:spacing w:after="0"/>
              <w:rPr>
                <w:sz w:val="20"/>
                <w:szCs w:val="20"/>
                <w:color w:val="auto"/>
              </w:rPr>
            </w:pPr>
            <w:r>
              <w:rPr>
                <w:rFonts w:ascii="Arial" w:cs="Arial" w:eastAsia="Arial" w:hAnsi="Arial"/>
                <w:sz w:val="16"/>
                <w:szCs w:val="16"/>
                <w:color w:val="auto"/>
              </w:rPr>
              <w:t>8,368</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9,447</w:t>
            </w:r>
          </w:p>
        </w:tc>
        <w:tc>
          <w:tcPr>
            <w:tcW w:w="2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0.8%</w:t>
            </w:r>
          </w:p>
        </w:tc>
      </w:tr>
      <w:tr>
        <w:trPr>
          <w:trHeight w:val="209"/>
        </w:trPr>
        <w:tc>
          <w:tcPr>
            <w:tcW w:w="2500" w:type="dxa"/>
            <w:vAlign w:val="bottom"/>
          </w:tcPr>
          <w:p>
            <w:pPr>
              <w:spacing w:after="0"/>
              <w:rPr>
                <w:sz w:val="18"/>
                <w:szCs w:val="18"/>
                <w:color w:val="auto"/>
              </w:rPr>
            </w:pPr>
          </w:p>
        </w:tc>
        <w:tc>
          <w:tcPr>
            <w:tcW w:w="2740" w:type="dxa"/>
            <w:vAlign w:val="bottom"/>
          </w:tcPr>
          <w:p>
            <w:pPr>
              <w:ind w:left="160"/>
              <w:spacing w:after="0"/>
              <w:rPr>
                <w:sz w:val="20"/>
                <w:szCs w:val="20"/>
                <w:color w:val="auto"/>
              </w:rPr>
            </w:pPr>
            <w:r>
              <w:rPr>
                <w:rFonts w:ascii="Arial" w:cs="Arial" w:eastAsia="Arial" w:hAnsi="Arial"/>
                <w:sz w:val="16"/>
                <w:szCs w:val="16"/>
                <w:color w:val="auto"/>
              </w:rPr>
              <w:t>9/2023)</w:t>
            </w: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2500" w:type="dxa"/>
            <w:vAlign w:val="bottom"/>
            <w:shd w:val="clear" w:color="auto" w:fill="CFF0FC"/>
          </w:tcPr>
          <w:p>
            <w:pPr>
              <w:spacing w:after="0"/>
              <w:rPr>
                <w:sz w:val="18"/>
                <w:szCs w:val="18"/>
                <w:color w:val="auto"/>
              </w:rPr>
            </w:pPr>
          </w:p>
        </w:tc>
        <w:tc>
          <w:tcPr>
            <w:tcW w:w="2740" w:type="dxa"/>
            <w:vAlign w:val="bottom"/>
            <w:shd w:val="clear" w:color="auto" w:fill="CFF0FC"/>
          </w:tcPr>
          <w:p>
            <w:pPr>
              <w:ind w:left="160"/>
              <w:spacing w:after="0"/>
              <w:rPr>
                <w:sz w:val="20"/>
                <w:szCs w:val="20"/>
                <w:color w:val="auto"/>
              </w:rPr>
            </w:pPr>
            <w:r>
              <w:rPr>
                <w:rFonts w:ascii="Arial" w:cs="Arial" w:eastAsia="Arial" w:hAnsi="Arial"/>
                <w:sz w:val="16"/>
                <w:szCs w:val="16"/>
                <w:color w:val="auto"/>
              </w:rPr>
              <w:t>Convertible note ($2,602 par, due</w:t>
            </w:r>
          </w:p>
        </w:tc>
        <w:tc>
          <w:tcPr>
            <w:tcW w:w="10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9/21/2018</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8.00%</w:t>
            </w: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8.00%</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2,602</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4,840</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0.4%</w:t>
            </w:r>
          </w:p>
        </w:tc>
      </w:tr>
      <w:tr>
        <w:trPr>
          <w:trHeight w:val="212"/>
        </w:trPr>
        <w:tc>
          <w:tcPr>
            <w:tcW w:w="2500" w:type="dxa"/>
            <w:vAlign w:val="bottom"/>
            <w:shd w:val="clear" w:color="auto" w:fill="CFF0FC"/>
          </w:tcPr>
          <w:p>
            <w:pPr>
              <w:spacing w:after="0"/>
              <w:rPr>
                <w:sz w:val="18"/>
                <w:szCs w:val="18"/>
                <w:color w:val="auto"/>
              </w:rPr>
            </w:pPr>
          </w:p>
        </w:tc>
        <w:tc>
          <w:tcPr>
            <w:tcW w:w="2740" w:type="dxa"/>
            <w:vAlign w:val="bottom"/>
            <w:shd w:val="clear" w:color="auto" w:fill="CFF0FC"/>
          </w:tcPr>
          <w:p>
            <w:pPr>
              <w:ind w:left="160"/>
              <w:spacing w:after="0"/>
              <w:rPr>
                <w:sz w:val="20"/>
                <w:szCs w:val="20"/>
                <w:color w:val="auto"/>
              </w:rPr>
            </w:pPr>
            <w:r>
              <w:rPr>
                <w:rFonts w:ascii="Arial" w:cs="Arial" w:eastAsia="Arial" w:hAnsi="Arial"/>
                <w:sz w:val="16"/>
                <w:szCs w:val="16"/>
                <w:color w:val="auto"/>
              </w:rPr>
              <w:t>9/2023)</w:t>
            </w:r>
          </w:p>
        </w:tc>
        <w:tc>
          <w:tcPr>
            <w:tcW w:w="10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06"/>
        </w:trPr>
        <w:tc>
          <w:tcPr>
            <w:tcW w:w="2500" w:type="dxa"/>
            <w:vAlign w:val="bottom"/>
          </w:tcPr>
          <w:p>
            <w:pPr>
              <w:spacing w:after="0" w:line="207" w:lineRule="exact"/>
              <w:rPr>
                <w:sz w:val="20"/>
                <w:szCs w:val="20"/>
                <w:color w:val="auto"/>
              </w:rPr>
            </w:pPr>
            <w:r>
              <w:rPr>
                <w:rFonts w:ascii="Arial" w:cs="Arial" w:eastAsia="Arial" w:hAnsi="Arial"/>
                <w:sz w:val="14"/>
                <w:szCs w:val="14"/>
                <w:color w:val="auto"/>
              </w:rPr>
              <w:t>Clinicient, Inc.</w:t>
            </w:r>
            <w:r>
              <w:rPr>
                <w:rFonts w:ascii="Arial" w:cs="Arial" w:eastAsia="Arial" w:hAnsi="Arial"/>
                <w:sz w:val="23"/>
                <w:szCs w:val="23"/>
                <w:color w:val="auto"/>
                <w:vertAlign w:val="superscript"/>
              </w:rPr>
              <w:t>(3)</w:t>
            </w:r>
          </w:p>
        </w:tc>
        <w:tc>
          <w:tcPr>
            <w:tcW w:w="2740" w:type="dxa"/>
            <w:vAlign w:val="bottom"/>
          </w:tcPr>
          <w:p>
            <w:pPr>
              <w:ind w:left="160"/>
              <w:spacing w:after="0"/>
              <w:rPr>
                <w:sz w:val="20"/>
                <w:szCs w:val="20"/>
                <w:color w:val="auto"/>
              </w:rPr>
            </w:pPr>
            <w:r>
              <w:rPr>
                <w:rFonts w:ascii="Arial" w:cs="Arial" w:eastAsia="Arial" w:hAnsi="Arial"/>
                <w:sz w:val="16"/>
                <w:szCs w:val="16"/>
                <w:color w:val="auto"/>
              </w:rPr>
              <w:t>First-lien loan ($15,000 par, due</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5/31/2019</w:t>
            </w:r>
          </w:p>
        </w:tc>
        <w:tc>
          <w:tcPr>
            <w:tcW w:w="940" w:type="dxa"/>
            <w:vAlign w:val="bottom"/>
          </w:tcPr>
          <w:p>
            <w:pPr>
              <w:jc w:val="right"/>
              <w:spacing w:after="0"/>
              <w:rPr>
                <w:sz w:val="20"/>
                <w:szCs w:val="20"/>
                <w:color w:val="auto"/>
              </w:rPr>
            </w:pPr>
            <w:r>
              <w:rPr>
                <w:rFonts w:ascii="Arial" w:cs="Arial" w:eastAsia="Arial" w:hAnsi="Arial"/>
                <w:sz w:val="16"/>
                <w:szCs w:val="16"/>
                <w:color w:val="auto"/>
              </w:rPr>
              <w:t>L + 7.00%</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8.50%</w:t>
            </w:r>
          </w:p>
        </w:tc>
        <w:tc>
          <w:tcPr>
            <w:tcW w:w="780" w:type="dxa"/>
            <w:vAlign w:val="bottom"/>
          </w:tcPr>
          <w:p>
            <w:pPr>
              <w:jc w:val="right"/>
              <w:spacing w:after="0"/>
              <w:rPr>
                <w:sz w:val="20"/>
                <w:szCs w:val="20"/>
                <w:color w:val="auto"/>
              </w:rPr>
            </w:pPr>
            <w:r>
              <w:rPr>
                <w:rFonts w:ascii="Arial" w:cs="Arial" w:eastAsia="Arial" w:hAnsi="Arial"/>
                <w:sz w:val="16"/>
                <w:szCs w:val="16"/>
                <w:color w:val="auto"/>
              </w:rPr>
              <w:t>14,884</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15,000</w:t>
            </w:r>
          </w:p>
        </w:tc>
        <w:tc>
          <w:tcPr>
            <w:tcW w:w="2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1.3%</w:t>
            </w:r>
          </w:p>
        </w:tc>
      </w:tr>
      <w:tr>
        <w:trPr>
          <w:trHeight w:val="209"/>
        </w:trPr>
        <w:tc>
          <w:tcPr>
            <w:tcW w:w="2500" w:type="dxa"/>
            <w:vAlign w:val="bottom"/>
          </w:tcPr>
          <w:p>
            <w:pPr>
              <w:spacing w:after="0"/>
              <w:rPr>
                <w:sz w:val="18"/>
                <w:szCs w:val="18"/>
                <w:color w:val="auto"/>
              </w:rPr>
            </w:pPr>
          </w:p>
        </w:tc>
        <w:tc>
          <w:tcPr>
            <w:tcW w:w="2740" w:type="dxa"/>
            <w:vAlign w:val="bottom"/>
          </w:tcPr>
          <w:p>
            <w:pPr>
              <w:ind w:left="160"/>
              <w:spacing w:after="0"/>
              <w:rPr>
                <w:sz w:val="20"/>
                <w:szCs w:val="20"/>
                <w:color w:val="auto"/>
              </w:rPr>
            </w:pPr>
            <w:r>
              <w:rPr>
                <w:rFonts w:ascii="Arial" w:cs="Arial" w:eastAsia="Arial" w:hAnsi="Arial"/>
                <w:sz w:val="16"/>
                <w:szCs w:val="16"/>
                <w:color w:val="auto"/>
              </w:rPr>
              <w:t>5/2024)</w:t>
            </w: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2500" w:type="dxa"/>
            <w:vAlign w:val="bottom"/>
            <w:shd w:val="clear" w:color="auto" w:fill="CFF0FC"/>
          </w:tcPr>
          <w:p>
            <w:pPr>
              <w:spacing w:after="0"/>
              <w:rPr>
                <w:sz w:val="18"/>
                <w:szCs w:val="18"/>
                <w:color w:val="auto"/>
              </w:rPr>
            </w:pPr>
          </w:p>
        </w:tc>
        <w:tc>
          <w:tcPr>
            <w:tcW w:w="2740" w:type="dxa"/>
            <w:vAlign w:val="bottom"/>
            <w:shd w:val="clear" w:color="auto" w:fill="CFF0FC"/>
          </w:tcPr>
          <w:p>
            <w:pPr>
              <w:ind w:left="160"/>
              <w:spacing w:after="0"/>
              <w:rPr>
                <w:sz w:val="20"/>
                <w:szCs w:val="20"/>
                <w:color w:val="auto"/>
              </w:rPr>
            </w:pPr>
            <w:r>
              <w:rPr>
                <w:rFonts w:ascii="Arial" w:cs="Arial" w:eastAsia="Arial" w:hAnsi="Arial"/>
                <w:sz w:val="16"/>
                <w:szCs w:val="16"/>
                <w:color w:val="auto"/>
              </w:rPr>
              <w:t>First-lien revolving loan ($2,400 par,</w:t>
            </w:r>
          </w:p>
        </w:tc>
        <w:tc>
          <w:tcPr>
            <w:tcW w:w="10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5/31/2019</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L + 7.00%</w:t>
            </w: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8.50%</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2,371</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2,400</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0.2%</w:t>
            </w:r>
          </w:p>
        </w:tc>
      </w:tr>
      <w:tr>
        <w:trPr>
          <w:trHeight w:val="212"/>
        </w:trPr>
        <w:tc>
          <w:tcPr>
            <w:tcW w:w="2500" w:type="dxa"/>
            <w:vAlign w:val="bottom"/>
            <w:shd w:val="clear" w:color="auto" w:fill="CFF0FC"/>
          </w:tcPr>
          <w:p>
            <w:pPr>
              <w:spacing w:after="0"/>
              <w:rPr>
                <w:sz w:val="18"/>
                <w:szCs w:val="18"/>
                <w:color w:val="auto"/>
              </w:rPr>
            </w:pPr>
          </w:p>
        </w:tc>
        <w:tc>
          <w:tcPr>
            <w:tcW w:w="2740" w:type="dxa"/>
            <w:vAlign w:val="bottom"/>
            <w:shd w:val="clear" w:color="auto" w:fill="CFF0FC"/>
          </w:tcPr>
          <w:p>
            <w:pPr>
              <w:ind w:left="160"/>
              <w:spacing w:after="0"/>
              <w:rPr>
                <w:sz w:val="20"/>
                <w:szCs w:val="20"/>
                <w:color w:val="auto"/>
              </w:rPr>
            </w:pPr>
            <w:r>
              <w:rPr>
                <w:rFonts w:ascii="Arial" w:cs="Arial" w:eastAsia="Arial" w:hAnsi="Arial"/>
                <w:sz w:val="16"/>
                <w:szCs w:val="16"/>
                <w:color w:val="auto"/>
              </w:rPr>
              <w:t>due 5/2024)</w:t>
            </w:r>
          </w:p>
        </w:tc>
        <w:tc>
          <w:tcPr>
            <w:tcW w:w="10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03"/>
        </w:trPr>
        <w:tc>
          <w:tcPr>
            <w:tcW w:w="2500" w:type="dxa"/>
            <w:vAlign w:val="bottom"/>
          </w:tcPr>
          <w:p>
            <w:pPr>
              <w:spacing w:after="0"/>
              <w:rPr>
                <w:sz w:val="20"/>
                <w:szCs w:val="20"/>
                <w:color w:val="auto"/>
              </w:rPr>
            </w:pPr>
            <w:r>
              <w:rPr>
                <w:rFonts w:ascii="Arial" w:cs="Arial" w:eastAsia="Arial" w:hAnsi="Arial"/>
                <w:sz w:val="16"/>
                <w:szCs w:val="16"/>
                <w:color w:val="auto"/>
              </w:rPr>
              <w:t>Integrated Practice</w:t>
            </w:r>
          </w:p>
        </w:tc>
        <w:tc>
          <w:tcPr>
            <w:tcW w:w="2740" w:type="dxa"/>
            <w:vAlign w:val="bottom"/>
          </w:tcPr>
          <w:p>
            <w:pPr>
              <w:ind w:left="160"/>
              <w:spacing w:after="0"/>
              <w:rPr>
                <w:sz w:val="20"/>
                <w:szCs w:val="20"/>
                <w:color w:val="auto"/>
              </w:rPr>
            </w:pPr>
            <w:r>
              <w:rPr>
                <w:rFonts w:ascii="Arial" w:cs="Arial" w:eastAsia="Arial" w:hAnsi="Arial"/>
                <w:sz w:val="16"/>
                <w:szCs w:val="16"/>
                <w:color w:val="auto"/>
              </w:rPr>
              <w:t>First-lien loan ($49,500 par, due</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6/30/2017</w:t>
            </w:r>
          </w:p>
        </w:tc>
        <w:tc>
          <w:tcPr>
            <w:tcW w:w="940" w:type="dxa"/>
            <w:vAlign w:val="bottom"/>
          </w:tcPr>
          <w:p>
            <w:pPr>
              <w:jc w:val="right"/>
              <w:spacing w:after="0"/>
              <w:rPr>
                <w:sz w:val="20"/>
                <w:szCs w:val="20"/>
                <w:color w:val="auto"/>
              </w:rPr>
            </w:pPr>
            <w:r>
              <w:rPr>
                <w:rFonts w:ascii="Arial" w:cs="Arial" w:eastAsia="Arial" w:hAnsi="Arial"/>
                <w:sz w:val="16"/>
                <w:szCs w:val="16"/>
                <w:color w:val="auto"/>
              </w:rPr>
              <w:t>L + 7.50%</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8.50%</w:t>
            </w:r>
          </w:p>
        </w:tc>
        <w:tc>
          <w:tcPr>
            <w:tcW w:w="780" w:type="dxa"/>
            <w:vAlign w:val="bottom"/>
          </w:tcPr>
          <w:p>
            <w:pPr>
              <w:jc w:val="right"/>
              <w:spacing w:after="0"/>
              <w:rPr>
                <w:sz w:val="20"/>
                <w:szCs w:val="20"/>
                <w:color w:val="auto"/>
              </w:rPr>
            </w:pPr>
            <w:r>
              <w:rPr>
                <w:rFonts w:ascii="Arial" w:cs="Arial" w:eastAsia="Arial" w:hAnsi="Arial"/>
                <w:sz w:val="16"/>
                <w:szCs w:val="16"/>
                <w:color w:val="auto"/>
              </w:rPr>
              <w:t>47,962</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50,243</w:t>
            </w:r>
          </w:p>
        </w:tc>
        <w:tc>
          <w:tcPr>
            <w:tcW w:w="2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4.4%</w:t>
            </w:r>
          </w:p>
        </w:tc>
      </w:tr>
      <w:tr>
        <w:trPr>
          <w:trHeight w:val="216"/>
        </w:trPr>
        <w:tc>
          <w:tcPr>
            <w:tcW w:w="2500" w:type="dxa"/>
            <w:vAlign w:val="bottom"/>
          </w:tcPr>
          <w:p>
            <w:pPr>
              <w:ind w:left="120"/>
              <w:spacing w:after="0" w:line="216" w:lineRule="exact"/>
              <w:rPr>
                <w:sz w:val="20"/>
                <w:szCs w:val="20"/>
                <w:color w:val="auto"/>
              </w:rPr>
            </w:pPr>
            <w:r>
              <w:rPr>
                <w:rFonts w:ascii="Arial" w:cs="Arial" w:eastAsia="Arial" w:hAnsi="Arial"/>
                <w:sz w:val="15"/>
                <w:szCs w:val="15"/>
                <w:color w:val="auto"/>
              </w:rPr>
              <w:t xml:space="preserve">Solutions, Inc. </w:t>
            </w:r>
            <w:r>
              <w:rPr>
                <w:rFonts w:ascii="Arial" w:cs="Arial" w:eastAsia="Arial" w:hAnsi="Arial"/>
                <w:sz w:val="25"/>
                <w:szCs w:val="25"/>
                <w:color w:val="auto"/>
                <w:vertAlign w:val="superscript"/>
              </w:rPr>
              <w:t>(3)(5)</w:t>
            </w:r>
          </w:p>
        </w:tc>
        <w:tc>
          <w:tcPr>
            <w:tcW w:w="2740" w:type="dxa"/>
            <w:vAlign w:val="bottom"/>
          </w:tcPr>
          <w:p>
            <w:pPr>
              <w:ind w:left="160"/>
              <w:spacing w:after="0"/>
              <w:rPr>
                <w:sz w:val="20"/>
                <w:szCs w:val="20"/>
                <w:color w:val="auto"/>
              </w:rPr>
            </w:pPr>
            <w:r>
              <w:rPr>
                <w:rFonts w:ascii="Arial" w:cs="Arial" w:eastAsia="Arial" w:hAnsi="Arial"/>
                <w:sz w:val="16"/>
                <w:szCs w:val="16"/>
                <w:color w:val="auto"/>
              </w:rPr>
              <w:t>10/2024)</w:t>
            </w: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6"/>
        </w:trPr>
        <w:tc>
          <w:tcPr>
            <w:tcW w:w="2500" w:type="dxa"/>
            <w:vAlign w:val="bottom"/>
            <w:shd w:val="clear" w:color="auto" w:fill="CFF0FC"/>
          </w:tcPr>
          <w:p>
            <w:pPr>
              <w:spacing w:after="0" w:line="207" w:lineRule="exact"/>
              <w:rPr>
                <w:sz w:val="20"/>
                <w:szCs w:val="20"/>
                <w:color w:val="auto"/>
              </w:rPr>
            </w:pPr>
            <w:r>
              <w:rPr>
                <w:rFonts w:ascii="Arial" w:cs="Arial" w:eastAsia="Arial" w:hAnsi="Arial"/>
                <w:sz w:val="14"/>
                <w:szCs w:val="14"/>
                <w:color w:val="auto"/>
              </w:rPr>
              <w:t xml:space="preserve">MedeAnalytics, Inc. </w:t>
            </w:r>
            <w:r>
              <w:rPr>
                <w:rFonts w:ascii="Arial" w:cs="Arial" w:eastAsia="Arial" w:hAnsi="Arial"/>
                <w:sz w:val="23"/>
                <w:szCs w:val="23"/>
                <w:color w:val="auto"/>
                <w:vertAlign w:val="superscript"/>
              </w:rPr>
              <w:t>(3)(5)</w:t>
            </w:r>
          </w:p>
        </w:tc>
        <w:tc>
          <w:tcPr>
            <w:tcW w:w="2740" w:type="dxa"/>
            <w:vAlign w:val="bottom"/>
            <w:shd w:val="clear" w:color="auto" w:fill="CFF0FC"/>
          </w:tcPr>
          <w:p>
            <w:pPr>
              <w:ind w:left="160"/>
              <w:spacing w:after="0"/>
              <w:rPr>
                <w:sz w:val="20"/>
                <w:szCs w:val="20"/>
                <w:color w:val="auto"/>
              </w:rPr>
            </w:pPr>
            <w:r>
              <w:rPr>
                <w:rFonts w:ascii="Arial" w:cs="Arial" w:eastAsia="Arial" w:hAnsi="Arial"/>
                <w:sz w:val="16"/>
                <w:szCs w:val="16"/>
                <w:color w:val="auto"/>
              </w:rPr>
              <w:t>First-lien loan ($38,910 par, due</w:t>
            </w:r>
          </w:p>
        </w:tc>
        <w:tc>
          <w:tcPr>
            <w:tcW w:w="10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9/30/2015</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L + 7.51%</w:t>
            </w: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8.01%</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38,717</w:t>
            </w: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38,910</w:t>
            </w:r>
          </w:p>
        </w:tc>
        <w:tc>
          <w:tcPr>
            <w:tcW w:w="2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3.4%</w:t>
            </w:r>
          </w:p>
        </w:tc>
      </w:tr>
      <w:tr>
        <w:trPr>
          <w:trHeight w:val="212"/>
        </w:trPr>
        <w:tc>
          <w:tcPr>
            <w:tcW w:w="2500" w:type="dxa"/>
            <w:vAlign w:val="bottom"/>
            <w:shd w:val="clear" w:color="auto" w:fill="CFF0FC"/>
          </w:tcPr>
          <w:p>
            <w:pPr>
              <w:spacing w:after="0"/>
              <w:rPr>
                <w:sz w:val="18"/>
                <w:szCs w:val="18"/>
                <w:color w:val="auto"/>
              </w:rPr>
            </w:pPr>
          </w:p>
        </w:tc>
        <w:tc>
          <w:tcPr>
            <w:tcW w:w="2740" w:type="dxa"/>
            <w:vAlign w:val="bottom"/>
            <w:shd w:val="clear" w:color="auto" w:fill="CFF0FC"/>
          </w:tcPr>
          <w:p>
            <w:pPr>
              <w:ind w:left="160"/>
              <w:spacing w:after="0"/>
              <w:rPr>
                <w:sz w:val="20"/>
                <w:szCs w:val="20"/>
                <w:color w:val="auto"/>
              </w:rPr>
            </w:pPr>
            <w:r>
              <w:rPr>
                <w:rFonts w:ascii="Arial" w:cs="Arial" w:eastAsia="Arial" w:hAnsi="Arial"/>
                <w:sz w:val="16"/>
                <w:szCs w:val="16"/>
                <w:color w:val="auto"/>
              </w:rPr>
              <w:t>9/2021)</w:t>
            </w:r>
          </w:p>
        </w:tc>
        <w:tc>
          <w:tcPr>
            <w:tcW w:w="10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06"/>
        </w:trPr>
        <w:tc>
          <w:tcPr>
            <w:tcW w:w="2500" w:type="dxa"/>
            <w:vAlign w:val="bottom"/>
          </w:tcPr>
          <w:p>
            <w:pPr>
              <w:spacing w:after="0" w:line="207" w:lineRule="exact"/>
              <w:rPr>
                <w:sz w:val="20"/>
                <w:szCs w:val="20"/>
                <w:color w:val="auto"/>
              </w:rPr>
            </w:pPr>
            <w:r>
              <w:rPr>
                <w:rFonts w:ascii="Arial" w:cs="Arial" w:eastAsia="Arial" w:hAnsi="Arial"/>
                <w:sz w:val="14"/>
                <w:szCs w:val="14"/>
                <w:color w:val="auto"/>
              </w:rPr>
              <w:t xml:space="preserve">Quantros, Inc. </w:t>
            </w:r>
            <w:r>
              <w:rPr>
                <w:rFonts w:ascii="Arial" w:cs="Arial" w:eastAsia="Arial" w:hAnsi="Arial"/>
                <w:sz w:val="23"/>
                <w:szCs w:val="23"/>
                <w:color w:val="auto"/>
                <w:vertAlign w:val="superscript"/>
              </w:rPr>
              <w:t>(3)(5)</w:t>
            </w:r>
          </w:p>
        </w:tc>
        <w:tc>
          <w:tcPr>
            <w:tcW w:w="2740" w:type="dxa"/>
            <w:vAlign w:val="bottom"/>
          </w:tcPr>
          <w:p>
            <w:pPr>
              <w:ind w:left="160"/>
              <w:spacing w:after="0"/>
              <w:rPr>
                <w:sz w:val="20"/>
                <w:szCs w:val="20"/>
                <w:color w:val="auto"/>
              </w:rPr>
            </w:pPr>
            <w:r>
              <w:rPr>
                <w:rFonts w:ascii="Arial" w:cs="Arial" w:eastAsia="Arial" w:hAnsi="Arial"/>
                <w:sz w:val="16"/>
                <w:szCs w:val="16"/>
                <w:color w:val="auto"/>
              </w:rPr>
              <w:t>First-lien loan ($17,931 par, due</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2/29/2016</w:t>
            </w:r>
          </w:p>
        </w:tc>
        <w:tc>
          <w:tcPr>
            <w:tcW w:w="940" w:type="dxa"/>
            <w:vAlign w:val="bottom"/>
          </w:tcPr>
          <w:p>
            <w:pPr>
              <w:jc w:val="right"/>
              <w:spacing w:after="0"/>
              <w:rPr>
                <w:sz w:val="20"/>
                <w:szCs w:val="20"/>
                <w:color w:val="auto"/>
              </w:rPr>
            </w:pPr>
            <w:r>
              <w:rPr>
                <w:rFonts w:ascii="Arial" w:cs="Arial" w:eastAsia="Arial" w:hAnsi="Arial"/>
                <w:sz w:val="16"/>
                <w:szCs w:val="16"/>
                <w:color w:val="auto"/>
              </w:rPr>
              <w:t>L + 8.50%</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9.50%</w:t>
            </w:r>
          </w:p>
        </w:tc>
        <w:tc>
          <w:tcPr>
            <w:tcW w:w="780" w:type="dxa"/>
            <w:vAlign w:val="bottom"/>
          </w:tcPr>
          <w:p>
            <w:pPr>
              <w:jc w:val="right"/>
              <w:spacing w:after="0"/>
              <w:rPr>
                <w:sz w:val="20"/>
                <w:szCs w:val="20"/>
                <w:color w:val="auto"/>
              </w:rPr>
            </w:pPr>
            <w:r>
              <w:rPr>
                <w:rFonts w:ascii="Arial" w:cs="Arial" w:eastAsia="Arial" w:hAnsi="Arial"/>
                <w:sz w:val="16"/>
                <w:szCs w:val="16"/>
                <w:color w:val="auto"/>
              </w:rPr>
              <w:t>17,902</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17,034</w:t>
            </w:r>
          </w:p>
        </w:tc>
        <w:tc>
          <w:tcPr>
            <w:tcW w:w="2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1.5%</w:t>
            </w:r>
          </w:p>
        </w:tc>
      </w:tr>
      <w:tr>
        <w:trPr>
          <w:trHeight w:val="209"/>
        </w:trPr>
        <w:tc>
          <w:tcPr>
            <w:tcW w:w="2500" w:type="dxa"/>
            <w:vAlign w:val="bottom"/>
          </w:tcPr>
          <w:p>
            <w:pPr>
              <w:spacing w:after="0"/>
              <w:rPr>
                <w:sz w:val="18"/>
                <w:szCs w:val="18"/>
                <w:color w:val="auto"/>
              </w:rPr>
            </w:pPr>
          </w:p>
        </w:tc>
        <w:tc>
          <w:tcPr>
            <w:tcW w:w="2740" w:type="dxa"/>
            <w:vAlign w:val="bottom"/>
          </w:tcPr>
          <w:p>
            <w:pPr>
              <w:ind w:left="160"/>
              <w:spacing w:after="0"/>
              <w:rPr>
                <w:sz w:val="20"/>
                <w:szCs w:val="20"/>
                <w:color w:val="auto"/>
              </w:rPr>
            </w:pPr>
            <w:r>
              <w:rPr>
                <w:rFonts w:ascii="Arial" w:cs="Arial" w:eastAsia="Arial" w:hAnsi="Arial"/>
                <w:sz w:val="16"/>
                <w:szCs w:val="16"/>
                <w:color w:val="auto"/>
              </w:rPr>
              <w:t>12/2020)</w:t>
            </w: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6"/>
        </w:trPr>
        <w:tc>
          <w:tcPr>
            <w:tcW w:w="2500" w:type="dxa"/>
            <w:vAlign w:val="bottom"/>
            <w:shd w:val="clear" w:color="auto" w:fill="CFF0FC"/>
          </w:tcPr>
          <w:p>
            <w:pPr>
              <w:spacing w:after="0"/>
              <w:rPr>
                <w:sz w:val="20"/>
                <w:szCs w:val="20"/>
                <w:color w:val="auto"/>
              </w:rPr>
            </w:pPr>
            <w:r>
              <w:rPr>
                <w:rFonts w:ascii="Arial" w:cs="Arial" w:eastAsia="Arial" w:hAnsi="Arial"/>
                <w:sz w:val="16"/>
                <w:szCs w:val="16"/>
                <w:color w:val="auto"/>
              </w:rPr>
              <w:t>Valant Medical Solutions,</w:t>
            </w:r>
          </w:p>
        </w:tc>
        <w:tc>
          <w:tcPr>
            <w:tcW w:w="2740" w:type="dxa"/>
            <w:vAlign w:val="bottom"/>
            <w:shd w:val="clear" w:color="auto" w:fill="CFF0FC"/>
          </w:tcPr>
          <w:p>
            <w:pPr>
              <w:ind w:left="160"/>
              <w:spacing w:after="0"/>
              <w:rPr>
                <w:sz w:val="20"/>
                <w:szCs w:val="20"/>
                <w:color w:val="auto"/>
              </w:rPr>
            </w:pPr>
            <w:r>
              <w:rPr>
                <w:rFonts w:ascii="Arial" w:cs="Arial" w:eastAsia="Arial" w:hAnsi="Arial"/>
                <w:sz w:val="16"/>
                <w:szCs w:val="16"/>
                <w:color w:val="auto"/>
              </w:rPr>
              <w:t>First-lien loan ($28,236 par, due</w:t>
            </w:r>
          </w:p>
        </w:tc>
        <w:tc>
          <w:tcPr>
            <w:tcW w:w="10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4/8/2019</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L + 8.75%</w:t>
            </w: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10.25%</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27,568</w:t>
            </w: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28,389</w:t>
            </w:r>
          </w:p>
        </w:tc>
        <w:tc>
          <w:tcPr>
            <w:tcW w:w="2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2.5%</w:t>
            </w:r>
          </w:p>
        </w:tc>
      </w:tr>
      <w:tr>
        <w:trPr>
          <w:trHeight w:val="216"/>
        </w:trPr>
        <w:tc>
          <w:tcPr>
            <w:tcW w:w="2500" w:type="dxa"/>
            <w:vAlign w:val="bottom"/>
            <w:shd w:val="clear" w:color="auto" w:fill="CFF0FC"/>
          </w:tcPr>
          <w:p>
            <w:pPr>
              <w:ind w:left="120"/>
              <w:spacing w:after="0" w:line="216" w:lineRule="exact"/>
              <w:rPr>
                <w:sz w:val="20"/>
                <w:szCs w:val="20"/>
                <w:color w:val="auto"/>
              </w:rPr>
            </w:pPr>
            <w:r>
              <w:rPr>
                <w:rFonts w:ascii="Arial" w:cs="Arial" w:eastAsia="Arial" w:hAnsi="Arial"/>
                <w:sz w:val="15"/>
                <w:szCs w:val="15"/>
                <w:color w:val="auto"/>
              </w:rPr>
              <w:t xml:space="preserve">Inc. </w:t>
            </w:r>
            <w:r>
              <w:rPr>
                <w:rFonts w:ascii="Arial" w:cs="Arial" w:eastAsia="Arial" w:hAnsi="Arial"/>
                <w:sz w:val="25"/>
                <w:szCs w:val="25"/>
                <w:color w:val="auto"/>
                <w:vertAlign w:val="superscript"/>
              </w:rPr>
              <w:t>(3)</w:t>
            </w:r>
          </w:p>
        </w:tc>
        <w:tc>
          <w:tcPr>
            <w:tcW w:w="2740" w:type="dxa"/>
            <w:vAlign w:val="bottom"/>
            <w:shd w:val="clear" w:color="auto" w:fill="CFF0FC"/>
          </w:tcPr>
          <w:p>
            <w:pPr>
              <w:ind w:left="160"/>
              <w:spacing w:after="0"/>
              <w:rPr>
                <w:sz w:val="20"/>
                <w:szCs w:val="20"/>
                <w:color w:val="auto"/>
              </w:rPr>
            </w:pPr>
            <w:r>
              <w:rPr>
                <w:rFonts w:ascii="Arial" w:cs="Arial" w:eastAsia="Arial" w:hAnsi="Arial"/>
                <w:sz w:val="16"/>
                <w:szCs w:val="16"/>
                <w:color w:val="auto"/>
              </w:rPr>
              <w:t>4/2024)</w:t>
            </w:r>
          </w:p>
        </w:tc>
        <w:tc>
          <w:tcPr>
            <w:tcW w:w="10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06"/>
        </w:trPr>
        <w:tc>
          <w:tcPr>
            <w:tcW w:w="2500" w:type="dxa"/>
            <w:vAlign w:val="bottom"/>
          </w:tcPr>
          <w:p>
            <w:pPr>
              <w:spacing w:after="0"/>
              <w:rPr>
                <w:sz w:val="17"/>
                <w:szCs w:val="17"/>
                <w:color w:val="auto"/>
              </w:rPr>
            </w:pPr>
          </w:p>
        </w:tc>
        <w:tc>
          <w:tcPr>
            <w:tcW w:w="2740" w:type="dxa"/>
            <w:vAlign w:val="bottom"/>
          </w:tcPr>
          <w:p>
            <w:pPr>
              <w:ind w:left="160"/>
              <w:spacing w:after="0"/>
              <w:rPr>
                <w:sz w:val="20"/>
                <w:szCs w:val="20"/>
                <w:color w:val="auto"/>
              </w:rPr>
            </w:pPr>
            <w:r>
              <w:rPr>
                <w:rFonts w:ascii="Arial" w:cs="Arial" w:eastAsia="Arial" w:hAnsi="Arial"/>
                <w:sz w:val="16"/>
                <w:szCs w:val="16"/>
                <w:color w:val="auto"/>
              </w:rPr>
              <w:t>First-lien revolving loan ($1,500 par,</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4/8/2019</w:t>
            </w:r>
          </w:p>
        </w:tc>
        <w:tc>
          <w:tcPr>
            <w:tcW w:w="940" w:type="dxa"/>
            <w:vAlign w:val="bottom"/>
          </w:tcPr>
          <w:p>
            <w:pPr>
              <w:jc w:val="right"/>
              <w:spacing w:after="0"/>
              <w:rPr>
                <w:sz w:val="20"/>
                <w:szCs w:val="20"/>
                <w:color w:val="auto"/>
              </w:rPr>
            </w:pPr>
            <w:r>
              <w:rPr>
                <w:rFonts w:ascii="Arial" w:cs="Arial" w:eastAsia="Arial" w:hAnsi="Arial"/>
                <w:sz w:val="16"/>
                <w:szCs w:val="16"/>
                <w:color w:val="auto"/>
              </w:rPr>
              <w:t>L + 8.75%</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10.25%</w:t>
            </w:r>
          </w:p>
        </w:tc>
        <w:tc>
          <w:tcPr>
            <w:tcW w:w="780" w:type="dxa"/>
            <w:vAlign w:val="bottom"/>
          </w:tcPr>
          <w:p>
            <w:pPr>
              <w:jc w:val="right"/>
              <w:spacing w:after="0"/>
              <w:rPr>
                <w:sz w:val="20"/>
                <w:szCs w:val="20"/>
                <w:color w:val="auto"/>
              </w:rPr>
            </w:pPr>
            <w:r>
              <w:rPr>
                <w:rFonts w:ascii="Arial" w:cs="Arial" w:eastAsia="Arial" w:hAnsi="Arial"/>
                <w:sz w:val="16"/>
                <w:szCs w:val="16"/>
                <w:color w:val="auto"/>
              </w:rPr>
              <w:t>1,472</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1,510</w:t>
            </w:r>
          </w:p>
        </w:tc>
        <w:tc>
          <w:tcPr>
            <w:tcW w:w="2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0.1%</w:t>
            </w:r>
          </w:p>
        </w:tc>
      </w:tr>
      <w:tr>
        <w:trPr>
          <w:trHeight w:val="209"/>
        </w:trPr>
        <w:tc>
          <w:tcPr>
            <w:tcW w:w="2500" w:type="dxa"/>
            <w:vAlign w:val="bottom"/>
          </w:tcPr>
          <w:p>
            <w:pPr>
              <w:spacing w:after="0"/>
              <w:rPr>
                <w:sz w:val="18"/>
                <w:szCs w:val="18"/>
                <w:color w:val="auto"/>
              </w:rPr>
            </w:pPr>
          </w:p>
        </w:tc>
        <w:tc>
          <w:tcPr>
            <w:tcW w:w="2740" w:type="dxa"/>
            <w:vAlign w:val="bottom"/>
          </w:tcPr>
          <w:p>
            <w:pPr>
              <w:ind w:left="160"/>
              <w:spacing w:after="0"/>
              <w:rPr>
                <w:sz w:val="20"/>
                <w:szCs w:val="20"/>
                <w:color w:val="auto"/>
              </w:rPr>
            </w:pPr>
            <w:r>
              <w:rPr>
                <w:rFonts w:ascii="Arial" w:cs="Arial" w:eastAsia="Arial" w:hAnsi="Arial"/>
                <w:sz w:val="16"/>
                <w:szCs w:val="16"/>
                <w:color w:val="auto"/>
              </w:rPr>
              <w:t>due 4/2024)</w:t>
            </w: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250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Vita Bidco, Inc. </w:t>
            </w:r>
            <w:r>
              <w:rPr>
                <w:rFonts w:ascii="Arial" w:cs="Arial" w:eastAsia="Arial" w:hAnsi="Arial"/>
                <w:sz w:val="24"/>
                <w:szCs w:val="24"/>
                <w:color w:val="auto"/>
                <w:vertAlign w:val="superscript"/>
              </w:rPr>
              <w:t>(3)(5)</w:t>
            </w:r>
          </w:p>
        </w:tc>
        <w:tc>
          <w:tcPr>
            <w:tcW w:w="2740" w:type="dxa"/>
            <w:vAlign w:val="bottom"/>
            <w:shd w:val="clear" w:color="auto" w:fill="CFF0FC"/>
          </w:tcPr>
          <w:p>
            <w:pPr>
              <w:ind w:left="160"/>
              <w:spacing w:after="0"/>
              <w:rPr>
                <w:sz w:val="20"/>
                <w:szCs w:val="20"/>
                <w:color w:val="auto"/>
              </w:rPr>
            </w:pPr>
            <w:r>
              <w:rPr>
                <w:rFonts w:ascii="Arial" w:cs="Arial" w:eastAsia="Arial" w:hAnsi="Arial"/>
                <w:sz w:val="16"/>
                <w:szCs w:val="16"/>
                <w:color w:val="auto"/>
              </w:rPr>
              <w:t>First-lien loan ($9,058 par, due</w:t>
            </w:r>
          </w:p>
        </w:tc>
        <w:tc>
          <w:tcPr>
            <w:tcW w:w="10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2/11/2019</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L + 6.50%</w:t>
            </w: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7.50%</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8,871</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9,194</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0.8%</w:t>
            </w:r>
          </w:p>
        </w:tc>
      </w:tr>
      <w:tr>
        <w:trPr>
          <w:trHeight w:val="209"/>
        </w:trPr>
        <w:tc>
          <w:tcPr>
            <w:tcW w:w="2500" w:type="dxa"/>
            <w:vAlign w:val="bottom"/>
            <w:shd w:val="clear" w:color="auto" w:fill="CFF0FC"/>
          </w:tcPr>
          <w:p>
            <w:pPr>
              <w:spacing w:after="0"/>
              <w:rPr>
                <w:sz w:val="18"/>
                <w:szCs w:val="18"/>
                <w:color w:val="auto"/>
              </w:rPr>
            </w:pPr>
          </w:p>
        </w:tc>
        <w:tc>
          <w:tcPr>
            <w:tcW w:w="2740" w:type="dxa"/>
            <w:vAlign w:val="bottom"/>
            <w:shd w:val="clear" w:color="auto" w:fill="CFF0FC"/>
          </w:tcPr>
          <w:p>
            <w:pPr>
              <w:ind w:left="160"/>
              <w:spacing w:after="0"/>
              <w:rPr>
                <w:sz w:val="20"/>
                <w:szCs w:val="20"/>
                <w:color w:val="auto"/>
              </w:rPr>
            </w:pPr>
            <w:r>
              <w:rPr>
                <w:rFonts w:ascii="Arial" w:cs="Arial" w:eastAsia="Arial" w:hAnsi="Arial"/>
                <w:sz w:val="16"/>
                <w:szCs w:val="16"/>
                <w:color w:val="auto"/>
              </w:rPr>
              <w:t>2/2024)</w:t>
            </w:r>
          </w:p>
        </w:tc>
        <w:tc>
          <w:tcPr>
            <w:tcW w:w="10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10"/>
        </w:trPr>
        <w:tc>
          <w:tcPr>
            <w:tcW w:w="25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170,717</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176,967</w:t>
            </w:r>
          </w:p>
        </w:tc>
        <w:tc>
          <w:tcPr>
            <w:tcW w:w="2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15.4%</w:t>
            </w:r>
          </w:p>
        </w:tc>
      </w:tr>
      <w:tr>
        <w:trPr>
          <w:trHeight w:val="212"/>
        </w:trPr>
        <w:tc>
          <w:tcPr>
            <w:tcW w:w="2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Hotel, gaming, and leisure</w:t>
            </w:r>
          </w:p>
        </w:tc>
        <w:tc>
          <w:tcPr>
            <w:tcW w:w="274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r>
      <w:tr>
        <w:trPr>
          <w:trHeight w:val="206"/>
        </w:trPr>
        <w:tc>
          <w:tcPr>
            <w:tcW w:w="2500" w:type="dxa"/>
            <w:vAlign w:val="bottom"/>
          </w:tcPr>
          <w:p>
            <w:pPr>
              <w:spacing w:after="0" w:line="207" w:lineRule="exact"/>
              <w:rPr>
                <w:sz w:val="20"/>
                <w:szCs w:val="20"/>
                <w:color w:val="auto"/>
              </w:rPr>
            </w:pPr>
            <w:r>
              <w:rPr>
                <w:rFonts w:ascii="Arial" w:cs="Arial" w:eastAsia="Arial" w:hAnsi="Arial"/>
                <w:sz w:val="14"/>
                <w:szCs w:val="14"/>
                <w:color w:val="auto"/>
              </w:rPr>
              <w:t xml:space="preserve">IRGSE Holding Corp. </w:t>
            </w:r>
            <w:r>
              <w:rPr>
                <w:rFonts w:ascii="Arial" w:cs="Arial" w:eastAsia="Arial" w:hAnsi="Arial"/>
                <w:sz w:val="23"/>
                <w:szCs w:val="23"/>
                <w:color w:val="auto"/>
                <w:vertAlign w:val="superscript"/>
              </w:rPr>
              <w:t>(3)(7)</w:t>
            </w:r>
          </w:p>
        </w:tc>
        <w:tc>
          <w:tcPr>
            <w:tcW w:w="2740" w:type="dxa"/>
            <w:vAlign w:val="bottom"/>
          </w:tcPr>
          <w:p>
            <w:pPr>
              <w:ind w:left="160"/>
              <w:spacing w:after="0"/>
              <w:rPr>
                <w:sz w:val="20"/>
                <w:szCs w:val="20"/>
                <w:color w:val="auto"/>
              </w:rPr>
            </w:pPr>
            <w:r>
              <w:rPr>
                <w:rFonts w:ascii="Arial" w:cs="Arial" w:eastAsia="Arial" w:hAnsi="Arial"/>
                <w:sz w:val="16"/>
                <w:szCs w:val="16"/>
                <w:color w:val="auto"/>
              </w:rPr>
              <w:t>First-lien loan ($29,503 par, due</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9/29/2015</w:t>
            </w:r>
          </w:p>
        </w:tc>
        <w:tc>
          <w:tcPr>
            <w:tcW w:w="940" w:type="dxa"/>
            <w:vAlign w:val="bottom"/>
          </w:tcPr>
          <w:p>
            <w:pPr>
              <w:jc w:val="right"/>
              <w:spacing w:after="0"/>
              <w:rPr>
                <w:sz w:val="20"/>
                <w:szCs w:val="20"/>
                <w:color w:val="auto"/>
              </w:rPr>
            </w:pPr>
            <w:r>
              <w:rPr>
                <w:rFonts w:ascii="Arial" w:cs="Arial" w:eastAsia="Arial" w:hAnsi="Arial"/>
                <w:sz w:val="16"/>
                <w:szCs w:val="16"/>
                <w:color w:val="auto"/>
              </w:rPr>
              <w:t>L + 9.50%</w:t>
            </w: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10.00%</w:t>
            </w:r>
          </w:p>
        </w:tc>
        <w:tc>
          <w:tcPr>
            <w:tcW w:w="780" w:type="dxa"/>
            <w:vAlign w:val="bottom"/>
          </w:tcPr>
          <w:p>
            <w:pPr>
              <w:jc w:val="right"/>
              <w:spacing w:after="0"/>
              <w:rPr>
                <w:sz w:val="20"/>
                <w:szCs w:val="20"/>
                <w:color w:val="auto"/>
              </w:rPr>
            </w:pPr>
            <w:r>
              <w:rPr>
                <w:rFonts w:ascii="Arial" w:cs="Arial" w:eastAsia="Arial" w:hAnsi="Arial"/>
                <w:sz w:val="16"/>
                <w:szCs w:val="16"/>
                <w:color w:val="auto"/>
              </w:rPr>
              <w:t>27,836</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28,249</w:t>
            </w:r>
          </w:p>
        </w:tc>
        <w:tc>
          <w:tcPr>
            <w:tcW w:w="2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2.5%</w:t>
            </w:r>
          </w:p>
        </w:tc>
      </w:tr>
      <w:tr>
        <w:trPr>
          <w:trHeight w:val="203"/>
        </w:trPr>
        <w:tc>
          <w:tcPr>
            <w:tcW w:w="2500" w:type="dxa"/>
            <w:vAlign w:val="bottom"/>
          </w:tcPr>
          <w:p>
            <w:pPr>
              <w:spacing w:after="0"/>
              <w:rPr>
                <w:sz w:val="17"/>
                <w:szCs w:val="17"/>
                <w:color w:val="auto"/>
              </w:rPr>
            </w:pPr>
          </w:p>
        </w:tc>
        <w:tc>
          <w:tcPr>
            <w:tcW w:w="2740" w:type="dxa"/>
            <w:vAlign w:val="bottom"/>
          </w:tcPr>
          <w:p>
            <w:pPr>
              <w:ind w:left="160"/>
              <w:spacing w:after="0"/>
              <w:rPr>
                <w:sz w:val="20"/>
                <w:szCs w:val="20"/>
                <w:color w:val="auto"/>
              </w:rPr>
            </w:pPr>
            <w:r>
              <w:rPr>
                <w:rFonts w:ascii="Arial" w:cs="Arial" w:eastAsia="Arial" w:hAnsi="Arial"/>
                <w:sz w:val="16"/>
                <w:szCs w:val="16"/>
                <w:color w:val="auto"/>
              </w:rPr>
              <w:t>9/2021)</w:t>
            </w: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(incl.</w:t>
            </w: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25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5.00%</w:t>
            </w: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9"/>
        </w:trPr>
        <w:tc>
          <w:tcPr>
            <w:tcW w:w="25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PIK)</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2500" w:type="dxa"/>
            <w:vAlign w:val="bottom"/>
            <w:shd w:val="clear" w:color="auto" w:fill="CFF0FC"/>
          </w:tcPr>
          <w:p>
            <w:pPr>
              <w:spacing w:after="0"/>
              <w:rPr>
                <w:sz w:val="18"/>
                <w:szCs w:val="18"/>
                <w:color w:val="auto"/>
              </w:rPr>
            </w:pPr>
          </w:p>
        </w:tc>
        <w:tc>
          <w:tcPr>
            <w:tcW w:w="2740" w:type="dxa"/>
            <w:vAlign w:val="bottom"/>
            <w:shd w:val="clear" w:color="auto" w:fill="CFF0FC"/>
          </w:tcPr>
          <w:p>
            <w:pPr>
              <w:ind w:left="160"/>
              <w:spacing w:after="0"/>
              <w:rPr>
                <w:sz w:val="20"/>
                <w:szCs w:val="20"/>
                <w:color w:val="auto"/>
              </w:rPr>
            </w:pPr>
            <w:r>
              <w:rPr>
                <w:rFonts w:ascii="Arial" w:cs="Arial" w:eastAsia="Arial" w:hAnsi="Arial"/>
                <w:sz w:val="16"/>
                <w:szCs w:val="16"/>
                <w:color w:val="auto"/>
              </w:rPr>
              <w:t>First-lien revolving loan ($5,690 par,</w:t>
            </w:r>
          </w:p>
        </w:tc>
        <w:tc>
          <w:tcPr>
            <w:tcW w:w="10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9/29/2015</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L + 9.50%</w:t>
            </w:r>
          </w:p>
        </w:tc>
        <w:tc>
          <w:tcPr>
            <w:tcW w:w="10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10.00%</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5,690</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5,433</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0.5%</w:t>
            </w:r>
          </w:p>
        </w:tc>
      </w:tr>
      <w:tr>
        <w:trPr>
          <w:trHeight w:val="203"/>
        </w:trPr>
        <w:tc>
          <w:tcPr>
            <w:tcW w:w="2500" w:type="dxa"/>
            <w:vAlign w:val="bottom"/>
            <w:shd w:val="clear" w:color="auto" w:fill="CFF0FC"/>
          </w:tcPr>
          <w:p>
            <w:pPr>
              <w:spacing w:after="0"/>
              <w:rPr>
                <w:sz w:val="17"/>
                <w:szCs w:val="17"/>
                <w:color w:val="auto"/>
              </w:rPr>
            </w:pPr>
          </w:p>
        </w:tc>
        <w:tc>
          <w:tcPr>
            <w:tcW w:w="2740" w:type="dxa"/>
            <w:vAlign w:val="bottom"/>
            <w:shd w:val="clear" w:color="auto" w:fill="CFF0FC"/>
          </w:tcPr>
          <w:p>
            <w:pPr>
              <w:ind w:left="160"/>
              <w:spacing w:after="0"/>
              <w:rPr>
                <w:sz w:val="20"/>
                <w:szCs w:val="20"/>
                <w:color w:val="auto"/>
              </w:rPr>
            </w:pPr>
            <w:r>
              <w:rPr>
                <w:rFonts w:ascii="Arial" w:cs="Arial" w:eastAsia="Arial" w:hAnsi="Arial"/>
                <w:sz w:val="16"/>
                <w:szCs w:val="16"/>
                <w:color w:val="auto"/>
              </w:rPr>
              <w:t>due 9/2021)</w:t>
            </w:r>
          </w:p>
        </w:tc>
        <w:tc>
          <w:tcPr>
            <w:tcW w:w="10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(incl.</w:t>
            </w: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r>
      <w:tr>
        <w:trPr>
          <w:trHeight w:val="203"/>
        </w:trPr>
        <w:tc>
          <w:tcPr>
            <w:tcW w:w="2500" w:type="dxa"/>
            <w:vAlign w:val="bottom"/>
            <w:shd w:val="clear" w:color="auto" w:fill="CFF0FC"/>
          </w:tcPr>
          <w:p>
            <w:pPr>
              <w:spacing w:after="0"/>
              <w:rPr>
                <w:sz w:val="17"/>
                <w:szCs w:val="17"/>
                <w:color w:val="auto"/>
              </w:rPr>
            </w:pPr>
          </w:p>
        </w:tc>
        <w:tc>
          <w:tcPr>
            <w:tcW w:w="27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5.00%</w:t>
            </w: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r>
      <w:tr>
        <w:trPr>
          <w:trHeight w:val="212"/>
        </w:trPr>
        <w:tc>
          <w:tcPr>
            <w:tcW w:w="2500" w:type="dxa"/>
            <w:vAlign w:val="bottom"/>
            <w:shd w:val="clear" w:color="auto" w:fill="CFF0FC"/>
          </w:tcPr>
          <w:p>
            <w:pPr>
              <w:spacing w:after="0"/>
              <w:rPr>
                <w:sz w:val="18"/>
                <w:szCs w:val="18"/>
                <w:color w:val="auto"/>
              </w:rPr>
            </w:pPr>
          </w:p>
        </w:tc>
        <w:tc>
          <w:tcPr>
            <w:tcW w:w="27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PIK)</w:t>
            </w:r>
          </w:p>
        </w:tc>
        <w:tc>
          <w:tcPr>
            <w:tcW w:w="78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06"/>
        </w:trPr>
        <w:tc>
          <w:tcPr>
            <w:tcW w:w="2500" w:type="dxa"/>
            <w:vAlign w:val="bottom"/>
            <w:tcBorders>
              <w:bottom w:val="single" w:sz="8" w:color="CFF0FC"/>
            </w:tcBorders>
          </w:tcPr>
          <w:p>
            <w:pPr>
              <w:spacing w:after="0"/>
              <w:rPr>
                <w:sz w:val="17"/>
                <w:szCs w:val="17"/>
                <w:color w:val="auto"/>
              </w:rPr>
            </w:pPr>
          </w:p>
        </w:tc>
        <w:tc>
          <w:tcPr>
            <w:tcW w:w="2740" w:type="dxa"/>
            <w:vAlign w:val="bottom"/>
            <w:tcBorders>
              <w:bottom w:val="single" w:sz="8" w:color="CFF0FC"/>
            </w:tcBorders>
          </w:tcPr>
          <w:p>
            <w:pPr>
              <w:spacing w:after="0"/>
              <w:rPr>
                <w:sz w:val="17"/>
                <w:szCs w:val="17"/>
                <w:color w:val="auto"/>
              </w:rPr>
            </w:pPr>
          </w:p>
        </w:tc>
        <w:tc>
          <w:tcPr>
            <w:tcW w:w="1080" w:type="dxa"/>
            <w:vAlign w:val="bottom"/>
            <w:tcBorders>
              <w:bottom w:val="single" w:sz="8" w:color="CFF0FC"/>
            </w:tcBorders>
          </w:tcPr>
          <w:p>
            <w:pPr>
              <w:spacing w:after="0"/>
              <w:rPr>
                <w:sz w:val="17"/>
                <w:szCs w:val="17"/>
                <w:color w:val="auto"/>
              </w:rPr>
            </w:pPr>
          </w:p>
        </w:tc>
        <w:tc>
          <w:tcPr>
            <w:tcW w:w="940" w:type="dxa"/>
            <w:vAlign w:val="bottom"/>
            <w:tcBorders>
              <w:bottom w:val="single" w:sz="8" w:color="CFF0FC"/>
            </w:tcBorders>
          </w:tcPr>
          <w:p>
            <w:pPr>
              <w:spacing w:after="0"/>
              <w:rPr>
                <w:sz w:val="17"/>
                <w:szCs w:val="17"/>
                <w:color w:val="auto"/>
              </w:rPr>
            </w:pPr>
          </w:p>
        </w:tc>
        <w:tc>
          <w:tcPr>
            <w:tcW w:w="1060" w:type="dxa"/>
            <w:vAlign w:val="bottom"/>
            <w:tcBorders>
              <w:bottom w:val="single" w:sz="8" w:color="CFF0FC"/>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33,526</w:t>
            </w:r>
          </w:p>
        </w:tc>
        <w:tc>
          <w:tcPr>
            <w:tcW w:w="200" w:type="dxa"/>
            <w:vAlign w:val="bottom"/>
            <w:tcBorders>
              <w:bottom w:val="single" w:sz="8" w:color="CFF0FC"/>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33,682</w:t>
            </w:r>
          </w:p>
        </w:tc>
        <w:tc>
          <w:tcPr>
            <w:tcW w:w="200" w:type="dxa"/>
            <w:vAlign w:val="bottom"/>
            <w:tcBorders>
              <w:bottom w:val="single" w:sz="8" w:color="CFF0FC"/>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6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w w:val="84"/>
              </w:rPr>
              <w:t>%</w:t>
            </w:r>
          </w:p>
        </w:tc>
      </w:tr>
      <w:tr>
        <w:trPr>
          <w:trHeight w:val="213"/>
        </w:trPr>
        <w:tc>
          <w:tcPr>
            <w:tcW w:w="25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w w:val="95"/>
              </w:rPr>
              <w:t>Human resource support services</w:t>
            </w:r>
          </w:p>
        </w:tc>
        <w:tc>
          <w:tcPr>
            <w:tcW w:w="27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06"/>
        </w:trPr>
        <w:tc>
          <w:tcPr>
            <w:tcW w:w="2500" w:type="dxa"/>
            <w:vAlign w:val="bottom"/>
          </w:tcPr>
          <w:p>
            <w:pPr>
              <w:spacing w:after="0" w:line="207" w:lineRule="exact"/>
              <w:rPr>
                <w:sz w:val="20"/>
                <w:szCs w:val="20"/>
                <w:color w:val="auto"/>
              </w:rPr>
            </w:pPr>
            <w:r>
              <w:rPr>
                <w:rFonts w:ascii="Arial" w:cs="Arial" w:eastAsia="Arial" w:hAnsi="Arial"/>
                <w:sz w:val="14"/>
                <w:szCs w:val="14"/>
                <w:color w:val="auto"/>
              </w:rPr>
              <w:t xml:space="preserve">Absorb Software, Inc. </w:t>
            </w:r>
            <w:r>
              <w:rPr>
                <w:rFonts w:ascii="Arial" w:cs="Arial" w:eastAsia="Arial" w:hAnsi="Arial"/>
                <w:sz w:val="23"/>
                <w:szCs w:val="23"/>
                <w:color w:val="auto"/>
                <w:vertAlign w:val="superscript"/>
              </w:rPr>
              <w:t>(3)(4)(5)</w:t>
            </w:r>
          </w:p>
        </w:tc>
        <w:tc>
          <w:tcPr>
            <w:tcW w:w="2740" w:type="dxa"/>
            <w:vAlign w:val="bottom"/>
          </w:tcPr>
          <w:p>
            <w:pPr>
              <w:ind w:left="160"/>
              <w:spacing w:after="0"/>
              <w:rPr>
                <w:sz w:val="20"/>
                <w:szCs w:val="20"/>
                <w:color w:val="auto"/>
              </w:rPr>
            </w:pPr>
            <w:r>
              <w:rPr>
                <w:rFonts w:ascii="Arial" w:cs="Arial" w:eastAsia="Arial" w:hAnsi="Arial"/>
                <w:sz w:val="16"/>
                <w:szCs w:val="16"/>
                <w:color w:val="auto"/>
              </w:rPr>
              <w:t>First-lien loan ($34,575 par, due</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7/31/2019</w:t>
            </w:r>
          </w:p>
        </w:tc>
        <w:tc>
          <w:tcPr>
            <w:tcW w:w="940" w:type="dxa"/>
            <w:vAlign w:val="bottom"/>
          </w:tcPr>
          <w:p>
            <w:pPr>
              <w:jc w:val="right"/>
              <w:spacing w:after="0"/>
              <w:rPr>
                <w:sz w:val="20"/>
                <w:szCs w:val="20"/>
                <w:color w:val="auto"/>
              </w:rPr>
            </w:pPr>
            <w:r>
              <w:rPr>
                <w:rFonts w:ascii="Arial" w:cs="Arial" w:eastAsia="Arial" w:hAnsi="Arial"/>
                <w:sz w:val="16"/>
                <w:szCs w:val="16"/>
                <w:color w:val="auto"/>
              </w:rPr>
              <w:t>L + 6.50%</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7.50%</w:t>
            </w:r>
          </w:p>
        </w:tc>
        <w:tc>
          <w:tcPr>
            <w:tcW w:w="780" w:type="dxa"/>
            <w:vAlign w:val="bottom"/>
          </w:tcPr>
          <w:p>
            <w:pPr>
              <w:jc w:val="right"/>
              <w:spacing w:after="0"/>
              <w:rPr>
                <w:sz w:val="20"/>
                <w:szCs w:val="20"/>
                <w:color w:val="auto"/>
              </w:rPr>
            </w:pPr>
            <w:r>
              <w:rPr>
                <w:rFonts w:ascii="Arial" w:cs="Arial" w:eastAsia="Arial" w:hAnsi="Arial"/>
                <w:sz w:val="16"/>
                <w:szCs w:val="16"/>
                <w:color w:val="auto"/>
              </w:rPr>
              <w:t>33,970</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34,489</w:t>
            </w:r>
          </w:p>
        </w:tc>
        <w:tc>
          <w:tcPr>
            <w:tcW w:w="2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3.0%</w:t>
            </w:r>
          </w:p>
        </w:tc>
      </w:tr>
      <w:tr>
        <w:trPr>
          <w:trHeight w:val="206"/>
        </w:trPr>
        <w:tc>
          <w:tcPr>
            <w:tcW w:w="2500" w:type="dxa"/>
            <w:vAlign w:val="bottom"/>
          </w:tcPr>
          <w:p>
            <w:pPr>
              <w:spacing w:after="0"/>
              <w:rPr>
                <w:sz w:val="17"/>
                <w:szCs w:val="17"/>
                <w:color w:val="auto"/>
              </w:rPr>
            </w:pPr>
          </w:p>
        </w:tc>
        <w:tc>
          <w:tcPr>
            <w:tcW w:w="2740" w:type="dxa"/>
            <w:vAlign w:val="bottom"/>
          </w:tcPr>
          <w:p>
            <w:pPr>
              <w:ind w:left="160"/>
              <w:spacing w:after="0"/>
              <w:rPr>
                <w:sz w:val="20"/>
                <w:szCs w:val="20"/>
                <w:color w:val="auto"/>
              </w:rPr>
            </w:pPr>
            <w:r>
              <w:rPr>
                <w:rFonts w:ascii="Arial" w:cs="Arial" w:eastAsia="Arial" w:hAnsi="Arial"/>
                <w:sz w:val="16"/>
                <w:szCs w:val="16"/>
                <w:color w:val="auto"/>
              </w:rPr>
              <w:t>5/2024)</w:t>
            </w: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310"/>
        </w:trPr>
        <w:tc>
          <w:tcPr>
            <w:tcW w:w="2340" w:type="dxa"/>
            <w:vAlign w:val="bottom"/>
            <w:shd w:val="clear" w:color="auto" w:fill="CFF0FC"/>
          </w:tcPr>
          <w:p>
            <w:pPr>
              <w:spacing w:after="0"/>
              <w:rPr>
                <w:sz w:val="20"/>
                <w:szCs w:val="20"/>
                <w:color w:val="auto"/>
              </w:rPr>
            </w:pPr>
            <w:r>
              <w:rPr>
                <w:rFonts w:ascii="Arial" w:cs="Arial" w:eastAsia="Arial" w:hAnsi="Arial"/>
                <w:sz w:val="16"/>
                <w:szCs w:val="16"/>
                <w:color w:val="auto"/>
              </w:rPr>
              <w:t xml:space="preserve">ClearCompany, LLC </w:t>
            </w:r>
            <w:r>
              <w:rPr>
                <w:rFonts w:ascii="Arial" w:cs="Arial" w:eastAsia="Arial" w:hAnsi="Arial"/>
                <w:sz w:val="27"/>
                <w:szCs w:val="27"/>
                <w:color w:val="auto"/>
                <w:vertAlign w:val="superscript"/>
              </w:rPr>
              <w:t>(3)</w:t>
            </w:r>
          </w:p>
        </w:tc>
        <w:tc>
          <w:tcPr>
            <w:tcW w:w="2820" w:type="dxa"/>
            <w:vAlign w:val="bottom"/>
            <w:shd w:val="clear" w:color="auto" w:fill="CFF0FC"/>
          </w:tcPr>
          <w:p>
            <w:pPr>
              <w:ind w:left="280"/>
              <w:spacing w:after="0"/>
              <w:rPr>
                <w:sz w:val="20"/>
                <w:szCs w:val="20"/>
                <w:color w:val="auto"/>
              </w:rPr>
            </w:pPr>
            <w:r>
              <w:rPr>
                <w:rFonts w:ascii="Arial" w:cs="Arial" w:eastAsia="Arial" w:hAnsi="Arial"/>
                <w:sz w:val="16"/>
                <w:szCs w:val="16"/>
                <w:color w:val="auto"/>
              </w:rPr>
              <w:t>First-lien loan ($19,929 par, due</w:t>
            </w: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7/23/2018</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+ 8.75%</w:t>
            </w:r>
          </w:p>
        </w:tc>
        <w:tc>
          <w:tcPr>
            <w:tcW w:w="94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10.25%</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19,770</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19,880</w:t>
            </w:r>
          </w:p>
        </w:tc>
        <w:tc>
          <w:tcPr>
            <w:tcW w:w="200" w:type="dxa"/>
            <w:vAlign w:val="bottom"/>
            <w:shd w:val="clear" w:color="auto" w:fill="CFF0FC"/>
          </w:tcPr>
          <w:p>
            <w:pPr>
              <w:spacing w:after="0"/>
              <w:rPr>
                <w:sz w:val="24"/>
                <w:szCs w:val="24"/>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1.8%</w:t>
            </w:r>
          </w:p>
        </w:tc>
      </w:tr>
      <w:tr>
        <w:trPr>
          <w:trHeight w:val="203"/>
        </w:trPr>
        <w:tc>
          <w:tcPr>
            <w:tcW w:w="2340" w:type="dxa"/>
            <w:vAlign w:val="bottom"/>
            <w:shd w:val="clear" w:color="auto" w:fill="CFF0FC"/>
          </w:tcPr>
          <w:p>
            <w:pPr>
              <w:spacing w:after="0"/>
              <w:rPr>
                <w:sz w:val="17"/>
                <w:szCs w:val="17"/>
                <w:color w:val="auto"/>
              </w:rPr>
            </w:pPr>
          </w:p>
        </w:tc>
        <w:tc>
          <w:tcPr>
            <w:tcW w:w="2820" w:type="dxa"/>
            <w:vAlign w:val="bottom"/>
            <w:shd w:val="clear" w:color="auto" w:fill="CFF0FC"/>
          </w:tcPr>
          <w:p>
            <w:pPr>
              <w:ind w:left="280"/>
              <w:spacing w:after="0"/>
              <w:rPr>
                <w:sz w:val="20"/>
                <w:szCs w:val="20"/>
                <w:color w:val="auto"/>
              </w:rPr>
            </w:pPr>
            <w:r>
              <w:rPr>
                <w:rFonts w:ascii="Arial" w:cs="Arial" w:eastAsia="Arial" w:hAnsi="Arial"/>
                <w:sz w:val="16"/>
                <w:szCs w:val="16"/>
                <w:color w:val="auto"/>
              </w:rPr>
              <w:t>7/2023)</w:t>
            </w:r>
          </w:p>
        </w:tc>
        <w:tc>
          <w:tcPr>
            <w:tcW w:w="10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(incl.</w:t>
            </w: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03"/>
        </w:trPr>
        <w:tc>
          <w:tcPr>
            <w:tcW w:w="2340" w:type="dxa"/>
            <w:vAlign w:val="bottom"/>
            <w:shd w:val="clear" w:color="auto" w:fill="CFF0FC"/>
          </w:tcPr>
          <w:p>
            <w:pPr>
              <w:spacing w:after="0"/>
              <w:rPr>
                <w:sz w:val="17"/>
                <w:szCs w:val="17"/>
                <w:color w:val="auto"/>
              </w:rPr>
            </w:pPr>
          </w:p>
        </w:tc>
        <w:tc>
          <w:tcPr>
            <w:tcW w:w="28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2.50%</w:t>
            </w: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12"/>
        </w:trPr>
        <w:tc>
          <w:tcPr>
            <w:tcW w:w="2340" w:type="dxa"/>
            <w:vAlign w:val="bottom"/>
            <w:shd w:val="clear" w:color="auto" w:fill="CFF0FC"/>
          </w:tcPr>
          <w:p>
            <w:pPr>
              <w:spacing w:after="0"/>
              <w:rPr>
                <w:sz w:val="18"/>
                <w:szCs w:val="18"/>
                <w:color w:val="auto"/>
              </w:rPr>
            </w:pPr>
          </w:p>
        </w:tc>
        <w:tc>
          <w:tcPr>
            <w:tcW w:w="28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PIK)</w:t>
            </w: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340" w:type="dxa"/>
            <w:vAlign w:val="bottom"/>
          </w:tcPr>
          <w:p>
            <w:pPr>
              <w:spacing w:after="0" w:line="207" w:lineRule="exact"/>
              <w:rPr>
                <w:sz w:val="20"/>
                <w:szCs w:val="20"/>
                <w:color w:val="auto"/>
              </w:rPr>
            </w:pPr>
            <w:r>
              <w:rPr>
                <w:rFonts w:ascii="Arial" w:cs="Arial" w:eastAsia="Arial" w:hAnsi="Arial"/>
                <w:sz w:val="14"/>
                <w:szCs w:val="14"/>
                <w:color w:val="auto"/>
              </w:rPr>
              <w:t xml:space="preserve">DaySmart Holdings, LLC </w:t>
            </w:r>
            <w:r>
              <w:rPr>
                <w:rFonts w:ascii="Arial" w:cs="Arial" w:eastAsia="Arial" w:hAnsi="Arial"/>
                <w:sz w:val="23"/>
                <w:szCs w:val="23"/>
                <w:color w:val="auto"/>
                <w:vertAlign w:val="superscript"/>
              </w:rPr>
              <w:t>(3)</w:t>
            </w:r>
          </w:p>
        </w:tc>
        <w:tc>
          <w:tcPr>
            <w:tcW w:w="2820" w:type="dxa"/>
            <w:vAlign w:val="bottom"/>
          </w:tcPr>
          <w:p>
            <w:pPr>
              <w:ind w:left="280"/>
              <w:spacing w:after="0"/>
              <w:rPr>
                <w:sz w:val="20"/>
                <w:szCs w:val="20"/>
                <w:color w:val="auto"/>
              </w:rPr>
            </w:pPr>
            <w:r>
              <w:rPr>
                <w:rFonts w:ascii="Arial" w:cs="Arial" w:eastAsia="Arial" w:hAnsi="Arial"/>
                <w:sz w:val="16"/>
                <w:szCs w:val="16"/>
                <w:color w:val="auto"/>
              </w:rPr>
              <w:t>First-lien loan ($30,858 par, due</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10/1/2019</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+ 7.25%</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8.75%</w:t>
            </w:r>
          </w:p>
        </w:tc>
        <w:tc>
          <w:tcPr>
            <w:tcW w:w="800" w:type="dxa"/>
            <w:vAlign w:val="bottom"/>
          </w:tcPr>
          <w:p>
            <w:pPr>
              <w:jc w:val="right"/>
              <w:spacing w:after="0"/>
              <w:rPr>
                <w:sz w:val="20"/>
                <w:szCs w:val="20"/>
                <w:color w:val="auto"/>
              </w:rPr>
            </w:pPr>
            <w:r>
              <w:rPr>
                <w:rFonts w:ascii="Arial" w:cs="Arial" w:eastAsia="Arial" w:hAnsi="Arial"/>
                <w:sz w:val="16"/>
                <w:szCs w:val="16"/>
                <w:color w:val="auto"/>
              </w:rPr>
              <w:t>30,176</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30,142</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2.7%</w:t>
            </w:r>
          </w:p>
        </w:tc>
      </w:tr>
      <w:tr>
        <w:trPr>
          <w:trHeight w:val="209"/>
        </w:trPr>
        <w:tc>
          <w:tcPr>
            <w:tcW w:w="2340" w:type="dxa"/>
            <w:vAlign w:val="bottom"/>
          </w:tcPr>
          <w:p>
            <w:pPr>
              <w:spacing w:after="0"/>
              <w:rPr>
                <w:sz w:val="18"/>
                <w:szCs w:val="18"/>
                <w:color w:val="auto"/>
              </w:rPr>
            </w:pPr>
          </w:p>
        </w:tc>
        <w:tc>
          <w:tcPr>
            <w:tcW w:w="2820" w:type="dxa"/>
            <w:vAlign w:val="bottom"/>
          </w:tcPr>
          <w:p>
            <w:pPr>
              <w:ind w:left="280"/>
              <w:spacing w:after="0"/>
              <w:rPr>
                <w:sz w:val="20"/>
                <w:szCs w:val="20"/>
                <w:color w:val="auto"/>
              </w:rPr>
            </w:pPr>
            <w:r>
              <w:rPr>
                <w:rFonts w:ascii="Arial" w:cs="Arial" w:eastAsia="Arial" w:hAnsi="Arial"/>
                <w:sz w:val="16"/>
                <w:szCs w:val="16"/>
                <w:color w:val="auto"/>
              </w:rPr>
              <w:t>10/2024)</w:t>
            </w: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340" w:type="dxa"/>
            <w:vAlign w:val="bottom"/>
            <w:shd w:val="clear" w:color="auto" w:fill="CFF0FC"/>
          </w:tcPr>
          <w:p>
            <w:pPr>
              <w:spacing w:after="0"/>
              <w:rPr>
                <w:sz w:val="18"/>
                <w:szCs w:val="18"/>
                <w:color w:val="auto"/>
              </w:rPr>
            </w:pPr>
          </w:p>
        </w:tc>
        <w:tc>
          <w:tcPr>
            <w:tcW w:w="2820" w:type="dxa"/>
            <w:vAlign w:val="bottom"/>
            <w:shd w:val="clear" w:color="auto" w:fill="CFF0FC"/>
          </w:tcPr>
          <w:p>
            <w:pPr>
              <w:ind w:left="280"/>
              <w:spacing w:after="0"/>
              <w:rPr>
                <w:sz w:val="20"/>
                <w:szCs w:val="20"/>
                <w:color w:val="auto"/>
              </w:rPr>
            </w:pPr>
            <w:r>
              <w:rPr>
                <w:rFonts w:ascii="Arial" w:cs="Arial" w:eastAsia="Arial" w:hAnsi="Arial"/>
                <w:sz w:val="16"/>
                <w:szCs w:val="16"/>
                <w:color w:val="auto"/>
                <w:w w:val="98"/>
              </w:rPr>
              <w:t>First-lien revolving loan ($3,000 par,</w:t>
            </w: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10/1/2019</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+ 7.25%</w:t>
            </w:r>
          </w:p>
        </w:tc>
        <w:tc>
          <w:tcPr>
            <w:tcW w:w="9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8.75%</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2,930</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2,925</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0.3%</w:t>
            </w:r>
          </w:p>
        </w:tc>
      </w:tr>
      <w:tr>
        <w:trPr>
          <w:trHeight w:val="212"/>
        </w:trPr>
        <w:tc>
          <w:tcPr>
            <w:tcW w:w="2340" w:type="dxa"/>
            <w:vAlign w:val="bottom"/>
            <w:shd w:val="clear" w:color="auto" w:fill="CFF0FC"/>
          </w:tcPr>
          <w:p>
            <w:pPr>
              <w:spacing w:after="0"/>
              <w:rPr>
                <w:sz w:val="18"/>
                <w:szCs w:val="18"/>
                <w:color w:val="auto"/>
              </w:rPr>
            </w:pPr>
          </w:p>
        </w:tc>
        <w:tc>
          <w:tcPr>
            <w:tcW w:w="2820" w:type="dxa"/>
            <w:vAlign w:val="bottom"/>
            <w:shd w:val="clear" w:color="auto" w:fill="CFF0FC"/>
          </w:tcPr>
          <w:p>
            <w:pPr>
              <w:ind w:left="280"/>
              <w:spacing w:after="0"/>
              <w:rPr>
                <w:sz w:val="20"/>
                <w:szCs w:val="20"/>
                <w:color w:val="auto"/>
              </w:rPr>
            </w:pPr>
            <w:r>
              <w:rPr>
                <w:rFonts w:ascii="Arial" w:cs="Arial" w:eastAsia="Arial" w:hAnsi="Arial"/>
                <w:sz w:val="16"/>
                <w:szCs w:val="16"/>
                <w:color w:val="auto"/>
              </w:rPr>
              <w:t>due 10/2024)</w:t>
            </w:r>
          </w:p>
        </w:tc>
        <w:tc>
          <w:tcPr>
            <w:tcW w:w="10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340" w:type="dxa"/>
            <w:vAlign w:val="bottom"/>
          </w:tcPr>
          <w:p>
            <w:pPr>
              <w:spacing w:after="0" w:line="207" w:lineRule="exact"/>
              <w:rPr>
                <w:sz w:val="20"/>
                <w:szCs w:val="20"/>
                <w:color w:val="auto"/>
              </w:rPr>
            </w:pPr>
            <w:r>
              <w:rPr>
                <w:rFonts w:ascii="Arial" w:cs="Arial" w:eastAsia="Arial" w:hAnsi="Arial"/>
                <w:sz w:val="14"/>
                <w:szCs w:val="14"/>
                <w:color w:val="auto"/>
              </w:rPr>
              <w:t xml:space="preserve">PageUp People, Ltd. </w:t>
            </w:r>
            <w:r>
              <w:rPr>
                <w:rFonts w:ascii="Arial" w:cs="Arial" w:eastAsia="Arial" w:hAnsi="Arial"/>
                <w:sz w:val="23"/>
                <w:szCs w:val="23"/>
                <w:color w:val="auto"/>
                <w:vertAlign w:val="superscript"/>
              </w:rPr>
              <w:t>(3)(4)</w:t>
            </w:r>
          </w:p>
        </w:tc>
        <w:tc>
          <w:tcPr>
            <w:tcW w:w="2820" w:type="dxa"/>
            <w:vAlign w:val="bottom"/>
          </w:tcPr>
          <w:p>
            <w:pPr>
              <w:ind w:left="280"/>
              <w:spacing w:after="0"/>
              <w:rPr>
                <w:sz w:val="20"/>
                <w:szCs w:val="20"/>
                <w:color w:val="auto"/>
              </w:rPr>
            </w:pPr>
            <w:r>
              <w:rPr>
                <w:rFonts w:ascii="Arial" w:cs="Arial" w:eastAsia="Arial" w:hAnsi="Arial"/>
                <w:sz w:val="16"/>
                <w:szCs w:val="16"/>
                <w:color w:val="auto"/>
                <w:w w:val="98"/>
              </w:rPr>
              <w:t>First-lien loan (AUD 51,622 par, due</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1/11/2018</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B + 7.25%</w:t>
            </w: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8.50%</w:t>
            </w:r>
          </w:p>
        </w:tc>
        <w:tc>
          <w:tcPr>
            <w:tcW w:w="800" w:type="dxa"/>
            <w:vAlign w:val="bottom"/>
          </w:tcPr>
          <w:p>
            <w:pPr>
              <w:jc w:val="right"/>
              <w:spacing w:after="0"/>
              <w:rPr>
                <w:sz w:val="20"/>
                <w:szCs w:val="20"/>
                <w:color w:val="auto"/>
              </w:rPr>
            </w:pPr>
            <w:r>
              <w:rPr>
                <w:rFonts w:ascii="Arial" w:cs="Arial" w:eastAsia="Arial" w:hAnsi="Arial"/>
                <w:sz w:val="16"/>
                <w:szCs w:val="16"/>
                <w:color w:val="auto"/>
              </w:rPr>
              <w:t>39,610</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37,101</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3.1%</w:t>
            </w:r>
          </w:p>
        </w:tc>
      </w:tr>
      <w:tr>
        <w:trPr>
          <w:trHeight w:val="203"/>
        </w:trPr>
        <w:tc>
          <w:tcPr>
            <w:tcW w:w="2340" w:type="dxa"/>
            <w:vAlign w:val="bottom"/>
          </w:tcPr>
          <w:p>
            <w:pPr>
              <w:spacing w:after="0"/>
              <w:rPr>
                <w:sz w:val="17"/>
                <w:szCs w:val="17"/>
                <w:color w:val="auto"/>
              </w:rPr>
            </w:pPr>
          </w:p>
        </w:tc>
        <w:tc>
          <w:tcPr>
            <w:tcW w:w="2820" w:type="dxa"/>
            <w:vAlign w:val="bottom"/>
          </w:tcPr>
          <w:p>
            <w:pPr>
              <w:ind w:left="280"/>
              <w:spacing w:after="0"/>
              <w:rPr>
                <w:sz w:val="20"/>
                <w:szCs w:val="20"/>
                <w:color w:val="auto"/>
              </w:rPr>
            </w:pPr>
            <w:r>
              <w:rPr>
                <w:rFonts w:ascii="Arial" w:cs="Arial" w:eastAsia="Arial" w:hAnsi="Arial"/>
                <w:sz w:val="16"/>
                <w:szCs w:val="16"/>
                <w:color w:val="auto"/>
              </w:rPr>
              <w:t>12/2022)</w:t>
            </w: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(incl.</w:t>
            </w:r>
          </w:p>
        </w:tc>
        <w:tc>
          <w:tcPr>
            <w:tcW w:w="800" w:type="dxa"/>
            <w:vAlign w:val="bottom"/>
          </w:tcPr>
          <w:p>
            <w:pPr>
              <w:spacing w:after="0"/>
              <w:rPr>
                <w:sz w:val="17"/>
                <w:szCs w:val="17"/>
                <w:color w:val="auto"/>
              </w:rPr>
            </w:pPr>
          </w:p>
        </w:tc>
        <w:tc>
          <w:tcPr>
            <w:tcW w:w="1340" w:type="dxa"/>
            <w:vAlign w:val="bottom"/>
            <w:gridSpan w:val="3"/>
          </w:tcPr>
          <w:p>
            <w:pPr>
              <w:ind w:left="200"/>
              <w:spacing w:after="0"/>
              <w:rPr>
                <w:sz w:val="20"/>
                <w:szCs w:val="20"/>
                <w:color w:val="auto"/>
              </w:rPr>
            </w:pPr>
            <w:r>
              <w:rPr>
                <w:rFonts w:ascii="Arial" w:cs="Arial" w:eastAsia="Arial" w:hAnsi="Arial"/>
                <w:sz w:val="16"/>
                <w:szCs w:val="16"/>
                <w:color w:val="auto"/>
              </w:rPr>
              <w:t>(AUD 51,763)</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234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1.25%</w:t>
            </w: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23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PIK)</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34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PayScale Holdings, Inc. </w:t>
            </w:r>
            <w:r>
              <w:rPr>
                <w:rFonts w:ascii="Arial" w:cs="Arial" w:eastAsia="Arial" w:hAnsi="Arial"/>
                <w:sz w:val="24"/>
                <w:szCs w:val="24"/>
                <w:color w:val="auto"/>
                <w:vertAlign w:val="superscript"/>
              </w:rPr>
              <w:t>(3)(5)</w:t>
            </w:r>
          </w:p>
        </w:tc>
        <w:tc>
          <w:tcPr>
            <w:tcW w:w="2820" w:type="dxa"/>
            <w:vAlign w:val="bottom"/>
            <w:shd w:val="clear" w:color="auto" w:fill="CFF0FC"/>
          </w:tcPr>
          <w:p>
            <w:pPr>
              <w:ind w:left="280"/>
              <w:spacing w:after="0"/>
              <w:rPr>
                <w:sz w:val="20"/>
                <w:szCs w:val="20"/>
                <w:color w:val="auto"/>
              </w:rPr>
            </w:pPr>
            <w:r>
              <w:rPr>
                <w:rFonts w:ascii="Arial" w:cs="Arial" w:eastAsia="Arial" w:hAnsi="Arial"/>
                <w:sz w:val="16"/>
                <w:szCs w:val="16"/>
                <w:color w:val="auto"/>
              </w:rPr>
              <w:t>First-lien loan ($39,750 par, due</w:t>
            </w: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5/3/2019</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+ 7.00%</w:t>
            </w:r>
          </w:p>
        </w:tc>
        <w:tc>
          <w:tcPr>
            <w:tcW w:w="9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8.00%</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38,914</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39,750</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3.5%</w:t>
            </w:r>
          </w:p>
        </w:tc>
      </w:tr>
      <w:tr>
        <w:trPr>
          <w:trHeight w:val="212"/>
        </w:trPr>
        <w:tc>
          <w:tcPr>
            <w:tcW w:w="2340" w:type="dxa"/>
            <w:vAlign w:val="bottom"/>
            <w:shd w:val="clear" w:color="auto" w:fill="CFF0FC"/>
          </w:tcPr>
          <w:p>
            <w:pPr>
              <w:spacing w:after="0"/>
              <w:rPr>
                <w:sz w:val="18"/>
                <w:szCs w:val="18"/>
                <w:color w:val="auto"/>
              </w:rPr>
            </w:pPr>
          </w:p>
        </w:tc>
        <w:tc>
          <w:tcPr>
            <w:tcW w:w="2820" w:type="dxa"/>
            <w:vAlign w:val="bottom"/>
            <w:shd w:val="clear" w:color="auto" w:fill="CFF0FC"/>
          </w:tcPr>
          <w:p>
            <w:pPr>
              <w:ind w:left="280"/>
              <w:spacing w:after="0"/>
              <w:rPr>
                <w:sz w:val="20"/>
                <w:szCs w:val="20"/>
                <w:color w:val="auto"/>
              </w:rPr>
            </w:pPr>
            <w:r>
              <w:rPr>
                <w:rFonts w:ascii="Arial" w:cs="Arial" w:eastAsia="Arial" w:hAnsi="Arial"/>
                <w:sz w:val="16"/>
                <w:szCs w:val="16"/>
                <w:color w:val="auto"/>
              </w:rPr>
              <w:t>5/2024)</w:t>
            </w:r>
          </w:p>
        </w:tc>
        <w:tc>
          <w:tcPr>
            <w:tcW w:w="10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340" w:type="dxa"/>
            <w:vAlign w:val="bottom"/>
          </w:tcPr>
          <w:p>
            <w:pPr>
              <w:spacing w:after="0" w:line="207" w:lineRule="exact"/>
              <w:rPr>
                <w:sz w:val="20"/>
                <w:szCs w:val="20"/>
                <w:color w:val="auto"/>
              </w:rPr>
            </w:pPr>
            <w:r>
              <w:rPr>
                <w:rFonts w:ascii="Arial" w:cs="Arial" w:eastAsia="Arial" w:hAnsi="Arial"/>
                <w:sz w:val="14"/>
                <w:szCs w:val="14"/>
                <w:color w:val="auto"/>
              </w:rPr>
              <w:t xml:space="preserve">Shaker International, Inc. </w:t>
            </w:r>
            <w:r>
              <w:rPr>
                <w:rFonts w:ascii="Arial" w:cs="Arial" w:eastAsia="Arial" w:hAnsi="Arial"/>
                <w:sz w:val="23"/>
                <w:szCs w:val="23"/>
                <w:color w:val="auto"/>
                <w:vertAlign w:val="superscript"/>
              </w:rPr>
              <w:t>(3)(5)</w:t>
            </w:r>
          </w:p>
        </w:tc>
        <w:tc>
          <w:tcPr>
            <w:tcW w:w="2820" w:type="dxa"/>
            <w:vAlign w:val="bottom"/>
          </w:tcPr>
          <w:p>
            <w:pPr>
              <w:ind w:left="280"/>
              <w:spacing w:after="0"/>
              <w:rPr>
                <w:sz w:val="20"/>
                <w:szCs w:val="20"/>
                <w:color w:val="auto"/>
              </w:rPr>
            </w:pPr>
            <w:r>
              <w:rPr>
                <w:rFonts w:ascii="Arial" w:cs="Arial" w:eastAsia="Arial" w:hAnsi="Arial"/>
                <w:sz w:val="16"/>
                <w:szCs w:val="16"/>
                <w:color w:val="auto"/>
              </w:rPr>
              <w:t>First-lien loan ($22,219 par, due</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5/15/2019</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+ 7.00%</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8.50%</w:t>
            </w:r>
          </w:p>
        </w:tc>
        <w:tc>
          <w:tcPr>
            <w:tcW w:w="800" w:type="dxa"/>
            <w:vAlign w:val="bottom"/>
          </w:tcPr>
          <w:p>
            <w:pPr>
              <w:jc w:val="right"/>
              <w:spacing w:after="0"/>
              <w:rPr>
                <w:sz w:val="20"/>
                <w:szCs w:val="20"/>
                <w:color w:val="auto"/>
              </w:rPr>
            </w:pPr>
            <w:r>
              <w:rPr>
                <w:rFonts w:ascii="Arial" w:cs="Arial" w:eastAsia="Arial" w:hAnsi="Arial"/>
                <w:sz w:val="16"/>
                <w:szCs w:val="16"/>
                <w:color w:val="auto"/>
              </w:rPr>
              <w:t>21,788</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22,219</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1.9%</w:t>
            </w:r>
          </w:p>
        </w:tc>
      </w:tr>
      <w:tr>
        <w:trPr>
          <w:trHeight w:val="209"/>
        </w:trPr>
        <w:tc>
          <w:tcPr>
            <w:tcW w:w="2340" w:type="dxa"/>
            <w:vAlign w:val="bottom"/>
            <w:tcBorders>
              <w:bottom w:val="single" w:sz="8" w:color="CFF0FC"/>
            </w:tcBorders>
          </w:tcPr>
          <w:p>
            <w:pPr>
              <w:spacing w:after="0"/>
              <w:rPr>
                <w:sz w:val="18"/>
                <w:szCs w:val="18"/>
                <w:color w:val="auto"/>
              </w:rPr>
            </w:pPr>
          </w:p>
        </w:tc>
        <w:tc>
          <w:tcPr>
            <w:tcW w:w="2820" w:type="dxa"/>
            <w:vAlign w:val="bottom"/>
            <w:tcBorders>
              <w:bottom w:val="single" w:sz="8" w:color="CFF0FC"/>
            </w:tcBorders>
          </w:tcPr>
          <w:p>
            <w:pPr>
              <w:ind w:left="280"/>
              <w:spacing w:after="0"/>
              <w:rPr>
                <w:sz w:val="20"/>
                <w:szCs w:val="20"/>
                <w:color w:val="auto"/>
              </w:rPr>
            </w:pPr>
            <w:r>
              <w:rPr>
                <w:rFonts w:ascii="Arial" w:cs="Arial" w:eastAsia="Arial" w:hAnsi="Arial"/>
                <w:sz w:val="16"/>
                <w:szCs w:val="16"/>
                <w:color w:val="auto"/>
              </w:rPr>
              <w:t>5/2024)</w:t>
            </w:r>
          </w:p>
        </w:tc>
        <w:tc>
          <w:tcPr>
            <w:tcW w:w="1040" w:type="dxa"/>
            <w:vAlign w:val="bottom"/>
            <w:tcBorders>
              <w:bottom w:val="single" w:sz="8" w:color="CFF0FC"/>
            </w:tcBorders>
          </w:tcPr>
          <w:p>
            <w:pPr>
              <w:spacing w:after="0"/>
              <w:rPr>
                <w:sz w:val="18"/>
                <w:szCs w:val="18"/>
                <w:color w:val="auto"/>
              </w:rPr>
            </w:pPr>
          </w:p>
        </w:tc>
        <w:tc>
          <w:tcPr>
            <w:tcW w:w="1060" w:type="dxa"/>
            <w:vAlign w:val="bottom"/>
            <w:tcBorders>
              <w:bottom w:val="single" w:sz="8" w:color="CFF0FC"/>
            </w:tcBorders>
          </w:tcPr>
          <w:p>
            <w:pPr>
              <w:spacing w:after="0"/>
              <w:rPr>
                <w:sz w:val="18"/>
                <w:szCs w:val="18"/>
                <w:color w:val="auto"/>
              </w:rPr>
            </w:pPr>
          </w:p>
        </w:tc>
        <w:tc>
          <w:tcPr>
            <w:tcW w:w="940" w:type="dxa"/>
            <w:vAlign w:val="bottom"/>
            <w:tcBorders>
              <w:bottom w:val="single" w:sz="8" w:color="CFF0FC"/>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r>
      <w:tr>
        <w:trPr>
          <w:trHeight w:val="213"/>
        </w:trPr>
        <w:tc>
          <w:tcPr>
            <w:tcW w:w="2340" w:type="dxa"/>
            <w:vAlign w:val="bottom"/>
            <w:shd w:val="clear" w:color="auto" w:fill="CFF0FC"/>
          </w:tcPr>
          <w:p>
            <w:pPr>
              <w:spacing w:after="0"/>
              <w:rPr>
                <w:sz w:val="18"/>
                <w:szCs w:val="18"/>
                <w:color w:val="auto"/>
              </w:rPr>
            </w:pPr>
          </w:p>
        </w:tc>
        <w:tc>
          <w:tcPr>
            <w:tcW w:w="28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187,158</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186,506</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16.3%</w:t>
            </w:r>
          </w:p>
        </w:tc>
      </w:tr>
      <w:tr>
        <w:trPr>
          <w:trHeight w:val="207"/>
        </w:trPr>
        <w:tc>
          <w:tcPr>
            <w:tcW w:w="2340" w:type="dxa"/>
            <w:vAlign w:val="bottom"/>
          </w:tcPr>
          <w:p>
            <w:pPr>
              <w:spacing w:after="0"/>
              <w:rPr>
                <w:sz w:val="20"/>
                <w:szCs w:val="20"/>
                <w:color w:val="auto"/>
              </w:rPr>
            </w:pPr>
            <w:r>
              <w:rPr>
                <w:rFonts w:ascii="Arial" w:cs="Arial" w:eastAsia="Arial" w:hAnsi="Arial"/>
                <w:sz w:val="16"/>
                <w:szCs w:val="16"/>
                <w:b w:val="1"/>
                <w:bCs w:val="1"/>
                <w:color w:val="auto"/>
              </w:rPr>
              <w:t>Insurance</w:t>
            </w:r>
          </w:p>
        </w:tc>
        <w:tc>
          <w:tcPr>
            <w:tcW w:w="2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234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Riskonnect, Inc. </w:t>
            </w:r>
            <w:r>
              <w:rPr>
                <w:rFonts w:ascii="Arial" w:cs="Arial" w:eastAsia="Arial" w:hAnsi="Arial"/>
                <w:sz w:val="24"/>
                <w:szCs w:val="24"/>
                <w:color w:val="auto"/>
                <w:vertAlign w:val="superscript"/>
              </w:rPr>
              <w:t>(3)(5)</w:t>
            </w:r>
          </w:p>
        </w:tc>
        <w:tc>
          <w:tcPr>
            <w:tcW w:w="2820" w:type="dxa"/>
            <w:vAlign w:val="bottom"/>
            <w:shd w:val="clear" w:color="auto" w:fill="CFF0FC"/>
          </w:tcPr>
          <w:p>
            <w:pPr>
              <w:ind w:left="280"/>
              <w:spacing w:after="0"/>
              <w:rPr>
                <w:sz w:val="20"/>
                <w:szCs w:val="20"/>
                <w:color w:val="auto"/>
              </w:rPr>
            </w:pPr>
            <w:r>
              <w:rPr>
                <w:rFonts w:ascii="Arial" w:cs="Arial" w:eastAsia="Arial" w:hAnsi="Arial"/>
                <w:sz w:val="16"/>
                <w:szCs w:val="16"/>
                <w:color w:val="auto"/>
              </w:rPr>
              <w:t>First-lien loan ($50,961 par, due</w:t>
            </w: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6/30/2017</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+ 7.00%</w:t>
            </w:r>
          </w:p>
        </w:tc>
        <w:tc>
          <w:tcPr>
            <w:tcW w:w="9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8.25%</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50,541</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51,598</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4.5%</w:t>
            </w:r>
          </w:p>
        </w:tc>
      </w:tr>
      <w:tr>
        <w:trPr>
          <w:trHeight w:val="212"/>
        </w:trPr>
        <w:tc>
          <w:tcPr>
            <w:tcW w:w="2340" w:type="dxa"/>
            <w:vAlign w:val="bottom"/>
            <w:shd w:val="clear" w:color="auto" w:fill="CFF0FC"/>
          </w:tcPr>
          <w:p>
            <w:pPr>
              <w:spacing w:after="0"/>
              <w:rPr>
                <w:sz w:val="18"/>
                <w:szCs w:val="18"/>
                <w:color w:val="auto"/>
              </w:rPr>
            </w:pPr>
          </w:p>
        </w:tc>
        <w:tc>
          <w:tcPr>
            <w:tcW w:w="2820" w:type="dxa"/>
            <w:vAlign w:val="bottom"/>
            <w:shd w:val="clear" w:color="auto" w:fill="CFF0FC"/>
          </w:tcPr>
          <w:p>
            <w:pPr>
              <w:ind w:left="280"/>
              <w:spacing w:after="0"/>
              <w:rPr>
                <w:sz w:val="20"/>
                <w:szCs w:val="20"/>
                <w:color w:val="auto"/>
              </w:rPr>
            </w:pPr>
            <w:r>
              <w:rPr>
                <w:rFonts w:ascii="Arial" w:cs="Arial" w:eastAsia="Arial" w:hAnsi="Arial"/>
                <w:sz w:val="16"/>
                <w:szCs w:val="16"/>
                <w:color w:val="auto"/>
              </w:rPr>
              <w:t>10/2023)</w:t>
            </w:r>
          </w:p>
        </w:tc>
        <w:tc>
          <w:tcPr>
            <w:tcW w:w="10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3"/>
        </w:trPr>
        <w:tc>
          <w:tcPr>
            <w:tcW w:w="2340" w:type="dxa"/>
            <w:vAlign w:val="bottom"/>
          </w:tcPr>
          <w:p>
            <w:pPr>
              <w:spacing w:after="0"/>
              <w:rPr>
                <w:sz w:val="20"/>
                <w:szCs w:val="20"/>
                <w:color w:val="auto"/>
              </w:rPr>
            </w:pPr>
            <w:r>
              <w:rPr>
                <w:rFonts w:ascii="Arial" w:cs="Arial" w:eastAsia="Arial" w:hAnsi="Arial"/>
                <w:sz w:val="16"/>
                <w:szCs w:val="16"/>
                <w:b w:val="1"/>
                <w:bCs w:val="1"/>
                <w:color w:val="auto"/>
              </w:rPr>
              <w:t>Internet services</w:t>
            </w:r>
          </w:p>
        </w:tc>
        <w:tc>
          <w:tcPr>
            <w:tcW w:w="2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34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Gainsight, Inc. </w:t>
            </w:r>
            <w:r>
              <w:rPr>
                <w:rFonts w:ascii="Arial" w:cs="Arial" w:eastAsia="Arial" w:hAnsi="Arial"/>
                <w:sz w:val="24"/>
                <w:szCs w:val="24"/>
                <w:color w:val="auto"/>
                <w:vertAlign w:val="superscript"/>
              </w:rPr>
              <w:t>(9)</w:t>
            </w:r>
          </w:p>
        </w:tc>
        <w:tc>
          <w:tcPr>
            <w:tcW w:w="2820" w:type="dxa"/>
            <w:vAlign w:val="bottom"/>
            <w:shd w:val="clear" w:color="auto" w:fill="CFF0FC"/>
          </w:tcPr>
          <w:p>
            <w:pPr>
              <w:ind w:left="280"/>
              <w:spacing w:after="0"/>
              <w:rPr>
                <w:sz w:val="20"/>
                <w:szCs w:val="20"/>
                <w:color w:val="auto"/>
              </w:rPr>
            </w:pPr>
            <w:r>
              <w:rPr>
                <w:rFonts w:ascii="Arial" w:cs="Arial" w:eastAsia="Arial" w:hAnsi="Arial"/>
                <w:sz w:val="16"/>
                <w:szCs w:val="16"/>
                <w:color w:val="auto"/>
              </w:rPr>
              <w:t>First-lien loan ($5,525 par, due</w:t>
            </w: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7/29/2019</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13.00%</w:t>
            </w:r>
          </w:p>
        </w:tc>
        <w:tc>
          <w:tcPr>
            <w:tcW w:w="94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13.00%</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5,468</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5,539</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0.5%</w:t>
            </w:r>
          </w:p>
        </w:tc>
      </w:tr>
      <w:tr>
        <w:trPr>
          <w:trHeight w:val="212"/>
        </w:trPr>
        <w:tc>
          <w:tcPr>
            <w:tcW w:w="2340" w:type="dxa"/>
            <w:vAlign w:val="bottom"/>
            <w:shd w:val="clear" w:color="auto" w:fill="CFF0FC"/>
          </w:tcPr>
          <w:p>
            <w:pPr>
              <w:spacing w:after="0"/>
              <w:rPr>
                <w:sz w:val="18"/>
                <w:szCs w:val="18"/>
                <w:color w:val="auto"/>
              </w:rPr>
            </w:pPr>
          </w:p>
        </w:tc>
        <w:tc>
          <w:tcPr>
            <w:tcW w:w="2820" w:type="dxa"/>
            <w:vAlign w:val="bottom"/>
            <w:shd w:val="clear" w:color="auto" w:fill="CFF0FC"/>
          </w:tcPr>
          <w:p>
            <w:pPr>
              <w:ind w:left="280"/>
              <w:spacing w:after="0"/>
              <w:rPr>
                <w:sz w:val="20"/>
                <w:szCs w:val="20"/>
                <w:color w:val="auto"/>
              </w:rPr>
            </w:pPr>
            <w:r>
              <w:rPr>
                <w:rFonts w:ascii="Arial" w:cs="Arial" w:eastAsia="Arial" w:hAnsi="Arial"/>
                <w:sz w:val="16"/>
                <w:szCs w:val="16"/>
                <w:color w:val="auto"/>
              </w:rPr>
              <w:t>7/2025)</w:t>
            </w:r>
          </w:p>
        </w:tc>
        <w:tc>
          <w:tcPr>
            <w:tcW w:w="10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PIK</w:t>
            </w: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340" w:type="dxa"/>
            <w:vAlign w:val="bottom"/>
          </w:tcPr>
          <w:p>
            <w:pPr>
              <w:spacing w:after="0" w:line="207" w:lineRule="exact"/>
              <w:rPr>
                <w:sz w:val="20"/>
                <w:szCs w:val="20"/>
                <w:color w:val="auto"/>
              </w:rPr>
            </w:pPr>
            <w:r>
              <w:rPr>
                <w:rFonts w:ascii="Arial" w:cs="Arial" w:eastAsia="Arial" w:hAnsi="Arial"/>
                <w:sz w:val="14"/>
                <w:szCs w:val="14"/>
                <w:color w:val="auto"/>
              </w:rPr>
              <w:t xml:space="preserve">Higher Logic, LLC </w:t>
            </w:r>
            <w:r>
              <w:rPr>
                <w:rFonts w:ascii="Arial" w:cs="Arial" w:eastAsia="Arial" w:hAnsi="Arial"/>
                <w:sz w:val="23"/>
                <w:szCs w:val="23"/>
                <w:color w:val="auto"/>
                <w:vertAlign w:val="superscript"/>
              </w:rPr>
              <w:t>(3)(5)</w:t>
            </w:r>
          </w:p>
        </w:tc>
        <w:tc>
          <w:tcPr>
            <w:tcW w:w="2820" w:type="dxa"/>
            <w:vAlign w:val="bottom"/>
          </w:tcPr>
          <w:p>
            <w:pPr>
              <w:ind w:left="280"/>
              <w:spacing w:after="0"/>
              <w:rPr>
                <w:sz w:val="20"/>
                <w:szCs w:val="20"/>
                <w:color w:val="auto"/>
              </w:rPr>
            </w:pPr>
            <w:r>
              <w:rPr>
                <w:rFonts w:ascii="Arial" w:cs="Arial" w:eastAsia="Arial" w:hAnsi="Arial"/>
                <w:sz w:val="16"/>
                <w:szCs w:val="16"/>
                <w:color w:val="auto"/>
              </w:rPr>
              <w:t>First-lien loan ($36,290 par, due</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6/18/2018</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+ 5.50%</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6.50%</w:t>
            </w:r>
          </w:p>
        </w:tc>
        <w:tc>
          <w:tcPr>
            <w:tcW w:w="800" w:type="dxa"/>
            <w:vAlign w:val="bottom"/>
          </w:tcPr>
          <w:p>
            <w:pPr>
              <w:jc w:val="right"/>
              <w:spacing w:after="0"/>
              <w:rPr>
                <w:sz w:val="20"/>
                <w:szCs w:val="20"/>
                <w:color w:val="auto"/>
              </w:rPr>
            </w:pPr>
            <w:r>
              <w:rPr>
                <w:rFonts w:ascii="Arial" w:cs="Arial" w:eastAsia="Arial" w:hAnsi="Arial"/>
                <w:sz w:val="16"/>
                <w:szCs w:val="16"/>
                <w:color w:val="auto"/>
              </w:rPr>
              <w:t>36,042</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36,199</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3.2%</w:t>
            </w:r>
          </w:p>
        </w:tc>
      </w:tr>
      <w:tr>
        <w:trPr>
          <w:trHeight w:val="209"/>
        </w:trPr>
        <w:tc>
          <w:tcPr>
            <w:tcW w:w="2340" w:type="dxa"/>
            <w:vAlign w:val="bottom"/>
          </w:tcPr>
          <w:p>
            <w:pPr>
              <w:spacing w:after="0"/>
              <w:rPr>
                <w:sz w:val="18"/>
                <w:szCs w:val="18"/>
                <w:color w:val="auto"/>
              </w:rPr>
            </w:pPr>
          </w:p>
        </w:tc>
        <w:tc>
          <w:tcPr>
            <w:tcW w:w="2820" w:type="dxa"/>
            <w:vAlign w:val="bottom"/>
          </w:tcPr>
          <w:p>
            <w:pPr>
              <w:ind w:left="280"/>
              <w:spacing w:after="0"/>
              <w:rPr>
                <w:sz w:val="20"/>
                <w:szCs w:val="20"/>
                <w:color w:val="auto"/>
              </w:rPr>
            </w:pPr>
            <w:r>
              <w:rPr>
                <w:rFonts w:ascii="Arial" w:cs="Arial" w:eastAsia="Arial" w:hAnsi="Arial"/>
                <w:sz w:val="16"/>
                <w:szCs w:val="16"/>
                <w:color w:val="auto"/>
              </w:rPr>
              <w:t>1/2022)</w:t>
            </w: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6"/>
        </w:trPr>
        <w:tc>
          <w:tcPr>
            <w:tcW w:w="2340" w:type="dxa"/>
            <w:vAlign w:val="bottom"/>
            <w:shd w:val="clear" w:color="auto" w:fill="CFF0FC"/>
          </w:tcPr>
          <w:p>
            <w:pPr>
              <w:spacing w:after="0"/>
              <w:rPr>
                <w:sz w:val="20"/>
                <w:szCs w:val="20"/>
                <w:color w:val="auto"/>
              </w:rPr>
            </w:pPr>
            <w:r>
              <w:rPr>
                <w:rFonts w:ascii="Arial" w:cs="Arial" w:eastAsia="Arial" w:hAnsi="Arial"/>
                <w:sz w:val="16"/>
                <w:szCs w:val="16"/>
                <w:color w:val="auto"/>
              </w:rPr>
              <w:t>Lithium Technologies,</w:t>
            </w:r>
          </w:p>
        </w:tc>
        <w:tc>
          <w:tcPr>
            <w:tcW w:w="2820" w:type="dxa"/>
            <w:vAlign w:val="bottom"/>
            <w:shd w:val="clear" w:color="auto" w:fill="CFF0FC"/>
          </w:tcPr>
          <w:p>
            <w:pPr>
              <w:ind w:left="280"/>
              <w:spacing w:after="0"/>
              <w:rPr>
                <w:sz w:val="20"/>
                <w:szCs w:val="20"/>
                <w:color w:val="auto"/>
              </w:rPr>
            </w:pPr>
            <w:r>
              <w:rPr>
                <w:rFonts w:ascii="Arial" w:cs="Arial" w:eastAsia="Arial" w:hAnsi="Arial"/>
                <w:sz w:val="16"/>
                <w:szCs w:val="16"/>
                <w:color w:val="auto"/>
              </w:rPr>
              <w:t>First-lien loan ($54,700 par, due</w:t>
            </w: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10/3/2017</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+ 8.00%</w:t>
            </w:r>
          </w:p>
        </w:tc>
        <w:tc>
          <w:tcPr>
            <w:tcW w:w="9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9.00%</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54,126</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53,606</w:t>
            </w:r>
          </w:p>
        </w:tc>
        <w:tc>
          <w:tcPr>
            <w:tcW w:w="2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4.7%</w:t>
            </w:r>
          </w:p>
        </w:tc>
      </w:tr>
      <w:tr>
        <w:trPr>
          <w:trHeight w:val="216"/>
        </w:trPr>
        <w:tc>
          <w:tcPr>
            <w:tcW w:w="2340" w:type="dxa"/>
            <w:vAlign w:val="bottom"/>
            <w:shd w:val="clear" w:color="auto" w:fill="CFF0FC"/>
          </w:tcPr>
          <w:p>
            <w:pPr>
              <w:ind w:left="120"/>
              <w:spacing w:after="0" w:line="216" w:lineRule="exact"/>
              <w:rPr>
                <w:sz w:val="20"/>
                <w:szCs w:val="20"/>
                <w:color w:val="auto"/>
              </w:rPr>
            </w:pPr>
            <w:r>
              <w:rPr>
                <w:rFonts w:ascii="Arial" w:cs="Arial" w:eastAsia="Arial" w:hAnsi="Arial"/>
                <w:sz w:val="15"/>
                <w:szCs w:val="15"/>
                <w:color w:val="auto"/>
              </w:rPr>
              <w:t xml:space="preserve">LLC </w:t>
            </w:r>
            <w:r>
              <w:rPr>
                <w:rFonts w:ascii="Arial" w:cs="Arial" w:eastAsia="Arial" w:hAnsi="Arial"/>
                <w:sz w:val="25"/>
                <w:szCs w:val="25"/>
                <w:color w:val="auto"/>
                <w:vertAlign w:val="superscript"/>
              </w:rPr>
              <w:t>(3)</w:t>
            </w:r>
          </w:p>
        </w:tc>
        <w:tc>
          <w:tcPr>
            <w:tcW w:w="2820" w:type="dxa"/>
            <w:vAlign w:val="bottom"/>
            <w:shd w:val="clear" w:color="auto" w:fill="CFF0FC"/>
          </w:tcPr>
          <w:p>
            <w:pPr>
              <w:ind w:left="280"/>
              <w:spacing w:after="0"/>
              <w:rPr>
                <w:sz w:val="20"/>
                <w:szCs w:val="20"/>
                <w:color w:val="auto"/>
              </w:rPr>
            </w:pPr>
            <w:r>
              <w:rPr>
                <w:rFonts w:ascii="Arial" w:cs="Arial" w:eastAsia="Arial" w:hAnsi="Arial"/>
                <w:sz w:val="16"/>
                <w:szCs w:val="16"/>
                <w:color w:val="auto"/>
              </w:rPr>
              <w:t>10/2022)</w:t>
            </w:r>
          </w:p>
        </w:tc>
        <w:tc>
          <w:tcPr>
            <w:tcW w:w="10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340" w:type="dxa"/>
            <w:vAlign w:val="bottom"/>
          </w:tcPr>
          <w:p>
            <w:pPr>
              <w:spacing w:after="0"/>
              <w:rPr>
                <w:sz w:val="17"/>
                <w:szCs w:val="17"/>
                <w:color w:val="auto"/>
              </w:rPr>
            </w:pPr>
          </w:p>
        </w:tc>
        <w:tc>
          <w:tcPr>
            <w:tcW w:w="2820" w:type="dxa"/>
            <w:vAlign w:val="bottom"/>
          </w:tcPr>
          <w:p>
            <w:pPr>
              <w:ind w:left="280"/>
              <w:spacing w:after="0"/>
              <w:rPr>
                <w:sz w:val="20"/>
                <w:szCs w:val="20"/>
                <w:color w:val="auto"/>
              </w:rPr>
            </w:pPr>
            <w:r>
              <w:rPr>
                <w:rFonts w:ascii="Arial" w:cs="Arial" w:eastAsia="Arial" w:hAnsi="Arial"/>
                <w:sz w:val="16"/>
                <w:szCs w:val="16"/>
                <w:color w:val="auto"/>
              </w:rPr>
              <w:t>First-lien revolving loan ($660 par,</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10/3/2017</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+ 8.00%</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9.21%</w:t>
            </w:r>
          </w:p>
        </w:tc>
        <w:tc>
          <w:tcPr>
            <w:tcW w:w="800" w:type="dxa"/>
            <w:vAlign w:val="bottom"/>
          </w:tcPr>
          <w:p>
            <w:pPr>
              <w:jc w:val="right"/>
              <w:spacing w:after="0"/>
              <w:rPr>
                <w:sz w:val="20"/>
                <w:szCs w:val="20"/>
                <w:color w:val="auto"/>
              </w:rPr>
            </w:pPr>
            <w:r>
              <w:rPr>
                <w:rFonts w:ascii="Arial" w:cs="Arial" w:eastAsia="Arial" w:hAnsi="Arial"/>
                <w:sz w:val="16"/>
                <w:szCs w:val="16"/>
                <w:color w:val="auto"/>
              </w:rPr>
              <w:t>623</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581</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0.1%</w:t>
            </w:r>
          </w:p>
        </w:tc>
      </w:tr>
      <w:tr>
        <w:trPr>
          <w:trHeight w:val="209"/>
        </w:trPr>
        <w:tc>
          <w:tcPr>
            <w:tcW w:w="2340" w:type="dxa"/>
            <w:vAlign w:val="bottom"/>
          </w:tcPr>
          <w:p>
            <w:pPr>
              <w:spacing w:after="0"/>
              <w:rPr>
                <w:sz w:val="18"/>
                <w:szCs w:val="18"/>
                <w:color w:val="auto"/>
              </w:rPr>
            </w:pPr>
          </w:p>
        </w:tc>
        <w:tc>
          <w:tcPr>
            <w:tcW w:w="2820" w:type="dxa"/>
            <w:vAlign w:val="bottom"/>
          </w:tcPr>
          <w:p>
            <w:pPr>
              <w:ind w:left="280"/>
              <w:spacing w:after="0"/>
              <w:rPr>
                <w:sz w:val="20"/>
                <w:szCs w:val="20"/>
                <w:color w:val="auto"/>
              </w:rPr>
            </w:pPr>
            <w:r>
              <w:rPr>
                <w:rFonts w:ascii="Arial" w:cs="Arial" w:eastAsia="Arial" w:hAnsi="Arial"/>
                <w:sz w:val="16"/>
                <w:szCs w:val="16"/>
                <w:color w:val="auto"/>
              </w:rPr>
              <w:t>due 10/2022)</w:t>
            </w: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34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Lucidworks, Inc. </w:t>
            </w:r>
            <w:r>
              <w:rPr>
                <w:rFonts w:ascii="Arial" w:cs="Arial" w:eastAsia="Arial" w:hAnsi="Arial"/>
                <w:sz w:val="24"/>
                <w:szCs w:val="24"/>
                <w:color w:val="auto"/>
                <w:vertAlign w:val="superscript"/>
              </w:rPr>
              <w:t>(9)</w:t>
            </w:r>
          </w:p>
        </w:tc>
        <w:tc>
          <w:tcPr>
            <w:tcW w:w="2820" w:type="dxa"/>
            <w:vAlign w:val="bottom"/>
            <w:shd w:val="clear" w:color="auto" w:fill="CFF0FC"/>
          </w:tcPr>
          <w:p>
            <w:pPr>
              <w:ind w:left="280"/>
              <w:spacing w:after="0"/>
              <w:rPr>
                <w:sz w:val="20"/>
                <w:szCs w:val="20"/>
                <w:color w:val="auto"/>
              </w:rPr>
            </w:pPr>
            <w:r>
              <w:rPr>
                <w:rFonts w:ascii="Arial" w:cs="Arial" w:eastAsia="Arial" w:hAnsi="Arial"/>
                <w:sz w:val="16"/>
                <w:szCs w:val="16"/>
                <w:color w:val="auto"/>
              </w:rPr>
              <w:t>First-lien loan ($12,674 par, due</w:t>
            </w: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7/31/2019</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12.00%</w:t>
            </w:r>
          </w:p>
        </w:tc>
        <w:tc>
          <w:tcPr>
            <w:tcW w:w="94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12.00%</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12,556</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12,874</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1.1%</w:t>
            </w:r>
          </w:p>
        </w:tc>
      </w:tr>
      <w:tr>
        <w:trPr>
          <w:trHeight w:val="202"/>
        </w:trPr>
        <w:tc>
          <w:tcPr>
            <w:tcW w:w="2340" w:type="dxa"/>
            <w:vAlign w:val="bottom"/>
            <w:shd w:val="clear" w:color="auto" w:fill="CFF0FC"/>
          </w:tcPr>
          <w:p>
            <w:pPr>
              <w:spacing w:after="0"/>
              <w:rPr>
                <w:sz w:val="17"/>
                <w:szCs w:val="17"/>
                <w:color w:val="auto"/>
              </w:rPr>
            </w:pPr>
          </w:p>
        </w:tc>
        <w:tc>
          <w:tcPr>
            <w:tcW w:w="2820" w:type="dxa"/>
            <w:vAlign w:val="bottom"/>
            <w:shd w:val="clear" w:color="auto" w:fill="CFF0FC"/>
          </w:tcPr>
          <w:p>
            <w:pPr>
              <w:ind w:left="280"/>
              <w:spacing w:after="0"/>
              <w:rPr>
                <w:sz w:val="20"/>
                <w:szCs w:val="20"/>
                <w:color w:val="auto"/>
              </w:rPr>
            </w:pPr>
            <w:r>
              <w:rPr>
                <w:rFonts w:ascii="Arial" w:cs="Arial" w:eastAsia="Arial" w:hAnsi="Arial"/>
                <w:sz w:val="16"/>
                <w:szCs w:val="16"/>
                <w:color w:val="auto"/>
              </w:rPr>
              <w:t>7/2024)</w:t>
            </w:r>
          </w:p>
        </w:tc>
        <w:tc>
          <w:tcPr>
            <w:tcW w:w="10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(incl.</w:t>
            </w: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03"/>
        </w:trPr>
        <w:tc>
          <w:tcPr>
            <w:tcW w:w="2340" w:type="dxa"/>
            <w:vAlign w:val="bottom"/>
            <w:shd w:val="clear" w:color="auto" w:fill="CFF0FC"/>
          </w:tcPr>
          <w:p>
            <w:pPr>
              <w:spacing w:after="0"/>
              <w:rPr>
                <w:sz w:val="17"/>
                <w:szCs w:val="17"/>
                <w:color w:val="auto"/>
              </w:rPr>
            </w:pPr>
          </w:p>
        </w:tc>
        <w:tc>
          <w:tcPr>
            <w:tcW w:w="28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7.00%</w:t>
            </w: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12"/>
        </w:trPr>
        <w:tc>
          <w:tcPr>
            <w:tcW w:w="2340" w:type="dxa"/>
            <w:vAlign w:val="bottom"/>
            <w:shd w:val="clear" w:color="auto" w:fill="CFF0FC"/>
          </w:tcPr>
          <w:p>
            <w:pPr>
              <w:spacing w:after="0"/>
              <w:rPr>
                <w:sz w:val="18"/>
                <w:szCs w:val="18"/>
                <w:color w:val="auto"/>
              </w:rPr>
            </w:pPr>
          </w:p>
        </w:tc>
        <w:tc>
          <w:tcPr>
            <w:tcW w:w="28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PIK)</w:t>
            </w:r>
          </w:p>
        </w:tc>
        <w:tc>
          <w:tcPr>
            <w:tcW w:w="80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34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108,815</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108,799</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9.6</w:t>
            </w:r>
          </w:p>
        </w:tc>
        <w:tc>
          <w:tcPr>
            <w:tcW w:w="140" w:type="dxa"/>
            <w:vAlign w:val="bottom"/>
          </w:tcPr>
          <w:p>
            <w:pPr>
              <w:jc w:val="right"/>
              <w:spacing w:after="0"/>
              <w:rPr>
                <w:sz w:val="20"/>
                <w:szCs w:val="20"/>
                <w:color w:val="auto"/>
              </w:rPr>
            </w:pPr>
            <w:r>
              <w:rPr>
                <w:rFonts w:ascii="Arial" w:cs="Arial" w:eastAsia="Arial" w:hAnsi="Arial"/>
                <w:sz w:val="15"/>
                <w:szCs w:val="15"/>
                <w:color w:val="auto"/>
                <w:w w:val="74"/>
              </w:rPr>
              <w:t>%</w:t>
            </w:r>
          </w:p>
        </w:tc>
      </w:tr>
      <w:tr>
        <w:trPr>
          <w:trHeight w:val="213"/>
        </w:trPr>
        <w:tc>
          <w:tcPr>
            <w:tcW w:w="2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Marketing Services</w:t>
            </w:r>
          </w:p>
        </w:tc>
        <w:tc>
          <w:tcPr>
            <w:tcW w:w="282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06"/>
        </w:trPr>
        <w:tc>
          <w:tcPr>
            <w:tcW w:w="2340" w:type="dxa"/>
            <w:vAlign w:val="bottom"/>
          </w:tcPr>
          <w:p>
            <w:pPr>
              <w:spacing w:after="0" w:line="207" w:lineRule="exact"/>
              <w:rPr>
                <w:sz w:val="20"/>
                <w:szCs w:val="20"/>
                <w:color w:val="auto"/>
              </w:rPr>
            </w:pPr>
            <w:r>
              <w:rPr>
                <w:rFonts w:ascii="Arial" w:cs="Arial" w:eastAsia="Arial" w:hAnsi="Arial"/>
                <w:sz w:val="14"/>
                <w:szCs w:val="14"/>
                <w:color w:val="auto"/>
              </w:rPr>
              <w:t xml:space="preserve">Acoustic, L.P. </w:t>
            </w:r>
            <w:r>
              <w:rPr>
                <w:rFonts w:ascii="Arial" w:cs="Arial" w:eastAsia="Arial" w:hAnsi="Arial"/>
                <w:sz w:val="23"/>
                <w:szCs w:val="23"/>
                <w:color w:val="auto"/>
                <w:vertAlign w:val="superscript"/>
              </w:rPr>
              <w:t>(3)</w:t>
            </w:r>
          </w:p>
        </w:tc>
        <w:tc>
          <w:tcPr>
            <w:tcW w:w="2820" w:type="dxa"/>
            <w:vAlign w:val="bottom"/>
          </w:tcPr>
          <w:p>
            <w:pPr>
              <w:ind w:left="280"/>
              <w:spacing w:after="0"/>
              <w:rPr>
                <w:sz w:val="20"/>
                <w:szCs w:val="20"/>
                <w:color w:val="auto"/>
              </w:rPr>
            </w:pPr>
            <w:r>
              <w:rPr>
                <w:rFonts w:ascii="Arial" w:cs="Arial" w:eastAsia="Arial" w:hAnsi="Arial"/>
                <w:sz w:val="16"/>
                <w:szCs w:val="16"/>
                <w:color w:val="auto"/>
              </w:rPr>
              <w:t>First-lien note ($33,000 par, due</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12/17/2019</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+ 7.00%</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8.50%</w:t>
            </w:r>
          </w:p>
        </w:tc>
        <w:tc>
          <w:tcPr>
            <w:tcW w:w="800" w:type="dxa"/>
            <w:vAlign w:val="bottom"/>
          </w:tcPr>
          <w:p>
            <w:pPr>
              <w:jc w:val="right"/>
              <w:spacing w:after="0"/>
              <w:rPr>
                <w:sz w:val="20"/>
                <w:szCs w:val="20"/>
                <w:color w:val="auto"/>
              </w:rPr>
            </w:pPr>
            <w:r>
              <w:rPr>
                <w:rFonts w:ascii="Arial" w:cs="Arial" w:eastAsia="Arial" w:hAnsi="Arial"/>
                <w:sz w:val="16"/>
                <w:szCs w:val="16"/>
                <w:color w:val="auto"/>
              </w:rPr>
              <w:t>32,339</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32,010</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2.8%</w:t>
            </w:r>
          </w:p>
        </w:tc>
      </w:tr>
      <w:tr>
        <w:trPr>
          <w:trHeight w:val="209"/>
        </w:trPr>
        <w:tc>
          <w:tcPr>
            <w:tcW w:w="2340" w:type="dxa"/>
            <w:vAlign w:val="bottom"/>
          </w:tcPr>
          <w:p>
            <w:pPr>
              <w:spacing w:after="0"/>
              <w:rPr>
                <w:sz w:val="18"/>
                <w:szCs w:val="18"/>
                <w:color w:val="auto"/>
              </w:rPr>
            </w:pPr>
          </w:p>
        </w:tc>
        <w:tc>
          <w:tcPr>
            <w:tcW w:w="2820" w:type="dxa"/>
            <w:vAlign w:val="bottom"/>
          </w:tcPr>
          <w:p>
            <w:pPr>
              <w:ind w:left="280"/>
              <w:spacing w:after="0"/>
              <w:rPr>
                <w:sz w:val="20"/>
                <w:szCs w:val="20"/>
                <w:color w:val="auto"/>
              </w:rPr>
            </w:pPr>
            <w:r>
              <w:rPr>
                <w:rFonts w:ascii="Arial" w:cs="Arial" w:eastAsia="Arial" w:hAnsi="Arial"/>
                <w:sz w:val="16"/>
                <w:szCs w:val="16"/>
                <w:color w:val="auto"/>
              </w:rPr>
              <w:t>6/2024)</w:t>
            </w: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23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Office products</w:t>
            </w:r>
          </w:p>
        </w:tc>
        <w:tc>
          <w:tcPr>
            <w:tcW w:w="28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06"/>
        </w:trPr>
        <w:tc>
          <w:tcPr>
            <w:tcW w:w="2340" w:type="dxa"/>
            <w:vAlign w:val="bottom"/>
          </w:tcPr>
          <w:p>
            <w:pPr>
              <w:spacing w:after="0" w:line="207" w:lineRule="exact"/>
              <w:rPr>
                <w:sz w:val="20"/>
                <w:szCs w:val="20"/>
                <w:color w:val="auto"/>
              </w:rPr>
            </w:pPr>
            <w:r>
              <w:rPr>
                <w:rFonts w:ascii="Arial" w:cs="Arial" w:eastAsia="Arial" w:hAnsi="Arial"/>
                <w:sz w:val="14"/>
                <w:szCs w:val="14"/>
                <w:color w:val="auto"/>
              </w:rPr>
              <w:t xml:space="preserve">USR Parent, Inc. </w:t>
            </w:r>
            <w:r>
              <w:rPr>
                <w:rFonts w:ascii="Arial" w:cs="Arial" w:eastAsia="Arial" w:hAnsi="Arial"/>
                <w:sz w:val="23"/>
                <w:szCs w:val="23"/>
                <w:color w:val="auto"/>
                <w:vertAlign w:val="superscript"/>
              </w:rPr>
              <w:t>(3)(5)</w:t>
            </w:r>
          </w:p>
        </w:tc>
        <w:tc>
          <w:tcPr>
            <w:tcW w:w="2820" w:type="dxa"/>
            <w:vAlign w:val="bottom"/>
          </w:tcPr>
          <w:p>
            <w:pPr>
              <w:ind w:left="280"/>
              <w:spacing w:after="0"/>
              <w:rPr>
                <w:sz w:val="20"/>
                <w:szCs w:val="20"/>
                <w:color w:val="auto"/>
              </w:rPr>
            </w:pPr>
            <w:r>
              <w:rPr>
                <w:rFonts w:ascii="Arial" w:cs="Arial" w:eastAsia="Arial" w:hAnsi="Arial"/>
                <w:sz w:val="16"/>
                <w:szCs w:val="16"/>
                <w:color w:val="auto"/>
              </w:rPr>
              <w:t>ABL FILO term loan ($8,232 par,</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9/12/2017</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+ 7.75%</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8.75%</w:t>
            </w:r>
          </w:p>
        </w:tc>
        <w:tc>
          <w:tcPr>
            <w:tcW w:w="800" w:type="dxa"/>
            <w:vAlign w:val="bottom"/>
          </w:tcPr>
          <w:p>
            <w:pPr>
              <w:jc w:val="right"/>
              <w:spacing w:after="0"/>
              <w:rPr>
                <w:sz w:val="20"/>
                <w:szCs w:val="20"/>
                <w:color w:val="auto"/>
              </w:rPr>
            </w:pPr>
            <w:r>
              <w:rPr>
                <w:rFonts w:ascii="Arial" w:cs="Arial" w:eastAsia="Arial" w:hAnsi="Arial"/>
                <w:sz w:val="16"/>
                <w:szCs w:val="16"/>
                <w:color w:val="auto"/>
              </w:rPr>
              <w:t>8,144</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8,273</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0.7%</w:t>
            </w:r>
          </w:p>
        </w:tc>
      </w:tr>
      <w:tr>
        <w:trPr>
          <w:trHeight w:val="209"/>
        </w:trPr>
        <w:tc>
          <w:tcPr>
            <w:tcW w:w="2340" w:type="dxa"/>
            <w:vAlign w:val="bottom"/>
          </w:tcPr>
          <w:p>
            <w:pPr>
              <w:spacing w:after="0"/>
              <w:rPr>
                <w:sz w:val="18"/>
                <w:szCs w:val="18"/>
                <w:color w:val="auto"/>
              </w:rPr>
            </w:pPr>
          </w:p>
        </w:tc>
        <w:tc>
          <w:tcPr>
            <w:tcW w:w="2820" w:type="dxa"/>
            <w:vAlign w:val="bottom"/>
          </w:tcPr>
          <w:p>
            <w:pPr>
              <w:ind w:left="280"/>
              <w:spacing w:after="0"/>
              <w:rPr>
                <w:sz w:val="20"/>
                <w:szCs w:val="20"/>
                <w:color w:val="auto"/>
              </w:rPr>
            </w:pPr>
            <w:r>
              <w:rPr>
                <w:rFonts w:ascii="Arial" w:cs="Arial" w:eastAsia="Arial" w:hAnsi="Arial"/>
                <w:sz w:val="16"/>
                <w:szCs w:val="16"/>
                <w:color w:val="auto"/>
              </w:rPr>
              <w:t>due 9/2022)</w:t>
            </w: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23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Oil, gas and consumable fuels</w:t>
            </w:r>
          </w:p>
        </w:tc>
        <w:tc>
          <w:tcPr>
            <w:tcW w:w="28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06"/>
        </w:trPr>
        <w:tc>
          <w:tcPr>
            <w:tcW w:w="2340" w:type="dxa"/>
            <w:vAlign w:val="bottom"/>
          </w:tcPr>
          <w:p>
            <w:pPr>
              <w:spacing w:after="0" w:line="207" w:lineRule="exact"/>
              <w:rPr>
                <w:sz w:val="20"/>
                <w:szCs w:val="20"/>
                <w:color w:val="auto"/>
              </w:rPr>
            </w:pPr>
            <w:r>
              <w:rPr>
                <w:rFonts w:ascii="Arial" w:cs="Arial" w:eastAsia="Arial" w:hAnsi="Arial"/>
                <w:sz w:val="14"/>
                <w:szCs w:val="14"/>
                <w:color w:val="auto"/>
              </w:rPr>
              <w:t xml:space="preserve">Energy Alloys, LLC </w:t>
            </w:r>
            <w:r>
              <w:rPr>
                <w:rFonts w:ascii="Arial" w:cs="Arial" w:eastAsia="Arial" w:hAnsi="Arial"/>
                <w:sz w:val="23"/>
                <w:szCs w:val="23"/>
                <w:color w:val="auto"/>
                <w:vertAlign w:val="superscript"/>
              </w:rPr>
              <w:t>(3)</w:t>
            </w:r>
          </w:p>
        </w:tc>
        <w:tc>
          <w:tcPr>
            <w:tcW w:w="2820" w:type="dxa"/>
            <w:vAlign w:val="bottom"/>
          </w:tcPr>
          <w:p>
            <w:pPr>
              <w:ind w:left="280"/>
              <w:spacing w:after="0"/>
              <w:rPr>
                <w:sz w:val="20"/>
                <w:szCs w:val="20"/>
                <w:color w:val="auto"/>
              </w:rPr>
            </w:pPr>
            <w:r>
              <w:rPr>
                <w:rFonts w:ascii="Arial" w:cs="Arial" w:eastAsia="Arial" w:hAnsi="Arial"/>
                <w:sz w:val="16"/>
                <w:szCs w:val="16"/>
                <w:color w:val="auto"/>
              </w:rPr>
              <w:t>ABL FILO term loan ($6,964 par,</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6/9/2020</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+ 6.25%</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8.25%</w:t>
            </w:r>
          </w:p>
        </w:tc>
        <w:tc>
          <w:tcPr>
            <w:tcW w:w="800" w:type="dxa"/>
            <w:vAlign w:val="bottom"/>
          </w:tcPr>
          <w:p>
            <w:pPr>
              <w:jc w:val="right"/>
              <w:spacing w:after="0"/>
              <w:rPr>
                <w:sz w:val="20"/>
                <w:szCs w:val="20"/>
                <w:color w:val="auto"/>
              </w:rPr>
            </w:pPr>
            <w:r>
              <w:rPr>
                <w:rFonts w:ascii="Arial" w:cs="Arial" w:eastAsia="Arial" w:hAnsi="Arial"/>
                <w:sz w:val="16"/>
                <w:szCs w:val="16"/>
                <w:color w:val="auto"/>
              </w:rPr>
              <w:t>6,964</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6,964</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0.6%</w:t>
            </w:r>
          </w:p>
        </w:tc>
      </w:tr>
      <w:tr>
        <w:trPr>
          <w:trHeight w:val="209"/>
        </w:trPr>
        <w:tc>
          <w:tcPr>
            <w:tcW w:w="2340" w:type="dxa"/>
            <w:vAlign w:val="bottom"/>
          </w:tcPr>
          <w:p>
            <w:pPr>
              <w:spacing w:after="0"/>
              <w:rPr>
                <w:sz w:val="18"/>
                <w:szCs w:val="18"/>
                <w:color w:val="auto"/>
              </w:rPr>
            </w:pPr>
          </w:p>
        </w:tc>
        <w:tc>
          <w:tcPr>
            <w:tcW w:w="2820" w:type="dxa"/>
            <w:vAlign w:val="bottom"/>
          </w:tcPr>
          <w:p>
            <w:pPr>
              <w:ind w:left="280"/>
              <w:spacing w:after="0"/>
              <w:rPr>
                <w:sz w:val="20"/>
                <w:szCs w:val="20"/>
                <w:color w:val="auto"/>
              </w:rPr>
            </w:pPr>
            <w:r>
              <w:rPr>
                <w:rFonts w:ascii="Arial" w:cs="Arial" w:eastAsia="Arial" w:hAnsi="Arial"/>
                <w:sz w:val="16"/>
                <w:szCs w:val="16"/>
                <w:color w:val="auto"/>
              </w:rPr>
              <w:t>due 8/2024)</w:t>
            </w: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6"/>
        </w:trPr>
        <w:tc>
          <w:tcPr>
            <w:tcW w:w="2340" w:type="dxa"/>
            <w:vAlign w:val="bottom"/>
            <w:shd w:val="clear" w:color="auto" w:fill="CFF0FC"/>
          </w:tcPr>
          <w:p>
            <w:pPr>
              <w:spacing w:after="0"/>
              <w:rPr>
                <w:sz w:val="20"/>
                <w:szCs w:val="20"/>
                <w:color w:val="auto"/>
              </w:rPr>
            </w:pPr>
            <w:r>
              <w:rPr>
                <w:rFonts w:ascii="Arial" w:cs="Arial" w:eastAsia="Arial" w:hAnsi="Arial"/>
                <w:sz w:val="16"/>
                <w:szCs w:val="16"/>
                <w:color w:val="auto"/>
              </w:rPr>
              <w:t>MD America Energy,</w:t>
            </w:r>
          </w:p>
        </w:tc>
        <w:tc>
          <w:tcPr>
            <w:tcW w:w="2820" w:type="dxa"/>
            <w:vAlign w:val="bottom"/>
            <w:shd w:val="clear" w:color="auto" w:fill="CFF0FC"/>
          </w:tcPr>
          <w:p>
            <w:pPr>
              <w:ind w:left="280"/>
              <w:spacing w:after="0"/>
              <w:rPr>
                <w:sz w:val="20"/>
                <w:szCs w:val="20"/>
                <w:color w:val="auto"/>
              </w:rPr>
            </w:pPr>
            <w:r>
              <w:rPr>
                <w:rFonts w:ascii="Arial" w:cs="Arial" w:eastAsia="Arial" w:hAnsi="Arial"/>
                <w:sz w:val="16"/>
                <w:szCs w:val="16"/>
                <w:color w:val="auto"/>
              </w:rPr>
              <w:t>First-lien loan ($18,135 par, due</w:t>
            </w: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11/14/2018</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P + 6.75%</w:t>
            </w:r>
          </w:p>
        </w:tc>
        <w:tc>
          <w:tcPr>
            <w:tcW w:w="9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10.00%</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17,939</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14,463</w:t>
            </w:r>
          </w:p>
        </w:tc>
        <w:tc>
          <w:tcPr>
            <w:tcW w:w="2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1.3%</w:t>
            </w:r>
          </w:p>
        </w:tc>
      </w:tr>
      <w:tr>
        <w:trPr>
          <w:trHeight w:val="216"/>
        </w:trPr>
        <w:tc>
          <w:tcPr>
            <w:tcW w:w="23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 xml:space="preserve">LLC </w:t>
            </w:r>
            <w:r>
              <w:rPr>
                <w:rFonts w:ascii="Arial" w:cs="Arial" w:eastAsia="Arial" w:hAnsi="Arial"/>
                <w:sz w:val="13"/>
                <w:szCs w:val="13"/>
                <w:color w:val="auto"/>
              </w:rPr>
              <w:t>(3)(16)</w:t>
            </w:r>
          </w:p>
        </w:tc>
        <w:tc>
          <w:tcPr>
            <w:tcW w:w="2820" w:type="dxa"/>
            <w:vAlign w:val="bottom"/>
            <w:shd w:val="clear" w:color="auto" w:fill="CFF0FC"/>
          </w:tcPr>
          <w:p>
            <w:pPr>
              <w:ind w:left="280"/>
              <w:spacing w:after="0"/>
              <w:rPr>
                <w:sz w:val="20"/>
                <w:szCs w:val="20"/>
                <w:color w:val="auto"/>
              </w:rPr>
            </w:pPr>
            <w:r>
              <w:rPr>
                <w:rFonts w:ascii="Arial" w:cs="Arial" w:eastAsia="Arial" w:hAnsi="Arial"/>
                <w:sz w:val="16"/>
                <w:szCs w:val="16"/>
                <w:color w:val="auto"/>
              </w:rPr>
              <w:t>11/2023)</w:t>
            </w:r>
          </w:p>
        </w:tc>
        <w:tc>
          <w:tcPr>
            <w:tcW w:w="10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3"/>
        </w:trPr>
        <w:tc>
          <w:tcPr>
            <w:tcW w:w="2340" w:type="dxa"/>
            <w:vAlign w:val="bottom"/>
          </w:tcPr>
          <w:p>
            <w:pPr>
              <w:spacing w:after="0"/>
              <w:rPr>
                <w:sz w:val="20"/>
                <w:szCs w:val="20"/>
                <w:color w:val="auto"/>
              </w:rPr>
            </w:pPr>
            <w:r>
              <w:rPr>
                <w:rFonts w:ascii="Arial" w:cs="Arial" w:eastAsia="Arial" w:hAnsi="Arial"/>
                <w:sz w:val="16"/>
                <w:szCs w:val="16"/>
                <w:color w:val="auto"/>
              </w:rPr>
              <w:t>Mississippi Resources,</w:t>
            </w:r>
          </w:p>
        </w:tc>
        <w:tc>
          <w:tcPr>
            <w:tcW w:w="2820" w:type="dxa"/>
            <w:vAlign w:val="bottom"/>
          </w:tcPr>
          <w:p>
            <w:pPr>
              <w:ind w:left="280"/>
              <w:spacing w:after="0"/>
              <w:rPr>
                <w:sz w:val="20"/>
                <w:szCs w:val="20"/>
                <w:color w:val="auto"/>
              </w:rPr>
            </w:pPr>
            <w:r>
              <w:rPr>
                <w:rFonts w:ascii="Arial" w:cs="Arial" w:eastAsia="Arial" w:hAnsi="Arial"/>
                <w:sz w:val="16"/>
                <w:szCs w:val="16"/>
                <w:color w:val="auto"/>
              </w:rPr>
              <w:t>First-lien loan ($7,786 par, due</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6/29/2018</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+ 9.00%</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10.00%</w:t>
            </w:r>
          </w:p>
        </w:tc>
        <w:tc>
          <w:tcPr>
            <w:tcW w:w="800" w:type="dxa"/>
            <w:vAlign w:val="bottom"/>
          </w:tcPr>
          <w:p>
            <w:pPr>
              <w:jc w:val="right"/>
              <w:spacing w:after="0"/>
              <w:rPr>
                <w:sz w:val="20"/>
                <w:szCs w:val="20"/>
                <w:color w:val="auto"/>
              </w:rPr>
            </w:pPr>
            <w:r>
              <w:rPr>
                <w:rFonts w:ascii="Arial" w:cs="Arial" w:eastAsia="Arial" w:hAnsi="Arial"/>
                <w:sz w:val="16"/>
                <w:szCs w:val="16"/>
                <w:color w:val="auto"/>
              </w:rPr>
              <w:t>7,784</w:t>
            </w:r>
          </w:p>
        </w:tc>
        <w:tc>
          <w:tcPr>
            <w:tcW w:w="20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0.0%</w:t>
            </w:r>
          </w:p>
        </w:tc>
      </w:tr>
      <w:tr>
        <w:trPr>
          <w:trHeight w:val="213"/>
        </w:trPr>
        <w:tc>
          <w:tcPr>
            <w:tcW w:w="2340" w:type="dxa"/>
            <w:vAlign w:val="bottom"/>
          </w:tcPr>
          <w:p>
            <w:pPr>
              <w:ind w:left="120"/>
              <w:spacing w:after="0"/>
              <w:rPr>
                <w:sz w:val="20"/>
                <w:szCs w:val="20"/>
                <w:color w:val="auto"/>
              </w:rPr>
            </w:pPr>
            <w:r>
              <w:rPr>
                <w:rFonts w:ascii="Arial" w:cs="Arial" w:eastAsia="Arial" w:hAnsi="Arial"/>
                <w:sz w:val="16"/>
                <w:szCs w:val="16"/>
                <w:color w:val="auto"/>
              </w:rPr>
              <w:t xml:space="preserve">LLC </w:t>
            </w:r>
            <w:r>
              <w:rPr>
                <w:rFonts w:ascii="Arial" w:cs="Arial" w:eastAsia="Arial" w:hAnsi="Arial"/>
                <w:sz w:val="13"/>
                <w:szCs w:val="13"/>
                <w:color w:val="auto"/>
              </w:rPr>
              <w:t>(3)(7)(16)</w:t>
            </w:r>
          </w:p>
        </w:tc>
        <w:tc>
          <w:tcPr>
            <w:tcW w:w="2820" w:type="dxa"/>
            <w:vAlign w:val="bottom"/>
          </w:tcPr>
          <w:p>
            <w:pPr>
              <w:ind w:left="280"/>
              <w:spacing w:after="0"/>
              <w:rPr>
                <w:sz w:val="20"/>
                <w:szCs w:val="20"/>
                <w:color w:val="auto"/>
              </w:rPr>
            </w:pPr>
            <w:r>
              <w:rPr>
                <w:rFonts w:ascii="Arial" w:cs="Arial" w:eastAsia="Arial" w:hAnsi="Arial"/>
                <w:sz w:val="16"/>
                <w:szCs w:val="16"/>
                <w:color w:val="auto"/>
              </w:rPr>
              <w:t>12/2020)</w:t>
            </w: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6"/>
        </w:trPr>
        <w:tc>
          <w:tcPr>
            <w:tcW w:w="2340" w:type="dxa"/>
            <w:vAlign w:val="bottom"/>
            <w:shd w:val="clear" w:color="auto" w:fill="CFF0FC"/>
          </w:tcPr>
          <w:p>
            <w:pPr>
              <w:spacing w:after="0"/>
              <w:rPr>
                <w:sz w:val="20"/>
                <w:szCs w:val="20"/>
                <w:color w:val="auto"/>
              </w:rPr>
            </w:pPr>
            <w:r>
              <w:rPr>
                <w:rFonts w:ascii="Arial" w:cs="Arial" w:eastAsia="Arial" w:hAnsi="Arial"/>
                <w:sz w:val="16"/>
                <w:szCs w:val="16"/>
                <w:color w:val="auto"/>
              </w:rPr>
              <w:t>Verdad Resources Intermediate</w:t>
            </w:r>
          </w:p>
        </w:tc>
        <w:tc>
          <w:tcPr>
            <w:tcW w:w="2820" w:type="dxa"/>
            <w:vAlign w:val="bottom"/>
            <w:shd w:val="clear" w:color="auto" w:fill="CFF0FC"/>
          </w:tcPr>
          <w:p>
            <w:pPr>
              <w:ind w:left="280"/>
              <w:spacing w:after="0"/>
              <w:rPr>
                <w:sz w:val="20"/>
                <w:szCs w:val="20"/>
                <w:color w:val="auto"/>
              </w:rPr>
            </w:pPr>
            <w:r>
              <w:rPr>
                <w:rFonts w:ascii="Arial" w:cs="Arial" w:eastAsia="Arial" w:hAnsi="Arial"/>
                <w:sz w:val="16"/>
                <w:szCs w:val="16"/>
                <w:color w:val="auto"/>
              </w:rPr>
              <w:t>First-lien loan ($29,060 par, due</w:t>
            </w: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4/10/2019</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+ 7.50%</w:t>
            </w:r>
          </w:p>
        </w:tc>
        <w:tc>
          <w:tcPr>
            <w:tcW w:w="9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9.50%</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28,431</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29,060</w:t>
            </w:r>
          </w:p>
        </w:tc>
        <w:tc>
          <w:tcPr>
            <w:tcW w:w="2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2.6%</w:t>
            </w:r>
          </w:p>
        </w:tc>
      </w:tr>
      <w:tr>
        <w:trPr>
          <w:trHeight w:val="216"/>
        </w:trPr>
        <w:tc>
          <w:tcPr>
            <w:tcW w:w="2340" w:type="dxa"/>
            <w:vAlign w:val="bottom"/>
            <w:shd w:val="clear" w:color="auto" w:fill="CFF0FC"/>
          </w:tcPr>
          <w:p>
            <w:pPr>
              <w:ind w:left="120"/>
              <w:spacing w:after="0" w:line="216" w:lineRule="exact"/>
              <w:rPr>
                <w:sz w:val="20"/>
                <w:szCs w:val="20"/>
                <w:color w:val="auto"/>
              </w:rPr>
            </w:pPr>
            <w:r>
              <w:rPr>
                <w:rFonts w:ascii="Arial" w:cs="Arial" w:eastAsia="Arial" w:hAnsi="Arial"/>
                <w:sz w:val="15"/>
                <w:szCs w:val="15"/>
                <w:color w:val="auto"/>
              </w:rPr>
              <w:t xml:space="preserve">Holdings, LLC </w:t>
            </w:r>
            <w:r>
              <w:rPr>
                <w:rFonts w:ascii="Arial" w:cs="Arial" w:eastAsia="Arial" w:hAnsi="Arial"/>
                <w:sz w:val="25"/>
                <w:szCs w:val="25"/>
                <w:color w:val="auto"/>
                <w:vertAlign w:val="superscript"/>
              </w:rPr>
              <w:t>(3)</w:t>
            </w:r>
          </w:p>
        </w:tc>
        <w:tc>
          <w:tcPr>
            <w:tcW w:w="2820" w:type="dxa"/>
            <w:vAlign w:val="bottom"/>
            <w:shd w:val="clear" w:color="auto" w:fill="CFF0FC"/>
          </w:tcPr>
          <w:p>
            <w:pPr>
              <w:ind w:left="280"/>
              <w:spacing w:after="0"/>
              <w:rPr>
                <w:sz w:val="20"/>
                <w:szCs w:val="20"/>
                <w:color w:val="auto"/>
              </w:rPr>
            </w:pPr>
            <w:r>
              <w:rPr>
                <w:rFonts w:ascii="Arial" w:cs="Arial" w:eastAsia="Arial" w:hAnsi="Arial"/>
                <w:sz w:val="16"/>
                <w:szCs w:val="16"/>
                <w:color w:val="auto"/>
              </w:rPr>
              <w:t>10/2024)</w:t>
            </w:r>
          </w:p>
        </w:tc>
        <w:tc>
          <w:tcPr>
            <w:tcW w:w="10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34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61,118</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50,487</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4.5%</w:t>
            </w:r>
          </w:p>
        </w:tc>
      </w:tr>
      <w:tr>
        <w:trPr>
          <w:trHeight w:val="213"/>
        </w:trPr>
        <w:tc>
          <w:tcPr>
            <w:tcW w:w="2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Pharmaceuticals</w:t>
            </w:r>
          </w:p>
        </w:tc>
        <w:tc>
          <w:tcPr>
            <w:tcW w:w="282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03"/>
        </w:trPr>
        <w:tc>
          <w:tcPr>
            <w:tcW w:w="2340" w:type="dxa"/>
            <w:vAlign w:val="bottom"/>
          </w:tcPr>
          <w:p>
            <w:pPr>
              <w:spacing w:after="0"/>
              <w:rPr>
                <w:sz w:val="20"/>
                <w:szCs w:val="20"/>
                <w:color w:val="auto"/>
              </w:rPr>
            </w:pPr>
            <w:r>
              <w:rPr>
                <w:rFonts w:ascii="Arial" w:cs="Arial" w:eastAsia="Arial" w:hAnsi="Arial"/>
                <w:sz w:val="16"/>
                <w:szCs w:val="16"/>
                <w:color w:val="auto"/>
              </w:rPr>
              <w:t>Biohaven Pharmaceuticals,</w:t>
            </w:r>
          </w:p>
        </w:tc>
        <w:tc>
          <w:tcPr>
            <w:tcW w:w="2820" w:type="dxa"/>
            <w:vAlign w:val="bottom"/>
          </w:tcPr>
          <w:p>
            <w:pPr>
              <w:ind w:left="280"/>
              <w:spacing w:after="0"/>
              <w:rPr>
                <w:sz w:val="20"/>
                <w:szCs w:val="20"/>
                <w:color w:val="auto"/>
              </w:rPr>
            </w:pPr>
            <w:r>
              <w:rPr>
                <w:rFonts w:ascii="Arial" w:cs="Arial" w:eastAsia="Arial" w:hAnsi="Arial"/>
                <w:sz w:val="16"/>
                <w:szCs w:val="16"/>
                <w:color w:val="auto"/>
              </w:rPr>
              <w:t>First-lien loan ($27,665 par, due</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8/7/2020</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+ 9.00%</w:t>
            </w: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10.00%</w:t>
            </w:r>
          </w:p>
        </w:tc>
        <w:tc>
          <w:tcPr>
            <w:tcW w:w="800" w:type="dxa"/>
            <w:vAlign w:val="bottom"/>
          </w:tcPr>
          <w:p>
            <w:pPr>
              <w:jc w:val="right"/>
              <w:spacing w:after="0"/>
              <w:rPr>
                <w:sz w:val="20"/>
                <w:szCs w:val="20"/>
                <w:color w:val="auto"/>
              </w:rPr>
            </w:pPr>
            <w:r>
              <w:rPr>
                <w:rFonts w:ascii="Arial" w:cs="Arial" w:eastAsia="Arial" w:hAnsi="Arial"/>
                <w:sz w:val="16"/>
                <w:szCs w:val="16"/>
                <w:color w:val="auto"/>
              </w:rPr>
              <w:t>26,419</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26,536</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2.3%</w:t>
            </w:r>
          </w:p>
        </w:tc>
      </w:tr>
      <w:tr>
        <w:trPr>
          <w:trHeight w:val="206"/>
        </w:trPr>
        <w:tc>
          <w:tcPr>
            <w:tcW w:w="2340" w:type="dxa"/>
            <w:vAlign w:val="bottom"/>
          </w:tcPr>
          <w:p>
            <w:pPr>
              <w:ind w:left="120"/>
              <w:spacing w:after="0"/>
              <w:rPr>
                <w:sz w:val="20"/>
                <w:szCs w:val="20"/>
                <w:color w:val="auto"/>
              </w:rPr>
            </w:pPr>
            <w:r>
              <w:rPr>
                <w:rFonts w:ascii="Arial" w:cs="Arial" w:eastAsia="Arial" w:hAnsi="Arial"/>
                <w:sz w:val="16"/>
                <w:szCs w:val="16"/>
                <w:color w:val="auto"/>
              </w:rPr>
              <w:t xml:space="preserve">Inc. </w:t>
            </w:r>
            <w:r>
              <w:rPr>
                <w:rFonts w:ascii="Arial" w:cs="Arial" w:eastAsia="Arial" w:hAnsi="Arial"/>
                <w:sz w:val="13"/>
                <w:szCs w:val="13"/>
                <w:color w:val="auto"/>
              </w:rPr>
              <w:t>(3)(4)</w:t>
            </w:r>
          </w:p>
        </w:tc>
        <w:tc>
          <w:tcPr>
            <w:tcW w:w="2820" w:type="dxa"/>
            <w:vAlign w:val="bottom"/>
          </w:tcPr>
          <w:p>
            <w:pPr>
              <w:ind w:left="280"/>
              <w:spacing w:after="0"/>
              <w:rPr>
                <w:sz w:val="20"/>
                <w:szCs w:val="20"/>
                <w:color w:val="auto"/>
              </w:rPr>
            </w:pPr>
            <w:r>
              <w:rPr>
                <w:rFonts w:ascii="Arial" w:cs="Arial" w:eastAsia="Arial" w:hAnsi="Arial"/>
                <w:sz w:val="16"/>
                <w:szCs w:val="16"/>
                <w:color w:val="auto"/>
              </w:rPr>
              <w:t>8/2025)</w:t>
            </w: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(incl.</w:t>
            </w: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234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4.00%</w:t>
            </w: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23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PIK)</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34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TherapeuticsMD, Inc. </w:t>
            </w:r>
            <w:r>
              <w:rPr>
                <w:rFonts w:ascii="Arial" w:cs="Arial" w:eastAsia="Arial" w:hAnsi="Arial"/>
                <w:sz w:val="24"/>
                <w:szCs w:val="24"/>
                <w:color w:val="auto"/>
                <w:vertAlign w:val="superscript"/>
              </w:rPr>
              <w:t>(3)(4)</w:t>
            </w:r>
          </w:p>
        </w:tc>
        <w:tc>
          <w:tcPr>
            <w:tcW w:w="2820" w:type="dxa"/>
            <w:vAlign w:val="bottom"/>
            <w:shd w:val="clear" w:color="auto" w:fill="CFF0FC"/>
          </w:tcPr>
          <w:p>
            <w:pPr>
              <w:ind w:left="280"/>
              <w:spacing w:after="0"/>
              <w:rPr>
                <w:sz w:val="20"/>
                <w:szCs w:val="20"/>
                <w:color w:val="auto"/>
              </w:rPr>
            </w:pPr>
            <w:r>
              <w:rPr>
                <w:rFonts w:ascii="Arial" w:cs="Arial" w:eastAsia="Arial" w:hAnsi="Arial"/>
                <w:sz w:val="16"/>
                <w:szCs w:val="16"/>
                <w:color w:val="auto"/>
              </w:rPr>
              <w:t>First-lien loan ($37,500 par, due</w:t>
            </w: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4/24/2019</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+ 7.75%</w:t>
            </w:r>
          </w:p>
        </w:tc>
        <w:tc>
          <w:tcPr>
            <w:tcW w:w="9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10.45%</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35,779</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36,562</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3.2%</w:t>
            </w:r>
          </w:p>
        </w:tc>
      </w:tr>
      <w:tr>
        <w:trPr>
          <w:trHeight w:val="209"/>
        </w:trPr>
        <w:tc>
          <w:tcPr>
            <w:tcW w:w="2340" w:type="dxa"/>
            <w:vAlign w:val="bottom"/>
            <w:shd w:val="clear" w:color="auto" w:fill="CFF0FC"/>
          </w:tcPr>
          <w:p>
            <w:pPr>
              <w:spacing w:after="0"/>
              <w:rPr>
                <w:sz w:val="18"/>
                <w:szCs w:val="18"/>
                <w:color w:val="auto"/>
              </w:rPr>
            </w:pPr>
          </w:p>
        </w:tc>
        <w:tc>
          <w:tcPr>
            <w:tcW w:w="2820" w:type="dxa"/>
            <w:vAlign w:val="bottom"/>
            <w:shd w:val="clear" w:color="auto" w:fill="CFF0FC"/>
          </w:tcPr>
          <w:p>
            <w:pPr>
              <w:ind w:left="280"/>
              <w:spacing w:after="0"/>
              <w:rPr>
                <w:sz w:val="20"/>
                <w:szCs w:val="20"/>
                <w:color w:val="auto"/>
              </w:rPr>
            </w:pPr>
            <w:r>
              <w:rPr>
                <w:rFonts w:ascii="Arial" w:cs="Arial" w:eastAsia="Arial" w:hAnsi="Arial"/>
                <w:sz w:val="16"/>
                <w:szCs w:val="16"/>
                <w:color w:val="auto"/>
              </w:rPr>
              <w:t>3/2024)</w:t>
            </w:r>
          </w:p>
        </w:tc>
        <w:tc>
          <w:tcPr>
            <w:tcW w:w="10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0"/>
        </w:trPr>
        <w:tc>
          <w:tcPr>
            <w:tcW w:w="23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62,198</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63,098</w:t>
            </w: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5.5%</w:t>
            </w:r>
          </w:p>
        </w:tc>
      </w:tr>
      <w:tr>
        <w:trPr>
          <w:trHeight w:val="212"/>
        </w:trPr>
        <w:tc>
          <w:tcPr>
            <w:tcW w:w="2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Real Estate</w:t>
            </w:r>
          </w:p>
        </w:tc>
        <w:tc>
          <w:tcPr>
            <w:tcW w:w="282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06"/>
        </w:trPr>
        <w:tc>
          <w:tcPr>
            <w:tcW w:w="2340" w:type="dxa"/>
            <w:vAlign w:val="bottom"/>
          </w:tcPr>
          <w:p>
            <w:pPr>
              <w:spacing w:after="0" w:line="207" w:lineRule="exact"/>
              <w:rPr>
                <w:sz w:val="20"/>
                <w:szCs w:val="20"/>
                <w:color w:val="auto"/>
              </w:rPr>
            </w:pPr>
            <w:r>
              <w:rPr>
                <w:rFonts w:ascii="Arial" w:cs="Arial" w:eastAsia="Arial" w:hAnsi="Arial"/>
                <w:sz w:val="14"/>
                <w:szCs w:val="14"/>
                <w:color w:val="auto"/>
              </w:rPr>
              <w:t xml:space="preserve">ResMan, LLC </w:t>
            </w:r>
            <w:r>
              <w:rPr>
                <w:rFonts w:ascii="Arial" w:cs="Arial" w:eastAsia="Arial" w:hAnsi="Arial"/>
                <w:sz w:val="23"/>
                <w:szCs w:val="23"/>
                <w:color w:val="auto"/>
                <w:vertAlign w:val="superscript"/>
              </w:rPr>
              <w:t>(3)</w:t>
            </w:r>
          </w:p>
        </w:tc>
        <w:tc>
          <w:tcPr>
            <w:tcW w:w="2820" w:type="dxa"/>
            <w:vAlign w:val="bottom"/>
          </w:tcPr>
          <w:p>
            <w:pPr>
              <w:ind w:left="280"/>
              <w:spacing w:after="0"/>
              <w:rPr>
                <w:sz w:val="20"/>
                <w:szCs w:val="20"/>
                <w:color w:val="auto"/>
              </w:rPr>
            </w:pPr>
            <w:r>
              <w:rPr>
                <w:rFonts w:ascii="Arial" w:cs="Arial" w:eastAsia="Arial" w:hAnsi="Arial"/>
                <w:sz w:val="16"/>
                <w:szCs w:val="16"/>
                <w:color w:val="auto"/>
              </w:rPr>
              <w:t>First-lien loan ($29,101 par, due</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10/3/2019</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+ 8.75%</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9.75%</w:t>
            </w:r>
          </w:p>
        </w:tc>
        <w:tc>
          <w:tcPr>
            <w:tcW w:w="800" w:type="dxa"/>
            <w:vAlign w:val="bottom"/>
          </w:tcPr>
          <w:p>
            <w:pPr>
              <w:jc w:val="right"/>
              <w:spacing w:after="0"/>
              <w:rPr>
                <w:sz w:val="20"/>
                <w:szCs w:val="20"/>
                <w:color w:val="auto"/>
              </w:rPr>
            </w:pPr>
            <w:r>
              <w:rPr>
                <w:rFonts w:ascii="Arial" w:cs="Arial" w:eastAsia="Arial" w:hAnsi="Arial"/>
                <w:sz w:val="16"/>
                <w:szCs w:val="16"/>
                <w:color w:val="auto"/>
              </w:rPr>
              <w:t>28,565</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29,009</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2.5%</w:t>
            </w:r>
          </w:p>
        </w:tc>
      </w:tr>
      <w:tr>
        <w:trPr>
          <w:trHeight w:val="206"/>
        </w:trPr>
        <w:tc>
          <w:tcPr>
            <w:tcW w:w="2340" w:type="dxa"/>
            <w:vAlign w:val="bottom"/>
          </w:tcPr>
          <w:p>
            <w:pPr>
              <w:spacing w:after="0"/>
              <w:rPr>
                <w:sz w:val="17"/>
                <w:szCs w:val="17"/>
                <w:color w:val="auto"/>
              </w:rPr>
            </w:pPr>
          </w:p>
        </w:tc>
        <w:tc>
          <w:tcPr>
            <w:tcW w:w="2820" w:type="dxa"/>
            <w:vAlign w:val="bottom"/>
          </w:tcPr>
          <w:p>
            <w:pPr>
              <w:ind w:left="280"/>
              <w:spacing w:after="0"/>
              <w:rPr>
                <w:sz w:val="20"/>
                <w:szCs w:val="20"/>
                <w:color w:val="auto"/>
              </w:rPr>
            </w:pPr>
            <w:r>
              <w:rPr>
                <w:rFonts w:ascii="Arial" w:cs="Arial" w:eastAsia="Arial" w:hAnsi="Arial"/>
                <w:sz w:val="16"/>
                <w:szCs w:val="16"/>
                <w:color w:val="auto"/>
              </w:rPr>
              <w:t>10/2024)</w:t>
            </w: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r>
    </w:tbl>
    <w:p>
      <w:pPr>
        <w:spacing w:after="0" w:line="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Retail and consumer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51"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99"/>
        </w:trPr>
        <w:tc>
          <w:tcPr>
            <w:tcW w:w="2520" w:type="dxa"/>
            <w:vAlign w:val="bottom"/>
          </w:tcPr>
          <w:p>
            <w:pPr>
              <w:spacing w:after="0"/>
              <w:rPr>
                <w:sz w:val="20"/>
                <w:szCs w:val="20"/>
                <w:color w:val="auto"/>
              </w:rPr>
            </w:pPr>
            <w:r>
              <w:rPr>
                <w:rFonts w:ascii="Arial" w:cs="Arial" w:eastAsia="Arial" w:hAnsi="Arial"/>
                <w:sz w:val="16"/>
                <w:szCs w:val="16"/>
                <w:color w:val="auto"/>
              </w:rPr>
              <w:t>99 Cents Only Stores</w:t>
            </w:r>
          </w:p>
        </w:tc>
        <w:tc>
          <w:tcPr>
            <w:tcW w:w="2760" w:type="dxa"/>
            <w:vAlign w:val="bottom"/>
          </w:tcPr>
          <w:p>
            <w:pPr>
              <w:ind w:left="140"/>
              <w:spacing w:after="0"/>
              <w:rPr>
                <w:sz w:val="20"/>
                <w:szCs w:val="20"/>
                <w:color w:val="auto"/>
              </w:rPr>
            </w:pPr>
            <w:r>
              <w:rPr>
                <w:rFonts w:ascii="Arial" w:cs="Arial" w:eastAsia="Arial" w:hAnsi="Arial"/>
                <w:sz w:val="16"/>
                <w:szCs w:val="16"/>
                <w:color w:val="auto"/>
              </w:rPr>
              <w:t>ABL FILO term loan ($32,500 par,</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9/6/2017</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L + 8.50%</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9.50%</w:t>
            </w:r>
          </w:p>
        </w:tc>
        <w:tc>
          <w:tcPr>
            <w:tcW w:w="780" w:type="dxa"/>
            <w:vAlign w:val="bottom"/>
          </w:tcPr>
          <w:p>
            <w:pPr>
              <w:jc w:val="right"/>
              <w:spacing w:after="0"/>
              <w:rPr>
                <w:sz w:val="20"/>
                <w:szCs w:val="20"/>
                <w:color w:val="auto"/>
              </w:rPr>
            </w:pPr>
            <w:r>
              <w:rPr>
                <w:rFonts w:ascii="Arial" w:cs="Arial" w:eastAsia="Arial" w:hAnsi="Arial"/>
                <w:sz w:val="16"/>
                <w:szCs w:val="16"/>
                <w:color w:val="auto"/>
              </w:rPr>
              <w:t>31,916</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33,231</w:t>
            </w:r>
          </w:p>
        </w:tc>
        <w:tc>
          <w:tcPr>
            <w:tcW w:w="20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6"/>
        </w:trPr>
        <w:tc>
          <w:tcPr>
            <w:tcW w:w="2520" w:type="dxa"/>
            <w:vAlign w:val="bottom"/>
          </w:tcPr>
          <w:p>
            <w:pPr>
              <w:ind w:left="120"/>
              <w:spacing w:after="0" w:line="216" w:lineRule="exact"/>
              <w:rPr>
                <w:sz w:val="20"/>
                <w:szCs w:val="20"/>
                <w:color w:val="auto"/>
              </w:rPr>
            </w:pPr>
            <w:r>
              <w:rPr>
                <w:rFonts w:ascii="Arial" w:cs="Arial" w:eastAsia="Arial" w:hAnsi="Arial"/>
                <w:sz w:val="15"/>
                <w:szCs w:val="15"/>
                <w:color w:val="auto"/>
              </w:rPr>
              <w:t xml:space="preserve">LLC </w:t>
            </w:r>
            <w:r>
              <w:rPr>
                <w:rFonts w:ascii="Arial" w:cs="Arial" w:eastAsia="Arial" w:hAnsi="Arial"/>
                <w:sz w:val="25"/>
                <w:szCs w:val="25"/>
                <w:color w:val="auto"/>
                <w:vertAlign w:val="superscript"/>
              </w:rPr>
              <w:t>(3)</w:t>
            </w:r>
          </w:p>
        </w:tc>
        <w:tc>
          <w:tcPr>
            <w:tcW w:w="2760" w:type="dxa"/>
            <w:vAlign w:val="bottom"/>
          </w:tcPr>
          <w:p>
            <w:pPr>
              <w:ind w:left="140"/>
              <w:spacing w:after="0"/>
              <w:rPr>
                <w:sz w:val="20"/>
                <w:szCs w:val="20"/>
                <w:color w:val="auto"/>
              </w:rPr>
            </w:pPr>
            <w:r>
              <w:rPr>
                <w:rFonts w:ascii="Arial" w:cs="Arial" w:eastAsia="Arial" w:hAnsi="Arial"/>
                <w:sz w:val="16"/>
                <w:szCs w:val="16"/>
                <w:color w:val="auto"/>
              </w:rPr>
              <w:t>due 12/2021)</w:t>
            </w:r>
          </w:p>
        </w:tc>
        <w:tc>
          <w:tcPr>
            <w:tcW w:w="1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520" w:type="dxa"/>
            <w:vAlign w:val="bottom"/>
            <w:shd w:val="clear" w:color="auto" w:fill="CFF0FC"/>
          </w:tcPr>
          <w:p>
            <w:pPr>
              <w:spacing w:after="0"/>
              <w:rPr>
                <w:sz w:val="20"/>
                <w:szCs w:val="20"/>
                <w:color w:val="auto"/>
              </w:rPr>
            </w:pPr>
            <w:r>
              <w:rPr>
                <w:rFonts w:ascii="Arial" w:cs="Arial" w:eastAsia="Arial" w:hAnsi="Arial"/>
                <w:sz w:val="16"/>
                <w:szCs w:val="16"/>
                <w:color w:val="auto"/>
              </w:rPr>
              <w:t>American Achievement,</w:t>
            </w:r>
          </w:p>
        </w:tc>
        <w:tc>
          <w:tcPr>
            <w:tcW w:w="27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First-lien loan ($23,745 par, due</w:t>
            </w: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9/30/2015</w:t>
            </w:r>
          </w:p>
        </w:tc>
        <w:tc>
          <w:tcPr>
            <w:tcW w:w="11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L + 8.25%</w:t>
            </w:r>
          </w:p>
        </w:tc>
        <w:tc>
          <w:tcPr>
            <w:tcW w:w="92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9.25%</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23,687</w:t>
            </w: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21,964</w:t>
            </w:r>
          </w:p>
        </w:tc>
        <w:tc>
          <w:tcPr>
            <w:tcW w:w="2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6"/>
        </w:trPr>
        <w:tc>
          <w:tcPr>
            <w:tcW w:w="25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 xml:space="preserve">Corp. </w:t>
            </w:r>
            <w:r>
              <w:rPr>
                <w:rFonts w:ascii="Arial" w:cs="Arial" w:eastAsia="Arial" w:hAnsi="Arial"/>
                <w:sz w:val="13"/>
                <w:szCs w:val="13"/>
                <w:color w:val="auto"/>
              </w:rPr>
              <w:t>(3)(5)</w:t>
            </w:r>
          </w:p>
        </w:tc>
        <w:tc>
          <w:tcPr>
            <w:tcW w:w="27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9/2022)</w:t>
            </w:r>
          </w:p>
        </w:tc>
        <w:tc>
          <w:tcPr>
            <w:tcW w:w="10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(incl.</w:t>
            </w: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20" w:type="dxa"/>
            <w:vAlign w:val="bottom"/>
            <w:shd w:val="clear" w:color="auto" w:fill="CFF0FC"/>
          </w:tcPr>
          <w:p>
            <w:pPr>
              <w:spacing w:after="0"/>
              <w:rPr>
                <w:sz w:val="17"/>
                <w:szCs w:val="17"/>
                <w:color w:val="auto"/>
              </w:rPr>
            </w:pPr>
          </w:p>
        </w:tc>
        <w:tc>
          <w:tcPr>
            <w:tcW w:w="27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3.25%</w:t>
            </w: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520" w:type="dxa"/>
            <w:vAlign w:val="bottom"/>
            <w:shd w:val="clear" w:color="auto" w:fill="CFF0FC"/>
          </w:tcPr>
          <w:p>
            <w:pPr>
              <w:spacing w:after="0"/>
              <w:rPr>
                <w:sz w:val="18"/>
                <w:szCs w:val="18"/>
                <w:color w:val="auto"/>
              </w:rPr>
            </w:pPr>
          </w:p>
        </w:tc>
        <w:tc>
          <w:tcPr>
            <w:tcW w:w="27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PIK)</w:t>
            </w: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520" w:type="dxa"/>
            <w:vAlign w:val="bottom"/>
          </w:tcPr>
          <w:p>
            <w:pPr>
              <w:spacing w:after="0" w:line="207" w:lineRule="exact"/>
              <w:rPr>
                <w:sz w:val="20"/>
                <w:szCs w:val="20"/>
                <w:color w:val="auto"/>
              </w:rPr>
            </w:pPr>
            <w:r>
              <w:rPr>
                <w:rFonts w:ascii="Arial" w:cs="Arial" w:eastAsia="Arial" w:hAnsi="Arial"/>
                <w:sz w:val="14"/>
                <w:szCs w:val="14"/>
                <w:color w:val="auto"/>
              </w:rPr>
              <w:t xml:space="preserve">Centric Brands, Inc. </w:t>
            </w:r>
            <w:r>
              <w:rPr>
                <w:rFonts w:ascii="Arial" w:cs="Arial" w:eastAsia="Arial" w:hAnsi="Arial"/>
                <w:sz w:val="23"/>
                <w:szCs w:val="23"/>
                <w:color w:val="auto"/>
                <w:vertAlign w:val="superscript"/>
              </w:rPr>
              <w:t>(3)(5)</w:t>
            </w:r>
          </w:p>
        </w:tc>
        <w:tc>
          <w:tcPr>
            <w:tcW w:w="2760" w:type="dxa"/>
            <w:vAlign w:val="bottom"/>
          </w:tcPr>
          <w:p>
            <w:pPr>
              <w:ind w:left="140"/>
              <w:spacing w:after="0"/>
              <w:rPr>
                <w:sz w:val="20"/>
                <w:szCs w:val="20"/>
                <w:color w:val="auto"/>
              </w:rPr>
            </w:pPr>
            <w:r>
              <w:rPr>
                <w:rFonts w:ascii="Arial" w:cs="Arial" w:eastAsia="Arial" w:hAnsi="Arial"/>
                <w:sz w:val="16"/>
                <w:szCs w:val="16"/>
                <w:color w:val="auto"/>
                <w:w w:val="98"/>
              </w:rPr>
              <w:t>First-lien revolving loan ($79,410 par,</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7/16/2020</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L + 6.50%</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7.50%</w:t>
            </w:r>
          </w:p>
        </w:tc>
        <w:tc>
          <w:tcPr>
            <w:tcW w:w="780" w:type="dxa"/>
            <w:vAlign w:val="bottom"/>
          </w:tcPr>
          <w:p>
            <w:pPr>
              <w:jc w:val="right"/>
              <w:spacing w:after="0"/>
              <w:rPr>
                <w:sz w:val="20"/>
                <w:szCs w:val="20"/>
                <w:color w:val="auto"/>
              </w:rPr>
            </w:pPr>
            <w:r>
              <w:rPr>
                <w:rFonts w:ascii="Arial" w:cs="Arial" w:eastAsia="Arial" w:hAnsi="Arial"/>
                <w:sz w:val="16"/>
                <w:szCs w:val="16"/>
                <w:color w:val="auto"/>
              </w:rPr>
              <w:t>78,884</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79,410</w:t>
            </w:r>
          </w:p>
        </w:tc>
        <w:tc>
          <w:tcPr>
            <w:tcW w:w="20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09"/>
        </w:trPr>
        <w:tc>
          <w:tcPr>
            <w:tcW w:w="2520" w:type="dxa"/>
            <w:vAlign w:val="bottom"/>
          </w:tcPr>
          <w:p>
            <w:pPr>
              <w:spacing w:after="0"/>
              <w:rPr>
                <w:sz w:val="18"/>
                <w:szCs w:val="18"/>
                <w:color w:val="auto"/>
              </w:rPr>
            </w:pPr>
          </w:p>
        </w:tc>
        <w:tc>
          <w:tcPr>
            <w:tcW w:w="2760" w:type="dxa"/>
            <w:vAlign w:val="bottom"/>
          </w:tcPr>
          <w:p>
            <w:pPr>
              <w:ind w:left="140"/>
              <w:spacing w:after="0"/>
              <w:rPr>
                <w:sz w:val="20"/>
                <w:szCs w:val="20"/>
                <w:color w:val="auto"/>
              </w:rPr>
            </w:pPr>
            <w:r>
              <w:rPr>
                <w:rFonts w:ascii="Arial" w:cs="Arial" w:eastAsia="Arial" w:hAnsi="Arial"/>
                <w:sz w:val="16"/>
                <w:szCs w:val="16"/>
                <w:color w:val="auto"/>
              </w:rPr>
              <w:t>due 10/2020)</w:t>
            </w:r>
          </w:p>
        </w:tc>
        <w:tc>
          <w:tcPr>
            <w:tcW w:w="1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2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Designer Brands, Inc. </w:t>
            </w:r>
            <w:r>
              <w:rPr>
                <w:rFonts w:ascii="Arial" w:cs="Arial" w:eastAsia="Arial" w:hAnsi="Arial"/>
                <w:sz w:val="24"/>
                <w:szCs w:val="24"/>
                <w:color w:val="auto"/>
                <w:vertAlign w:val="superscript"/>
              </w:rPr>
              <w:t>(3)(4)</w:t>
            </w:r>
          </w:p>
        </w:tc>
        <w:tc>
          <w:tcPr>
            <w:tcW w:w="2760" w:type="dxa"/>
            <w:vAlign w:val="bottom"/>
            <w:shd w:val="clear" w:color="auto" w:fill="CFF0FC"/>
          </w:tcPr>
          <w:p>
            <w:pPr>
              <w:ind w:left="140"/>
              <w:spacing w:after="0"/>
              <w:rPr>
                <w:sz w:val="20"/>
                <w:szCs w:val="20"/>
                <w:color w:val="auto"/>
              </w:rPr>
            </w:pPr>
            <w:r>
              <w:rPr>
                <w:rFonts w:ascii="Arial" w:cs="Arial" w:eastAsia="Arial" w:hAnsi="Arial"/>
                <w:sz w:val="16"/>
                <w:szCs w:val="16"/>
                <w:color w:val="auto"/>
                <w:w w:val="99"/>
              </w:rPr>
              <w:t>ABL First-lien loan ($50,000 par, due</w:t>
            </w: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8/7/2020</w:t>
            </w:r>
          </w:p>
        </w:tc>
        <w:tc>
          <w:tcPr>
            <w:tcW w:w="11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L + 8.50%</w:t>
            </w:r>
          </w:p>
        </w:tc>
        <w:tc>
          <w:tcPr>
            <w:tcW w:w="9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9.75%</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48,779</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49,250</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2"/>
        </w:trPr>
        <w:tc>
          <w:tcPr>
            <w:tcW w:w="2520" w:type="dxa"/>
            <w:vAlign w:val="bottom"/>
            <w:shd w:val="clear" w:color="auto" w:fill="CFF0FC"/>
          </w:tcPr>
          <w:p>
            <w:pPr>
              <w:spacing w:after="0"/>
              <w:rPr>
                <w:sz w:val="18"/>
                <w:szCs w:val="18"/>
                <w:color w:val="auto"/>
              </w:rPr>
            </w:pPr>
          </w:p>
        </w:tc>
        <w:tc>
          <w:tcPr>
            <w:tcW w:w="27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8/2025)</w:t>
            </w:r>
          </w:p>
        </w:tc>
        <w:tc>
          <w:tcPr>
            <w:tcW w:w="10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520" w:type="dxa"/>
            <w:vAlign w:val="bottom"/>
          </w:tcPr>
          <w:p>
            <w:pPr>
              <w:spacing w:after="0"/>
              <w:rPr>
                <w:sz w:val="20"/>
                <w:szCs w:val="20"/>
                <w:color w:val="auto"/>
              </w:rPr>
            </w:pPr>
            <w:r>
              <w:rPr>
                <w:rFonts w:ascii="Arial" w:cs="Arial" w:eastAsia="Arial" w:hAnsi="Arial"/>
                <w:sz w:val="16"/>
                <w:szCs w:val="16"/>
                <w:color w:val="auto"/>
              </w:rPr>
              <w:t>J.C. Penney Company,</w:t>
            </w:r>
          </w:p>
        </w:tc>
        <w:tc>
          <w:tcPr>
            <w:tcW w:w="2760" w:type="dxa"/>
            <w:vAlign w:val="bottom"/>
          </w:tcPr>
          <w:p>
            <w:pPr>
              <w:ind w:left="140"/>
              <w:spacing w:after="0"/>
              <w:rPr>
                <w:sz w:val="20"/>
                <w:szCs w:val="20"/>
                <w:color w:val="auto"/>
              </w:rPr>
            </w:pPr>
            <w:r>
              <w:rPr>
                <w:rFonts w:ascii="Arial" w:cs="Arial" w:eastAsia="Arial" w:hAnsi="Arial"/>
                <w:sz w:val="16"/>
                <w:szCs w:val="16"/>
                <w:color w:val="auto"/>
                <w:w w:val="98"/>
              </w:rPr>
              <w:t>ABL DIP term loan ($12,198 par, due</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6/8/2020</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L + 11.75%</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13.00%</w:t>
            </w:r>
          </w:p>
        </w:tc>
        <w:tc>
          <w:tcPr>
            <w:tcW w:w="780" w:type="dxa"/>
            <w:vAlign w:val="bottom"/>
          </w:tcPr>
          <w:p>
            <w:pPr>
              <w:jc w:val="right"/>
              <w:spacing w:after="0"/>
              <w:rPr>
                <w:sz w:val="20"/>
                <w:szCs w:val="20"/>
                <w:color w:val="auto"/>
              </w:rPr>
            </w:pPr>
            <w:r>
              <w:rPr>
                <w:rFonts w:ascii="Arial" w:cs="Arial" w:eastAsia="Arial" w:hAnsi="Arial"/>
                <w:sz w:val="16"/>
                <w:szCs w:val="16"/>
                <w:color w:val="auto"/>
              </w:rPr>
              <w:t>12,204</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15,369</w:t>
            </w:r>
          </w:p>
        </w:tc>
        <w:tc>
          <w:tcPr>
            <w:tcW w:w="20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6"/>
        </w:trPr>
        <w:tc>
          <w:tcPr>
            <w:tcW w:w="2520" w:type="dxa"/>
            <w:vAlign w:val="bottom"/>
          </w:tcPr>
          <w:p>
            <w:pPr>
              <w:ind w:left="120"/>
              <w:spacing w:after="0" w:line="216" w:lineRule="exact"/>
              <w:rPr>
                <w:sz w:val="20"/>
                <w:szCs w:val="20"/>
                <w:color w:val="auto"/>
              </w:rPr>
            </w:pPr>
            <w:r>
              <w:rPr>
                <w:rFonts w:ascii="Arial" w:cs="Arial" w:eastAsia="Arial" w:hAnsi="Arial"/>
                <w:sz w:val="15"/>
                <w:szCs w:val="15"/>
                <w:color w:val="auto"/>
              </w:rPr>
              <w:t xml:space="preserve">Inc. </w:t>
            </w:r>
            <w:r>
              <w:rPr>
                <w:rFonts w:ascii="Arial" w:cs="Arial" w:eastAsia="Arial" w:hAnsi="Arial"/>
                <w:sz w:val="25"/>
                <w:szCs w:val="25"/>
                <w:color w:val="auto"/>
                <w:vertAlign w:val="superscript"/>
              </w:rPr>
              <w:t>(11)</w:t>
            </w:r>
          </w:p>
        </w:tc>
        <w:tc>
          <w:tcPr>
            <w:tcW w:w="2760" w:type="dxa"/>
            <w:vAlign w:val="bottom"/>
          </w:tcPr>
          <w:p>
            <w:pPr>
              <w:ind w:left="140"/>
              <w:spacing w:after="0" w:line="216" w:lineRule="exact"/>
              <w:rPr>
                <w:sz w:val="20"/>
                <w:szCs w:val="20"/>
                <w:color w:val="auto"/>
              </w:rPr>
            </w:pPr>
            <w:r>
              <w:rPr>
                <w:rFonts w:ascii="Arial" w:cs="Arial" w:eastAsia="Arial" w:hAnsi="Arial"/>
                <w:sz w:val="15"/>
                <w:szCs w:val="15"/>
                <w:color w:val="auto"/>
              </w:rPr>
              <w:t xml:space="preserve">11/2020) </w:t>
            </w:r>
            <w:r>
              <w:rPr>
                <w:rFonts w:ascii="Arial" w:cs="Arial" w:eastAsia="Arial" w:hAnsi="Arial"/>
                <w:sz w:val="25"/>
                <w:szCs w:val="25"/>
                <w:color w:val="auto"/>
                <w:vertAlign w:val="superscript"/>
              </w:rPr>
              <w:t>(3)</w:t>
            </w:r>
          </w:p>
        </w:tc>
        <w:tc>
          <w:tcPr>
            <w:tcW w:w="1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520" w:type="dxa"/>
            <w:vAlign w:val="bottom"/>
            <w:shd w:val="clear" w:color="auto" w:fill="CFF0FC"/>
          </w:tcPr>
          <w:p>
            <w:pPr>
              <w:spacing w:after="0"/>
              <w:rPr>
                <w:sz w:val="17"/>
                <w:szCs w:val="17"/>
                <w:color w:val="auto"/>
              </w:rPr>
            </w:pPr>
          </w:p>
        </w:tc>
        <w:tc>
          <w:tcPr>
            <w:tcW w:w="2760" w:type="dxa"/>
            <w:vAlign w:val="bottom"/>
            <w:shd w:val="clear" w:color="auto" w:fill="CFF0FC"/>
          </w:tcPr>
          <w:p>
            <w:pPr>
              <w:ind w:left="140"/>
              <w:spacing w:after="0"/>
              <w:rPr>
                <w:sz w:val="20"/>
                <w:szCs w:val="20"/>
                <w:color w:val="auto"/>
              </w:rPr>
            </w:pPr>
            <w:r>
              <w:rPr>
                <w:rFonts w:ascii="Arial" w:cs="Arial" w:eastAsia="Arial" w:hAnsi="Arial"/>
                <w:sz w:val="16"/>
                <w:szCs w:val="16"/>
                <w:color w:val="auto"/>
                <w:w w:val="98"/>
              </w:rPr>
              <w:t>First-lien loan ($678 par, due 6/2023)</w:t>
            </w: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6/9/2020</w:t>
            </w:r>
          </w:p>
        </w:tc>
        <w:tc>
          <w:tcPr>
            <w:tcW w:w="11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L + 4.25%</w:t>
            </w:r>
          </w:p>
        </w:tc>
        <w:tc>
          <w:tcPr>
            <w:tcW w:w="9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5.25%</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261</w:t>
            </w: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209</w:t>
            </w:r>
          </w:p>
        </w:tc>
        <w:tc>
          <w:tcPr>
            <w:tcW w:w="2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175"/>
        </w:trPr>
        <w:tc>
          <w:tcPr>
            <w:tcW w:w="2520" w:type="dxa"/>
            <w:vAlign w:val="bottom"/>
            <w:shd w:val="clear" w:color="auto" w:fill="CFF0FC"/>
          </w:tcPr>
          <w:p>
            <w:pPr>
              <w:spacing w:after="0"/>
              <w:rPr>
                <w:sz w:val="15"/>
                <w:szCs w:val="15"/>
                <w:color w:val="auto"/>
              </w:rPr>
            </w:pPr>
          </w:p>
        </w:tc>
        <w:tc>
          <w:tcPr>
            <w:tcW w:w="2760" w:type="dxa"/>
            <w:vAlign w:val="bottom"/>
            <w:shd w:val="clear" w:color="auto" w:fill="CFF0FC"/>
          </w:tcPr>
          <w:p>
            <w:pPr>
              <w:ind w:left="140"/>
              <w:spacing w:after="0"/>
              <w:rPr>
                <w:sz w:val="20"/>
                <w:szCs w:val="20"/>
                <w:color w:val="auto"/>
              </w:rPr>
            </w:pPr>
            <w:r>
              <w:rPr>
                <w:rFonts w:ascii="Arial" w:cs="Arial" w:eastAsia="Arial" w:hAnsi="Arial"/>
                <w:sz w:val="14"/>
                <w:szCs w:val="14"/>
                <w:color w:val="auto"/>
              </w:rPr>
              <w:t>(3)(16)</w:t>
            </w:r>
          </w:p>
        </w:tc>
        <w:tc>
          <w:tcPr>
            <w:tcW w:w="10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520" w:type="dxa"/>
            <w:vAlign w:val="bottom"/>
          </w:tcPr>
          <w:p>
            <w:pPr>
              <w:spacing w:after="0"/>
              <w:rPr>
                <w:sz w:val="17"/>
                <w:szCs w:val="17"/>
                <w:color w:val="auto"/>
              </w:rPr>
            </w:pPr>
          </w:p>
        </w:tc>
        <w:tc>
          <w:tcPr>
            <w:tcW w:w="2760" w:type="dxa"/>
            <w:vAlign w:val="bottom"/>
          </w:tcPr>
          <w:p>
            <w:pPr>
              <w:ind w:left="140"/>
              <w:spacing w:after="0"/>
              <w:rPr>
                <w:sz w:val="20"/>
                <w:szCs w:val="20"/>
                <w:color w:val="auto"/>
              </w:rPr>
            </w:pPr>
            <w:r>
              <w:rPr>
                <w:rFonts w:ascii="Arial" w:cs="Arial" w:eastAsia="Arial" w:hAnsi="Arial"/>
                <w:sz w:val="16"/>
                <w:szCs w:val="16"/>
                <w:color w:val="auto"/>
              </w:rPr>
              <w:t>First-lien loan ($3,520 par, due</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6/5/2019</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L + 4.25%</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5.25%</w:t>
            </w:r>
          </w:p>
        </w:tc>
        <w:tc>
          <w:tcPr>
            <w:tcW w:w="780" w:type="dxa"/>
            <w:vAlign w:val="bottom"/>
          </w:tcPr>
          <w:p>
            <w:pPr>
              <w:jc w:val="right"/>
              <w:spacing w:after="0"/>
              <w:rPr>
                <w:sz w:val="20"/>
                <w:szCs w:val="20"/>
                <w:color w:val="auto"/>
              </w:rPr>
            </w:pPr>
            <w:r>
              <w:rPr>
                <w:rFonts w:ascii="Arial" w:cs="Arial" w:eastAsia="Arial" w:hAnsi="Arial"/>
                <w:sz w:val="16"/>
                <w:szCs w:val="16"/>
                <w:color w:val="auto"/>
              </w:rPr>
              <w:t>2,949</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1,091</w:t>
            </w:r>
          </w:p>
        </w:tc>
        <w:tc>
          <w:tcPr>
            <w:tcW w:w="20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3"/>
        </w:trPr>
        <w:tc>
          <w:tcPr>
            <w:tcW w:w="2520" w:type="dxa"/>
            <w:vAlign w:val="bottom"/>
          </w:tcPr>
          <w:p>
            <w:pPr>
              <w:spacing w:after="0"/>
              <w:rPr>
                <w:sz w:val="18"/>
                <w:szCs w:val="18"/>
                <w:color w:val="auto"/>
              </w:rPr>
            </w:pPr>
          </w:p>
        </w:tc>
        <w:tc>
          <w:tcPr>
            <w:tcW w:w="2760" w:type="dxa"/>
            <w:vAlign w:val="bottom"/>
          </w:tcPr>
          <w:p>
            <w:pPr>
              <w:ind w:left="140"/>
              <w:spacing w:after="0"/>
              <w:rPr>
                <w:sz w:val="20"/>
                <w:szCs w:val="20"/>
                <w:color w:val="auto"/>
              </w:rPr>
            </w:pPr>
            <w:r>
              <w:rPr>
                <w:rFonts w:ascii="Arial" w:cs="Arial" w:eastAsia="Arial" w:hAnsi="Arial"/>
                <w:sz w:val="16"/>
                <w:szCs w:val="16"/>
                <w:color w:val="auto"/>
              </w:rPr>
              <w:t xml:space="preserve">6/2023) </w:t>
            </w:r>
            <w:r>
              <w:rPr>
                <w:rFonts w:ascii="Arial" w:cs="Arial" w:eastAsia="Arial" w:hAnsi="Arial"/>
                <w:sz w:val="13"/>
                <w:szCs w:val="13"/>
                <w:color w:val="auto"/>
              </w:rPr>
              <w:t>(3)(16)</w:t>
            </w:r>
          </w:p>
        </w:tc>
        <w:tc>
          <w:tcPr>
            <w:tcW w:w="1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520" w:type="dxa"/>
            <w:vAlign w:val="bottom"/>
            <w:shd w:val="clear" w:color="auto" w:fill="CFF0FC"/>
          </w:tcPr>
          <w:p>
            <w:pPr>
              <w:spacing w:after="0"/>
              <w:rPr>
                <w:sz w:val="17"/>
                <w:szCs w:val="17"/>
                <w:color w:val="auto"/>
              </w:rPr>
            </w:pPr>
          </w:p>
        </w:tc>
        <w:tc>
          <w:tcPr>
            <w:tcW w:w="27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First-lien secured note ($12,717 par,</w:t>
            </w: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6/5/2019</w:t>
            </w:r>
          </w:p>
        </w:tc>
        <w:tc>
          <w:tcPr>
            <w:tcW w:w="11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5.88%</w:t>
            </w:r>
          </w:p>
        </w:tc>
        <w:tc>
          <w:tcPr>
            <w:tcW w:w="9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5.88%</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10,404</w:t>
            </w: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3,942</w:t>
            </w:r>
          </w:p>
        </w:tc>
        <w:tc>
          <w:tcPr>
            <w:tcW w:w="2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6"/>
        </w:trPr>
        <w:tc>
          <w:tcPr>
            <w:tcW w:w="2520" w:type="dxa"/>
            <w:vAlign w:val="bottom"/>
            <w:shd w:val="clear" w:color="auto" w:fill="CFF0FC"/>
          </w:tcPr>
          <w:p>
            <w:pPr>
              <w:spacing w:after="0"/>
              <w:rPr>
                <w:sz w:val="18"/>
                <w:szCs w:val="18"/>
                <w:color w:val="auto"/>
              </w:rPr>
            </w:pPr>
          </w:p>
        </w:tc>
        <w:tc>
          <w:tcPr>
            <w:tcW w:w="2760" w:type="dxa"/>
            <w:vAlign w:val="bottom"/>
            <w:shd w:val="clear" w:color="auto" w:fill="CFF0FC"/>
          </w:tcPr>
          <w:p>
            <w:pPr>
              <w:ind w:left="140"/>
              <w:spacing w:after="0" w:line="216" w:lineRule="exact"/>
              <w:rPr>
                <w:sz w:val="20"/>
                <w:szCs w:val="20"/>
                <w:color w:val="auto"/>
              </w:rPr>
            </w:pPr>
            <w:r>
              <w:rPr>
                <w:rFonts w:ascii="Arial" w:cs="Arial" w:eastAsia="Arial" w:hAnsi="Arial"/>
                <w:sz w:val="15"/>
                <w:szCs w:val="15"/>
                <w:color w:val="auto"/>
              </w:rPr>
              <w:t xml:space="preserve">due 7/2023) </w:t>
            </w:r>
            <w:r>
              <w:rPr>
                <w:rFonts w:ascii="Arial" w:cs="Arial" w:eastAsia="Arial" w:hAnsi="Arial"/>
                <w:sz w:val="25"/>
                <w:szCs w:val="25"/>
                <w:color w:val="auto"/>
                <w:vertAlign w:val="superscript"/>
              </w:rPr>
              <w:t>(16)</w:t>
            </w:r>
          </w:p>
        </w:tc>
        <w:tc>
          <w:tcPr>
            <w:tcW w:w="10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520" w:type="dxa"/>
            <w:vAlign w:val="bottom"/>
          </w:tcPr>
          <w:p>
            <w:pPr>
              <w:spacing w:after="0" w:line="207" w:lineRule="exact"/>
              <w:rPr>
                <w:sz w:val="20"/>
                <w:szCs w:val="20"/>
                <w:color w:val="auto"/>
              </w:rPr>
            </w:pPr>
            <w:r>
              <w:rPr>
                <w:rFonts w:ascii="Arial" w:cs="Arial" w:eastAsia="Arial" w:hAnsi="Arial"/>
                <w:sz w:val="14"/>
                <w:szCs w:val="14"/>
                <w:color w:val="auto"/>
              </w:rPr>
              <w:t xml:space="preserve">Maurices, Inc. </w:t>
            </w:r>
            <w:r>
              <w:rPr>
                <w:rFonts w:ascii="Arial" w:cs="Arial" w:eastAsia="Arial" w:hAnsi="Arial"/>
                <w:sz w:val="23"/>
                <w:szCs w:val="23"/>
                <w:color w:val="auto"/>
                <w:vertAlign w:val="superscript"/>
              </w:rPr>
              <w:t>(3)(5)</w:t>
            </w:r>
          </w:p>
        </w:tc>
        <w:tc>
          <w:tcPr>
            <w:tcW w:w="2760" w:type="dxa"/>
            <w:vAlign w:val="bottom"/>
          </w:tcPr>
          <w:p>
            <w:pPr>
              <w:ind w:left="140"/>
              <w:spacing w:after="0"/>
              <w:rPr>
                <w:sz w:val="20"/>
                <w:szCs w:val="20"/>
                <w:color w:val="auto"/>
              </w:rPr>
            </w:pPr>
            <w:r>
              <w:rPr>
                <w:rFonts w:ascii="Arial" w:cs="Arial" w:eastAsia="Arial" w:hAnsi="Arial"/>
                <w:sz w:val="16"/>
                <w:szCs w:val="16"/>
                <w:color w:val="auto"/>
              </w:rPr>
              <w:t>ABL FILO term loan ($24,444 par,</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5/6/2019</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L + 6.50%</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7.75%</w:t>
            </w:r>
          </w:p>
        </w:tc>
        <w:tc>
          <w:tcPr>
            <w:tcW w:w="780" w:type="dxa"/>
            <w:vAlign w:val="bottom"/>
          </w:tcPr>
          <w:p>
            <w:pPr>
              <w:jc w:val="right"/>
              <w:spacing w:after="0"/>
              <w:rPr>
                <w:sz w:val="20"/>
                <w:szCs w:val="20"/>
                <w:color w:val="auto"/>
              </w:rPr>
            </w:pPr>
            <w:r>
              <w:rPr>
                <w:rFonts w:ascii="Arial" w:cs="Arial" w:eastAsia="Arial" w:hAnsi="Arial"/>
                <w:sz w:val="16"/>
                <w:szCs w:val="16"/>
                <w:color w:val="auto"/>
              </w:rPr>
              <w:t>23,872</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24,933</w:t>
            </w:r>
          </w:p>
        </w:tc>
        <w:tc>
          <w:tcPr>
            <w:tcW w:w="20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9"/>
        </w:trPr>
        <w:tc>
          <w:tcPr>
            <w:tcW w:w="2520" w:type="dxa"/>
            <w:vAlign w:val="bottom"/>
          </w:tcPr>
          <w:p>
            <w:pPr>
              <w:spacing w:after="0"/>
              <w:rPr>
                <w:sz w:val="18"/>
                <w:szCs w:val="18"/>
                <w:color w:val="auto"/>
              </w:rPr>
            </w:pPr>
          </w:p>
        </w:tc>
        <w:tc>
          <w:tcPr>
            <w:tcW w:w="2760" w:type="dxa"/>
            <w:vAlign w:val="bottom"/>
          </w:tcPr>
          <w:p>
            <w:pPr>
              <w:ind w:left="140"/>
              <w:spacing w:after="0"/>
              <w:rPr>
                <w:sz w:val="20"/>
                <w:szCs w:val="20"/>
                <w:color w:val="auto"/>
              </w:rPr>
            </w:pPr>
            <w:r>
              <w:rPr>
                <w:rFonts w:ascii="Arial" w:cs="Arial" w:eastAsia="Arial" w:hAnsi="Arial"/>
                <w:sz w:val="16"/>
                <w:szCs w:val="16"/>
                <w:color w:val="auto"/>
              </w:rPr>
              <w:t>due 5/2024)</w:t>
            </w:r>
          </w:p>
        </w:tc>
        <w:tc>
          <w:tcPr>
            <w:tcW w:w="1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2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Moran Foods, LLC </w:t>
            </w:r>
            <w:r>
              <w:rPr>
                <w:rFonts w:ascii="Arial" w:cs="Arial" w:eastAsia="Arial" w:hAnsi="Arial"/>
                <w:sz w:val="24"/>
                <w:szCs w:val="24"/>
                <w:color w:val="auto"/>
                <w:vertAlign w:val="superscript"/>
              </w:rPr>
              <w:t>(3)</w:t>
            </w:r>
          </w:p>
        </w:tc>
        <w:tc>
          <w:tcPr>
            <w:tcW w:w="27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ABL FILO term loan ($38,333 par,</w:t>
            </w: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4/1/2020</w:t>
            </w:r>
          </w:p>
        </w:tc>
        <w:tc>
          <w:tcPr>
            <w:tcW w:w="11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L + 7.50%</w:t>
            </w:r>
          </w:p>
        </w:tc>
        <w:tc>
          <w:tcPr>
            <w:tcW w:w="9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9.00%</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37,648</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39,004</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2"/>
        </w:trPr>
        <w:tc>
          <w:tcPr>
            <w:tcW w:w="2520" w:type="dxa"/>
            <w:vAlign w:val="bottom"/>
            <w:shd w:val="clear" w:color="auto" w:fill="CFF0FC"/>
          </w:tcPr>
          <w:p>
            <w:pPr>
              <w:spacing w:after="0"/>
              <w:rPr>
                <w:sz w:val="18"/>
                <w:szCs w:val="18"/>
                <w:color w:val="auto"/>
              </w:rPr>
            </w:pPr>
          </w:p>
        </w:tc>
        <w:tc>
          <w:tcPr>
            <w:tcW w:w="27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due 4/2024)</w:t>
            </w:r>
          </w:p>
        </w:tc>
        <w:tc>
          <w:tcPr>
            <w:tcW w:w="10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520" w:type="dxa"/>
            <w:vAlign w:val="bottom"/>
          </w:tcPr>
          <w:p>
            <w:pPr>
              <w:spacing w:after="0" w:line="207" w:lineRule="exact"/>
              <w:rPr>
                <w:sz w:val="20"/>
                <w:szCs w:val="20"/>
                <w:color w:val="auto"/>
              </w:rPr>
            </w:pPr>
            <w:r>
              <w:rPr>
                <w:rFonts w:ascii="Arial" w:cs="Arial" w:eastAsia="Arial" w:hAnsi="Arial"/>
                <w:sz w:val="14"/>
                <w:szCs w:val="14"/>
                <w:color w:val="auto"/>
              </w:rPr>
              <w:t xml:space="preserve">NMG Holding Company, Inc. </w:t>
            </w:r>
            <w:r>
              <w:rPr>
                <w:rFonts w:ascii="Arial" w:cs="Arial" w:eastAsia="Arial" w:hAnsi="Arial"/>
                <w:sz w:val="23"/>
                <w:szCs w:val="23"/>
                <w:color w:val="auto"/>
                <w:vertAlign w:val="superscript"/>
              </w:rPr>
              <w:t>(3)(11)</w:t>
            </w:r>
          </w:p>
        </w:tc>
        <w:tc>
          <w:tcPr>
            <w:tcW w:w="2760" w:type="dxa"/>
            <w:vAlign w:val="bottom"/>
          </w:tcPr>
          <w:p>
            <w:pPr>
              <w:ind w:left="140"/>
              <w:spacing w:after="0"/>
              <w:rPr>
                <w:sz w:val="20"/>
                <w:szCs w:val="20"/>
                <w:color w:val="auto"/>
              </w:rPr>
            </w:pPr>
            <w:r>
              <w:rPr>
                <w:rFonts w:ascii="Arial" w:cs="Arial" w:eastAsia="Arial" w:hAnsi="Arial"/>
                <w:sz w:val="16"/>
                <w:szCs w:val="16"/>
                <w:color w:val="auto"/>
                <w:w w:val="98"/>
              </w:rPr>
              <w:t>First-lien term loan ($17,004 par, due</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9/25/2020</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L + 12.00%</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13.00%</w:t>
            </w:r>
          </w:p>
        </w:tc>
        <w:tc>
          <w:tcPr>
            <w:tcW w:w="780" w:type="dxa"/>
            <w:vAlign w:val="bottom"/>
          </w:tcPr>
          <w:p>
            <w:pPr>
              <w:jc w:val="right"/>
              <w:spacing w:after="0"/>
              <w:rPr>
                <w:sz w:val="20"/>
                <w:szCs w:val="20"/>
                <w:color w:val="auto"/>
              </w:rPr>
            </w:pPr>
            <w:r>
              <w:rPr>
                <w:rFonts w:ascii="Arial" w:cs="Arial" w:eastAsia="Arial" w:hAnsi="Arial"/>
                <w:sz w:val="16"/>
                <w:szCs w:val="16"/>
                <w:color w:val="auto"/>
              </w:rPr>
              <w:t>13,138</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17,401</w:t>
            </w:r>
          </w:p>
        </w:tc>
        <w:tc>
          <w:tcPr>
            <w:tcW w:w="20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9"/>
        </w:trPr>
        <w:tc>
          <w:tcPr>
            <w:tcW w:w="2520" w:type="dxa"/>
            <w:vAlign w:val="bottom"/>
            <w:tcBorders>
              <w:bottom w:val="single" w:sz="8" w:color="CFF0FC"/>
            </w:tcBorders>
          </w:tcPr>
          <w:p>
            <w:pPr>
              <w:spacing w:after="0"/>
              <w:rPr>
                <w:sz w:val="18"/>
                <w:szCs w:val="18"/>
                <w:color w:val="auto"/>
              </w:rPr>
            </w:pPr>
          </w:p>
        </w:tc>
        <w:tc>
          <w:tcPr>
            <w:tcW w:w="2760" w:type="dxa"/>
            <w:vAlign w:val="bottom"/>
            <w:tcBorders>
              <w:bottom w:val="single" w:sz="8" w:color="CFF0FC"/>
            </w:tcBorders>
          </w:tcPr>
          <w:p>
            <w:pPr>
              <w:ind w:left="140"/>
              <w:spacing w:after="0"/>
              <w:rPr>
                <w:sz w:val="20"/>
                <w:szCs w:val="20"/>
                <w:color w:val="auto"/>
              </w:rPr>
            </w:pPr>
            <w:r>
              <w:rPr>
                <w:rFonts w:ascii="Arial" w:cs="Arial" w:eastAsia="Arial" w:hAnsi="Arial"/>
                <w:sz w:val="16"/>
                <w:szCs w:val="16"/>
                <w:color w:val="auto"/>
              </w:rPr>
              <w:t>9/2025)</w:t>
            </w:r>
          </w:p>
        </w:tc>
        <w:tc>
          <w:tcPr>
            <w:tcW w:w="1000" w:type="dxa"/>
            <w:vAlign w:val="bottom"/>
            <w:tcBorders>
              <w:bottom w:val="single" w:sz="8" w:color="CFF0FC"/>
            </w:tcBorders>
          </w:tcPr>
          <w:p>
            <w:pPr>
              <w:spacing w:after="0"/>
              <w:rPr>
                <w:sz w:val="18"/>
                <w:szCs w:val="18"/>
                <w:color w:val="auto"/>
              </w:rPr>
            </w:pPr>
          </w:p>
        </w:tc>
        <w:tc>
          <w:tcPr>
            <w:tcW w:w="1120" w:type="dxa"/>
            <w:vAlign w:val="bottom"/>
            <w:tcBorders>
              <w:bottom w:val="single" w:sz="8" w:color="CFF0FC"/>
            </w:tcBorders>
          </w:tcPr>
          <w:p>
            <w:pPr>
              <w:spacing w:after="0"/>
              <w:rPr>
                <w:sz w:val="18"/>
                <w:szCs w:val="18"/>
                <w:color w:val="auto"/>
              </w:rPr>
            </w:pPr>
          </w:p>
        </w:tc>
        <w:tc>
          <w:tcPr>
            <w:tcW w:w="92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20" w:type="dxa"/>
            <w:vAlign w:val="bottom"/>
            <w:shd w:val="clear" w:color="auto" w:fill="CFF0FC"/>
          </w:tcPr>
          <w:p>
            <w:pPr>
              <w:spacing w:after="0"/>
              <w:rPr>
                <w:sz w:val="18"/>
                <w:szCs w:val="18"/>
                <w:color w:val="auto"/>
              </w:rPr>
            </w:pPr>
          </w:p>
        </w:tc>
        <w:tc>
          <w:tcPr>
            <w:tcW w:w="27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283,742</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285,804</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25.1%</w:t>
            </w:r>
          </w:p>
        </w:tc>
        <w:tc>
          <w:tcPr>
            <w:tcW w:w="0" w:type="dxa"/>
            <w:vAlign w:val="bottom"/>
          </w:tcPr>
          <w:p>
            <w:pPr>
              <w:spacing w:after="0"/>
              <w:rPr>
                <w:sz w:val="1"/>
                <w:szCs w:val="1"/>
                <w:color w:val="auto"/>
              </w:rPr>
            </w:pPr>
          </w:p>
        </w:tc>
      </w:tr>
      <w:tr>
        <w:trPr>
          <w:trHeight w:val="20"/>
        </w:trPr>
        <w:tc>
          <w:tcPr>
            <w:tcW w:w="2520" w:type="dxa"/>
            <w:vAlign w:val="bottom"/>
            <w:vMerge w:val="restart"/>
          </w:tcPr>
          <w:p>
            <w:pPr>
              <w:spacing w:after="0"/>
              <w:rPr>
                <w:sz w:val="20"/>
                <w:szCs w:val="20"/>
                <w:color w:val="auto"/>
              </w:rPr>
            </w:pPr>
            <w:r>
              <w:rPr>
                <w:rFonts w:ascii="Arial" w:cs="Arial" w:eastAsia="Arial" w:hAnsi="Arial"/>
                <w:sz w:val="16"/>
                <w:szCs w:val="16"/>
                <w:b w:val="1"/>
                <w:bCs w:val="1"/>
                <w:color w:val="auto"/>
              </w:rPr>
              <w:t>Total Debt Investments</w:t>
            </w:r>
          </w:p>
        </w:tc>
        <w:tc>
          <w:tcPr>
            <w:tcW w:w="2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520" w:type="dxa"/>
            <w:vAlign w:val="bottom"/>
            <w:vMerge w:val="continue"/>
          </w:tcPr>
          <w:p>
            <w:pPr>
              <w:spacing w:after="0"/>
              <w:rPr>
                <w:sz w:val="17"/>
                <w:szCs w:val="17"/>
                <w:color w:val="auto"/>
              </w:rPr>
            </w:pPr>
          </w:p>
        </w:tc>
        <w:tc>
          <w:tcPr>
            <w:tcW w:w="27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1,996,416</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2,013,848</w:t>
            </w:r>
          </w:p>
        </w:tc>
        <w:tc>
          <w:tcPr>
            <w:tcW w:w="20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176.5%</w:t>
            </w:r>
          </w:p>
        </w:tc>
        <w:tc>
          <w:tcPr>
            <w:tcW w:w="0" w:type="dxa"/>
            <w:vAlign w:val="bottom"/>
          </w:tcPr>
          <w:p>
            <w:pPr>
              <w:spacing w:after="0"/>
              <w:rPr>
                <w:sz w:val="1"/>
                <w:szCs w:val="1"/>
                <w:color w:val="auto"/>
              </w:rPr>
            </w:pPr>
          </w:p>
        </w:tc>
      </w:tr>
      <w:tr>
        <w:trPr>
          <w:trHeight w:val="213"/>
        </w:trPr>
        <w:tc>
          <w:tcPr>
            <w:tcW w:w="2520" w:type="dxa"/>
            <w:vAlign w:val="bottom"/>
            <w:tcBorders>
              <w:top w:val="single" w:sz="8" w:color="CFF0FC"/>
            </w:tcBorders>
            <w:shd w:val="clear" w:color="auto" w:fill="CFF0FC"/>
          </w:tcPr>
          <w:p>
            <w:pPr>
              <w:spacing w:after="0"/>
              <w:rPr>
                <w:sz w:val="18"/>
                <w:szCs w:val="18"/>
                <w:color w:val="auto"/>
              </w:rPr>
            </w:pPr>
          </w:p>
        </w:tc>
        <w:tc>
          <w:tcPr>
            <w:tcW w:w="276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20" w:type="dxa"/>
            <w:vAlign w:val="bottom"/>
          </w:tcPr>
          <w:p>
            <w:pPr>
              <w:spacing w:after="0"/>
              <w:rPr>
                <w:sz w:val="20"/>
                <w:szCs w:val="20"/>
                <w:color w:val="auto"/>
              </w:rPr>
            </w:pPr>
            <w:r>
              <w:rPr>
                <w:rFonts w:ascii="Arial" w:cs="Arial" w:eastAsia="Arial" w:hAnsi="Arial"/>
                <w:sz w:val="16"/>
                <w:szCs w:val="16"/>
                <w:b w:val="1"/>
                <w:bCs w:val="1"/>
                <w:color w:val="auto"/>
              </w:rPr>
              <w:t>Equity and Other Investments</w:t>
            </w:r>
          </w:p>
        </w:tc>
        <w:tc>
          <w:tcPr>
            <w:tcW w:w="2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Business Services</w:t>
            </w:r>
          </w:p>
        </w:tc>
        <w:tc>
          <w:tcPr>
            <w:tcW w:w="27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520" w:type="dxa"/>
            <w:vAlign w:val="bottom"/>
          </w:tcPr>
          <w:p>
            <w:pPr>
              <w:spacing w:after="0" w:line="216" w:lineRule="exact"/>
              <w:rPr>
                <w:sz w:val="20"/>
                <w:szCs w:val="20"/>
                <w:color w:val="auto"/>
              </w:rPr>
            </w:pPr>
            <w:r>
              <w:rPr>
                <w:rFonts w:ascii="Arial" w:cs="Arial" w:eastAsia="Arial" w:hAnsi="Arial"/>
                <w:sz w:val="15"/>
                <w:szCs w:val="15"/>
                <w:color w:val="auto"/>
              </w:rPr>
              <w:t xml:space="preserve">Motus, LLC </w:t>
            </w:r>
            <w:r>
              <w:rPr>
                <w:rFonts w:ascii="Arial" w:cs="Arial" w:eastAsia="Arial" w:hAnsi="Arial"/>
                <w:sz w:val="25"/>
                <w:szCs w:val="25"/>
                <w:color w:val="auto"/>
                <w:vertAlign w:val="superscript"/>
              </w:rPr>
              <w:t>(13)</w:t>
            </w:r>
          </w:p>
        </w:tc>
        <w:tc>
          <w:tcPr>
            <w:tcW w:w="2760" w:type="dxa"/>
            <w:vAlign w:val="bottom"/>
          </w:tcPr>
          <w:p>
            <w:pPr>
              <w:ind w:left="140"/>
              <w:spacing w:after="0"/>
              <w:rPr>
                <w:sz w:val="20"/>
                <w:szCs w:val="20"/>
                <w:color w:val="auto"/>
              </w:rPr>
            </w:pPr>
            <w:r>
              <w:rPr>
                <w:rFonts w:ascii="Arial" w:cs="Arial" w:eastAsia="Arial" w:hAnsi="Arial"/>
                <w:sz w:val="16"/>
                <w:szCs w:val="16"/>
                <w:color w:val="auto"/>
              </w:rPr>
              <w:t>Class A Units (1,262 units)</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1/17/2018</w:t>
            </w: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1,262</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3,296</w:t>
            </w: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6"/>
        </w:trPr>
        <w:tc>
          <w:tcPr>
            <w:tcW w:w="2520" w:type="dxa"/>
            <w:vAlign w:val="bottom"/>
            <w:shd w:val="clear" w:color="auto" w:fill="CFF0FC"/>
          </w:tcPr>
          <w:p>
            <w:pPr>
              <w:spacing w:after="0"/>
              <w:rPr>
                <w:sz w:val="18"/>
                <w:szCs w:val="18"/>
                <w:color w:val="auto"/>
              </w:rPr>
            </w:pPr>
          </w:p>
        </w:tc>
        <w:tc>
          <w:tcPr>
            <w:tcW w:w="27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Class B Units (517,020 units)</w:t>
            </w: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1/17/2018</w:t>
            </w:r>
          </w:p>
        </w:tc>
        <w:tc>
          <w:tcPr>
            <w:tcW w:w="1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16"/>
        </w:trPr>
        <w:tc>
          <w:tcPr>
            <w:tcW w:w="2520" w:type="dxa"/>
            <w:vAlign w:val="bottom"/>
          </w:tcPr>
          <w:p>
            <w:pPr>
              <w:spacing w:after="0" w:line="216" w:lineRule="exact"/>
              <w:rPr>
                <w:sz w:val="20"/>
                <w:szCs w:val="20"/>
                <w:color w:val="auto"/>
              </w:rPr>
            </w:pPr>
            <w:r>
              <w:rPr>
                <w:rFonts w:ascii="Arial" w:cs="Arial" w:eastAsia="Arial" w:hAnsi="Arial"/>
                <w:sz w:val="15"/>
                <w:szCs w:val="15"/>
                <w:color w:val="auto"/>
              </w:rPr>
              <w:t xml:space="preserve">Nintex Global, Ltd. </w:t>
            </w:r>
            <w:r>
              <w:rPr>
                <w:rFonts w:ascii="Arial" w:cs="Arial" w:eastAsia="Arial" w:hAnsi="Arial"/>
                <w:sz w:val="25"/>
                <w:szCs w:val="25"/>
                <w:color w:val="auto"/>
                <w:vertAlign w:val="superscript"/>
              </w:rPr>
              <w:t>(13)</w:t>
            </w:r>
          </w:p>
        </w:tc>
        <w:tc>
          <w:tcPr>
            <w:tcW w:w="2760" w:type="dxa"/>
            <w:vAlign w:val="bottom"/>
          </w:tcPr>
          <w:p>
            <w:pPr>
              <w:ind w:left="140"/>
              <w:spacing w:after="0"/>
              <w:rPr>
                <w:sz w:val="20"/>
                <w:szCs w:val="20"/>
                <w:color w:val="auto"/>
              </w:rPr>
            </w:pPr>
            <w:r>
              <w:rPr>
                <w:rFonts w:ascii="Arial" w:cs="Arial" w:eastAsia="Arial" w:hAnsi="Arial"/>
                <w:sz w:val="16"/>
                <w:szCs w:val="16"/>
                <w:color w:val="auto"/>
              </w:rPr>
              <w:t>Class A Shares (1,197 shares)</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3/30/2018</w:t>
            </w: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1,197</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2,640</w:t>
            </w: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6"/>
        </w:trPr>
        <w:tc>
          <w:tcPr>
            <w:tcW w:w="2520" w:type="dxa"/>
            <w:vAlign w:val="bottom"/>
            <w:shd w:val="clear" w:color="auto" w:fill="CFF0FC"/>
          </w:tcPr>
          <w:p>
            <w:pPr>
              <w:spacing w:after="0"/>
              <w:rPr>
                <w:sz w:val="18"/>
                <w:szCs w:val="18"/>
                <w:color w:val="auto"/>
              </w:rPr>
            </w:pPr>
          </w:p>
        </w:tc>
        <w:tc>
          <w:tcPr>
            <w:tcW w:w="27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Class B Shares (398,557 shares)</w:t>
            </w: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3/30/2018</w:t>
            </w:r>
          </w:p>
        </w:tc>
        <w:tc>
          <w:tcPr>
            <w:tcW w:w="1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03"/>
        </w:trPr>
        <w:tc>
          <w:tcPr>
            <w:tcW w:w="2520" w:type="dxa"/>
            <w:vAlign w:val="bottom"/>
          </w:tcPr>
          <w:p>
            <w:pPr>
              <w:spacing w:after="0"/>
              <w:rPr>
                <w:sz w:val="20"/>
                <w:szCs w:val="20"/>
                <w:color w:val="auto"/>
              </w:rPr>
            </w:pPr>
            <w:r>
              <w:rPr>
                <w:rFonts w:ascii="Arial" w:cs="Arial" w:eastAsia="Arial" w:hAnsi="Arial"/>
                <w:sz w:val="16"/>
                <w:szCs w:val="16"/>
                <w:color w:val="auto"/>
              </w:rPr>
              <w:t>ServiceChannel Holdings,</w:t>
            </w:r>
          </w:p>
        </w:tc>
        <w:tc>
          <w:tcPr>
            <w:tcW w:w="2760" w:type="dxa"/>
            <w:vAlign w:val="bottom"/>
          </w:tcPr>
          <w:p>
            <w:pPr>
              <w:ind w:left="140"/>
              <w:spacing w:after="0"/>
              <w:rPr>
                <w:sz w:val="20"/>
                <w:szCs w:val="20"/>
                <w:color w:val="auto"/>
              </w:rPr>
            </w:pPr>
            <w:r>
              <w:rPr>
                <w:rFonts w:ascii="Arial" w:cs="Arial" w:eastAsia="Arial" w:hAnsi="Arial"/>
                <w:sz w:val="16"/>
                <w:szCs w:val="16"/>
                <w:color w:val="auto"/>
              </w:rPr>
              <w:t>207,991 Warrants</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6/3/2020</w:t>
            </w: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335</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335</w:t>
            </w:r>
          </w:p>
        </w:tc>
        <w:tc>
          <w:tcPr>
            <w:tcW w:w="20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13"/>
        </w:trPr>
        <w:tc>
          <w:tcPr>
            <w:tcW w:w="2520" w:type="dxa"/>
            <w:vAlign w:val="bottom"/>
          </w:tcPr>
          <w:p>
            <w:pPr>
              <w:ind w:left="120"/>
              <w:spacing w:after="0"/>
              <w:rPr>
                <w:sz w:val="20"/>
                <w:szCs w:val="20"/>
                <w:color w:val="auto"/>
              </w:rPr>
            </w:pPr>
            <w:r>
              <w:rPr>
                <w:rFonts w:ascii="Arial" w:cs="Arial" w:eastAsia="Arial" w:hAnsi="Arial"/>
                <w:sz w:val="16"/>
                <w:szCs w:val="16"/>
                <w:color w:val="auto"/>
              </w:rPr>
              <w:t xml:space="preserve">Inc. </w:t>
            </w:r>
            <w:r>
              <w:rPr>
                <w:rFonts w:ascii="Arial" w:cs="Arial" w:eastAsia="Arial" w:hAnsi="Arial"/>
                <w:sz w:val="13"/>
                <w:szCs w:val="13"/>
                <w:color w:val="auto"/>
              </w:rPr>
              <w:t>(13)(14)</w:t>
            </w:r>
          </w:p>
        </w:tc>
        <w:tc>
          <w:tcPr>
            <w:tcW w:w="2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20" w:type="dxa"/>
            <w:vAlign w:val="bottom"/>
            <w:shd w:val="clear" w:color="auto" w:fill="CFF0FC"/>
          </w:tcPr>
          <w:p>
            <w:pPr>
              <w:spacing w:after="0" w:line="218" w:lineRule="exact"/>
              <w:rPr>
                <w:sz w:val="20"/>
                <w:szCs w:val="20"/>
                <w:color w:val="auto"/>
              </w:rPr>
            </w:pPr>
            <w:r>
              <w:rPr>
                <w:rFonts w:ascii="Arial" w:cs="Arial" w:eastAsia="Arial" w:hAnsi="Arial"/>
                <w:sz w:val="15"/>
                <w:szCs w:val="15"/>
                <w:color w:val="auto"/>
              </w:rPr>
              <w:t xml:space="preserve">WideOrbit, Inc. </w:t>
            </w:r>
            <w:r>
              <w:rPr>
                <w:rFonts w:ascii="Arial" w:cs="Arial" w:eastAsia="Arial" w:hAnsi="Arial"/>
                <w:sz w:val="25"/>
                <w:szCs w:val="25"/>
                <w:color w:val="auto"/>
                <w:vertAlign w:val="superscript"/>
              </w:rPr>
              <w:t>(13)(14)</w:t>
            </w:r>
          </w:p>
        </w:tc>
        <w:tc>
          <w:tcPr>
            <w:tcW w:w="27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1,567,807 Warrants</w:t>
            </w: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7/8/2020</w:t>
            </w:r>
          </w:p>
        </w:tc>
        <w:tc>
          <w:tcPr>
            <w:tcW w:w="1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327</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327</w:t>
            </w: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5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3,133</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6,625</w:t>
            </w:r>
          </w:p>
        </w:tc>
        <w:tc>
          <w:tcPr>
            <w:tcW w:w="20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13"/>
        </w:trPr>
        <w:tc>
          <w:tcPr>
            <w:tcW w:w="2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Chemicals</w:t>
            </w:r>
          </w:p>
        </w:tc>
        <w:tc>
          <w:tcPr>
            <w:tcW w:w="276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tcPr>
          <w:p>
            <w:pPr>
              <w:spacing w:after="0" w:line="216" w:lineRule="exact"/>
              <w:rPr>
                <w:sz w:val="20"/>
                <w:szCs w:val="20"/>
                <w:color w:val="auto"/>
              </w:rPr>
            </w:pPr>
            <w:r>
              <w:rPr>
                <w:rFonts w:ascii="Arial" w:cs="Arial" w:eastAsia="Arial" w:hAnsi="Arial"/>
                <w:sz w:val="15"/>
                <w:szCs w:val="15"/>
                <w:color w:val="auto"/>
              </w:rPr>
              <w:t xml:space="preserve">Vertellus Specialties, Inc. </w:t>
            </w:r>
            <w:r>
              <w:rPr>
                <w:rFonts w:ascii="Arial" w:cs="Arial" w:eastAsia="Arial" w:hAnsi="Arial"/>
                <w:sz w:val="25"/>
                <w:szCs w:val="25"/>
                <w:color w:val="auto"/>
                <w:vertAlign w:val="superscript"/>
              </w:rPr>
              <w:t>(13)(14)</w:t>
            </w:r>
          </w:p>
        </w:tc>
        <w:tc>
          <w:tcPr>
            <w:tcW w:w="2760" w:type="dxa"/>
            <w:vAlign w:val="bottom"/>
          </w:tcPr>
          <w:p>
            <w:pPr>
              <w:ind w:left="140"/>
              <w:spacing w:after="0"/>
              <w:rPr>
                <w:sz w:val="20"/>
                <w:szCs w:val="20"/>
                <w:color w:val="auto"/>
              </w:rPr>
            </w:pPr>
            <w:r>
              <w:rPr>
                <w:rFonts w:ascii="Arial" w:cs="Arial" w:eastAsia="Arial" w:hAnsi="Arial"/>
                <w:sz w:val="16"/>
                <w:szCs w:val="16"/>
                <w:color w:val="auto"/>
              </w:rPr>
              <w:t>Common Units (6,720,658 units)</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10/31/2016</w:t>
            </w: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4,575</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9,825</w:t>
            </w: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16"/>
        </w:trPr>
        <w:tc>
          <w:tcPr>
            <w:tcW w:w="25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Communications</w:t>
            </w:r>
          </w:p>
        </w:tc>
        <w:tc>
          <w:tcPr>
            <w:tcW w:w="27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tcPr>
          <w:p>
            <w:pPr>
              <w:spacing w:after="0" w:line="216" w:lineRule="exact"/>
              <w:rPr>
                <w:sz w:val="20"/>
                <w:szCs w:val="20"/>
                <w:color w:val="auto"/>
              </w:rPr>
            </w:pPr>
            <w:r>
              <w:rPr>
                <w:rFonts w:ascii="Arial" w:cs="Arial" w:eastAsia="Arial" w:hAnsi="Arial"/>
                <w:sz w:val="15"/>
                <w:szCs w:val="15"/>
                <w:color w:val="auto"/>
              </w:rPr>
              <w:t xml:space="preserve">IntelePeer Holdings, Inc. </w:t>
            </w:r>
            <w:r>
              <w:rPr>
                <w:rFonts w:ascii="Arial" w:cs="Arial" w:eastAsia="Arial" w:hAnsi="Arial"/>
                <w:sz w:val="25"/>
                <w:szCs w:val="25"/>
                <w:color w:val="auto"/>
                <w:vertAlign w:val="superscript"/>
              </w:rPr>
              <w:t>(13)(14)</w:t>
            </w:r>
          </w:p>
        </w:tc>
        <w:tc>
          <w:tcPr>
            <w:tcW w:w="2760" w:type="dxa"/>
            <w:vAlign w:val="bottom"/>
          </w:tcPr>
          <w:p>
            <w:pPr>
              <w:ind w:left="140"/>
              <w:spacing w:after="0"/>
              <w:rPr>
                <w:sz w:val="20"/>
                <w:szCs w:val="20"/>
                <w:color w:val="auto"/>
              </w:rPr>
            </w:pPr>
            <w:r>
              <w:rPr>
                <w:rFonts w:ascii="Arial" w:cs="Arial" w:eastAsia="Arial" w:hAnsi="Arial"/>
                <w:sz w:val="16"/>
                <w:szCs w:val="16"/>
                <w:color w:val="auto"/>
              </w:rPr>
              <w:t>280,000 Warrants</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2/28/2020</w:t>
            </w: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183</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183</w:t>
            </w: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16"/>
        </w:trPr>
        <w:tc>
          <w:tcPr>
            <w:tcW w:w="25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Financial services</w:t>
            </w:r>
          </w:p>
        </w:tc>
        <w:tc>
          <w:tcPr>
            <w:tcW w:w="27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tcPr>
          <w:p>
            <w:pPr>
              <w:spacing w:after="0" w:line="216" w:lineRule="exact"/>
              <w:rPr>
                <w:sz w:val="20"/>
                <w:szCs w:val="20"/>
                <w:color w:val="auto"/>
              </w:rPr>
            </w:pPr>
            <w:r>
              <w:rPr>
                <w:rFonts w:ascii="Arial" w:cs="Arial" w:eastAsia="Arial" w:hAnsi="Arial"/>
                <w:sz w:val="15"/>
                <w:szCs w:val="15"/>
                <w:color w:val="auto"/>
              </w:rPr>
              <w:t xml:space="preserve">AvidXchange, Inc. </w:t>
            </w:r>
            <w:r>
              <w:rPr>
                <w:rFonts w:ascii="Arial" w:cs="Arial" w:eastAsia="Arial" w:hAnsi="Arial"/>
                <w:sz w:val="25"/>
                <w:szCs w:val="25"/>
                <w:color w:val="auto"/>
                <w:vertAlign w:val="superscript"/>
              </w:rPr>
              <w:t>(14)</w:t>
            </w:r>
          </w:p>
        </w:tc>
        <w:tc>
          <w:tcPr>
            <w:tcW w:w="2760" w:type="dxa"/>
            <w:vAlign w:val="bottom"/>
          </w:tcPr>
          <w:p>
            <w:pPr>
              <w:ind w:left="140"/>
              <w:spacing w:after="0" w:line="216" w:lineRule="exact"/>
              <w:rPr>
                <w:sz w:val="20"/>
                <w:szCs w:val="20"/>
                <w:color w:val="auto"/>
              </w:rPr>
            </w:pPr>
            <w:r>
              <w:rPr>
                <w:rFonts w:ascii="Arial" w:cs="Arial" w:eastAsia="Arial" w:hAnsi="Arial"/>
                <w:sz w:val="15"/>
                <w:szCs w:val="15"/>
                <w:color w:val="auto"/>
              </w:rPr>
              <w:t>Common Shares (2,198 shares)</w:t>
            </w:r>
            <w:r>
              <w:rPr>
                <w:rFonts w:ascii="Arial" w:cs="Arial" w:eastAsia="Arial" w:hAnsi="Arial"/>
                <w:sz w:val="25"/>
                <w:szCs w:val="25"/>
                <w:color w:val="auto"/>
                <w:vertAlign w:val="superscript"/>
              </w:rPr>
              <w:t>(13)</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4/7/2020</w:t>
            </w: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108</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108</w:t>
            </w: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16"/>
        </w:trPr>
        <w:tc>
          <w:tcPr>
            <w:tcW w:w="2520" w:type="dxa"/>
            <w:vAlign w:val="bottom"/>
            <w:shd w:val="clear" w:color="auto" w:fill="CFF0FC"/>
          </w:tcPr>
          <w:p>
            <w:pPr>
              <w:spacing w:after="0"/>
              <w:rPr>
                <w:sz w:val="18"/>
                <w:szCs w:val="18"/>
                <w:color w:val="auto"/>
              </w:rPr>
            </w:pPr>
          </w:p>
        </w:tc>
        <w:tc>
          <w:tcPr>
            <w:tcW w:w="27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Preferred Shares (293,232 shares)</w:t>
            </w: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10/1/2019</w:t>
            </w:r>
          </w:p>
        </w:tc>
        <w:tc>
          <w:tcPr>
            <w:tcW w:w="1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15,286</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15,171</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3"/>
        </w:trPr>
        <w:tc>
          <w:tcPr>
            <w:tcW w:w="2520" w:type="dxa"/>
            <w:vAlign w:val="bottom"/>
          </w:tcPr>
          <w:p>
            <w:pPr>
              <w:spacing w:after="0"/>
              <w:rPr>
                <w:sz w:val="17"/>
                <w:szCs w:val="17"/>
                <w:color w:val="auto"/>
              </w:rPr>
            </w:pPr>
          </w:p>
        </w:tc>
        <w:tc>
          <w:tcPr>
            <w:tcW w:w="2760" w:type="dxa"/>
            <w:vAlign w:val="bottom"/>
          </w:tcPr>
          <w:p>
            <w:pPr>
              <w:ind w:left="140"/>
              <w:spacing w:after="0"/>
              <w:rPr>
                <w:sz w:val="20"/>
                <w:szCs w:val="20"/>
                <w:color w:val="auto"/>
              </w:rPr>
            </w:pPr>
            <w:r>
              <w:rPr>
                <w:rFonts w:ascii="Arial" w:cs="Arial" w:eastAsia="Arial" w:hAnsi="Arial"/>
                <w:sz w:val="16"/>
                <w:szCs w:val="16"/>
                <w:color w:val="auto"/>
              </w:rPr>
              <w:t>Series F Preferred Shares (8,791</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4/7/2020</w:t>
            </w: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431</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431</w:t>
            </w:r>
          </w:p>
        </w:tc>
        <w:tc>
          <w:tcPr>
            <w:tcW w:w="20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2760" w:type="dxa"/>
            <w:vAlign w:val="bottom"/>
          </w:tcPr>
          <w:p>
            <w:pPr>
              <w:ind w:left="140"/>
              <w:spacing w:after="0" w:line="216" w:lineRule="exact"/>
              <w:rPr>
                <w:sz w:val="20"/>
                <w:szCs w:val="20"/>
                <w:color w:val="auto"/>
              </w:rPr>
            </w:pPr>
            <w:r>
              <w:rPr>
                <w:rFonts w:ascii="Arial" w:cs="Arial" w:eastAsia="Arial" w:hAnsi="Arial"/>
                <w:sz w:val="15"/>
                <w:szCs w:val="15"/>
                <w:color w:val="auto"/>
              </w:rPr>
              <w:t>shares)</w:t>
            </w:r>
            <w:r>
              <w:rPr>
                <w:rFonts w:ascii="Arial" w:cs="Arial" w:eastAsia="Arial" w:hAnsi="Arial"/>
                <w:sz w:val="25"/>
                <w:szCs w:val="25"/>
                <w:color w:val="auto"/>
                <w:vertAlign w:val="superscript"/>
              </w:rPr>
              <w:t>(13)</w:t>
            </w:r>
          </w:p>
        </w:tc>
        <w:tc>
          <w:tcPr>
            <w:tcW w:w="1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FF0FC"/>
          </w:tcPr>
          <w:p>
            <w:pPr>
              <w:spacing w:after="0"/>
              <w:rPr>
                <w:sz w:val="18"/>
                <w:szCs w:val="18"/>
                <w:color w:val="auto"/>
              </w:rPr>
            </w:pPr>
          </w:p>
        </w:tc>
        <w:tc>
          <w:tcPr>
            <w:tcW w:w="2760" w:type="dxa"/>
            <w:vAlign w:val="bottom"/>
            <w:shd w:val="clear" w:color="auto" w:fill="CFF0FC"/>
          </w:tcPr>
          <w:p>
            <w:pPr>
              <w:ind w:left="140"/>
              <w:spacing w:after="0" w:line="216" w:lineRule="exact"/>
              <w:rPr>
                <w:sz w:val="20"/>
                <w:szCs w:val="20"/>
                <w:color w:val="auto"/>
              </w:rPr>
            </w:pPr>
            <w:r>
              <w:rPr>
                <w:rFonts w:ascii="Arial" w:cs="Arial" w:eastAsia="Arial" w:hAnsi="Arial"/>
                <w:sz w:val="15"/>
                <w:szCs w:val="15"/>
                <w:color w:val="auto"/>
              </w:rPr>
              <w:t xml:space="preserve">75,570 Warrants </w:t>
            </w:r>
            <w:r>
              <w:rPr>
                <w:rFonts w:ascii="Arial" w:cs="Arial" w:eastAsia="Arial" w:hAnsi="Arial"/>
                <w:sz w:val="25"/>
                <w:szCs w:val="25"/>
                <w:color w:val="auto"/>
                <w:vertAlign w:val="superscript"/>
              </w:rPr>
              <w:t>(13)</w:t>
            </w: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10/1/2019</w:t>
            </w:r>
          </w:p>
        </w:tc>
        <w:tc>
          <w:tcPr>
            <w:tcW w:w="1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475</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1,293</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3"/>
        </w:trPr>
        <w:tc>
          <w:tcPr>
            <w:tcW w:w="2520" w:type="dxa"/>
            <w:vAlign w:val="bottom"/>
          </w:tcPr>
          <w:p>
            <w:pPr>
              <w:spacing w:after="0"/>
              <w:rPr>
                <w:sz w:val="20"/>
                <w:szCs w:val="20"/>
                <w:color w:val="auto"/>
              </w:rPr>
            </w:pPr>
            <w:r>
              <w:rPr>
                <w:rFonts w:ascii="Arial" w:cs="Arial" w:eastAsia="Arial" w:hAnsi="Arial"/>
                <w:sz w:val="16"/>
                <w:szCs w:val="16"/>
                <w:color w:val="auto"/>
              </w:rPr>
              <w:t>Oxford Square Capital</w:t>
            </w:r>
          </w:p>
        </w:tc>
        <w:tc>
          <w:tcPr>
            <w:tcW w:w="2760" w:type="dxa"/>
            <w:vAlign w:val="bottom"/>
          </w:tcPr>
          <w:p>
            <w:pPr>
              <w:ind w:left="140"/>
              <w:spacing w:after="0"/>
              <w:rPr>
                <w:sz w:val="20"/>
                <w:szCs w:val="20"/>
                <w:color w:val="auto"/>
              </w:rPr>
            </w:pPr>
            <w:r>
              <w:rPr>
                <w:rFonts w:ascii="Arial" w:cs="Arial" w:eastAsia="Arial" w:hAnsi="Arial"/>
                <w:sz w:val="16"/>
                <w:szCs w:val="16"/>
                <w:color w:val="auto"/>
              </w:rPr>
              <w:t>Common Shares (1,059 shares)</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8/5/2015</w:t>
            </w: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13"/>
        </w:trPr>
        <w:tc>
          <w:tcPr>
            <w:tcW w:w="2520" w:type="dxa"/>
            <w:vAlign w:val="bottom"/>
          </w:tcPr>
          <w:p>
            <w:pPr>
              <w:ind w:left="120"/>
              <w:spacing w:after="0"/>
              <w:rPr>
                <w:sz w:val="20"/>
                <w:szCs w:val="20"/>
                <w:color w:val="auto"/>
              </w:rPr>
            </w:pPr>
            <w:r>
              <w:rPr>
                <w:rFonts w:ascii="Arial" w:cs="Arial" w:eastAsia="Arial" w:hAnsi="Arial"/>
                <w:sz w:val="16"/>
                <w:szCs w:val="16"/>
                <w:color w:val="auto"/>
              </w:rPr>
              <w:t xml:space="preserve">Corp. </w:t>
            </w:r>
            <w:r>
              <w:rPr>
                <w:rFonts w:ascii="Arial" w:cs="Arial" w:eastAsia="Arial" w:hAnsi="Arial"/>
                <w:sz w:val="13"/>
                <w:szCs w:val="13"/>
                <w:color w:val="auto"/>
              </w:rPr>
              <w:t>(4)(12)</w:t>
            </w:r>
          </w:p>
        </w:tc>
        <w:tc>
          <w:tcPr>
            <w:tcW w:w="2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20" w:type="dxa"/>
            <w:vAlign w:val="bottom"/>
            <w:shd w:val="clear" w:color="auto" w:fill="CFF0FC"/>
          </w:tcPr>
          <w:p>
            <w:pPr>
              <w:spacing w:after="0" w:line="218" w:lineRule="exact"/>
              <w:rPr>
                <w:sz w:val="20"/>
                <w:szCs w:val="20"/>
                <w:color w:val="auto"/>
              </w:rPr>
            </w:pPr>
            <w:r>
              <w:rPr>
                <w:rFonts w:ascii="Arial" w:cs="Arial" w:eastAsia="Arial" w:hAnsi="Arial"/>
                <w:sz w:val="15"/>
                <w:szCs w:val="15"/>
                <w:color w:val="auto"/>
              </w:rPr>
              <w:t xml:space="preserve">Swift Gift, Ltd. </w:t>
            </w:r>
            <w:r>
              <w:rPr>
                <w:rFonts w:ascii="Arial" w:cs="Arial" w:eastAsia="Arial" w:hAnsi="Arial"/>
                <w:sz w:val="25"/>
                <w:szCs w:val="25"/>
                <w:color w:val="auto"/>
                <w:vertAlign w:val="superscript"/>
              </w:rPr>
              <w:t>(13)</w:t>
            </w:r>
          </w:p>
        </w:tc>
        <w:tc>
          <w:tcPr>
            <w:tcW w:w="27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Common Shares (35,000 shares)</w:t>
            </w: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7/31/2017</w:t>
            </w:r>
          </w:p>
        </w:tc>
        <w:tc>
          <w:tcPr>
            <w:tcW w:w="1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3,500</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10,447</w:t>
            </w: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5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19,807</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27,453</w:t>
            </w:r>
          </w:p>
        </w:tc>
        <w:tc>
          <w:tcPr>
            <w:tcW w:w="20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2"/>
        </w:trPr>
        <w:tc>
          <w:tcPr>
            <w:tcW w:w="2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Healthcare</w:t>
            </w:r>
          </w:p>
        </w:tc>
        <w:tc>
          <w:tcPr>
            <w:tcW w:w="276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tcPr>
          <w:p>
            <w:pPr>
              <w:spacing w:after="0" w:line="216" w:lineRule="exact"/>
              <w:rPr>
                <w:sz w:val="20"/>
                <w:szCs w:val="20"/>
                <w:color w:val="auto"/>
              </w:rPr>
            </w:pPr>
            <w:r>
              <w:rPr>
                <w:rFonts w:ascii="Arial" w:cs="Arial" w:eastAsia="Arial" w:hAnsi="Arial"/>
                <w:sz w:val="15"/>
                <w:szCs w:val="15"/>
                <w:color w:val="auto"/>
              </w:rPr>
              <w:t xml:space="preserve">Caris Life Sciences, Ltd. </w:t>
            </w:r>
            <w:r>
              <w:rPr>
                <w:rFonts w:ascii="Arial" w:cs="Arial" w:eastAsia="Arial" w:hAnsi="Arial"/>
                <w:sz w:val="25"/>
                <w:szCs w:val="25"/>
                <w:color w:val="auto"/>
                <w:vertAlign w:val="superscript"/>
              </w:rPr>
              <w:t>(13)</w:t>
            </w:r>
          </w:p>
        </w:tc>
        <w:tc>
          <w:tcPr>
            <w:tcW w:w="2760" w:type="dxa"/>
            <w:vAlign w:val="bottom"/>
          </w:tcPr>
          <w:p>
            <w:pPr>
              <w:ind w:left="140"/>
              <w:spacing w:after="0"/>
              <w:rPr>
                <w:sz w:val="20"/>
                <w:szCs w:val="20"/>
                <w:color w:val="auto"/>
              </w:rPr>
            </w:pPr>
            <w:r>
              <w:rPr>
                <w:rFonts w:ascii="Arial" w:cs="Arial" w:eastAsia="Arial" w:hAnsi="Arial"/>
                <w:sz w:val="16"/>
                <w:szCs w:val="16"/>
                <w:color w:val="auto"/>
              </w:rPr>
              <w:t>633,376 Warrants</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9/21/2018</w:t>
            </w: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192</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993</w:t>
            </w: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6"/>
        </w:trPr>
        <w:tc>
          <w:tcPr>
            <w:tcW w:w="2520" w:type="dxa"/>
            <w:vAlign w:val="bottom"/>
            <w:shd w:val="clear" w:color="auto" w:fill="CFF0FC"/>
          </w:tcPr>
          <w:p>
            <w:pPr>
              <w:spacing w:after="0"/>
              <w:rPr>
                <w:sz w:val="18"/>
                <w:szCs w:val="18"/>
                <w:color w:val="auto"/>
              </w:rPr>
            </w:pPr>
          </w:p>
        </w:tc>
        <w:tc>
          <w:tcPr>
            <w:tcW w:w="2760" w:type="dxa"/>
            <w:vAlign w:val="bottom"/>
            <w:shd w:val="clear" w:color="auto" w:fill="CFF0FC"/>
          </w:tcPr>
          <w:p>
            <w:pPr>
              <w:ind w:left="140"/>
              <w:spacing w:after="0" w:line="216" w:lineRule="exact"/>
              <w:rPr>
                <w:sz w:val="20"/>
                <w:szCs w:val="20"/>
                <w:color w:val="auto"/>
              </w:rPr>
            </w:pPr>
            <w:r>
              <w:rPr>
                <w:rFonts w:ascii="Arial" w:cs="Arial" w:eastAsia="Arial" w:hAnsi="Arial"/>
                <w:sz w:val="15"/>
                <w:szCs w:val="15"/>
                <w:color w:val="auto"/>
              </w:rPr>
              <w:t xml:space="preserve">569,991 Warrants </w:t>
            </w:r>
            <w:r>
              <w:rPr>
                <w:rFonts w:ascii="Arial" w:cs="Arial" w:eastAsia="Arial" w:hAnsi="Arial"/>
                <w:sz w:val="25"/>
                <w:szCs w:val="25"/>
                <w:color w:val="auto"/>
                <w:vertAlign w:val="superscript"/>
              </w:rPr>
              <w:t>(14)</w:t>
            </w: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4/2/2020</w:t>
            </w:r>
          </w:p>
        </w:tc>
        <w:tc>
          <w:tcPr>
            <w:tcW w:w="1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250</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911</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6"/>
        </w:trPr>
        <w:tc>
          <w:tcPr>
            <w:tcW w:w="2520" w:type="dxa"/>
            <w:vAlign w:val="bottom"/>
          </w:tcPr>
          <w:p>
            <w:pPr>
              <w:spacing w:after="0" w:line="216" w:lineRule="exact"/>
              <w:rPr>
                <w:sz w:val="20"/>
                <w:szCs w:val="20"/>
                <w:color w:val="auto"/>
              </w:rPr>
            </w:pPr>
            <w:r>
              <w:rPr>
                <w:rFonts w:ascii="Arial" w:cs="Arial" w:eastAsia="Arial" w:hAnsi="Arial"/>
                <w:sz w:val="15"/>
                <w:szCs w:val="15"/>
                <w:color w:val="auto"/>
              </w:rPr>
              <w:t xml:space="preserve">Quantros, Inc. </w:t>
            </w:r>
            <w:r>
              <w:rPr>
                <w:rFonts w:ascii="Arial" w:cs="Arial" w:eastAsia="Arial" w:hAnsi="Arial"/>
                <w:sz w:val="25"/>
                <w:szCs w:val="25"/>
                <w:color w:val="auto"/>
                <w:vertAlign w:val="superscript"/>
              </w:rPr>
              <w:t>(13)(14)</w:t>
            </w:r>
          </w:p>
        </w:tc>
        <w:tc>
          <w:tcPr>
            <w:tcW w:w="2760" w:type="dxa"/>
            <w:vAlign w:val="bottom"/>
          </w:tcPr>
          <w:p>
            <w:pPr>
              <w:ind w:left="140"/>
              <w:spacing w:after="0"/>
              <w:rPr>
                <w:sz w:val="20"/>
                <w:szCs w:val="20"/>
                <w:color w:val="auto"/>
              </w:rPr>
            </w:pPr>
            <w:r>
              <w:rPr>
                <w:rFonts w:ascii="Arial" w:cs="Arial" w:eastAsia="Arial" w:hAnsi="Arial"/>
                <w:sz w:val="16"/>
                <w:szCs w:val="16"/>
                <w:color w:val="auto"/>
              </w:rPr>
              <w:t>363 AA Preferred Stock Warrants</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10/7/2019</w:t>
            </w: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139</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139</w:t>
            </w: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16"/>
        </w:trPr>
        <w:tc>
          <w:tcPr>
            <w:tcW w:w="2520" w:type="dxa"/>
            <w:vAlign w:val="bottom"/>
            <w:shd w:val="clear" w:color="auto" w:fill="CFF0FC"/>
          </w:tcPr>
          <w:p>
            <w:pPr>
              <w:spacing w:after="0"/>
              <w:rPr>
                <w:sz w:val="18"/>
                <w:szCs w:val="18"/>
                <w:color w:val="auto"/>
              </w:rPr>
            </w:pPr>
          </w:p>
        </w:tc>
        <w:tc>
          <w:tcPr>
            <w:tcW w:w="27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2,748 A Preferred Stock Warrants</w:t>
            </w: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10/7/2019</w:t>
            </w:r>
          </w:p>
        </w:tc>
        <w:tc>
          <w:tcPr>
            <w:tcW w:w="1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10"/>
        </w:trPr>
        <w:tc>
          <w:tcPr>
            <w:tcW w:w="2520" w:type="dxa"/>
            <w:vAlign w:val="bottom"/>
          </w:tcPr>
          <w:p>
            <w:pPr>
              <w:spacing w:after="0"/>
              <w:rPr>
                <w:sz w:val="18"/>
                <w:szCs w:val="18"/>
                <w:color w:val="auto"/>
              </w:rPr>
            </w:pPr>
          </w:p>
        </w:tc>
        <w:tc>
          <w:tcPr>
            <w:tcW w:w="2760" w:type="dxa"/>
            <w:vAlign w:val="bottom"/>
          </w:tcPr>
          <w:p>
            <w:pPr>
              <w:ind w:left="140"/>
              <w:spacing w:after="0"/>
              <w:rPr>
                <w:sz w:val="20"/>
                <w:szCs w:val="20"/>
                <w:color w:val="auto"/>
              </w:rPr>
            </w:pPr>
            <w:r>
              <w:rPr>
                <w:rFonts w:ascii="Arial" w:cs="Arial" w:eastAsia="Arial" w:hAnsi="Arial"/>
                <w:sz w:val="16"/>
                <w:szCs w:val="16"/>
                <w:color w:val="auto"/>
              </w:rPr>
              <w:t>4,681,958 Common Stock Warrants</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10/7/2019</w:t>
            </w: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3"/>
        </w:trPr>
        <w:tc>
          <w:tcPr>
            <w:tcW w:w="2540" w:type="dxa"/>
            <w:vAlign w:val="bottom"/>
            <w:shd w:val="clear" w:color="auto" w:fill="CFF0FC"/>
          </w:tcPr>
          <w:p>
            <w:pPr>
              <w:spacing w:after="0"/>
              <w:rPr>
                <w:sz w:val="20"/>
                <w:szCs w:val="20"/>
                <w:color w:val="auto"/>
              </w:rPr>
            </w:pPr>
            <w:r>
              <w:rPr>
                <w:rFonts w:ascii="Arial" w:cs="Arial" w:eastAsia="Arial" w:hAnsi="Arial"/>
                <w:sz w:val="16"/>
                <w:szCs w:val="16"/>
                <w:color w:val="auto"/>
              </w:rPr>
              <w:t>Valant Medical Solutions,</w:t>
            </w:r>
          </w:p>
        </w:tc>
        <w:tc>
          <w:tcPr>
            <w:tcW w:w="27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954,478 Warrants</w:t>
            </w: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4/8/2019</w:t>
            </w:r>
          </w:p>
        </w:tc>
        <w:tc>
          <w:tcPr>
            <w:tcW w:w="1160" w:type="dxa"/>
            <w:vAlign w:val="bottom"/>
            <w:shd w:val="clear" w:color="auto" w:fill="CFF0FC"/>
          </w:tcPr>
          <w:p>
            <w:pPr>
              <w:spacing w:after="0"/>
              <w:rPr>
                <w:sz w:val="17"/>
                <w:szCs w:val="17"/>
                <w:color w:val="auto"/>
              </w:rPr>
            </w:pPr>
          </w:p>
        </w:tc>
        <w:tc>
          <w:tcPr>
            <w:tcW w:w="840" w:type="dxa"/>
            <w:vAlign w:val="bottom"/>
            <w:tcBorders>
              <w:right w:val="single" w:sz="8" w:color="CFF0FC"/>
            </w:tcBorders>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281</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237</w:t>
            </w:r>
          </w:p>
        </w:tc>
        <w:tc>
          <w:tcPr>
            <w:tcW w:w="20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16"/>
        </w:trPr>
        <w:tc>
          <w:tcPr>
            <w:tcW w:w="25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 xml:space="preserve">Inc. </w:t>
            </w:r>
            <w:r>
              <w:rPr>
                <w:rFonts w:ascii="Arial" w:cs="Arial" w:eastAsia="Arial" w:hAnsi="Arial"/>
                <w:sz w:val="13"/>
                <w:szCs w:val="13"/>
                <w:color w:val="auto"/>
              </w:rPr>
              <w:t>(13)(15)</w:t>
            </w:r>
          </w:p>
        </w:tc>
        <w:tc>
          <w:tcPr>
            <w:tcW w:w="27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line="216" w:lineRule="exact"/>
              <w:rPr>
                <w:sz w:val="20"/>
                <w:szCs w:val="20"/>
                <w:color w:val="auto"/>
              </w:rPr>
            </w:pPr>
            <w:r>
              <w:rPr>
                <w:rFonts w:ascii="Arial" w:cs="Arial" w:eastAsia="Arial" w:hAnsi="Arial"/>
                <w:sz w:val="15"/>
                <w:szCs w:val="15"/>
                <w:color w:val="auto"/>
              </w:rPr>
              <w:t xml:space="preserve">Vita Topco, Inc. </w:t>
            </w:r>
            <w:r>
              <w:rPr>
                <w:rFonts w:ascii="Arial" w:cs="Arial" w:eastAsia="Arial" w:hAnsi="Arial"/>
                <w:sz w:val="25"/>
                <w:szCs w:val="25"/>
                <w:color w:val="auto"/>
                <w:vertAlign w:val="superscript"/>
              </w:rPr>
              <w:t>(13)(15)</w:t>
            </w:r>
          </w:p>
        </w:tc>
        <w:tc>
          <w:tcPr>
            <w:tcW w:w="2740" w:type="dxa"/>
            <w:vAlign w:val="bottom"/>
          </w:tcPr>
          <w:p>
            <w:pPr>
              <w:ind w:left="120"/>
              <w:spacing w:after="0"/>
              <w:rPr>
                <w:sz w:val="20"/>
                <w:szCs w:val="20"/>
                <w:color w:val="auto"/>
              </w:rPr>
            </w:pPr>
            <w:r>
              <w:rPr>
                <w:rFonts w:ascii="Arial" w:cs="Arial" w:eastAsia="Arial" w:hAnsi="Arial"/>
                <w:sz w:val="16"/>
                <w:szCs w:val="16"/>
                <w:color w:val="auto"/>
              </w:rPr>
              <w:t>Common Shares (1,000 shares)</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2/11/2019</w:t>
            </w: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1,000</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4,070</w:t>
            </w:r>
          </w:p>
        </w:tc>
        <w:tc>
          <w:tcPr>
            <w:tcW w:w="2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0"/>
        </w:trPr>
        <w:tc>
          <w:tcPr>
            <w:tcW w:w="2540" w:type="dxa"/>
            <w:vAlign w:val="bottom"/>
            <w:shd w:val="clear" w:color="auto" w:fill="CFF0FC"/>
          </w:tcPr>
          <w:p>
            <w:pPr>
              <w:spacing w:after="0" w:line="20" w:lineRule="exact"/>
              <w:rPr>
                <w:sz w:val="1"/>
                <w:szCs w:val="1"/>
                <w:color w:val="auto"/>
              </w:rPr>
            </w:pPr>
          </w:p>
        </w:tc>
        <w:tc>
          <w:tcPr>
            <w:tcW w:w="274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1160" w:type="dxa"/>
            <w:vAlign w:val="bottom"/>
            <w:shd w:val="clear" w:color="auto" w:fill="CFF0FC"/>
          </w:tcPr>
          <w:p>
            <w:pPr>
              <w:spacing w:after="0" w:line="20" w:lineRule="exact"/>
              <w:rPr>
                <w:sz w:val="1"/>
                <w:szCs w:val="1"/>
                <w:color w:val="auto"/>
              </w:rPr>
            </w:pPr>
          </w:p>
        </w:tc>
        <w:tc>
          <w:tcPr>
            <w:tcW w:w="840" w:type="dxa"/>
            <w:vAlign w:val="bottom"/>
            <w:tcBorders>
              <w:right w:val="single" w:sz="8" w:color="CFF0FC"/>
            </w:tcBorders>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540" w:type="dxa"/>
            <w:vAlign w:val="bottom"/>
            <w:shd w:val="clear" w:color="auto" w:fill="CFF0FC"/>
          </w:tcPr>
          <w:p>
            <w:pPr>
              <w:spacing w:after="0"/>
              <w:rPr>
                <w:sz w:val="18"/>
                <w:szCs w:val="18"/>
                <w:color w:val="auto"/>
              </w:rPr>
            </w:pPr>
          </w:p>
        </w:tc>
        <w:tc>
          <w:tcPr>
            <w:tcW w:w="27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1,862</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6,350</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07"/>
        </w:trPr>
        <w:tc>
          <w:tcPr>
            <w:tcW w:w="2540" w:type="dxa"/>
            <w:vAlign w:val="bottom"/>
          </w:tcPr>
          <w:p>
            <w:pPr>
              <w:spacing w:after="0"/>
              <w:rPr>
                <w:sz w:val="20"/>
                <w:szCs w:val="20"/>
                <w:color w:val="auto"/>
              </w:rPr>
            </w:pPr>
            <w:r>
              <w:rPr>
                <w:rFonts w:ascii="Arial" w:cs="Arial" w:eastAsia="Arial" w:hAnsi="Arial"/>
                <w:sz w:val="16"/>
                <w:szCs w:val="16"/>
                <w:b w:val="1"/>
                <w:bCs w:val="1"/>
                <w:color w:val="auto"/>
              </w:rPr>
              <w:t>Hotel, gaming, and leisure</w:t>
            </w:r>
          </w:p>
        </w:tc>
        <w:tc>
          <w:tcPr>
            <w:tcW w:w="2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540" w:type="dxa"/>
            <w:vAlign w:val="bottom"/>
            <w:shd w:val="clear" w:color="auto" w:fill="CFF0FC"/>
          </w:tcPr>
          <w:p>
            <w:pPr>
              <w:spacing w:after="0" w:line="218" w:lineRule="exact"/>
              <w:rPr>
                <w:sz w:val="20"/>
                <w:szCs w:val="20"/>
                <w:color w:val="auto"/>
              </w:rPr>
            </w:pPr>
            <w:r>
              <w:rPr>
                <w:rFonts w:ascii="Arial" w:cs="Arial" w:eastAsia="Arial" w:hAnsi="Arial"/>
                <w:sz w:val="15"/>
                <w:szCs w:val="15"/>
                <w:color w:val="auto"/>
              </w:rPr>
              <w:t xml:space="preserve">IRGSE Holding Corp. </w:t>
            </w:r>
            <w:r>
              <w:rPr>
                <w:rFonts w:ascii="Arial" w:cs="Arial" w:eastAsia="Arial" w:hAnsi="Arial"/>
                <w:sz w:val="25"/>
                <w:szCs w:val="25"/>
                <w:color w:val="auto"/>
                <w:vertAlign w:val="superscript"/>
              </w:rPr>
              <w:t>(7)(13)</w:t>
            </w:r>
          </w:p>
        </w:tc>
        <w:tc>
          <w:tcPr>
            <w:tcW w:w="2740" w:type="dxa"/>
            <w:vAlign w:val="bottom"/>
            <w:shd w:val="clear" w:color="auto" w:fill="CFF0FC"/>
          </w:tcPr>
          <w:p>
            <w:pPr>
              <w:ind w:left="120"/>
              <w:spacing w:after="0" w:line="218" w:lineRule="exact"/>
              <w:rPr>
                <w:sz w:val="20"/>
                <w:szCs w:val="20"/>
                <w:color w:val="auto"/>
              </w:rPr>
            </w:pPr>
            <w:r>
              <w:rPr>
                <w:rFonts w:ascii="Arial" w:cs="Arial" w:eastAsia="Arial" w:hAnsi="Arial"/>
                <w:sz w:val="15"/>
                <w:szCs w:val="15"/>
                <w:color w:val="auto"/>
              </w:rPr>
              <w:t xml:space="preserve">Class A Units (33,790,171 units) </w:t>
            </w:r>
            <w:r>
              <w:rPr>
                <w:rFonts w:ascii="Arial" w:cs="Arial" w:eastAsia="Arial" w:hAnsi="Arial"/>
                <w:sz w:val="25"/>
                <w:szCs w:val="25"/>
                <w:color w:val="auto"/>
                <w:vertAlign w:val="superscript"/>
              </w:rPr>
              <w:t>(14)</w:t>
            </w: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12/21/2018</w:t>
            </w:r>
          </w:p>
        </w:tc>
        <w:tc>
          <w:tcPr>
            <w:tcW w:w="1160" w:type="dxa"/>
            <w:vAlign w:val="bottom"/>
            <w:shd w:val="clear" w:color="auto" w:fill="CFF0FC"/>
          </w:tcPr>
          <w:p>
            <w:pPr>
              <w:spacing w:after="0"/>
              <w:rPr>
                <w:sz w:val="19"/>
                <w:szCs w:val="19"/>
                <w:color w:val="auto"/>
              </w:rPr>
            </w:pPr>
          </w:p>
        </w:tc>
        <w:tc>
          <w:tcPr>
            <w:tcW w:w="840" w:type="dxa"/>
            <w:vAlign w:val="bottom"/>
            <w:tcBorders>
              <w:right w:val="single" w:sz="8" w:color="CFF0FC"/>
            </w:tcBorders>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21,842</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169</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13"/>
        </w:trPr>
        <w:tc>
          <w:tcPr>
            <w:tcW w:w="2540" w:type="dxa"/>
            <w:vAlign w:val="bottom"/>
          </w:tcPr>
          <w:p>
            <w:pPr>
              <w:spacing w:after="0"/>
              <w:rPr>
                <w:sz w:val="18"/>
                <w:szCs w:val="18"/>
                <w:color w:val="auto"/>
              </w:rPr>
            </w:pPr>
          </w:p>
        </w:tc>
        <w:tc>
          <w:tcPr>
            <w:tcW w:w="2740" w:type="dxa"/>
            <w:vAlign w:val="bottom"/>
          </w:tcPr>
          <w:p>
            <w:pPr>
              <w:ind w:left="120"/>
              <w:spacing w:after="0"/>
              <w:rPr>
                <w:sz w:val="20"/>
                <w:szCs w:val="20"/>
                <w:color w:val="auto"/>
              </w:rPr>
            </w:pPr>
            <w:r>
              <w:rPr>
                <w:rFonts w:ascii="Arial" w:cs="Arial" w:eastAsia="Arial" w:hAnsi="Arial"/>
                <w:sz w:val="16"/>
                <w:szCs w:val="16"/>
                <w:color w:val="auto"/>
              </w:rPr>
              <w:t>Class C-1 Units (8,800,000 units)</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12/21/2018</w:t>
            </w: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100</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48</w:t>
            </w:r>
          </w:p>
        </w:tc>
        <w:tc>
          <w:tcPr>
            <w:tcW w:w="2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0"/>
        </w:trPr>
        <w:tc>
          <w:tcPr>
            <w:tcW w:w="2540" w:type="dxa"/>
            <w:vAlign w:val="bottom"/>
            <w:shd w:val="clear" w:color="auto" w:fill="CFF0FC"/>
          </w:tcPr>
          <w:p>
            <w:pPr>
              <w:spacing w:after="0" w:line="20" w:lineRule="exact"/>
              <w:rPr>
                <w:sz w:val="1"/>
                <w:szCs w:val="1"/>
                <w:color w:val="auto"/>
              </w:rPr>
            </w:pPr>
          </w:p>
        </w:tc>
        <w:tc>
          <w:tcPr>
            <w:tcW w:w="274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1160" w:type="dxa"/>
            <w:vAlign w:val="bottom"/>
            <w:shd w:val="clear" w:color="auto" w:fill="CFF0FC"/>
          </w:tcPr>
          <w:p>
            <w:pPr>
              <w:spacing w:after="0" w:line="20" w:lineRule="exact"/>
              <w:rPr>
                <w:sz w:val="1"/>
                <w:szCs w:val="1"/>
                <w:color w:val="auto"/>
              </w:rPr>
            </w:pPr>
          </w:p>
        </w:tc>
        <w:tc>
          <w:tcPr>
            <w:tcW w:w="840" w:type="dxa"/>
            <w:vAlign w:val="bottom"/>
            <w:tcBorders>
              <w:right w:val="single" w:sz="8" w:color="CFF0FC"/>
            </w:tcBorders>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540" w:type="dxa"/>
            <w:vAlign w:val="bottom"/>
            <w:shd w:val="clear" w:color="auto" w:fill="CFF0FC"/>
          </w:tcPr>
          <w:p>
            <w:pPr>
              <w:spacing w:after="0"/>
              <w:rPr>
                <w:sz w:val="18"/>
                <w:szCs w:val="18"/>
                <w:color w:val="auto"/>
              </w:rPr>
            </w:pPr>
          </w:p>
        </w:tc>
        <w:tc>
          <w:tcPr>
            <w:tcW w:w="27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21,942</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217</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07"/>
        </w:trPr>
        <w:tc>
          <w:tcPr>
            <w:tcW w:w="2540" w:type="dxa"/>
            <w:vAlign w:val="bottom"/>
          </w:tcPr>
          <w:p>
            <w:pPr>
              <w:spacing w:after="0"/>
              <w:rPr>
                <w:sz w:val="20"/>
                <w:szCs w:val="20"/>
                <w:color w:val="auto"/>
              </w:rPr>
            </w:pPr>
            <w:r>
              <w:rPr>
                <w:rFonts w:ascii="Arial" w:cs="Arial" w:eastAsia="Arial" w:hAnsi="Arial"/>
                <w:sz w:val="16"/>
                <w:szCs w:val="16"/>
                <w:b w:val="1"/>
                <w:bCs w:val="1"/>
                <w:color w:val="auto"/>
                <w:w w:val="97"/>
              </w:rPr>
              <w:t>Human resource support services</w:t>
            </w:r>
          </w:p>
        </w:tc>
        <w:tc>
          <w:tcPr>
            <w:tcW w:w="2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540" w:type="dxa"/>
            <w:vAlign w:val="bottom"/>
            <w:shd w:val="clear" w:color="auto" w:fill="CFF0FC"/>
          </w:tcPr>
          <w:p>
            <w:pPr>
              <w:spacing w:after="0" w:line="218" w:lineRule="exact"/>
              <w:rPr>
                <w:sz w:val="20"/>
                <w:szCs w:val="20"/>
                <w:color w:val="auto"/>
              </w:rPr>
            </w:pPr>
            <w:r>
              <w:rPr>
                <w:rFonts w:ascii="Arial" w:cs="Arial" w:eastAsia="Arial" w:hAnsi="Arial"/>
                <w:sz w:val="15"/>
                <w:szCs w:val="15"/>
                <w:color w:val="auto"/>
              </w:rPr>
              <w:t xml:space="preserve">ClearCompany, LLC </w:t>
            </w:r>
            <w:r>
              <w:rPr>
                <w:rFonts w:ascii="Arial" w:cs="Arial" w:eastAsia="Arial" w:hAnsi="Arial"/>
                <w:sz w:val="25"/>
                <w:szCs w:val="25"/>
                <w:color w:val="auto"/>
                <w:vertAlign w:val="superscript"/>
              </w:rPr>
              <w:t>(13)(15)</w:t>
            </w:r>
          </w:p>
        </w:tc>
        <w:tc>
          <w:tcPr>
            <w:tcW w:w="27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Class A Units (44,944 units)</w:t>
            </w: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8/24/2018</w:t>
            </w:r>
          </w:p>
        </w:tc>
        <w:tc>
          <w:tcPr>
            <w:tcW w:w="1160" w:type="dxa"/>
            <w:vAlign w:val="bottom"/>
            <w:shd w:val="clear" w:color="auto" w:fill="CFF0FC"/>
          </w:tcPr>
          <w:p>
            <w:pPr>
              <w:spacing w:after="0"/>
              <w:rPr>
                <w:sz w:val="19"/>
                <w:szCs w:val="19"/>
                <w:color w:val="auto"/>
              </w:rPr>
            </w:pPr>
          </w:p>
        </w:tc>
        <w:tc>
          <w:tcPr>
            <w:tcW w:w="840" w:type="dxa"/>
            <w:vAlign w:val="bottom"/>
            <w:tcBorders>
              <w:right w:val="single" w:sz="8" w:color="CFF0FC"/>
            </w:tcBorders>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2,014</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2,865</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6"/>
        </w:trPr>
        <w:tc>
          <w:tcPr>
            <w:tcW w:w="2540" w:type="dxa"/>
            <w:vAlign w:val="bottom"/>
          </w:tcPr>
          <w:p>
            <w:pPr>
              <w:spacing w:after="0" w:line="216" w:lineRule="exact"/>
              <w:rPr>
                <w:sz w:val="20"/>
                <w:szCs w:val="20"/>
                <w:color w:val="auto"/>
              </w:rPr>
            </w:pPr>
            <w:r>
              <w:rPr>
                <w:rFonts w:ascii="Arial" w:cs="Arial" w:eastAsia="Arial" w:hAnsi="Arial"/>
                <w:sz w:val="15"/>
                <w:szCs w:val="15"/>
                <w:color w:val="auto"/>
                <w:w w:val="97"/>
              </w:rPr>
              <w:t xml:space="preserve">DaySmart Holdings, LLC </w:t>
            </w:r>
            <w:r>
              <w:rPr>
                <w:rFonts w:ascii="Arial" w:cs="Arial" w:eastAsia="Arial" w:hAnsi="Arial"/>
                <w:sz w:val="25"/>
                <w:szCs w:val="25"/>
                <w:color w:val="auto"/>
                <w:w w:val="97"/>
                <w:vertAlign w:val="superscript"/>
              </w:rPr>
              <w:t>(13)(14)(15)</w:t>
            </w:r>
          </w:p>
        </w:tc>
        <w:tc>
          <w:tcPr>
            <w:tcW w:w="2740" w:type="dxa"/>
            <w:vAlign w:val="bottom"/>
          </w:tcPr>
          <w:p>
            <w:pPr>
              <w:ind w:left="120"/>
              <w:spacing w:after="0"/>
              <w:rPr>
                <w:sz w:val="20"/>
                <w:szCs w:val="20"/>
                <w:color w:val="auto"/>
              </w:rPr>
            </w:pPr>
            <w:r>
              <w:rPr>
                <w:rFonts w:ascii="Arial" w:cs="Arial" w:eastAsia="Arial" w:hAnsi="Arial"/>
                <w:sz w:val="16"/>
                <w:szCs w:val="16"/>
                <w:color w:val="auto"/>
              </w:rPr>
              <w:t>Class A Units (125,810 units)</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10/1/2019</w:t>
            </w: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1,000</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995</w:t>
            </w:r>
          </w:p>
        </w:tc>
        <w:tc>
          <w:tcPr>
            <w:tcW w:w="2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
        </w:trPr>
        <w:tc>
          <w:tcPr>
            <w:tcW w:w="2540" w:type="dxa"/>
            <w:vAlign w:val="bottom"/>
            <w:shd w:val="clear" w:color="auto" w:fill="CFF0FC"/>
          </w:tcPr>
          <w:p>
            <w:pPr>
              <w:spacing w:after="0" w:line="20" w:lineRule="exact"/>
              <w:rPr>
                <w:sz w:val="1"/>
                <w:szCs w:val="1"/>
                <w:color w:val="auto"/>
              </w:rPr>
            </w:pPr>
          </w:p>
        </w:tc>
        <w:tc>
          <w:tcPr>
            <w:tcW w:w="274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1160" w:type="dxa"/>
            <w:vAlign w:val="bottom"/>
            <w:shd w:val="clear" w:color="auto" w:fill="CFF0FC"/>
          </w:tcPr>
          <w:p>
            <w:pPr>
              <w:spacing w:after="0" w:line="20" w:lineRule="exact"/>
              <w:rPr>
                <w:sz w:val="1"/>
                <w:szCs w:val="1"/>
                <w:color w:val="auto"/>
              </w:rPr>
            </w:pPr>
          </w:p>
        </w:tc>
        <w:tc>
          <w:tcPr>
            <w:tcW w:w="840" w:type="dxa"/>
            <w:vAlign w:val="bottom"/>
            <w:tcBorders>
              <w:right w:val="single" w:sz="8" w:color="CFF0FC"/>
            </w:tcBorders>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40" w:type="dxa"/>
            <w:vAlign w:val="bottom"/>
            <w:shd w:val="clear" w:color="auto" w:fill="CFF0FC"/>
          </w:tcPr>
          <w:p>
            <w:pPr>
              <w:spacing w:after="0"/>
              <w:rPr>
                <w:sz w:val="18"/>
                <w:szCs w:val="18"/>
                <w:color w:val="auto"/>
              </w:rPr>
            </w:pPr>
          </w:p>
        </w:tc>
        <w:tc>
          <w:tcPr>
            <w:tcW w:w="27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3,014</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3,860</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06"/>
        </w:trPr>
        <w:tc>
          <w:tcPr>
            <w:tcW w:w="2540" w:type="dxa"/>
            <w:vAlign w:val="bottom"/>
          </w:tcPr>
          <w:p>
            <w:pPr>
              <w:spacing w:after="0"/>
              <w:rPr>
                <w:sz w:val="20"/>
                <w:szCs w:val="20"/>
                <w:color w:val="auto"/>
              </w:rPr>
            </w:pPr>
            <w:r>
              <w:rPr>
                <w:rFonts w:ascii="Arial" w:cs="Arial" w:eastAsia="Arial" w:hAnsi="Arial"/>
                <w:sz w:val="16"/>
                <w:szCs w:val="16"/>
                <w:b w:val="1"/>
                <w:bCs w:val="1"/>
                <w:color w:val="auto"/>
              </w:rPr>
              <w:t>Insurance</w:t>
            </w:r>
          </w:p>
        </w:tc>
        <w:tc>
          <w:tcPr>
            <w:tcW w:w="2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540" w:type="dxa"/>
            <w:vAlign w:val="bottom"/>
            <w:shd w:val="clear" w:color="auto" w:fill="CFF0FC"/>
          </w:tcPr>
          <w:p>
            <w:pPr>
              <w:spacing w:after="0" w:line="218" w:lineRule="exact"/>
              <w:rPr>
                <w:sz w:val="20"/>
                <w:szCs w:val="20"/>
                <w:color w:val="auto"/>
              </w:rPr>
            </w:pPr>
            <w:r>
              <w:rPr>
                <w:rFonts w:ascii="Arial" w:cs="Arial" w:eastAsia="Arial" w:hAnsi="Arial"/>
                <w:sz w:val="15"/>
                <w:szCs w:val="15"/>
                <w:color w:val="auto"/>
              </w:rPr>
              <w:t xml:space="preserve">Riskonnect, Inc. </w:t>
            </w:r>
            <w:r>
              <w:rPr>
                <w:rFonts w:ascii="Arial" w:cs="Arial" w:eastAsia="Arial" w:hAnsi="Arial"/>
                <w:sz w:val="25"/>
                <w:szCs w:val="25"/>
                <w:color w:val="auto"/>
                <w:vertAlign w:val="superscript"/>
              </w:rPr>
              <w:t>(13)</w:t>
            </w:r>
          </w:p>
        </w:tc>
        <w:tc>
          <w:tcPr>
            <w:tcW w:w="2740" w:type="dxa"/>
            <w:vAlign w:val="bottom"/>
            <w:shd w:val="clear" w:color="auto" w:fill="CFF0FC"/>
          </w:tcPr>
          <w:p>
            <w:pPr>
              <w:ind w:left="120"/>
              <w:spacing w:after="0"/>
              <w:rPr>
                <w:sz w:val="20"/>
                <w:szCs w:val="20"/>
                <w:color w:val="auto"/>
              </w:rPr>
            </w:pPr>
            <w:r>
              <w:rPr>
                <w:rFonts w:ascii="Arial" w:cs="Arial" w:eastAsia="Arial" w:hAnsi="Arial"/>
                <w:sz w:val="16"/>
                <w:szCs w:val="16"/>
                <w:color w:val="auto"/>
                <w:w w:val="95"/>
              </w:rPr>
              <w:t>Common Shares Class A (1,020 units)</w:t>
            </w: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6/30/2017</w:t>
            </w:r>
          </w:p>
        </w:tc>
        <w:tc>
          <w:tcPr>
            <w:tcW w:w="1160" w:type="dxa"/>
            <w:vAlign w:val="bottom"/>
            <w:shd w:val="clear" w:color="auto" w:fill="CFF0FC"/>
          </w:tcPr>
          <w:p>
            <w:pPr>
              <w:spacing w:after="0"/>
              <w:rPr>
                <w:sz w:val="19"/>
                <w:szCs w:val="19"/>
                <w:color w:val="auto"/>
              </w:rPr>
            </w:pPr>
          </w:p>
        </w:tc>
        <w:tc>
          <w:tcPr>
            <w:tcW w:w="840" w:type="dxa"/>
            <w:vAlign w:val="bottom"/>
            <w:tcBorders>
              <w:right w:val="single" w:sz="8" w:color="CFF0FC"/>
            </w:tcBorders>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1,020</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1,242</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6"/>
        </w:trPr>
        <w:tc>
          <w:tcPr>
            <w:tcW w:w="2540" w:type="dxa"/>
            <w:vAlign w:val="bottom"/>
          </w:tcPr>
          <w:p>
            <w:pPr>
              <w:spacing w:after="0"/>
              <w:rPr>
                <w:sz w:val="17"/>
                <w:szCs w:val="17"/>
                <w:color w:val="auto"/>
              </w:rPr>
            </w:pPr>
          </w:p>
        </w:tc>
        <w:tc>
          <w:tcPr>
            <w:tcW w:w="2740" w:type="dxa"/>
            <w:vAlign w:val="bottom"/>
          </w:tcPr>
          <w:p>
            <w:pPr>
              <w:ind w:left="120"/>
              <w:spacing w:after="0"/>
              <w:rPr>
                <w:sz w:val="20"/>
                <w:szCs w:val="20"/>
                <w:color w:val="auto"/>
              </w:rPr>
            </w:pPr>
            <w:r>
              <w:rPr>
                <w:rFonts w:ascii="Arial" w:cs="Arial" w:eastAsia="Arial" w:hAnsi="Arial"/>
                <w:sz w:val="16"/>
                <w:szCs w:val="16"/>
                <w:color w:val="auto"/>
              </w:rPr>
              <w:t>Common Shares Class B (987,929</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6/30/2017</w:t>
            </w: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13</w:t>
            </w:r>
          </w:p>
        </w:tc>
        <w:tc>
          <w:tcPr>
            <w:tcW w:w="20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09"/>
        </w:trPr>
        <w:tc>
          <w:tcPr>
            <w:tcW w:w="2540" w:type="dxa"/>
            <w:vAlign w:val="bottom"/>
            <w:tcBorders>
              <w:bottom w:val="single" w:sz="8" w:color="CFF0FC"/>
            </w:tcBorders>
          </w:tcPr>
          <w:p>
            <w:pPr>
              <w:spacing w:after="0"/>
              <w:rPr>
                <w:sz w:val="18"/>
                <w:szCs w:val="18"/>
                <w:color w:val="auto"/>
              </w:rPr>
            </w:pPr>
          </w:p>
        </w:tc>
        <w:tc>
          <w:tcPr>
            <w:tcW w:w="2740" w:type="dxa"/>
            <w:vAlign w:val="bottom"/>
            <w:tcBorders>
              <w:bottom w:val="single" w:sz="8" w:color="CFF0FC"/>
            </w:tcBorders>
          </w:tcPr>
          <w:p>
            <w:pPr>
              <w:ind w:left="120"/>
              <w:spacing w:after="0"/>
              <w:rPr>
                <w:sz w:val="20"/>
                <w:szCs w:val="20"/>
                <w:color w:val="auto"/>
              </w:rPr>
            </w:pPr>
            <w:r>
              <w:rPr>
                <w:rFonts w:ascii="Arial" w:cs="Arial" w:eastAsia="Arial" w:hAnsi="Arial"/>
                <w:sz w:val="16"/>
                <w:szCs w:val="16"/>
                <w:color w:val="auto"/>
              </w:rPr>
              <w:t>units)</w:t>
            </w:r>
          </w:p>
        </w:tc>
        <w:tc>
          <w:tcPr>
            <w:tcW w:w="1040" w:type="dxa"/>
            <w:vAlign w:val="bottom"/>
            <w:tcBorders>
              <w:bottom w:val="single" w:sz="8" w:color="CFF0FC"/>
            </w:tcBorders>
          </w:tcPr>
          <w:p>
            <w:pPr>
              <w:spacing w:after="0"/>
              <w:rPr>
                <w:sz w:val="18"/>
                <w:szCs w:val="18"/>
                <w:color w:val="auto"/>
              </w:rPr>
            </w:pPr>
          </w:p>
        </w:tc>
        <w:tc>
          <w:tcPr>
            <w:tcW w:w="1160" w:type="dxa"/>
            <w:vAlign w:val="bottom"/>
            <w:tcBorders>
              <w:bottom w:val="single" w:sz="8" w:color="CFF0FC"/>
            </w:tcBorders>
          </w:tcPr>
          <w:p>
            <w:pPr>
              <w:spacing w:after="0"/>
              <w:rPr>
                <w:sz w:val="18"/>
                <w:szCs w:val="18"/>
                <w:color w:val="auto"/>
              </w:rPr>
            </w:pPr>
          </w:p>
        </w:tc>
        <w:tc>
          <w:tcPr>
            <w:tcW w:w="84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40" w:type="dxa"/>
            <w:vAlign w:val="bottom"/>
            <w:shd w:val="clear" w:color="auto" w:fill="CFF0FC"/>
          </w:tcPr>
          <w:p>
            <w:pPr>
              <w:spacing w:after="0"/>
              <w:rPr>
                <w:sz w:val="18"/>
                <w:szCs w:val="18"/>
                <w:color w:val="auto"/>
              </w:rPr>
            </w:pPr>
          </w:p>
        </w:tc>
        <w:tc>
          <w:tcPr>
            <w:tcW w:w="27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1,030</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1,255</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7"/>
        </w:trPr>
        <w:tc>
          <w:tcPr>
            <w:tcW w:w="2540" w:type="dxa"/>
            <w:vAlign w:val="bottom"/>
          </w:tcPr>
          <w:p>
            <w:pPr>
              <w:spacing w:after="0"/>
              <w:rPr>
                <w:sz w:val="20"/>
                <w:szCs w:val="20"/>
                <w:color w:val="auto"/>
              </w:rPr>
            </w:pPr>
            <w:r>
              <w:rPr>
                <w:rFonts w:ascii="Arial" w:cs="Arial" w:eastAsia="Arial" w:hAnsi="Arial"/>
                <w:sz w:val="16"/>
                <w:szCs w:val="16"/>
                <w:b w:val="1"/>
                <w:bCs w:val="1"/>
                <w:color w:val="auto"/>
              </w:rPr>
              <w:t>Internet Services</w:t>
            </w:r>
          </w:p>
        </w:tc>
        <w:tc>
          <w:tcPr>
            <w:tcW w:w="2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4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Lucidworks, Inc. </w:t>
            </w:r>
            <w:r>
              <w:rPr>
                <w:rFonts w:ascii="Arial" w:cs="Arial" w:eastAsia="Arial" w:hAnsi="Arial"/>
                <w:sz w:val="24"/>
                <w:szCs w:val="24"/>
                <w:color w:val="auto"/>
                <w:vertAlign w:val="superscript"/>
              </w:rPr>
              <w:t>(13)</w:t>
            </w:r>
          </w:p>
        </w:tc>
        <w:tc>
          <w:tcPr>
            <w:tcW w:w="27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Series F Preferred Shares (199,054</w:t>
            </w: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8/2/2019</w:t>
            </w:r>
          </w:p>
        </w:tc>
        <w:tc>
          <w:tcPr>
            <w:tcW w:w="116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800</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824</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2"/>
        </w:trPr>
        <w:tc>
          <w:tcPr>
            <w:tcW w:w="2540" w:type="dxa"/>
            <w:vAlign w:val="bottom"/>
            <w:shd w:val="clear" w:color="auto" w:fill="CFF0FC"/>
          </w:tcPr>
          <w:p>
            <w:pPr>
              <w:spacing w:after="0"/>
              <w:rPr>
                <w:sz w:val="18"/>
                <w:szCs w:val="18"/>
                <w:color w:val="auto"/>
              </w:rPr>
            </w:pPr>
          </w:p>
        </w:tc>
        <w:tc>
          <w:tcPr>
            <w:tcW w:w="27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shares)</w:t>
            </w:r>
          </w:p>
        </w:tc>
        <w:tc>
          <w:tcPr>
            <w:tcW w:w="10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40" w:type="dxa"/>
            <w:vAlign w:val="bottom"/>
          </w:tcPr>
          <w:p>
            <w:pPr>
              <w:spacing w:after="0"/>
              <w:rPr>
                <w:sz w:val="20"/>
                <w:szCs w:val="20"/>
                <w:color w:val="auto"/>
              </w:rPr>
            </w:pPr>
            <w:r>
              <w:rPr>
                <w:rFonts w:ascii="Arial" w:cs="Arial" w:eastAsia="Arial" w:hAnsi="Arial"/>
                <w:sz w:val="16"/>
                <w:szCs w:val="16"/>
                <w:b w:val="1"/>
                <w:bCs w:val="1"/>
                <w:color w:val="auto"/>
              </w:rPr>
              <w:t>Marketing services</w:t>
            </w:r>
          </w:p>
        </w:tc>
        <w:tc>
          <w:tcPr>
            <w:tcW w:w="2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4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Validity, Inc. </w:t>
            </w:r>
            <w:r>
              <w:rPr>
                <w:rFonts w:ascii="Arial" w:cs="Arial" w:eastAsia="Arial" w:hAnsi="Arial"/>
                <w:sz w:val="24"/>
                <w:szCs w:val="24"/>
                <w:color w:val="auto"/>
                <w:vertAlign w:val="superscript"/>
              </w:rPr>
              <w:t>(13)</w:t>
            </w:r>
          </w:p>
        </w:tc>
        <w:tc>
          <w:tcPr>
            <w:tcW w:w="2740" w:type="dxa"/>
            <w:vAlign w:val="bottom"/>
            <w:shd w:val="clear" w:color="auto" w:fill="CFF0FC"/>
          </w:tcPr>
          <w:p>
            <w:pPr>
              <w:ind w:left="120"/>
              <w:spacing w:after="0"/>
              <w:rPr>
                <w:sz w:val="20"/>
                <w:szCs w:val="20"/>
                <w:color w:val="auto"/>
              </w:rPr>
            </w:pPr>
            <w:r>
              <w:rPr>
                <w:rFonts w:ascii="Arial" w:cs="Arial" w:eastAsia="Arial" w:hAnsi="Arial"/>
                <w:sz w:val="16"/>
                <w:szCs w:val="16"/>
                <w:color w:val="auto"/>
                <w:w w:val="97"/>
              </w:rPr>
              <w:t>Series A Preferred Shares (3,840,000</w:t>
            </w: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5/31/2018</w:t>
            </w:r>
          </w:p>
        </w:tc>
        <w:tc>
          <w:tcPr>
            <w:tcW w:w="116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3,840</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13,056</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2"/>
        </w:trPr>
        <w:tc>
          <w:tcPr>
            <w:tcW w:w="2540" w:type="dxa"/>
            <w:vAlign w:val="bottom"/>
            <w:shd w:val="clear" w:color="auto" w:fill="CFF0FC"/>
          </w:tcPr>
          <w:p>
            <w:pPr>
              <w:spacing w:after="0"/>
              <w:rPr>
                <w:sz w:val="18"/>
                <w:szCs w:val="18"/>
                <w:color w:val="auto"/>
              </w:rPr>
            </w:pPr>
          </w:p>
        </w:tc>
        <w:tc>
          <w:tcPr>
            <w:tcW w:w="27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shares)</w:t>
            </w:r>
          </w:p>
        </w:tc>
        <w:tc>
          <w:tcPr>
            <w:tcW w:w="10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40" w:type="dxa"/>
            <w:vAlign w:val="bottom"/>
          </w:tcPr>
          <w:p>
            <w:pPr>
              <w:spacing w:after="0"/>
              <w:rPr>
                <w:sz w:val="20"/>
                <w:szCs w:val="20"/>
                <w:color w:val="auto"/>
              </w:rPr>
            </w:pPr>
            <w:r>
              <w:rPr>
                <w:rFonts w:ascii="Arial" w:cs="Arial" w:eastAsia="Arial" w:hAnsi="Arial"/>
                <w:sz w:val="16"/>
                <w:szCs w:val="16"/>
                <w:b w:val="1"/>
                <w:bCs w:val="1"/>
                <w:color w:val="auto"/>
              </w:rPr>
              <w:t>Oil, gas and consumable fuels</w:t>
            </w:r>
          </w:p>
        </w:tc>
        <w:tc>
          <w:tcPr>
            <w:tcW w:w="2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540" w:type="dxa"/>
            <w:vAlign w:val="bottom"/>
            <w:shd w:val="clear" w:color="auto" w:fill="CFF0FC"/>
          </w:tcPr>
          <w:p>
            <w:pPr>
              <w:spacing w:after="0"/>
              <w:rPr>
                <w:sz w:val="20"/>
                <w:szCs w:val="20"/>
                <w:color w:val="auto"/>
              </w:rPr>
            </w:pPr>
            <w:r>
              <w:rPr>
                <w:rFonts w:ascii="Arial" w:cs="Arial" w:eastAsia="Arial" w:hAnsi="Arial"/>
                <w:sz w:val="16"/>
                <w:szCs w:val="16"/>
                <w:color w:val="auto"/>
              </w:rPr>
              <w:t>Mississippi Resources,</w:t>
            </w:r>
          </w:p>
        </w:tc>
        <w:tc>
          <w:tcPr>
            <w:tcW w:w="2740" w:type="dxa"/>
            <w:vAlign w:val="bottom"/>
            <w:shd w:val="clear" w:color="auto" w:fill="CFF0FC"/>
          </w:tcPr>
          <w:p>
            <w:pPr>
              <w:ind w:left="120"/>
              <w:spacing w:after="0"/>
              <w:rPr>
                <w:sz w:val="20"/>
                <w:szCs w:val="20"/>
                <w:color w:val="auto"/>
              </w:rPr>
            </w:pPr>
            <w:r>
              <w:rPr>
                <w:rFonts w:ascii="Arial" w:cs="Arial" w:eastAsia="Arial" w:hAnsi="Arial"/>
                <w:sz w:val="16"/>
                <w:szCs w:val="16"/>
                <w:color w:val="auto"/>
                <w:w w:val="97"/>
              </w:rPr>
              <w:t>Class A-0 Member Units (1,000 units)</w:t>
            </w: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12/12/2019</w:t>
            </w:r>
          </w:p>
        </w:tc>
        <w:tc>
          <w:tcPr>
            <w:tcW w:w="1160" w:type="dxa"/>
            <w:vAlign w:val="bottom"/>
            <w:shd w:val="clear" w:color="auto" w:fill="CFF0FC"/>
          </w:tcPr>
          <w:p>
            <w:pPr>
              <w:spacing w:after="0"/>
              <w:rPr>
                <w:sz w:val="17"/>
                <w:szCs w:val="17"/>
                <w:color w:val="auto"/>
              </w:rPr>
            </w:pPr>
          </w:p>
        </w:tc>
        <w:tc>
          <w:tcPr>
            <w:tcW w:w="840" w:type="dxa"/>
            <w:vAlign w:val="bottom"/>
            <w:tcBorders>
              <w:right w:val="single" w:sz="8" w:color="CFF0FC"/>
            </w:tcBorders>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6,693</w:t>
            </w:r>
          </w:p>
        </w:tc>
        <w:tc>
          <w:tcPr>
            <w:tcW w:w="2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16"/>
        </w:trPr>
        <w:tc>
          <w:tcPr>
            <w:tcW w:w="25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 xml:space="preserve">LLC </w:t>
            </w:r>
            <w:r>
              <w:rPr>
                <w:rFonts w:ascii="Arial" w:cs="Arial" w:eastAsia="Arial" w:hAnsi="Arial"/>
                <w:sz w:val="13"/>
                <w:szCs w:val="13"/>
                <w:color w:val="auto"/>
              </w:rPr>
              <w:t>(7)(13)</w:t>
            </w:r>
          </w:p>
        </w:tc>
        <w:tc>
          <w:tcPr>
            <w:tcW w:w="27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(14)</w:t>
            </w:r>
          </w:p>
        </w:tc>
        <w:tc>
          <w:tcPr>
            <w:tcW w:w="10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40" w:type="dxa"/>
            <w:vAlign w:val="bottom"/>
          </w:tcPr>
          <w:p>
            <w:pPr>
              <w:spacing w:after="0"/>
              <w:rPr>
                <w:sz w:val="18"/>
                <w:szCs w:val="18"/>
                <w:color w:val="auto"/>
              </w:rPr>
            </w:pPr>
          </w:p>
        </w:tc>
        <w:tc>
          <w:tcPr>
            <w:tcW w:w="2740" w:type="dxa"/>
            <w:vAlign w:val="bottom"/>
          </w:tcPr>
          <w:p>
            <w:pPr>
              <w:ind w:left="120"/>
              <w:spacing w:after="0"/>
              <w:rPr>
                <w:sz w:val="20"/>
                <w:szCs w:val="20"/>
                <w:color w:val="auto"/>
              </w:rPr>
            </w:pPr>
            <w:r>
              <w:rPr>
                <w:rFonts w:ascii="Arial" w:cs="Arial" w:eastAsia="Arial" w:hAnsi="Arial"/>
                <w:sz w:val="16"/>
                <w:szCs w:val="16"/>
                <w:color w:val="auto"/>
                <w:w w:val="97"/>
              </w:rPr>
              <w:t>Class A-1 Member Units (1,360 units)</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5/3/2017</w:t>
            </w: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10,366</w:t>
            </w: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16"/>
        </w:trPr>
        <w:tc>
          <w:tcPr>
            <w:tcW w:w="2540" w:type="dxa"/>
            <w:vAlign w:val="bottom"/>
            <w:shd w:val="clear" w:color="auto" w:fill="CFF0FC"/>
          </w:tcPr>
          <w:p>
            <w:pPr>
              <w:spacing w:after="0"/>
              <w:rPr>
                <w:sz w:val="18"/>
                <w:szCs w:val="18"/>
                <w:color w:val="auto"/>
              </w:rPr>
            </w:pPr>
          </w:p>
        </w:tc>
        <w:tc>
          <w:tcPr>
            <w:tcW w:w="27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Class A-2 Member Units (933 units)</w:t>
            </w: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6/4/2014</w:t>
            </w:r>
          </w:p>
        </w:tc>
        <w:tc>
          <w:tcPr>
            <w:tcW w:w="116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8,874</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5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25,933</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13"/>
        </w:trPr>
        <w:tc>
          <w:tcPr>
            <w:tcW w:w="2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Pharmaceuticals</w:t>
            </w:r>
          </w:p>
        </w:tc>
        <w:tc>
          <w:tcPr>
            <w:tcW w:w="274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CFF0FC"/>
            </w:tcBorders>
            <w:shd w:val="clear" w:color="auto" w:fill="CFF0FC"/>
          </w:tcPr>
          <w:p>
            <w:pPr>
              <w:spacing w:after="0"/>
              <w:rPr>
                <w:sz w:val="18"/>
                <w:szCs w:val="18"/>
                <w:color w:val="auto"/>
              </w:rPr>
            </w:pPr>
          </w:p>
        </w:tc>
        <w:tc>
          <w:tcPr>
            <w:tcW w:w="1160" w:type="dxa"/>
            <w:vAlign w:val="bottom"/>
            <w:tcBorders>
              <w:top w:val="single" w:sz="8" w:color="CFF0FC"/>
            </w:tcBorders>
            <w:shd w:val="clear" w:color="auto" w:fill="CFF0FC"/>
          </w:tcPr>
          <w:p>
            <w:pPr>
              <w:spacing w:after="0"/>
              <w:rPr>
                <w:sz w:val="18"/>
                <w:szCs w:val="18"/>
                <w:color w:val="auto"/>
              </w:rPr>
            </w:pPr>
          </w:p>
        </w:tc>
        <w:tc>
          <w:tcPr>
            <w:tcW w:w="840" w:type="dxa"/>
            <w:vAlign w:val="bottom"/>
            <w:tcBorders>
              <w:top w:val="single" w:sz="8" w:color="CFF0FC"/>
              <w:right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line="216" w:lineRule="exact"/>
              <w:rPr>
                <w:sz w:val="20"/>
                <w:szCs w:val="20"/>
                <w:color w:val="auto"/>
              </w:rPr>
            </w:pPr>
            <w:r>
              <w:rPr>
                <w:rFonts w:ascii="Arial" w:cs="Arial" w:eastAsia="Arial" w:hAnsi="Arial"/>
                <w:sz w:val="15"/>
                <w:szCs w:val="15"/>
                <w:color w:val="auto"/>
              </w:rPr>
              <w:t xml:space="preserve">TherapeuticsMD, Inc. </w:t>
            </w:r>
            <w:r>
              <w:rPr>
                <w:rFonts w:ascii="Arial" w:cs="Arial" w:eastAsia="Arial" w:hAnsi="Arial"/>
                <w:sz w:val="25"/>
                <w:szCs w:val="25"/>
                <w:color w:val="auto"/>
                <w:vertAlign w:val="superscript"/>
              </w:rPr>
              <w:t>(13)(14)</w:t>
            </w:r>
          </w:p>
        </w:tc>
        <w:tc>
          <w:tcPr>
            <w:tcW w:w="2740" w:type="dxa"/>
            <w:vAlign w:val="bottom"/>
          </w:tcPr>
          <w:p>
            <w:pPr>
              <w:ind w:left="120"/>
              <w:spacing w:after="0"/>
              <w:rPr>
                <w:sz w:val="20"/>
                <w:szCs w:val="20"/>
                <w:color w:val="auto"/>
              </w:rPr>
            </w:pPr>
            <w:r>
              <w:rPr>
                <w:rFonts w:ascii="Arial" w:cs="Arial" w:eastAsia="Arial" w:hAnsi="Arial"/>
                <w:sz w:val="16"/>
                <w:szCs w:val="16"/>
                <w:color w:val="auto"/>
              </w:rPr>
              <w:t>712,817 Warrants</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8/5/2020</w:t>
            </w: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1,029</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1,029</w:t>
            </w:r>
          </w:p>
        </w:tc>
        <w:tc>
          <w:tcPr>
            <w:tcW w:w="2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6"/>
        </w:trPr>
        <w:tc>
          <w:tcPr>
            <w:tcW w:w="25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Retail and consumer products</w:t>
            </w:r>
          </w:p>
        </w:tc>
        <w:tc>
          <w:tcPr>
            <w:tcW w:w="27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line="216" w:lineRule="exact"/>
              <w:rPr>
                <w:sz w:val="20"/>
                <w:szCs w:val="20"/>
                <w:color w:val="auto"/>
              </w:rPr>
            </w:pPr>
            <w:r>
              <w:rPr>
                <w:rFonts w:ascii="Arial" w:cs="Arial" w:eastAsia="Arial" w:hAnsi="Arial"/>
                <w:sz w:val="15"/>
                <w:szCs w:val="15"/>
                <w:color w:val="auto"/>
              </w:rPr>
              <w:t xml:space="preserve">NMG Parent LLC Com Unit </w:t>
            </w:r>
            <w:r>
              <w:rPr>
                <w:rFonts w:ascii="Arial" w:cs="Arial" w:eastAsia="Arial" w:hAnsi="Arial"/>
                <w:sz w:val="25"/>
                <w:szCs w:val="25"/>
                <w:color w:val="auto"/>
                <w:vertAlign w:val="superscript"/>
              </w:rPr>
              <w:t>(13)(14)</w:t>
            </w:r>
          </w:p>
        </w:tc>
        <w:tc>
          <w:tcPr>
            <w:tcW w:w="2740" w:type="dxa"/>
            <w:vAlign w:val="bottom"/>
          </w:tcPr>
          <w:p>
            <w:pPr>
              <w:ind w:left="120"/>
              <w:spacing w:after="0"/>
              <w:rPr>
                <w:sz w:val="20"/>
                <w:szCs w:val="20"/>
                <w:color w:val="auto"/>
              </w:rPr>
            </w:pPr>
            <w:r>
              <w:rPr>
                <w:rFonts w:ascii="Arial" w:cs="Arial" w:eastAsia="Arial" w:hAnsi="Arial"/>
                <w:sz w:val="16"/>
                <w:szCs w:val="16"/>
                <w:color w:val="auto"/>
              </w:rPr>
              <w:t>Common Shares (110,210 shares)</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9/29/2020</w:t>
            </w: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6,613</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6,613</w:t>
            </w:r>
          </w:p>
        </w:tc>
        <w:tc>
          <w:tcPr>
            <w:tcW w:w="2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6"/>
        </w:trPr>
        <w:tc>
          <w:tcPr>
            <w:tcW w:w="2540" w:type="dxa"/>
            <w:vAlign w:val="bottom"/>
            <w:shd w:val="clear" w:color="auto" w:fill="CFF0FC"/>
          </w:tcPr>
          <w:p>
            <w:pPr>
              <w:spacing w:after="0"/>
              <w:rPr>
                <w:sz w:val="18"/>
                <w:szCs w:val="18"/>
                <w:color w:val="auto"/>
              </w:rPr>
            </w:pPr>
          </w:p>
        </w:tc>
        <w:tc>
          <w:tcPr>
            <w:tcW w:w="27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40" w:type="dxa"/>
            <w:vAlign w:val="bottom"/>
          </w:tcPr>
          <w:p>
            <w:pPr>
              <w:spacing w:after="0"/>
              <w:rPr>
                <w:sz w:val="20"/>
                <w:szCs w:val="20"/>
                <w:color w:val="auto"/>
              </w:rPr>
            </w:pPr>
            <w:r>
              <w:rPr>
                <w:rFonts w:ascii="Arial" w:cs="Arial" w:eastAsia="Arial" w:hAnsi="Arial"/>
                <w:sz w:val="16"/>
                <w:szCs w:val="16"/>
                <w:b w:val="1"/>
                <w:bCs w:val="1"/>
                <w:color w:val="auto"/>
              </w:rPr>
              <w:t>Other Investments</w:t>
            </w:r>
          </w:p>
        </w:tc>
        <w:tc>
          <w:tcPr>
            <w:tcW w:w="2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40" w:type="dxa"/>
            <w:vAlign w:val="bottom"/>
            <w:shd w:val="clear" w:color="auto" w:fill="CFF0FC"/>
          </w:tcPr>
          <w:p>
            <w:pPr>
              <w:spacing w:after="0"/>
              <w:rPr>
                <w:sz w:val="20"/>
                <w:szCs w:val="20"/>
                <w:color w:val="auto"/>
              </w:rPr>
            </w:pPr>
            <w:r>
              <w:rPr>
                <w:rFonts w:ascii="Arial" w:cs="Arial" w:eastAsia="Arial" w:hAnsi="Arial"/>
                <w:sz w:val="16"/>
                <w:szCs w:val="16"/>
                <w:color w:val="auto"/>
              </w:rPr>
              <w:t>Carlyle Global Market Strategies</w:t>
            </w:r>
          </w:p>
        </w:tc>
        <w:tc>
          <w:tcPr>
            <w:tcW w:w="27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Structured Product ($1,300 par, due</w:t>
            </w: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5/21/2020</w:t>
            </w:r>
          </w:p>
        </w:tc>
        <w:tc>
          <w:tcPr>
            <w:tcW w:w="1160" w:type="dxa"/>
            <w:vAlign w:val="bottom"/>
            <w:shd w:val="clear" w:color="auto" w:fill="CFF0FC"/>
          </w:tcPr>
          <w:p>
            <w:pPr>
              <w:ind w:left="160"/>
              <w:spacing w:after="0"/>
              <w:rPr>
                <w:sz w:val="20"/>
                <w:szCs w:val="20"/>
                <w:color w:val="auto"/>
              </w:rPr>
            </w:pPr>
            <w:r>
              <w:rPr>
                <w:rFonts w:ascii="Arial" w:cs="Arial" w:eastAsia="Arial" w:hAnsi="Arial"/>
                <w:sz w:val="16"/>
                <w:szCs w:val="16"/>
                <w:color w:val="auto"/>
              </w:rPr>
              <w:t>L + 2.90%</w:t>
            </w:r>
          </w:p>
        </w:tc>
        <w:tc>
          <w:tcPr>
            <w:tcW w:w="840" w:type="dxa"/>
            <w:vAlign w:val="bottom"/>
            <w:tcBorders>
              <w:right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3.17%</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1,126</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1,179</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99"/>
        </w:trPr>
        <w:tc>
          <w:tcPr>
            <w:tcW w:w="25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CLO Ltd, Series 2018-4A</w:t>
            </w:r>
          </w:p>
        </w:tc>
        <w:tc>
          <w:tcPr>
            <w:tcW w:w="27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1/2031)</w:t>
            </w:r>
          </w:p>
        </w:tc>
        <w:tc>
          <w:tcPr>
            <w:tcW w:w="10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840" w:type="dxa"/>
            <w:vAlign w:val="bottom"/>
            <w:tcBorders>
              <w:right w:val="single" w:sz="8" w:color="CFF0FC"/>
            </w:tcBorders>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5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rPr>
              <w:t>(3)(4)(11)</w:t>
            </w:r>
          </w:p>
        </w:tc>
        <w:tc>
          <w:tcPr>
            <w:tcW w:w="274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CFF0FC"/>
              <w:right w:val="single" w:sz="8" w:color="CFF0FC"/>
            </w:tcBorders>
            <w:shd w:val="clear" w:color="auto" w:fill="CFF0FC"/>
          </w:tcPr>
          <w:p>
            <w:pPr>
              <w:spacing w:after="0"/>
              <w:rPr>
                <w:sz w:val="17"/>
                <w:szCs w:val="17"/>
                <w:color w:val="auto"/>
              </w:rPr>
            </w:pPr>
          </w:p>
        </w:tc>
        <w:tc>
          <w:tcPr>
            <w:tcW w:w="7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540" w:type="dxa"/>
            <w:vAlign w:val="bottom"/>
          </w:tcPr>
          <w:p>
            <w:pPr>
              <w:spacing w:after="0"/>
              <w:rPr>
                <w:sz w:val="20"/>
                <w:szCs w:val="20"/>
                <w:color w:val="auto"/>
              </w:rPr>
            </w:pPr>
            <w:r>
              <w:rPr>
                <w:rFonts w:ascii="Arial" w:cs="Arial" w:eastAsia="Arial" w:hAnsi="Arial"/>
                <w:sz w:val="16"/>
                <w:szCs w:val="16"/>
                <w:color w:val="auto"/>
              </w:rPr>
              <w:t>Carlyle Global Market Strategies</w:t>
            </w:r>
          </w:p>
        </w:tc>
        <w:tc>
          <w:tcPr>
            <w:tcW w:w="2740" w:type="dxa"/>
            <w:vAlign w:val="bottom"/>
          </w:tcPr>
          <w:p>
            <w:pPr>
              <w:ind w:left="120"/>
              <w:spacing w:after="0"/>
              <w:rPr>
                <w:sz w:val="20"/>
                <w:szCs w:val="20"/>
                <w:color w:val="auto"/>
              </w:rPr>
            </w:pPr>
            <w:r>
              <w:rPr>
                <w:rFonts w:ascii="Arial" w:cs="Arial" w:eastAsia="Arial" w:hAnsi="Arial"/>
                <w:sz w:val="16"/>
                <w:szCs w:val="16"/>
                <w:color w:val="auto"/>
              </w:rPr>
              <w:t>Structured Product ($1,550 par, due</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8/11/2020</w:t>
            </w:r>
          </w:p>
        </w:tc>
        <w:tc>
          <w:tcPr>
            <w:tcW w:w="1160" w:type="dxa"/>
            <w:vAlign w:val="bottom"/>
          </w:tcPr>
          <w:p>
            <w:pPr>
              <w:ind w:left="160"/>
              <w:spacing w:after="0"/>
              <w:rPr>
                <w:sz w:val="20"/>
                <w:szCs w:val="20"/>
                <w:color w:val="auto"/>
              </w:rPr>
            </w:pPr>
            <w:r>
              <w:rPr>
                <w:rFonts w:ascii="Arial" w:cs="Arial" w:eastAsia="Arial" w:hAnsi="Arial"/>
                <w:sz w:val="16"/>
                <w:szCs w:val="16"/>
                <w:color w:val="auto"/>
              </w:rPr>
              <w:t>L + 5.75%</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6.02%</w:t>
            </w:r>
          </w:p>
        </w:tc>
        <w:tc>
          <w:tcPr>
            <w:tcW w:w="780" w:type="dxa"/>
            <w:vAlign w:val="bottom"/>
          </w:tcPr>
          <w:p>
            <w:pPr>
              <w:jc w:val="right"/>
              <w:spacing w:after="0"/>
              <w:rPr>
                <w:sz w:val="20"/>
                <w:szCs w:val="20"/>
                <w:color w:val="auto"/>
              </w:rPr>
            </w:pPr>
            <w:r>
              <w:rPr>
                <w:rFonts w:ascii="Arial" w:cs="Arial" w:eastAsia="Arial" w:hAnsi="Arial"/>
                <w:sz w:val="16"/>
                <w:szCs w:val="16"/>
                <w:color w:val="auto"/>
              </w:rPr>
              <w:t>1,198</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1,223</w:t>
            </w:r>
          </w:p>
        </w:tc>
        <w:tc>
          <w:tcPr>
            <w:tcW w:w="20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99"/>
        </w:trPr>
        <w:tc>
          <w:tcPr>
            <w:tcW w:w="2540" w:type="dxa"/>
            <w:vAlign w:val="bottom"/>
          </w:tcPr>
          <w:p>
            <w:pPr>
              <w:ind w:left="120"/>
              <w:spacing w:after="0"/>
              <w:rPr>
                <w:sz w:val="20"/>
                <w:szCs w:val="20"/>
                <w:color w:val="auto"/>
              </w:rPr>
            </w:pPr>
            <w:r>
              <w:rPr>
                <w:rFonts w:ascii="Arial" w:cs="Arial" w:eastAsia="Arial" w:hAnsi="Arial"/>
                <w:sz w:val="16"/>
                <w:szCs w:val="16"/>
                <w:color w:val="auto"/>
              </w:rPr>
              <w:t>CLO Ltd, Series 2018-1A</w:t>
            </w:r>
          </w:p>
        </w:tc>
        <w:tc>
          <w:tcPr>
            <w:tcW w:w="2740" w:type="dxa"/>
            <w:vAlign w:val="bottom"/>
          </w:tcPr>
          <w:p>
            <w:pPr>
              <w:ind w:left="120"/>
              <w:spacing w:after="0"/>
              <w:rPr>
                <w:sz w:val="20"/>
                <w:szCs w:val="20"/>
                <w:color w:val="auto"/>
              </w:rPr>
            </w:pPr>
            <w:r>
              <w:rPr>
                <w:rFonts w:ascii="Arial" w:cs="Arial" w:eastAsia="Arial" w:hAnsi="Arial"/>
                <w:sz w:val="16"/>
                <w:szCs w:val="16"/>
                <w:color w:val="auto"/>
              </w:rPr>
              <w:t>4/2031)</w:t>
            </w:r>
          </w:p>
        </w:tc>
        <w:tc>
          <w:tcPr>
            <w:tcW w:w="10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540" w:type="dxa"/>
            <w:vAlign w:val="bottom"/>
          </w:tcPr>
          <w:p>
            <w:pPr>
              <w:ind w:left="120"/>
              <w:spacing w:after="0"/>
              <w:rPr>
                <w:sz w:val="20"/>
                <w:szCs w:val="20"/>
                <w:color w:val="auto"/>
              </w:rPr>
            </w:pPr>
            <w:r>
              <w:rPr>
                <w:rFonts w:ascii="Arial" w:cs="Arial" w:eastAsia="Arial" w:hAnsi="Arial"/>
                <w:sz w:val="14"/>
                <w:szCs w:val="14"/>
                <w:color w:val="auto"/>
              </w:rPr>
              <w:t>(3)(4)(11)</w:t>
            </w:r>
          </w:p>
        </w:tc>
        <w:tc>
          <w:tcPr>
            <w:tcW w:w="2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2540" w:type="dxa"/>
            <w:vAlign w:val="bottom"/>
          </w:tcPr>
          <w:p>
            <w:pPr>
              <w:spacing w:after="0"/>
              <w:rPr>
                <w:sz w:val="3"/>
                <w:szCs w:val="3"/>
                <w:color w:val="auto"/>
              </w:rPr>
            </w:pPr>
          </w:p>
        </w:tc>
        <w:tc>
          <w:tcPr>
            <w:tcW w:w="2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540" w:type="dxa"/>
            <w:vAlign w:val="bottom"/>
            <w:shd w:val="clear" w:color="auto" w:fill="CFF0FC"/>
          </w:tcPr>
          <w:p>
            <w:pPr>
              <w:spacing w:after="0"/>
              <w:rPr>
                <w:sz w:val="20"/>
                <w:szCs w:val="20"/>
                <w:color w:val="auto"/>
              </w:rPr>
            </w:pPr>
            <w:r>
              <w:rPr>
                <w:rFonts w:ascii="Arial" w:cs="Arial" w:eastAsia="Arial" w:hAnsi="Arial"/>
                <w:sz w:val="16"/>
                <w:szCs w:val="16"/>
                <w:color w:val="auto"/>
              </w:rPr>
              <w:t>Carlyle Global Market Strategies</w:t>
            </w:r>
          </w:p>
        </w:tc>
        <w:tc>
          <w:tcPr>
            <w:tcW w:w="27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Structured Product ($4,150 par, due</w:t>
            </w: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9/3/2020</w:t>
            </w:r>
          </w:p>
        </w:tc>
        <w:tc>
          <w:tcPr>
            <w:tcW w:w="1160" w:type="dxa"/>
            <w:vAlign w:val="bottom"/>
            <w:shd w:val="clear" w:color="auto" w:fill="CFF0FC"/>
          </w:tcPr>
          <w:p>
            <w:pPr>
              <w:ind w:left="160"/>
              <w:spacing w:after="0"/>
              <w:rPr>
                <w:sz w:val="20"/>
                <w:szCs w:val="20"/>
                <w:color w:val="auto"/>
              </w:rPr>
            </w:pPr>
            <w:r>
              <w:rPr>
                <w:rFonts w:ascii="Arial" w:cs="Arial" w:eastAsia="Arial" w:hAnsi="Arial"/>
                <w:sz w:val="16"/>
                <w:szCs w:val="16"/>
                <w:color w:val="auto"/>
              </w:rPr>
              <w:t>L + 6.15%</w:t>
            </w:r>
          </w:p>
        </w:tc>
        <w:tc>
          <w:tcPr>
            <w:tcW w:w="840" w:type="dxa"/>
            <w:vAlign w:val="bottom"/>
            <w:tcBorders>
              <w:right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6.43%</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3,387</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3,368</w:t>
            </w:r>
          </w:p>
        </w:tc>
        <w:tc>
          <w:tcPr>
            <w:tcW w:w="20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199"/>
        </w:trPr>
        <w:tc>
          <w:tcPr>
            <w:tcW w:w="25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CLO Ltd, Series 2017-4A</w:t>
            </w:r>
          </w:p>
        </w:tc>
        <w:tc>
          <w:tcPr>
            <w:tcW w:w="27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1/2030)</w:t>
            </w:r>
          </w:p>
        </w:tc>
        <w:tc>
          <w:tcPr>
            <w:tcW w:w="10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840" w:type="dxa"/>
            <w:vAlign w:val="bottom"/>
            <w:tcBorders>
              <w:right w:val="single" w:sz="8" w:color="CFF0FC"/>
            </w:tcBorders>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5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rPr>
              <w:t>(3)(4)(11)</w:t>
            </w:r>
          </w:p>
        </w:tc>
        <w:tc>
          <w:tcPr>
            <w:tcW w:w="274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CFF0FC"/>
              <w:right w:val="single" w:sz="8" w:color="CFF0FC"/>
            </w:tcBorders>
            <w:shd w:val="clear" w:color="auto" w:fill="CFF0FC"/>
          </w:tcPr>
          <w:p>
            <w:pPr>
              <w:spacing w:after="0"/>
              <w:rPr>
                <w:sz w:val="17"/>
                <w:szCs w:val="17"/>
                <w:color w:val="auto"/>
              </w:rPr>
            </w:pPr>
          </w:p>
        </w:tc>
        <w:tc>
          <w:tcPr>
            <w:tcW w:w="7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40" w:type="dxa"/>
            <w:vAlign w:val="bottom"/>
          </w:tcPr>
          <w:p>
            <w:pPr>
              <w:spacing w:after="0"/>
              <w:rPr>
                <w:sz w:val="20"/>
                <w:szCs w:val="20"/>
                <w:color w:val="auto"/>
              </w:rPr>
            </w:pPr>
            <w:r>
              <w:rPr>
                <w:rFonts w:ascii="Arial" w:cs="Arial" w:eastAsia="Arial" w:hAnsi="Arial"/>
                <w:sz w:val="16"/>
                <w:szCs w:val="16"/>
                <w:color w:val="auto"/>
              </w:rPr>
              <w:t>Madison Park Funding Ltd,</w:t>
            </w:r>
          </w:p>
        </w:tc>
        <w:tc>
          <w:tcPr>
            <w:tcW w:w="2740" w:type="dxa"/>
            <w:vAlign w:val="bottom"/>
          </w:tcPr>
          <w:p>
            <w:pPr>
              <w:ind w:left="120"/>
              <w:spacing w:after="0"/>
              <w:rPr>
                <w:sz w:val="20"/>
                <w:szCs w:val="20"/>
                <w:color w:val="auto"/>
              </w:rPr>
            </w:pPr>
            <w:r>
              <w:rPr>
                <w:rFonts w:ascii="Arial" w:cs="Arial" w:eastAsia="Arial" w:hAnsi="Arial"/>
                <w:sz w:val="16"/>
                <w:szCs w:val="16"/>
                <w:color w:val="auto"/>
              </w:rPr>
              <w:t>Structured Product ($2,400 par, due</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8/11/2020</w:t>
            </w:r>
          </w:p>
        </w:tc>
        <w:tc>
          <w:tcPr>
            <w:tcW w:w="1160" w:type="dxa"/>
            <w:vAlign w:val="bottom"/>
          </w:tcPr>
          <w:p>
            <w:pPr>
              <w:ind w:left="160"/>
              <w:spacing w:after="0"/>
              <w:rPr>
                <w:sz w:val="20"/>
                <w:szCs w:val="20"/>
                <w:color w:val="auto"/>
              </w:rPr>
            </w:pPr>
            <w:r>
              <w:rPr>
                <w:rFonts w:ascii="Arial" w:cs="Arial" w:eastAsia="Arial" w:hAnsi="Arial"/>
                <w:sz w:val="16"/>
                <w:szCs w:val="16"/>
                <w:color w:val="auto"/>
              </w:rPr>
              <w:t>L + 5.80%</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6.06%</w:t>
            </w:r>
          </w:p>
        </w:tc>
        <w:tc>
          <w:tcPr>
            <w:tcW w:w="780" w:type="dxa"/>
            <w:vAlign w:val="bottom"/>
          </w:tcPr>
          <w:p>
            <w:pPr>
              <w:jc w:val="right"/>
              <w:spacing w:after="0"/>
              <w:rPr>
                <w:sz w:val="20"/>
                <w:szCs w:val="20"/>
                <w:color w:val="auto"/>
              </w:rPr>
            </w:pPr>
            <w:r>
              <w:rPr>
                <w:rFonts w:ascii="Arial" w:cs="Arial" w:eastAsia="Arial" w:hAnsi="Arial"/>
                <w:sz w:val="16"/>
                <w:szCs w:val="16"/>
                <w:color w:val="auto"/>
              </w:rPr>
              <w:t>1,977</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2,089</w:t>
            </w:r>
          </w:p>
        </w:tc>
        <w:tc>
          <w:tcPr>
            <w:tcW w:w="20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6"/>
        </w:trPr>
        <w:tc>
          <w:tcPr>
            <w:tcW w:w="2540" w:type="dxa"/>
            <w:vAlign w:val="bottom"/>
          </w:tcPr>
          <w:p>
            <w:pPr>
              <w:ind w:left="120"/>
              <w:spacing w:after="0" w:line="216" w:lineRule="exact"/>
              <w:rPr>
                <w:sz w:val="20"/>
                <w:szCs w:val="20"/>
                <w:color w:val="auto"/>
              </w:rPr>
            </w:pPr>
            <w:r>
              <w:rPr>
                <w:rFonts w:ascii="Arial" w:cs="Arial" w:eastAsia="Arial" w:hAnsi="Arial"/>
                <w:sz w:val="15"/>
                <w:szCs w:val="15"/>
                <w:color w:val="auto"/>
              </w:rPr>
              <w:t xml:space="preserve">Series 2014-14A </w:t>
            </w:r>
            <w:r>
              <w:rPr>
                <w:rFonts w:ascii="Arial" w:cs="Arial" w:eastAsia="Arial" w:hAnsi="Arial"/>
                <w:sz w:val="25"/>
                <w:szCs w:val="25"/>
                <w:color w:val="auto"/>
                <w:vertAlign w:val="superscript"/>
              </w:rPr>
              <w:t>(3)(4)(11)</w:t>
            </w:r>
          </w:p>
        </w:tc>
        <w:tc>
          <w:tcPr>
            <w:tcW w:w="2740" w:type="dxa"/>
            <w:vAlign w:val="bottom"/>
          </w:tcPr>
          <w:p>
            <w:pPr>
              <w:ind w:left="120"/>
              <w:spacing w:after="0"/>
              <w:rPr>
                <w:sz w:val="20"/>
                <w:szCs w:val="20"/>
                <w:color w:val="auto"/>
              </w:rPr>
            </w:pPr>
            <w:r>
              <w:rPr>
                <w:rFonts w:ascii="Arial" w:cs="Arial" w:eastAsia="Arial" w:hAnsi="Arial"/>
                <w:sz w:val="16"/>
                <w:szCs w:val="16"/>
                <w:color w:val="auto"/>
              </w:rPr>
              <w:t>10/2030)</w:t>
            </w:r>
          </w:p>
        </w:tc>
        <w:tc>
          <w:tcPr>
            <w:tcW w:w="1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540" w:type="dxa"/>
            <w:vAlign w:val="bottom"/>
            <w:shd w:val="clear" w:color="auto" w:fill="CFF0FC"/>
          </w:tcPr>
          <w:p>
            <w:pPr>
              <w:spacing w:after="0"/>
              <w:rPr>
                <w:sz w:val="20"/>
                <w:szCs w:val="20"/>
                <w:color w:val="auto"/>
              </w:rPr>
            </w:pPr>
            <w:r>
              <w:rPr>
                <w:rFonts w:ascii="Arial" w:cs="Arial" w:eastAsia="Arial" w:hAnsi="Arial"/>
                <w:sz w:val="16"/>
                <w:szCs w:val="16"/>
                <w:color w:val="auto"/>
              </w:rPr>
              <w:t>OZLM Ltd., Series</w:t>
            </w:r>
          </w:p>
        </w:tc>
        <w:tc>
          <w:tcPr>
            <w:tcW w:w="27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Structured Product ($2,000 par, due</w:t>
            </w: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5/28/2020</w:t>
            </w:r>
          </w:p>
        </w:tc>
        <w:tc>
          <w:tcPr>
            <w:tcW w:w="1160" w:type="dxa"/>
            <w:vAlign w:val="bottom"/>
            <w:shd w:val="clear" w:color="auto" w:fill="CFF0FC"/>
          </w:tcPr>
          <w:p>
            <w:pPr>
              <w:ind w:left="160"/>
              <w:spacing w:after="0"/>
              <w:rPr>
                <w:sz w:val="20"/>
                <w:szCs w:val="20"/>
                <w:color w:val="auto"/>
              </w:rPr>
            </w:pPr>
            <w:r>
              <w:rPr>
                <w:rFonts w:ascii="Arial" w:cs="Arial" w:eastAsia="Arial" w:hAnsi="Arial"/>
                <w:sz w:val="16"/>
                <w:szCs w:val="16"/>
                <w:color w:val="auto"/>
              </w:rPr>
              <w:t>L + 2.85%</w:t>
            </w:r>
          </w:p>
        </w:tc>
        <w:tc>
          <w:tcPr>
            <w:tcW w:w="840" w:type="dxa"/>
            <w:vAlign w:val="bottom"/>
            <w:tcBorders>
              <w:right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3.13%</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1,742</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1,768</w:t>
            </w:r>
          </w:p>
        </w:tc>
        <w:tc>
          <w:tcPr>
            <w:tcW w:w="20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3"/>
        </w:trPr>
        <w:tc>
          <w:tcPr>
            <w:tcW w:w="25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 xml:space="preserve">2018-18A </w:t>
            </w:r>
            <w:r>
              <w:rPr>
                <w:rFonts w:ascii="Arial" w:cs="Arial" w:eastAsia="Arial" w:hAnsi="Arial"/>
                <w:sz w:val="13"/>
                <w:szCs w:val="13"/>
                <w:color w:val="auto"/>
              </w:rPr>
              <w:t>(3)(4)(11)</w:t>
            </w:r>
          </w:p>
        </w:tc>
        <w:tc>
          <w:tcPr>
            <w:tcW w:w="27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4/2031)</w:t>
            </w:r>
          </w:p>
        </w:tc>
        <w:tc>
          <w:tcPr>
            <w:tcW w:w="10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9,430</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9,627</w:t>
            </w:r>
          </w:p>
        </w:tc>
        <w:tc>
          <w:tcPr>
            <w:tcW w:w="2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0"/>
        </w:trPr>
        <w:tc>
          <w:tcPr>
            <w:tcW w:w="2540" w:type="dxa"/>
            <w:vAlign w:val="bottom"/>
            <w:vMerge w:val="restart"/>
            <w:shd w:val="clear" w:color="auto" w:fill="CFF0FC"/>
          </w:tcPr>
          <w:p>
            <w:pPr>
              <w:spacing w:after="0"/>
              <w:rPr>
                <w:sz w:val="20"/>
                <w:szCs w:val="20"/>
                <w:color w:val="auto"/>
              </w:rPr>
            </w:pPr>
            <w:r>
              <w:rPr>
                <w:rFonts w:ascii="Arial" w:cs="Arial" w:eastAsia="Arial" w:hAnsi="Arial"/>
                <w:sz w:val="16"/>
                <w:szCs w:val="16"/>
                <w:b w:val="1"/>
                <w:bCs w:val="1"/>
                <w:color w:val="auto"/>
              </w:rPr>
              <w:t>Total Equity and Other</w:t>
            </w:r>
          </w:p>
        </w:tc>
        <w:tc>
          <w:tcPr>
            <w:tcW w:w="274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1160" w:type="dxa"/>
            <w:vAlign w:val="bottom"/>
            <w:shd w:val="clear" w:color="auto" w:fill="CFF0FC"/>
          </w:tcPr>
          <w:p>
            <w:pPr>
              <w:spacing w:after="0" w:line="20" w:lineRule="exact"/>
              <w:rPr>
                <w:sz w:val="1"/>
                <w:szCs w:val="1"/>
                <w:color w:val="auto"/>
              </w:rPr>
            </w:pPr>
          </w:p>
        </w:tc>
        <w:tc>
          <w:tcPr>
            <w:tcW w:w="840" w:type="dxa"/>
            <w:vAlign w:val="bottom"/>
            <w:tcBorders>
              <w:right w:val="single" w:sz="8" w:color="CFF0FC"/>
            </w:tcBorders>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540" w:type="dxa"/>
            <w:vAlign w:val="bottom"/>
            <w:vMerge w:val="continue"/>
            <w:shd w:val="clear" w:color="auto" w:fill="CFF0FC"/>
          </w:tcPr>
          <w:p>
            <w:pPr>
              <w:spacing w:after="0"/>
              <w:rPr>
                <w:sz w:val="17"/>
                <w:szCs w:val="17"/>
                <w:color w:val="auto"/>
              </w:rPr>
            </w:pPr>
          </w:p>
        </w:tc>
        <w:tc>
          <w:tcPr>
            <w:tcW w:w="27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840" w:type="dxa"/>
            <w:vAlign w:val="bottom"/>
            <w:tcBorders>
              <w:right w:val="single" w:sz="8" w:color="CFF0FC"/>
            </w:tcBorders>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103,191</w:t>
            </w: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86,917</w:t>
            </w:r>
          </w:p>
        </w:tc>
        <w:tc>
          <w:tcPr>
            <w:tcW w:w="20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16"/>
        </w:trPr>
        <w:tc>
          <w:tcPr>
            <w:tcW w:w="2540" w:type="dxa"/>
            <w:vAlign w:val="bottom"/>
            <w:shd w:val="clear" w:color="auto" w:fill="CFF0FC"/>
          </w:tcPr>
          <w:p>
            <w:pPr>
              <w:ind w:left="120"/>
              <w:spacing w:after="0"/>
              <w:rPr>
                <w:sz w:val="20"/>
                <w:szCs w:val="20"/>
                <w:color w:val="auto"/>
              </w:rPr>
            </w:pPr>
            <w:r>
              <w:rPr>
                <w:rFonts w:ascii="Arial" w:cs="Arial" w:eastAsia="Arial" w:hAnsi="Arial"/>
                <w:sz w:val="16"/>
                <w:szCs w:val="16"/>
                <w:b w:val="1"/>
                <w:bCs w:val="1"/>
                <w:color w:val="auto"/>
              </w:rPr>
              <w:t>Investments</w:t>
            </w:r>
          </w:p>
        </w:tc>
        <w:tc>
          <w:tcPr>
            <w:tcW w:w="27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540" w:type="dxa"/>
            <w:vAlign w:val="bottom"/>
          </w:tcPr>
          <w:p>
            <w:pPr>
              <w:spacing w:after="0"/>
              <w:rPr>
                <w:sz w:val="20"/>
                <w:szCs w:val="20"/>
                <w:color w:val="auto"/>
              </w:rPr>
            </w:pPr>
            <w:r>
              <w:rPr>
                <w:rFonts w:ascii="Arial" w:cs="Arial" w:eastAsia="Arial" w:hAnsi="Arial"/>
                <w:sz w:val="16"/>
                <w:szCs w:val="16"/>
                <w:b w:val="1"/>
                <w:bCs w:val="1"/>
                <w:color w:val="auto"/>
              </w:rPr>
              <w:t>Total Investments</w:t>
            </w:r>
          </w:p>
        </w:tc>
        <w:tc>
          <w:tcPr>
            <w:tcW w:w="2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w w:val="89"/>
              </w:rPr>
              <w:t>$ 2,099,607</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w w:val="92"/>
              </w:rPr>
              <w:t>$ 2,100,765</w:t>
            </w:r>
          </w:p>
        </w:tc>
        <w:tc>
          <w:tcPr>
            <w:tcW w:w="200" w:type="dxa"/>
            <w:vAlign w:val="bottom"/>
          </w:tcPr>
          <w:p>
            <w:pPr>
              <w:spacing w:after="0"/>
              <w:rPr>
                <w:sz w:val="17"/>
                <w:szCs w:val="17"/>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184.1%</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86"/>
        </w:trPr>
        <w:tc>
          <w:tcPr>
            <w:tcW w:w="2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960" w:type="dxa"/>
            <w:vAlign w:val="bottom"/>
            <w:gridSpan w:val="8"/>
          </w:tcPr>
          <w:p>
            <w:pPr>
              <w:jc w:val="center"/>
              <w:ind w:right="220"/>
              <w:spacing w:after="0"/>
              <w:rPr>
                <w:sz w:val="20"/>
                <w:szCs w:val="20"/>
                <w:color w:val="auto"/>
              </w:rPr>
            </w:pPr>
            <w:r>
              <w:rPr>
                <w:rFonts w:ascii="Arial" w:cs="Arial" w:eastAsia="Arial" w:hAnsi="Arial"/>
                <w:sz w:val="14"/>
                <w:szCs w:val="14"/>
                <w:b w:val="1"/>
                <w:bCs w:val="1"/>
                <w:color w:val="auto"/>
                <w:w w:val="91"/>
              </w:rPr>
              <w:t>Interest Rate Swaps as of September 30, 2020</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120" w:type="dxa"/>
            <w:vAlign w:val="bottom"/>
          </w:tcPr>
          <w:p>
            <w:pPr>
              <w:spacing w:after="0"/>
              <w:rPr>
                <w:sz w:val="11"/>
                <w:szCs w:val="11"/>
                <w:color w:val="auto"/>
              </w:rPr>
            </w:pPr>
          </w:p>
        </w:tc>
        <w:tc>
          <w:tcPr>
            <w:tcW w:w="1300" w:type="dxa"/>
            <w:vAlign w:val="bottom"/>
            <w:tcBorders>
              <w:top w:val="single" w:sz="8" w:color="auto"/>
            </w:tcBorders>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Company</w:t>
            </w:r>
          </w:p>
        </w:tc>
        <w:tc>
          <w:tcPr>
            <w:tcW w:w="1320" w:type="dxa"/>
            <w:vAlign w:val="bottom"/>
            <w:tcBorders>
              <w:top w:val="single" w:sz="8" w:color="auto"/>
            </w:tcBorders>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Company</w:t>
            </w:r>
          </w:p>
        </w:tc>
        <w:tc>
          <w:tcPr>
            <w:tcW w:w="12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2"/>
              </w:rPr>
              <w:t>Notional</w:t>
            </w:r>
          </w:p>
        </w:tc>
        <w:tc>
          <w:tcPr>
            <w:tcW w:w="2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center"/>
              <w:ind w:right="440"/>
              <w:spacing w:after="0" w:line="133" w:lineRule="exact"/>
              <w:rPr>
                <w:sz w:val="20"/>
                <w:szCs w:val="20"/>
                <w:color w:val="auto"/>
              </w:rPr>
            </w:pPr>
            <w:r>
              <w:rPr>
                <w:rFonts w:ascii="Arial" w:cs="Arial" w:eastAsia="Arial" w:hAnsi="Arial"/>
                <w:sz w:val="14"/>
                <w:szCs w:val="14"/>
                <w:b w:val="1"/>
                <w:bCs w:val="1"/>
                <w:color w:val="auto"/>
              </w:rPr>
              <w:t>Fair</w:t>
            </w:r>
          </w:p>
        </w:tc>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4"/>
              </w:rPr>
              <w:t>Upfront</w:t>
            </w:r>
          </w:p>
        </w:tc>
        <w:tc>
          <w:tcPr>
            <w:tcW w:w="1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ind w:right="92"/>
              <w:spacing w:after="0" w:line="133" w:lineRule="exact"/>
              <w:rPr>
                <w:sz w:val="20"/>
                <w:szCs w:val="20"/>
                <w:color w:val="auto"/>
              </w:rPr>
            </w:pPr>
            <w:r>
              <w:rPr>
                <w:rFonts w:ascii="Arial" w:cs="Arial" w:eastAsia="Arial" w:hAnsi="Arial"/>
                <w:sz w:val="14"/>
                <w:szCs w:val="14"/>
                <w:b w:val="1"/>
                <w:bCs w:val="1"/>
                <w:color w:val="auto"/>
                <w:w w:val="91"/>
              </w:rPr>
              <w:t>Change in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1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500" w:type="dxa"/>
            <w:vAlign w:val="bottom"/>
            <w:gridSpan w:val="3"/>
            <w:vMerge w:val="restart"/>
          </w:tcPr>
          <w:p>
            <w:pPr>
              <w:jc w:val="right"/>
              <w:ind w:right="370"/>
              <w:spacing w:after="0"/>
              <w:rPr>
                <w:sz w:val="20"/>
                <w:szCs w:val="20"/>
                <w:color w:val="auto"/>
              </w:rPr>
            </w:pPr>
            <w:r>
              <w:rPr>
                <w:rFonts w:ascii="Arial" w:cs="Arial" w:eastAsia="Arial" w:hAnsi="Arial"/>
                <w:sz w:val="14"/>
                <w:szCs w:val="14"/>
                <w:b w:val="1"/>
                <w:bCs w:val="1"/>
                <w:color w:val="auto"/>
              </w:rPr>
              <w:t>Maturity Date</w:t>
            </w:r>
          </w:p>
        </w:tc>
        <w:tc>
          <w:tcPr>
            <w:tcW w:w="11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rPr>
              <w:t>Market</w:t>
            </w:r>
          </w:p>
        </w:tc>
        <w:tc>
          <w:tcPr>
            <w:tcW w:w="12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(Payments) /</w:t>
            </w:r>
          </w:p>
        </w:tc>
        <w:tc>
          <w:tcPr>
            <w:tcW w:w="16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71"/>
        </w:trPr>
        <w:tc>
          <w:tcPr>
            <w:tcW w:w="212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Receives</w:t>
            </w: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Pays</w:t>
            </w:r>
          </w:p>
        </w:tc>
        <w:tc>
          <w:tcPr>
            <w:tcW w:w="1500" w:type="dxa"/>
            <w:vAlign w:val="bottom"/>
            <w:gridSpan w:val="3"/>
            <w:vMerge w:val="continue"/>
          </w:tcPr>
          <w:p>
            <w:pPr>
              <w:spacing w:after="0"/>
              <w:rPr>
                <w:sz w:val="14"/>
                <w:szCs w:val="14"/>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4"/>
                <w:szCs w:val="14"/>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Receipts</w:t>
            </w:r>
          </w:p>
        </w:tc>
        <w:tc>
          <w:tcPr>
            <w:tcW w:w="12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Gains / (Losses)</w:t>
            </w:r>
          </w:p>
        </w:tc>
        <w:tc>
          <w:tcPr>
            <w:tcW w:w="0" w:type="dxa"/>
            <w:vAlign w:val="bottom"/>
          </w:tcPr>
          <w:p>
            <w:pPr>
              <w:spacing w:after="0"/>
              <w:rPr>
                <w:sz w:val="1"/>
                <w:szCs w:val="1"/>
                <w:color w:val="auto"/>
              </w:rPr>
            </w:pPr>
          </w:p>
        </w:tc>
      </w:tr>
      <w:tr>
        <w:trPr>
          <w:trHeight w:val="223"/>
        </w:trPr>
        <w:tc>
          <w:tcPr>
            <w:tcW w:w="2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0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L</w:t>
            </w:r>
          </w:p>
        </w:tc>
        <w:tc>
          <w:tcPr>
            <w:tcW w:w="22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1.47%</w:t>
            </w:r>
          </w:p>
        </w:tc>
        <w:tc>
          <w:tcPr>
            <w:tcW w:w="24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7/30/2021</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11,700</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20" w:type="dxa"/>
            <w:vAlign w:val="bottom"/>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L</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1.36%</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7/29/2022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3,200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9"/>
        </w:trPr>
        <w:tc>
          <w:tcPr>
            <w:tcW w:w="21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300" w:type="dxa"/>
            <w:vAlign w:val="bottom"/>
            <w:gridSpan w:val="2"/>
            <w:shd w:val="clear" w:color="auto" w:fill="CFF0FC"/>
          </w:tcPr>
          <w:p>
            <w:pPr>
              <w:jc w:val="center"/>
              <w:ind w:right="240"/>
              <w:spacing w:after="0"/>
              <w:rPr>
                <w:sz w:val="20"/>
                <w:szCs w:val="20"/>
                <w:color w:val="auto"/>
              </w:rPr>
            </w:pPr>
            <w:r>
              <w:rPr>
                <w:rFonts w:ascii="Arial" w:cs="Arial" w:eastAsia="Arial" w:hAnsi="Arial"/>
                <w:sz w:val="18"/>
                <w:szCs w:val="18"/>
                <w:color w:val="auto"/>
                <w:w w:val="99"/>
              </w:rPr>
              <w:t>L</w:t>
            </w: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0.26%</w:t>
            </w: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7/29/2022</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2120" w:type="dxa"/>
            <w:vAlign w:val="bottom"/>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4.50%</w:t>
            </w:r>
          </w:p>
        </w:tc>
        <w:tc>
          <w:tcPr>
            <w:tcW w:w="220" w:type="dxa"/>
            <w:vAlign w:val="bottom"/>
          </w:tcPr>
          <w:p>
            <w:pPr>
              <w:spacing w:after="0"/>
              <w:rPr>
                <w:sz w:val="19"/>
                <w:szCs w:val="19"/>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L + 2.37%</w:t>
            </w:r>
          </w:p>
        </w:tc>
        <w:tc>
          <w:tcPr>
            <w:tcW w:w="1200" w:type="dxa"/>
            <w:vAlign w:val="bottom"/>
          </w:tcPr>
          <w:p>
            <w:pPr>
              <w:jc w:val="right"/>
              <w:spacing w:after="0"/>
              <w:rPr>
                <w:sz w:val="20"/>
                <w:szCs w:val="20"/>
                <w:color w:val="auto"/>
              </w:rPr>
            </w:pPr>
            <w:r>
              <w:rPr>
                <w:rFonts w:ascii="Arial" w:cs="Arial" w:eastAsia="Arial" w:hAnsi="Arial"/>
                <w:sz w:val="18"/>
                <w:szCs w:val="18"/>
                <w:color w:val="auto"/>
              </w:rPr>
              <w:t>8/1/2022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115,000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3,993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4.50%</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center"/>
              <w:ind w:right="240"/>
              <w:spacing w:after="0"/>
              <w:rPr>
                <w:sz w:val="20"/>
                <w:szCs w:val="20"/>
                <w:color w:val="auto"/>
              </w:rPr>
            </w:pPr>
            <w:r>
              <w:rPr>
                <w:rFonts w:ascii="Arial" w:cs="Arial" w:eastAsia="Arial" w:hAnsi="Arial"/>
                <w:sz w:val="18"/>
                <w:szCs w:val="18"/>
                <w:color w:val="auto"/>
                <w:w w:val="93"/>
              </w:rPr>
              <w:t>L + 1.59%</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8/1/2022</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20" w:type="dxa"/>
            <w:vAlign w:val="bottom"/>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4.50%</w:t>
            </w:r>
          </w:p>
        </w:tc>
        <w:tc>
          <w:tcPr>
            <w:tcW w:w="220" w:type="dxa"/>
            <w:vAlign w:val="bottom"/>
          </w:tcPr>
          <w:p>
            <w:pPr>
              <w:spacing w:after="0"/>
              <w:rPr>
                <w:sz w:val="19"/>
                <w:szCs w:val="19"/>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L + 1.60%</w:t>
            </w:r>
          </w:p>
        </w:tc>
        <w:tc>
          <w:tcPr>
            <w:tcW w:w="1200" w:type="dxa"/>
            <w:vAlign w:val="bottom"/>
          </w:tcPr>
          <w:p>
            <w:pPr>
              <w:jc w:val="right"/>
              <w:spacing w:after="0"/>
              <w:rPr>
                <w:sz w:val="20"/>
                <w:szCs w:val="20"/>
                <w:color w:val="auto"/>
              </w:rPr>
            </w:pPr>
            <w:r>
              <w:rPr>
                <w:rFonts w:ascii="Arial" w:cs="Arial" w:eastAsia="Arial" w:hAnsi="Arial"/>
                <w:sz w:val="18"/>
                <w:szCs w:val="18"/>
                <w:color w:val="auto"/>
              </w:rPr>
              <w:t>8/1/2022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7,500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300" w:type="dxa"/>
            <w:vAlign w:val="bottom"/>
            <w:gridSpan w:val="2"/>
            <w:shd w:val="clear" w:color="auto" w:fill="CFF0FC"/>
          </w:tcPr>
          <w:p>
            <w:pPr>
              <w:jc w:val="center"/>
              <w:ind w:right="260"/>
              <w:spacing w:after="0"/>
              <w:rPr>
                <w:sz w:val="20"/>
                <w:szCs w:val="20"/>
                <w:color w:val="auto"/>
              </w:rPr>
            </w:pPr>
            <w:r>
              <w:rPr>
                <w:rFonts w:ascii="Arial" w:cs="Arial" w:eastAsia="Arial" w:hAnsi="Arial"/>
                <w:sz w:val="18"/>
                <w:szCs w:val="18"/>
                <w:color w:val="auto"/>
                <w:w w:val="93"/>
              </w:rPr>
              <w:t>L + 2.11%</w:t>
            </w: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4.50%</w:t>
            </w: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8/1/2022</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27,531</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(1,091)</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20" w:type="dxa"/>
            <w:vAlign w:val="bottom"/>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L + 2.11%</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4.50%</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8/1/2022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2,160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4.50%</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center"/>
              <w:ind w:right="240"/>
              <w:spacing w:after="0"/>
              <w:rPr>
                <w:sz w:val="20"/>
                <w:szCs w:val="20"/>
                <w:color w:val="auto"/>
              </w:rPr>
            </w:pPr>
            <w:r>
              <w:rPr>
                <w:rFonts w:ascii="Arial" w:cs="Arial" w:eastAsia="Arial" w:hAnsi="Arial"/>
                <w:sz w:val="18"/>
                <w:szCs w:val="18"/>
                <w:color w:val="auto"/>
                <w:w w:val="93"/>
              </w:rPr>
              <w:t>L + 1.99%</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1/22/2023</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7,819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20" w:type="dxa"/>
            <w:vAlign w:val="bottom"/>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L</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0.33%</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6/9/2023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5,000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21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(a)(e)</w:t>
            </w:r>
          </w:p>
        </w:tc>
        <w:tc>
          <w:tcPr>
            <w:tcW w:w="1300" w:type="dxa"/>
            <w:vAlign w:val="bottom"/>
            <w:gridSpan w:val="2"/>
            <w:shd w:val="clear" w:color="auto" w:fill="CFF0FC"/>
          </w:tcPr>
          <w:p>
            <w:pPr>
              <w:jc w:val="center"/>
              <w:ind w:right="240"/>
              <w:spacing w:after="0"/>
              <w:rPr>
                <w:sz w:val="20"/>
                <w:szCs w:val="20"/>
                <w:color w:val="auto"/>
              </w:rPr>
            </w:pPr>
            <w:r>
              <w:rPr>
                <w:rFonts w:ascii="Arial" w:cs="Arial" w:eastAsia="Arial" w:hAnsi="Arial"/>
                <w:sz w:val="18"/>
                <w:szCs w:val="18"/>
                <w:color w:val="auto"/>
                <w:w w:val="95"/>
              </w:rPr>
              <w:t>L + 2.28%</w:t>
            </w: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3.875%</w:t>
            </w: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11/1/2024</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20" w:type="dxa"/>
            <w:vAlign w:val="bottom"/>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(a)(b)</w:t>
            </w: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L</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1.97%</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6/25/2020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376,741</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13,255</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1,476</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8,200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(a)(c)(d)</w:t>
            </w: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3.875%</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center"/>
              <w:ind w:right="240"/>
              <w:spacing w:after="0"/>
              <w:rPr>
                <w:sz w:val="20"/>
                <w:szCs w:val="20"/>
                <w:color w:val="auto"/>
              </w:rPr>
            </w:pPr>
            <w:r>
              <w:rPr>
                <w:rFonts w:ascii="Arial" w:cs="Arial" w:eastAsia="Arial" w:hAnsi="Arial"/>
                <w:sz w:val="18"/>
                <w:szCs w:val="18"/>
                <w:color w:val="auto"/>
                <w:w w:val="93"/>
              </w:rPr>
              <w:t>L + 2.25%</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11/1/2024</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15,860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20" w:type="dxa"/>
            <w:vAlign w:val="bottom"/>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(a)(c)(d)</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3.875%</w:t>
            </w:r>
          </w:p>
        </w:tc>
        <w:tc>
          <w:tcPr>
            <w:tcW w:w="220" w:type="dxa"/>
            <w:vAlign w:val="bottom"/>
          </w:tcPr>
          <w:p>
            <w:pPr>
              <w:spacing w:after="0"/>
              <w:rPr>
                <w:sz w:val="19"/>
                <w:szCs w:val="19"/>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L + 2.46%</w:t>
            </w:r>
          </w:p>
        </w:tc>
        <w:tc>
          <w:tcPr>
            <w:tcW w:w="1200" w:type="dxa"/>
            <w:vAlign w:val="bottom"/>
          </w:tcPr>
          <w:p>
            <w:pPr>
              <w:jc w:val="right"/>
              <w:spacing w:after="0"/>
              <w:rPr>
                <w:sz w:val="20"/>
                <w:szCs w:val="20"/>
                <w:color w:val="auto"/>
              </w:rPr>
            </w:pPr>
            <w:r>
              <w:rPr>
                <w:rFonts w:ascii="Arial" w:cs="Arial" w:eastAsia="Arial" w:hAnsi="Arial"/>
                <w:sz w:val="18"/>
                <w:szCs w:val="18"/>
                <w:color w:val="auto"/>
              </w:rPr>
              <w:t>11/1/2024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50,000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2,215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350,000</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18,075</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19,862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20" w:type="dxa"/>
            <w:vAlign w:val="bottom"/>
          </w:tcPr>
          <w:p>
            <w:pPr>
              <w:spacing w:after="0"/>
              <w:rPr>
                <w:sz w:val="20"/>
                <w:szCs w:val="20"/>
                <w:color w:val="auto"/>
              </w:rPr>
            </w:pPr>
            <w:r>
              <w:rPr>
                <w:rFonts w:ascii="Arial" w:cs="Arial" w:eastAsia="Arial" w:hAnsi="Arial"/>
                <w:sz w:val="18"/>
                <w:szCs w:val="18"/>
                <w:color w:val="auto"/>
              </w:rPr>
              <w:t>Cash collateral</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(29,999)</w:t>
            </w:r>
          </w:p>
        </w:tc>
        <w:tc>
          <w:tcPr>
            <w:tcW w:w="12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1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Total derivatives</w:t>
            </w:r>
          </w:p>
        </w:tc>
        <w:tc>
          <w:tcPr>
            <w:tcW w:w="10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726,741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28,062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000" w:hanging="493"/>
        <w:spacing w:after="0"/>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color w:val="auto"/>
        </w:rPr>
        <w:t>Contains a variable rate structure. Bears interest at a rate determined by three-month LIBOR.</w:t>
      </w:r>
    </w:p>
    <w:p>
      <w:pPr>
        <w:spacing w:after="0" w:line="23" w:lineRule="exact"/>
        <w:rPr>
          <w:rFonts w:ascii="Arial" w:cs="Arial" w:eastAsia="Arial" w:hAnsi="Arial"/>
          <w:sz w:val="18"/>
          <w:szCs w:val="18"/>
          <w:color w:val="auto"/>
        </w:rPr>
      </w:pPr>
    </w:p>
    <w:p>
      <w:pPr>
        <w:ind w:left="1000" w:hanging="493"/>
        <w:spacing w:after="0"/>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color w:val="auto"/>
        </w:rPr>
        <w:t>Interest rate swap was terminated or matured during the period.</w:t>
      </w:r>
    </w:p>
    <w:p>
      <w:pPr>
        <w:spacing w:after="0" w:line="9" w:lineRule="exact"/>
        <w:rPr>
          <w:rFonts w:ascii="Arial" w:cs="Arial" w:eastAsia="Arial" w:hAnsi="Arial"/>
          <w:sz w:val="18"/>
          <w:szCs w:val="18"/>
          <w:color w:val="auto"/>
        </w:rPr>
      </w:pPr>
    </w:p>
    <w:p>
      <w:pPr>
        <w:ind w:left="1000" w:right="200" w:hanging="493"/>
        <w:spacing w:after="0" w:line="250" w:lineRule="auto"/>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color w:val="auto"/>
        </w:rPr>
        <w:t>Instrument is used in a hedge accounting relationship. The associated change in fair value is recorded along with the change in fair value of the hedged item within interest expense.</w:t>
      </w:r>
    </w:p>
    <w:p>
      <w:pPr>
        <w:ind w:left="1000" w:right="180" w:hanging="493"/>
        <w:spacing w:after="0" w:line="250" w:lineRule="auto"/>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color w:val="auto"/>
        </w:rPr>
        <w:t>$2.5 million in aggregate notional value of these instruments is no longer designated as instruments in a hedge accounting relationship. The associated change in fair value of the de-designated portion is recorded within unrealized gain/(loss).</w:t>
      </w:r>
    </w:p>
    <w:p>
      <w:pPr>
        <w:ind w:left="1000" w:right="20" w:hanging="493"/>
        <w:spacing w:after="0" w:line="260" w:lineRule="auto"/>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fair market value of this instrument is presented net with the $2.5 million in aggregate notional value of instruments no longer designated as instruments in a hedge accounting relationship.</w:t>
      </w:r>
    </w:p>
    <w:p>
      <w:pPr>
        <w:spacing w:after="0" w:line="77" w:lineRule="exact"/>
        <w:rPr>
          <w:rFonts w:ascii="Arial" w:cs="Arial" w:eastAsia="Arial" w:hAnsi="Arial"/>
          <w:sz w:val="18"/>
          <w:szCs w:val="18"/>
          <w:color w:val="auto"/>
        </w:rPr>
      </w:pPr>
    </w:p>
    <w:p>
      <w:pPr>
        <w:ind w:left="500" w:hanging="49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Certain portfolio company investments are subject to contractual restrictions on sales.</w:t>
      </w:r>
    </w:p>
    <w:p>
      <w:pPr>
        <w:spacing w:after="0" w:line="23" w:lineRule="exact"/>
        <w:rPr>
          <w:rFonts w:ascii="Arial" w:cs="Arial" w:eastAsia="Arial" w:hAnsi="Arial"/>
          <w:sz w:val="18"/>
          <w:szCs w:val="18"/>
          <w:color w:val="auto"/>
        </w:rPr>
      </w:pPr>
    </w:p>
    <w:p>
      <w:pPr>
        <w:ind w:left="500" w:right="20" w:hanging="492"/>
        <w:spacing w:after="0" w:line="250"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ind w:left="500" w:right="20" w:hanging="492"/>
        <w:spacing w:after="0" w:line="265" w:lineRule="auto"/>
        <w:tabs>
          <w:tab w:leader="none" w:pos="50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Investment contains a variable rate structure, subject to an interest rate floor. Variable rate investments bear interest at a rate that may be determined by reference to either London Interbank Offered Rate (“LIBOR” or “L”) (which can include one-, two-, three- or six-month LIBOR), Euro Interbank Offer Rate (“Euribor” or “E”) (which can include one-, two-, three- or six-month Euribor), Canadian Dollar Offered Rate (“CDOR” or “C”), Bank Bill Swap Bid Rate (“BBSY” or “B”) or an alternate base rate (which can include the Federal Funds Effective Rate or the Prime Rate or “P”), at the borrower’s option, which reset periodically based on the terms of the credit agreement. For investments with multiple interest rate contracts, the interest rate shown is the weighted average interest rate in effect at September 30, 2020.</w:t>
      </w:r>
    </w:p>
    <w:p>
      <w:pPr>
        <w:ind w:left="500" w:right="20" w:hanging="492"/>
        <w:spacing w:after="0" w:line="265" w:lineRule="auto"/>
        <w:tabs>
          <w:tab w:leader="none" w:pos="5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This portfolio company is not a qualifying asset under Section 55(a) of the Investment Company Act of 1940, as amended (the “1940 Act”). Under the 1940 Act, the Company may not acquire any non-qualifying asset unless, at the time such acquisition is made, qualifying assets represent at least 70% of total assets. Non-qualifying assets represented 13.1% of total assets as of September 30, 2020.</w:t>
      </w:r>
    </w:p>
    <w:p>
      <w:pPr>
        <w:ind w:left="500" w:right="60" w:hanging="492"/>
        <w:spacing w:after="0" w:line="265" w:lineRule="auto"/>
        <w:tabs>
          <w:tab w:leader="none" w:pos="50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holds the “last out” tranche.</w:t>
      </w:r>
    </w:p>
    <w:p>
      <w:pPr>
        <w:ind w:left="500" w:right="280" w:hanging="492"/>
        <w:spacing w:after="0" w:line="255"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Under the 1940 Act, the Company is deemed to be an “Affiliated Person” of, as defined in the 1940 Act, this portfolio company, as the Company owns more than 5% of the portfolio company’s outstanding voting securities. Transactions during the nine months ended September 30, 2020 in which the Company was an Affiliated Person of the portfolio company are as follows: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u w:val="single" w:color="auto"/>
          <w:color w:val="auto"/>
        </w:rPr>
        <w:t>Non-controlled, Affiliated Investments during the nine months ended September 30, 2020</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right="62"/>
              <w:spacing w:after="0"/>
              <w:rPr>
                <w:sz w:val="20"/>
                <w:szCs w:val="20"/>
                <w:color w:val="auto"/>
              </w:rPr>
            </w:pPr>
            <w:r>
              <w:rPr>
                <w:rFonts w:ascii="Arial" w:cs="Arial" w:eastAsia="Arial" w:hAnsi="Arial"/>
                <w:sz w:val="14"/>
                <w:szCs w:val="14"/>
                <w:b w:val="1"/>
                <w:bCs w:val="1"/>
                <w:color w:val="auto"/>
              </w:rPr>
              <w:t>Fair</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Net Change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3"/>
              </w:rPr>
              <w:t>Value at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Value at</w:t>
            </w:r>
          </w:p>
        </w:tc>
        <w:tc>
          <w:tcPr>
            <w:tcW w:w="160" w:type="dxa"/>
            <w:vAlign w:val="bottom"/>
          </w:tcPr>
          <w:p>
            <w:pPr>
              <w:spacing w:after="0"/>
              <w:rPr>
                <w:sz w:val="12"/>
                <w:szCs w:val="12"/>
                <w:color w:val="auto"/>
              </w:rPr>
            </w:pPr>
          </w:p>
        </w:tc>
        <w:tc>
          <w:tcPr>
            <w:tcW w:w="66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w w:val="98"/>
              </w:rPr>
              <w:t>Gross</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vMerge w:val="restart"/>
          </w:tcPr>
          <w:p>
            <w:pPr>
              <w:jc w:val="right"/>
              <w:ind w:right="341"/>
              <w:spacing w:after="0"/>
              <w:rPr>
                <w:sz w:val="20"/>
                <w:szCs w:val="20"/>
                <w:color w:val="auto"/>
              </w:rPr>
            </w:pPr>
            <w:r>
              <w:rPr>
                <w:rFonts w:ascii="Arial" w:cs="Arial" w:eastAsia="Arial" w:hAnsi="Arial"/>
                <w:sz w:val="14"/>
                <w:szCs w:val="14"/>
                <w:b w:val="1"/>
                <w:bCs w:val="1"/>
                <w:color w:val="auto"/>
              </w:rPr>
              <w:t>Gross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94"/>
              </w:rPr>
              <w:t>Realized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September</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2"/>
                <w:szCs w:val="12"/>
                <w:color w:val="auto"/>
              </w:rPr>
            </w:pPr>
          </w:p>
        </w:tc>
        <w:tc>
          <w:tcPr>
            <w:tcW w:w="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48"/>
        </w:trPr>
        <w:tc>
          <w:tcPr>
            <w:tcW w:w="2280" w:type="dxa"/>
            <w:vAlign w:val="bottom"/>
            <w:vMerge w:val="restart"/>
          </w:tcPr>
          <w:p>
            <w:pPr>
              <w:ind w:left="840"/>
              <w:spacing w:after="0"/>
              <w:rPr>
                <w:sz w:val="20"/>
                <w:szCs w:val="20"/>
                <w:color w:val="auto"/>
              </w:rPr>
            </w:pPr>
            <w:r>
              <w:rPr>
                <w:rFonts w:ascii="Arial" w:cs="Arial" w:eastAsia="Arial" w:hAnsi="Arial"/>
                <w:sz w:val="14"/>
                <w:szCs w:val="14"/>
                <w:b w:val="1"/>
                <w:bCs w:val="1"/>
                <w:color w:val="auto"/>
              </w:rPr>
              <w:t>Company</w:t>
            </w:r>
          </w:p>
        </w:tc>
        <w:tc>
          <w:tcPr>
            <w:tcW w:w="112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1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In Unrealized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Transfers</w:t>
            </w:r>
          </w:p>
        </w:tc>
        <w:tc>
          <w:tcPr>
            <w:tcW w:w="120" w:type="dxa"/>
            <w:vAlign w:val="bottom"/>
          </w:tcPr>
          <w:p>
            <w:pPr>
              <w:spacing w:after="0"/>
              <w:rPr>
                <w:sz w:val="12"/>
                <w:szCs w:val="12"/>
                <w:color w:val="auto"/>
              </w:rPr>
            </w:pPr>
          </w:p>
        </w:tc>
        <w:tc>
          <w:tcPr>
            <w:tcW w:w="680" w:type="dxa"/>
            <w:vAlign w:val="bottom"/>
          </w:tcPr>
          <w:p>
            <w:pPr>
              <w:jc w:val="right"/>
              <w:ind w:right="242"/>
              <w:spacing w:after="0" w:line="149" w:lineRule="exact"/>
              <w:rPr>
                <w:sz w:val="20"/>
                <w:szCs w:val="20"/>
                <w:color w:val="auto"/>
              </w:rPr>
            </w:pPr>
            <w:r>
              <w:rPr>
                <w:rFonts w:ascii="Arial" w:cs="Arial" w:eastAsia="Arial" w:hAnsi="Arial"/>
                <w:sz w:val="14"/>
                <w:szCs w:val="14"/>
                <w:b w:val="1"/>
                <w:bCs w:val="1"/>
                <w:color w:val="auto"/>
              </w:rPr>
              <w:t>30,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ind w:right="61"/>
              <w:spacing w:after="0"/>
              <w:rPr>
                <w:sz w:val="20"/>
                <w:szCs w:val="20"/>
                <w:color w:val="auto"/>
              </w:rPr>
            </w:pPr>
            <w:r>
              <w:rPr>
                <w:rFonts w:ascii="Arial" w:cs="Arial" w:eastAsia="Arial" w:hAnsi="Arial"/>
                <w:sz w:val="14"/>
                <w:szCs w:val="14"/>
                <w:b w:val="1"/>
                <w:bCs w:val="1"/>
                <w:color w:val="auto"/>
                <w:w w:val="89"/>
              </w:rPr>
              <w:t>2019</w:t>
            </w:r>
          </w:p>
        </w:tc>
        <w:tc>
          <w:tcPr>
            <w:tcW w:w="20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Additions (a)</w:t>
            </w:r>
          </w:p>
        </w:tc>
        <w:tc>
          <w:tcPr>
            <w:tcW w:w="1240" w:type="dxa"/>
            <w:vAlign w:val="bottom"/>
            <w:gridSpan w:val="4"/>
          </w:tcPr>
          <w:p>
            <w:pPr>
              <w:ind w:left="200"/>
              <w:spacing w:after="0"/>
              <w:rPr>
                <w:sz w:val="20"/>
                <w:szCs w:val="20"/>
                <w:color w:val="auto"/>
              </w:rPr>
            </w:pPr>
            <w:r>
              <w:rPr>
                <w:rFonts w:ascii="Arial" w:cs="Arial" w:eastAsia="Arial" w:hAnsi="Arial"/>
                <w:sz w:val="14"/>
                <w:szCs w:val="14"/>
                <w:b w:val="1"/>
                <w:bCs w:val="1"/>
                <w:color w:val="auto"/>
              </w:rPr>
              <w:t>Reductions (b)</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Gain/(Loss)</w:t>
            </w:r>
          </w:p>
        </w:tc>
        <w:tc>
          <w:tcPr>
            <w:tcW w:w="92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Gain/(Losses)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182"/>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8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Income</w:t>
            </w:r>
          </w:p>
        </w:tc>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23"/>
        </w:trPr>
        <w:tc>
          <w:tcPr>
            <w:tcW w:w="2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AFS Technologies, Inc.</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50,136</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555</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(61,819</w:t>
            </w:r>
          </w:p>
        </w:tc>
        <w:tc>
          <w:tcPr>
            <w:tcW w:w="140" w:type="dxa"/>
            <w:vAlign w:val="bottom"/>
            <w:tcBorders>
              <w:top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(691)</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11,819</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ind w:left="50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ind w:left="48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4,551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50,136</w:t>
            </w:r>
          </w:p>
        </w:tc>
        <w:tc>
          <w:tcPr>
            <w:tcW w:w="20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555</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(61,819</w:t>
            </w:r>
          </w:p>
        </w:tc>
        <w:tc>
          <w:tcPr>
            <w:tcW w:w="140" w:type="dxa"/>
            <w:vAlign w:val="bottom"/>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11,819</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bottom w:val="single" w:sz="8" w:color="auto"/>
            </w:tcBorders>
          </w:tcPr>
          <w:p>
            <w:pPr>
              <w:ind w:left="500"/>
              <w:spacing w:after="0"/>
              <w:rPr>
                <w:sz w:val="20"/>
                <w:szCs w:val="20"/>
                <w:color w:val="auto"/>
              </w:rPr>
            </w:pPr>
            <w:r>
              <w:rPr>
                <w:rFonts w:ascii="Arial" w:cs="Arial" w:eastAsia="Arial" w:hAnsi="Arial"/>
                <w:sz w:val="18"/>
                <w:szCs w:val="18"/>
                <w:b w:val="1"/>
                <w:bCs w:val="1"/>
                <w:color w:val="auto"/>
                <w:w w:val="88"/>
              </w:rPr>
              <w:t>—</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bottom w:val="single" w:sz="8" w:color="auto"/>
            </w:tcBorders>
          </w:tcPr>
          <w:p>
            <w:pPr>
              <w:ind w:left="480"/>
              <w:spacing w:after="0"/>
              <w:rPr>
                <w:sz w:val="20"/>
                <w:szCs w:val="20"/>
                <w:color w:val="auto"/>
              </w:rPr>
            </w:pPr>
            <w:r>
              <w:rPr>
                <w:rFonts w:ascii="Arial" w:cs="Arial" w:eastAsia="Arial" w:hAnsi="Arial"/>
                <w:sz w:val="18"/>
                <w:szCs w:val="18"/>
                <w:b w:val="1"/>
                <w:bCs w:val="1"/>
                <w:color w:val="auto"/>
                <w:w w:val="99"/>
              </w:rPr>
              <w:t>—</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4,551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000" w:right="100" w:hanging="493"/>
        <w:spacing w:after="0" w:line="258" w:lineRule="auto"/>
        <w:tabs>
          <w:tab w:leader="none" w:pos="1000" w:val="left"/>
        </w:tabs>
        <w:numPr>
          <w:ilvl w:val="1"/>
          <w:numId w:val="6"/>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1" w:lineRule="exact"/>
        <w:rPr>
          <w:rFonts w:ascii="Arial" w:cs="Arial" w:eastAsia="Arial" w:hAnsi="Arial"/>
          <w:sz w:val="18"/>
          <w:szCs w:val="18"/>
          <w:color w:val="auto"/>
        </w:rPr>
      </w:pPr>
    </w:p>
    <w:p>
      <w:pPr>
        <w:ind w:left="1000" w:hanging="493"/>
        <w:spacing w:after="0" w:line="255" w:lineRule="auto"/>
        <w:tabs>
          <w:tab w:leader="none" w:pos="1000" w:val="left"/>
        </w:tabs>
        <w:numPr>
          <w:ilvl w:val="1"/>
          <w:numId w:val="6"/>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may be applied to the outstanding principal balance.</w:t>
      </w:r>
    </w:p>
    <w:p>
      <w:pPr>
        <w:spacing w:after="0" w:line="81" w:lineRule="exact"/>
        <w:rPr>
          <w:rFonts w:ascii="Arial" w:cs="Arial" w:eastAsia="Arial" w:hAnsi="Arial"/>
          <w:sz w:val="18"/>
          <w:szCs w:val="18"/>
          <w:color w:val="auto"/>
        </w:rPr>
      </w:pPr>
    </w:p>
    <w:p>
      <w:pPr>
        <w:ind w:left="500" w:right="100" w:hanging="492"/>
        <w:spacing w:after="0" w:line="301" w:lineRule="auto"/>
        <w:tabs>
          <w:tab w:leader="none" w:pos="500" w:val="left"/>
        </w:tabs>
        <w:numPr>
          <w:ilvl w:val="0"/>
          <w:numId w:val="7"/>
        </w:numPr>
        <w:rPr>
          <w:rFonts w:ascii="Arial" w:cs="Arial" w:eastAsia="Arial" w:hAnsi="Arial"/>
          <w:sz w:val="16"/>
          <w:szCs w:val="16"/>
          <w:color w:val="auto"/>
        </w:rPr>
      </w:pPr>
      <w:r>
        <w:rPr>
          <w:rFonts w:ascii="Arial" w:cs="Arial" w:eastAsia="Arial" w:hAnsi="Arial"/>
          <w:sz w:val="16"/>
          <w:szCs w:val="16"/>
          <w:color w:val="auto"/>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nine months ended September 30, 2020 in which the Company was an Affiliated Person of and was deemed to Control a portfolio company are as follows: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Controlled, Affiliated Investments during the nine months ended September 30, 2020</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ind w:right="40"/>
              <w:spacing w:after="0"/>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restart"/>
          </w:tcPr>
          <w:p>
            <w:pPr>
              <w:jc w:val="right"/>
              <w:ind w:right="261"/>
              <w:spacing w:after="0"/>
              <w:rPr>
                <w:sz w:val="20"/>
                <w:szCs w:val="20"/>
                <w:color w:val="auto"/>
              </w:rPr>
            </w:pPr>
            <w:r>
              <w:rPr>
                <w:rFonts w:ascii="Arial" w:cs="Arial" w:eastAsia="Arial" w:hAnsi="Arial"/>
                <w:sz w:val="14"/>
                <w:szCs w:val="14"/>
                <w:b w:val="1"/>
                <w:bCs w:val="1"/>
                <w:color w:val="auto"/>
                <w:w w:val="92"/>
              </w:rPr>
              <w:t>Net Change</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Value at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Value at</w:t>
            </w:r>
          </w:p>
        </w:tc>
        <w:tc>
          <w:tcPr>
            <w:tcW w:w="160" w:type="dxa"/>
            <w:vAlign w:val="bottom"/>
          </w:tcPr>
          <w:p>
            <w:pPr>
              <w:spacing w:after="0"/>
              <w:rPr>
                <w:sz w:val="12"/>
                <w:szCs w:val="12"/>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2"/>
                <w:szCs w:val="12"/>
                <w:color w:val="auto"/>
              </w:rPr>
            </w:pPr>
          </w:p>
        </w:tc>
        <w:tc>
          <w:tcPr>
            <w:tcW w:w="8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Gross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right"/>
              <w:ind w:right="221"/>
              <w:spacing w:after="0"/>
              <w:rPr>
                <w:sz w:val="20"/>
                <w:szCs w:val="20"/>
                <w:color w:val="auto"/>
              </w:rPr>
            </w:pPr>
            <w:r>
              <w:rPr>
                <w:rFonts w:ascii="Arial" w:cs="Arial" w:eastAsia="Arial" w:hAnsi="Arial"/>
                <w:sz w:val="14"/>
                <w:szCs w:val="14"/>
                <w:b w:val="1"/>
                <w:bCs w:val="1"/>
                <w:color w:val="auto"/>
                <w:w w:val="94"/>
              </w:rPr>
              <w:t>Realized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September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6"/>
              </w:rPr>
              <w:t>Other</w:t>
            </w:r>
          </w:p>
        </w:tc>
        <w:tc>
          <w:tcPr>
            <w:tcW w:w="6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48"/>
        </w:trPr>
        <w:tc>
          <w:tcPr>
            <w:tcW w:w="2300" w:type="dxa"/>
            <w:vAlign w:val="bottom"/>
            <w:gridSpan w:val="2"/>
            <w:vMerge w:val="restart"/>
          </w:tcPr>
          <w:p>
            <w:pPr>
              <w:ind w:left="800"/>
              <w:spacing w:after="0"/>
              <w:rPr>
                <w:sz w:val="20"/>
                <w:szCs w:val="20"/>
                <w:color w:val="auto"/>
              </w:rPr>
            </w:pPr>
            <w:r>
              <w:rPr>
                <w:rFonts w:ascii="Arial" w:cs="Arial" w:eastAsia="Arial" w:hAnsi="Arial"/>
                <w:sz w:val="14"/>
                <w:szCs w:val="14"/>
                <w:b w:val="1"/>
                <w:bCs w:val="1"/>
                <w:color w:val="auto"/>
              </w:rPr>
              <w:t>Company</w:t>
            </w:r>
          </w:p>
        </w:tc>
        <w:tc>
          <w:tcPr>
            <w:tcW w:w="10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3"/>
          </w:tcPr>
          <w:p>
            <w:pPr>
              <w:jc w:val="right"/>
              <w:ind w:right="201"/>
              <w:spacing w:after="0" w:line="149" w:lineRule="exact"/>
              <w:rPr>
                <w:sz w:val="20"/>
                <w:szCs w:val="20"/>
                <w:color w:val="auto"/>
              </w:rPr>
            </w:pPr>
            <w:r>
              <w:rPr>
                <w:rFonts w:ascii="Arial" w:cs="Arial" w:eastAsia="Arial" w:hAnsi="Arial"/>
                <w:sz w:val="14"/>
                <w:szCs w:val="14"/>
                <w:b w:val="1"/>
                <w:bCs w:val="1"/>
                <w:color w:val="auto"/>
              </w:rPr>
              <w:t>In Unrealized</w:t>
            </w: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restart"/>
          </w:tcPr>
          <w:p>
            <w:pPr>
              <w:spacing w:after="0"/>
              <w:rPr>
                <w:sz w:val="20"/>
                <w:szCs w:val="20"/>
                <w:color w:val="auto"/>
              </w:rPr>
            </w:pPr>
            <w:r>
              <w:rPr>
                <w:rFonts w:ascii="Arial" w:cs="Arial" w:eastAsia="Arial" w:hAnsi="Arial"/>
                <w:sz w:val="14"/>
                <w:szCs w:val="14"/>
                <w:b w:val="1"/>
                <w:bCs w:val="1"/>
                <w:color w:val="auto"/>
              </w:rPr>
              <w:t>Transfers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220"/>
              <w:spacing w:after="0" w:line="149" w:lineRule="exact"/>
              <w:rPr>
                <w:sz w:val="20"/>
                <w:szCs w:val="20"/>
                <w:color w:val="auto"/>
              </w:rPr>
            </w:pPr>
            <w:r>
              <w:rPr>
                <w:rFonts w:ascii="Arial" w:cs="Arial" w:eastAsia="Arial" w:hAnsi="Arial"/>
                <w:sz w:val="14"/>
                <w:szCs w:val="14"/>
                <w:b w:val="1"/>
                <w:bCs w:val="1"/>
                <w:color w:val="auto"/>
              </w:rPr>
              <w:t>30,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39"/>
              <w:spacing w:after="0"/>
              <w:rPr>
                <w:sz w:val="20"/>
                <w:szCs w:val="20"/>
                <w:color w:val="auto"/>
              </w:rPr>
            </w:pPr>
            <w:r>
              <w:rPr>
                <w:rFonts w:ascii="Arial" w:cs="Arial" w:eastAsia="Arial" w:hAnsi="Arial"/>
                <w:sz w:val="14"/>
                <w:szCs w:val="14"/>
                <w:b w:val="1"/>
                <w:bCs w:val="1"/>
                <w:color w:val="auto"/>
                <w:w w:val="89"/>
              </w:rPr>
              <w:t>2019</w:t>
            </w:r>
          </w:p>
        </w:tc>
        <w:tc>
          <w:tcPr>
            <w:tcW w:w="22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Additions (a)</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Reductions (b)</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261"/>
              <w:spacing w:after="0"/>
              <w:rPr>
                <w:sz w:val="20"/>
                <w:szCs w:val="20"/>
                <w:color w:val="auto"/>
              </w:rPr>
            </w:pPr>
            <w:r>
              <w:rPr>
                <w:rFonts w:ascii="Arial" w:cs="Arial" w:eastAsia="Arial" w:hAnsi="Arial"/>
                <w:sz w:val="14"/>
                <w:szCs w:val="14"/>
                <w:b w:val="1"/>
                <w:bCs w:val="1"/>
                <w:color w:val="auto"/>
                <w:w w:val="93"/>
              </w:rPr>
              <w:t>Gain/(Loss)</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Gain/(Losses)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160"/>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8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Income</w:t>
            </w:r>
          </w:p>
        </w:tc>
        <w:tc>
          <w:tcPr>
            <w:tcW w:w="680" w:type="dxa"/>
            <w:vAlign w:val="bottom"/>
            <w:gridSpan w:val="3"/>
          </w:tcPr>
          <w:p>
            <w:pPr>
              <w:ind w:left="8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23"/>
        </w:trPr>
        <w:tc>
          <w:tcPr>
            <w:tcW w:w="2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IRGSE Holding Corp.</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34,812</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4,722</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(1,502)</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(4,133)</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ind w:left="50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33,899</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2,893</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300" w:type="dxa"/>
            <w:vAlign w:val="bottom"/>
            <w:gridSpan w:val="2"/>
          </w:tcPr>
          <w:p>
            <w:pPr>
              <w:spacing w:after="0"/>
              <w:rPr>
                <w:sz w:val="20"/>
                <w:szCs w:val="20"/>
                <w:color w:val="auto"/>
              </w:rPr>
            </w:pPr>
            <w:r>
              <w:rPr>
                <w:rFonts w:ascii="Arial" w:cs="Arial" w:eastAsia="Arial" w:hAnsi="Arial"/>
                <w:sz w:val="18"/>
                <w:szCs w:val="18"/>
                <w:color w:val="auto"/>
              </w:rPr>
              <w:t>Mississippi Resources,</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gridSpan w:val="2"/>
          </w:tcPr>
          <w:p>
            <w:pPr>
              <w:ind w:left="140"/>
              <w:spacing w:after="0"/>
              <w:rPr>
                <w:sz w:val="20"/>
                <w:szCs w:val="20"/>
                <w:color w:val="auto"/>
              </w:rPr>
            </w:pPr>
            <w:r>
              <w:rPr>
                <w:rFonts w:ascii="Arial" w:cs="Arial" w:eastAsia="Arial" w:hAnsi="Arial"/>
                <w:sz w:val="18"/>
                <w:szCs w:val="18"/>
                <w:color w:val="auto"/>
              </w:rPr>
              <w:t>LLC</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13,104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(214)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81"/>
              <w:spacing w:after="0"/>
              <w:rPr>
                <w:sz w:val="20"/>
                <w:szCs w:val="20"/>
                <w:color w:val="auto"/>
              </w:rPr>
            </w:pPr>
            <w:r>
              <w:rPr>
                <w:rFonts w:ascii="Arial" w:cs="Arial" w:eastAsia="Arial" w:hAnsi="Arial"/>
                <w:sz w:val="18"/>
                <w:szCs w:val="18"/>
                <w:color w:val="auto"/>
              </w:rPr>
              <w:t>(12,890)</w:t>
            </w:r>
          </w:p>
        </w:tc>
        <w:tc>
          <w:tcPr>
            <w:tcW w:w="120" w:type="dxa"/>
            <w:vAlign w:val="bottom"/>
          </w:tcPr>
          <w:p>
            <w:pPr>
              <w:spacing w:after="0"/>
              <w:rPr>
                <w:sz w:val="20"/>
                <w:szCs w:val="20"/>
                <w:color w:val="auto"/>
              </w:rPr>
            </w:pPr>
          </w:p>
        </w:tc>
        <w:tc>
          <w:tcPr>
            <w:tcW w:w="86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ind w:left="50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30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47,916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4,722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(214)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(14,392</w:t>
            </w:r>
          </w:p>
        </w:tc>
        <w:tc>
          <w:tcPr>
            <w:tcW w:w="220" w:type="dxa"/>
            <w:vAlign w:val="bottom"/>
            <w:tcBorders>
              <w:top w:val="single" w:sz="8" w:color="CFF0FC"/>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(4,133</w:t>
            </w:r>
          </w:p>
        </w:tc>
        <w:tc>
          <w:tcPr>
            <w:tcW w:w="140" w:type="dxa"/>
            <w:vAlign w:val="bottom"/>
            <w:tcBorders>
              <w:top w:val="single" w:sz="8" w:color="CFF0FC"/>
              <w:bottom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bottom w:val="single" w:sz="8" w:color="auto"/>
            </w:tcBorders>
            <w:shd w:val="clear" w:color="auto" w:fill="CFF0FC"/>
          </w:tcPr>
          <w:p>
            <w:pPr>
              <w:ind w:left="500"/>
              <w:spacing w:after="0"/>
              <w:rPr>
                <w:sz w:val="20"/>
                <w:szCs w:val="20"/>
                <w:color w:val="auto"/>
              </w:rPr>
            </w:pPr>
            <w:r>
              <w:rPr>
                <w:rFonts w:ascii="Arial" w:cs="Arial" w:eastAsia="Arial" w:hAnsi="Arial"/>
                <w:sz w:val="18"/>
                <w:szCs w:val="18"/>
                <w:b w:val="1"/>
                <w:bCs w:val="1"/>
                <w:color w:val="auto"/>
                <w:w w:val="88"/>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33,899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2,893</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000" w:right="100" w:hanging="493"/>
        <w:spacing w:after="0" w:line="258" w:lineRule="auto"/>
        <w:tabs>
          <w:tab w:leader="none" w:pos="1000" w:val="left"/>
        </w:tabs>
        <w:numPr>
          <w:ilvl w:val="1"/>
          <w:numId w:val="8"/>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1" w:lineRule="exact"/>
        <w:rPr>
          <w:rFonts w:ascii="Arial" w:cs="Arial" w:eastAsia="Arial" w:hAnsi="Arial"/>
          <w:sz w:val="18"/>
          <w:szCs w:val="18"/>
          <w:color w:val="auto"/>
        </w:rPr>
      </w:pPr>
    </w:p>
    <w:p>
      <w:pPr>
        <w:ind w:left="1000" w:hanging="493"/>
        <w:spacing w:after="0" w:line="255" w:lineRule="auto"/>
        <w:tabs>
          <w:tab w:leader="none" w:pos="1000" w:val="left"/>
        </w:tabs>
        <w:numPr>
          <w:ilvl w:val="1"/>
          <w:numId w:val="8"/>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may be applied to the outstanding principal balance.</w:t>
      </w:r>
    </w:p>
    <w:p>
      <w:pPr>
        <w:spacing w:after="0" w:line="81" w:lineRule="exact"/>
        <w:rPr>
          <w:rFonts w:ascii="Arial" w:cs="Arial" w:eastAsia="Arial" w:hAnsi="Arial"/>
          <w:sz w:val="18"/>
          <w:szCs w:val="18"/>
          <w:color w:val="auto"/>
        </w:rPr>
      </w:pPr>
    </w:p>
    <w:p>
      <w:pPr>
        <w:ind w:left="500" w:right="600" w:hanging="492"/>
        <w:spacing w:after="0" w:line="258"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 of September 30, 2020, the estimated cost basis of investments for U.S. federal tax purposes was $2,100,832, resulting in estimated gross unrealized gains and losses of $118,178 and $100,245, respectively.</w:t>
      </w:r>
    </w:p>
    <w:p>
      <w:pPr>
        <w:spacing w:after="0" w:line="1" w:lineRule="exact"/>
        <w:rPr>
          <w:rFonts w:ascii="Arial" w:cs="Arial" w:eastAsia="Arial" w:hAnsi="Arial"/>
          <w:sz w:val="18"/>
          <w:szCs w:val="18"/>
          <w:color w:val="auto"/>
        </w:rPr>
      </w:pPr>
    </w:p>
    <w:p>
      <w:pPr>
        <w:ind w:left="500" w:right="80" w:hanging="492"/>
        <w:spacing w:after="0" w:line="250"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These investments contain a fixed rate structure. The Company entered into an interest rate swap agreement to swap to a floating rate. Refer to Note 5 for further information related to the Company’s interest rate swaps on investments.</w:t>
      </w:r>
    </w:p>
    <w:p>
      <w:pPr>
        <w:ind w:left="500" w:right="80" w:hanging="492"/>
        <w:spacing w:after="0" w:line="250"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In accordance with Financial Accounting Standards Board Accounting Standards Codification Topic 820,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(“ASC Topic 820”), unless otherwise indicated, the fair values of all investments were determined using significant unobservable inputs and are considered Level 3 investments. See Note 6 for further information related to investments at fair value.</w:t>
      </w:r>
    </w:p>
    <w:p>
      <w:pPr>
        <w:spacing w:after="0" w:line="1" w:lineRule="exact"/>
        <w:rPr>
          <w:rFonts w:ascii="Arial" w:cs="Arial" w:eastAsia="Arial" w:hAnsi="Arial"/>
          <w:sz w:val="18"/>
          <w:szCs w:val="18"/>
          <w:color w:val="auto"/>
        </w:rPr>
      </w:pPr>
    </w:p>
    <w:p>
      <w:pPr>
        <w:ind w:left="500" w:right="120" w:hanging="492"/>
        <w:spacing w:after="0" w:line="250"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investment is valued using observable inputs and is considered a Level 2 investment. See Note 6 for further information related to investments at fair value.</w:t>
      </w:r>
    </w:p>
    <w:p>
      <w:pPr>
        <w:ind w:left="500" w:right="120" w:hanging="492"/>
        <w:spacing w:after="0" w:line="250"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investment is valued using observable inputs and is considered a Level 1 investment. See Note 6 for further information related to investments at fair value.</w:t>
      </w:r>
    </w:p>
    <w:p>
      <w:pPr>
        <w:ind w:left="500" w:hanging="49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equity investment is non-income producing.</w:t>
      </w:r>
    </w:p>
    <w:p>
      <w:pPr>
        <w:spacing w:after="0" w:line="9" w:lineRule="exact"/>
        <w:rPr>
          <w:rFonts w:ascii="Arial" w:cs="Arial" w:eastAsia="Arial" w:hAnsi="Arial"/>
          <w:sz w:val="18"/>
          <w:szCs w:val="18"/>
          <w:color w:val="auto"/>
        </w:rPr>
      </w:pPr>
    </w:p>
    <w:p>
      <w:pPr>
        <w:ind w:left="500" w:right="240" w:hanging="492"/>
        <w:spacing w:after="0" w:line="250"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or a portion of this security was acquired in a transaction exempt from registration under the Securities Act of 1933, and may be deemed to be “restricted securities” under the Securities Act. As of September 30, 2020, the aggregate fair value of these securities is $32,517, or 2.8% of the Company’s net assets.</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Ownership of equity investments may occur through a holding company or partnership.</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Investment is on non-accrual status as of September 30, 2020.</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Sixth Street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as of December 31, 2019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9"/>
              </w:rPr>
              <w:t>Initial</w:t>
            </w:r>
          </w:p>
        </w:tc>
        <w:tc>
          <w:tcPr>
            <w:tcW w:w="10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5"/>
              </w:rPr>
              <w:t>Reference</w:t>
            </w:r>
          </w:p>
        </w:tc>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35"/>
        </w:trPr>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102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0"/>
              </w:rPr>
              <w:t>Rate and</w:t>
            </w: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1"/>
              </w:rPr>
              <w:t>Amortized</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w w:val="88"/>
              </w:rPr>
              <w:t>Percentage</w:t>
            </w:r>
          </w:p>
        </w:tc>
      </w:tr>
      <w:tr>
        <w:trPr>
          <w:trHeight w:val="153"/>
        </w:trPr>
        <w:tc>
          <w:tcPr>
            <w:tcW w:w="2500" w:type="dxa"/>
            <w:vAlign w:val="bottom"/>
          </w:tcPr>
          <w:p>
            <w:pPr>
              <w:spacing w:after="0"/>
              <w:rPr>
                <w:sz w:val="20"/>
                <w:szCs w:val="20"/>
                <w:color w:val="auto"/>
              </w:rPr>
            </w:pPr>
            <w:r>
              <w:rPr>
                <w:rFonts w:ascii="Arial" w:cs="Arial" w:eastAsia="Arial" w:hAnsi="Arial"/>
                <w:sz w:val="13"/>
                <w:szCs w:val="13"/>
                <w:b w:val="1"/>
                <w:bCs w:val="1"/>
                <w:color w:val="auto"/>
              </w:rPr>
              <w:t xml:space="preserve">Company </w:t>
            </w:r>
            <w:r>
              <w:rPr>
                <w:rFonts w:ascii="Arial" w:cs="Arial" w:eastAsia="Arial" w:hAnsi="Arial"/>
                <w:sz w:val="10"/>
                <w:szCs w:val="10"/>
                <w:b w:val="1"/>
                <w:bCs w:val="1"/>
                <w:color w:val="auto"/>
              </w:rPr>
              <w:t>(1)</w:t>
            </w:r>
          </w:p>
        </w:tc>
        <w:tc>
          <w:tcPr>
            <w:tcW w:w="120" w:type="dxa"/>
            <w:vAlign w:val="bottom"/>
          </w:tcPr>
          <w:p>
            <w:pPr>
              <w:spacing w:after="0"/>
              <w:rPr>
                <w:sz w:val="13"/>
                <w:szCs w:val="13"/>
                <w:color w:val="auto"/>
              </w:rPr>
            </w:pPr>
          </w:p>
        </w:tc>
        <w:tc>
          <w:tcPr>
            <w:tcW w:w="2300" w:type="dxa"/>
            <w:vAlign w:val="bottom"/>
            <w:gridSpan w:val="2"/>
          </w:tcPr>
          <w:p>
            <w:pPr>
              <w:ind w:left="780"/>
              <w:spacing w:after="0"/>
              <w:rPr>
                <w:sz w:val="20"/>
                <w:szCs w:val="20"/>
                <w:color w:val="auto"/>
              </w:rPr>
            </w:pPr>
            <w:r>
              <w:rPr>
                <w:rFonts w:ascii="Arial" w:cs="Arial" w:eastAsia="Arial" w:hAnsi="Arial"/>
                <w:sz w:val="13"/>
                <w:szCs w:val="13"/>
                <w:b w:val="1"/>
                <w:bCs w:val="1"/>
                <w:color w:val="auto"/>
              </w:rPr>
              <w:t>Investment</w:t>
            </w:r>
          </w:p>
        </w:tc>
        <w:tc>
          <w:tcPr>
            <w:tcW w:w="9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Date</w:t>
            </w:r>
          </w:p>
        </w:tc>
        <w:tc>
          <w:tcPr>
            <w:tcW w:w="10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6"/>
              </w:rPr>
              <w:t>Spread</w:t>
            </w:r>
          </w:p>
        </w:tc>
        <w:tc>
          <w:tcPr>
            <w:tcW w:w="144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Interest Rate</w:t>
            </w:r>
          </w:p>
        </w:tc>
        <w:tc>
          <w:tcPr>
            <w:tcW w:w="9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 xml:space="preserve">Cost </w:t>
            </w:r>
            <w:r>
              <w:rPr>
                <w:rFonts w:ascii="Arial" w:cs="Arial" w:eastAsia="Arial" w:hAnsi="Arial"/>
                <w:sz w:val="10"/>
                <w:szCs w:val="10"/>
                <w:b w:val="1"/>
                <w:bCs w:val="1"/>
                <w:color w:val="auto"/>
                <w:w w:val="91"/>
              </w:rPr>
              <w:t>(2)(8)</w:t>
            </w:r>
          </w:p>
        </w:tc>
        <w:tc>
          <w:tcPr>
            <w:tcW w:w="1080" w:type="dxa"/>
            <w:vAlign w:val="bottom"/>
            <w:gridSpan w:val="3"/>
          </w:tcPr>
          <w:p>
            <w:pPr>
              <w:ind w:left="40"/>
              <w:spacing w:after="0"/>
              <w:rPr>
                <w:sz w:val="20"/>
                <w:szCs w:val="20"/>
                <w:color w:val="auto"/>
              </w:rPr>
            </w:pPr>
            <w:r>
              <w:rPr>
                <w:rFonts w:ascii="Arial" w:cs="Arial" w:eastAsia="Arial" w:hAnsi="Arial"/>
                <w:sz w:val="13"/>
                <w:szCs w:val="13"/>
                <w:b w:val="1"/>
                <w:bCs w:val="1"/>
                <w:color w:val="auto"/>
              </w:rPr>
              <w:t xml:space="preserve">Fair Value </w:t>
            </w:r>
            <w:r>
              <w:rPr>
                <w:rFonts w:ascii="Arial" w:cs="Arial" w:eastAsia="Arial" w:hAnsi="Arial"/>
                <w:sz w:val="10"/>
                <w:szCs w:val="10"/>
                <w:b w:val="1"/>
                <w:bCs w:val="1"/>
                <w:color w:val="auto"/>
              </w:rPr>
              <w:t>(10)</w:t>
            </w:r>
          </w:p>
        </w:tc>
        <w:tc>
          <w:tcPr>
            <w:tcW w:w="86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81"/>
              </w:rPr>
              <w:t>of Net Assets</w:t>
            </w:r>
          </w:p>
        </w:tc>
      </w:tr>
      <w:tr>
        <w:trPr>
          <w:trHeight w:val="209"/>
        </w:trPr>
        <w:tc>
          <w:tcPr>
            <w:tcW w:w="25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Debt Investments</w:t>
            </w:r>
          </w:p>
        </w:tc>
        <w:tc>
          <w:tcPr>
            <w:tcW w:w="120" w:type="dxa"/>
            <w:vAlign w:val="bottom"/>
            <w:tcBorders>
              <w:top w:val="single" w:sz="8" w:color="CFF0FC"/>
            </w:tcBorders>
            <w:shd w:val="clear" w:color="auto" w:fill="CFF0FC"/>
          </w:tcPr>
          <w:p>
            <w:pPr>
              <w:spacing w:after="0"/>
              <w:rPr>
                <w:sz w:val="18"/>
                <w:szCs w:val="18"/>
                <w:color w:val="auto"/>
              </w:rPr>
            </w:pPr>
          </w:p>
        </w:tc>
        <w:tc>
          <w:tcPr>
            <w:tcW w:w="22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13"/>
        </w:trPr>
        <w:tc>
          <w:tcPr>
            <w:tcW w:w="2500" w:type="dxa"/>
            <w:vAlign w:val="bottom"/>
          </w:tcPr>
          <w:p>
            <w:pPr>
              <w:spacing w:after="0"/>
              <w:rPr>
                <w:sz w:val="20"/>
                <w:szCs w:val="20"/>
                <w:color w:val="auto"/>
              </w:rPr>
            </w:pPr>
            <w:r>
              <w:rPr>
                <w:rFonts w:ascii="Arial" w:cs="Arial" w:eastAsia="Arial" w:hAnsi="Arial"/>
                <w:sz w:val="16"/>
                <w:szCs w:val="16"/>
                <w:b w:val="1"/>
                <w:bCs w:val="1"/>
                <w:color w:val="auto"/>
              </w:rPr>
              <w:t>Beverage, food and tobacco</w:t>
            </w: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50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AFS Technologies, Inc. </w:t>
            </w:r>
            <w:r>
              <w:rPr>
                <w:rFonts w:ascii="Arial" w:cs="Arial" w:eastAsia="Arial" w:hAnsi="Arial"/>
                <w:sz w:val="24"/>
                <w:szCs w:val="24"/>
                <w:color w:val="auto"/>
                <w:vertAlign w:val="superscript"/>
              </w:rPr>
              <w:t>(3)(5)(6)</w:t>
            </w:r>
          </w:p>
        </w:tc>
        <w:tc>
          <w:tcPr>
            <w:tcW w:w="2420" w:type="dxa"/>
            <w:vAlign w:val="bottom"/>
            <w:gridSpan w:val="3"/>
            <w:shd w:val="clear" w:color="auto" w:fill="CFF0FC"/>
          </w:tcPr>
          <w:p>
            <w:pPr>
              <w:ind w:left="120"/>
              <w:spacing w:after="0"/>
              <w:rPr>
                <w:sz w:val="20"/>
                <w:szCs w:val="20"/>
                <w:color w:val="auto"/>
              </w:rPr>
            </w:pPr>
            <w:r>
              <w:rPr>
                <w:rFonts w:ascii="Arial" w:cs="Arial" w:eastAsia="Arial" w:hAnsi="Arial"/>
                <w:sz w:val="16"/>
                <w:szCs w:val="16"/>
                <w:color w:val="auto"/>
              </w:rPr>
              <w:t>First-lien loan ($45,559 par, due</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10/16/2018</w:t>
            </w: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+ 6.25%</w:t>
            </w: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8.05%</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   45,004</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45,673</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4.1%</w:t>
            </w:r>
          </w:p>
        </w:tc>
      </w:tr>
      <w:tr>
        <w:trPr>
          <w:trHeight w:val="212"/>
        </w:trPr>
        <w:tc>
          <w:tcPr>
            <w:tcW w:w="2500" w:type="dxa"/>
            <w:vAlign w:val="bottom"/>
            <w:shd w:val="clear" w:color="auto" w:fill="CFF0FC"/>
          </w:tcPr>
          <w:p>
            <w:pPr>
              <w:spacing w:after="0"/>
              <w:rPr>
                <w:sz w:val="18"/>
                <w:szCs w:val="18"/>
                <w:color w:val="auto"/>
              </w:rPr>
            </w:pPr>
          </w:p>
        </w:tc>
        <w:tc>
          <w:tcPr>
            <w:tcW w:w="232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10/2023)</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3"/>
        </w:trPr>
        <w:tc>
          <w:tcPr>
            <w:tcW w:w="2500" w:type="dxa"/>
            <w:vAlign w:val="bottom"/>
          </w:tcPr>
          <w:p>
            <w:pPr>
              <w:spacing w:after="0"/>
              <w:rPr>
                <w:sz w:val="20"/>
                <w:szCs w:val="20"/>
                <w:color w:val="auto"/>
              </w:rPr>
            </w:pPr>
            <w:r>
              <w:rPr>
                <w:rFonts w:ascii="Arial" w:cs="Arial" w:eastAsia="Arial" w:hAnsi="Arial"/>
                <w:sz w:val="16"/>
                <w:szCs w:val="16"/>
                <w:b w:val="1"/>
                <w:bCs w:val="1"/>
                <w:color w:val="auto"/>
              </w:rPr>
              <w:t>Business services</w:t>
            </w: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6"/>
        </w:trPr>
        <w:tc>
          <w:tcPr>
            <w:tcW w:w="2500" w:type="dxa"/>
            <w:vAlign w:val="bottom"/>
            <w:shd w:val="clear" w:color="auto" w:fill="CFF0FC"/>
          </w:tcPr>
          <w:p>
            <w:pPr>
              <w:spacing w:after="0"/>
              <w:rPr>
                <w:sz w:val="20"/>
                <w:szCs w:val="20"/>
                <w:color w:val="auto"/>
              </w:rPr>
            </w:pPr>
            <w:r>
              <w:rPr>
                <w:rFonts w:ascii="Arial" w:cs="Arial" w:eastAsia="Arial" w:hAnsi="Arial"/>
                <w:sz w:val="16"/>
                <w:szCs w:val="16"/>
                <w:color w:val="auto"/>
              </w:rPr>
              <w:t>Acceo Solutions,</w:t>
            </w:r>
          </w:p>
        </w:tc>
        <w:tc>
          <w:tcPr>
            <w:tcW w:w="2420" w:type="dxa"/>
            <w:vAlign w:val="bottom"/>
            <w:gridSpan w:val="3"/>
            <w:shd w:val="clear" w:color="auto" w:fill="CFF0FC"/>
          </w:tcPr>
          <w:p>
            <w:pPr>
              <w:ind w:left="120"/>
              <w:spacing w:after="0"/>
              <w:rPr>
                <w:sz w:val="20"/>
                <w:szCs w:val="20"/>
                <w:color w:val="auto"/>
              </w:rPr>
            </w:pPr>
            <w:r>
              <w:rPr>
                <w:rFonts w:ascii="Arial" w:cs="Arial" w:eastAsia="Arial" w:hAnsi="Arial"/>
                <w:sz w:val="16"/>
                <w:szCs w:val="16"/>
                <w:color w:val="auto"/>
              </w:rPr>
              <w:t>First-lien loan (CAD 64,025 par,</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7/6/2018</w:t>
            </w:r>
          </w:p>
        </w:tc>
        <w:tc>
          <w:tcPr>
            <w:tcW w:w="1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C + 4.75%</w:t>
            </w: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6.83%</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48,001</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49,497</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4.4%</w:t>
            </w:r>
          </w:p>
        </w:tc>
      </w:tr>
      <w:tr>
        <w:trPr>
          <w:trHeight w:val="206"/>
        </w:trPr>
        <w:tc>
          <w:tcPr>
            <w:tcW w:w="25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 xml:space="preserve">Inc. </w:t>
            </w:r>
            <w:r>
              <w:rPr>
                <w:rFonts w:ascii="Arial" w:cs="Arial" w:eastAsia="Arial" w:hAnsi="Arial"/>
                <w:sz w:val="13"/>
                <w:szCs w:val="13"/>
                <w:color w:val="auto"/>
              </w:rPr>
              <w:t>(3)(4)(5)</w:t>
            </w:r>
          </w:p>
        </w:tc>
        <w:tc>
          <w:tcPr>
            <w:tcW w:w="2420" w:type="dxa"/>
            <w:vAlign w:val="bottom"/>
            <w:gridSpan w:val="3"/>
            <w:shd w:val="clear" w:color="auto" w:fill="CFF0FC"/>
          </w:tcPr>
          <w:p>
            <w:pPr>
              <w:ind w:left="120"/>
              <w:spacing w:after="0"/>
              <w:rPr>
                <w:sz w:val="20"/>
                <w:szCs w:val="20"/>
                <w:color w:val="auto"/>
              </w:rPr>
            </w:pPr>
            <w:r>
              <w:rPr>
                <w:rFonts w:ascii="Arial" w:cs="Arial" w:eastAsia="Arial" w:hAnsi="Arial"/>
                <w:sz w:val="16"/>
                <w:szCs w:val="16"/>
                <w:color w:val="auto"/>
              </w:rPr>
              <w:t>due 7/2023)</w:t>
            </w: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(CAD</w:t>
            </w:r>
          </w:p>
        </w:tc>
        <w:tc>
          <w:tcPr>
            <w:tcW w:w="7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12"/>
        </w:trPr>
        <w:tc>
          <w:tcPr>
            <w:tcW w:w="2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64,185)</w:t>
            </w: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500" w:type="dxa"/>
            <w:vAlign w:val="bottom"/>
          </w:tcPr>
          <w:p>
            <w:pPr>
              <w:spacing w:after="0" w:line="207" w:lineRule="exact"/>
              <w:rPr>
                <w:sz w:val="20"/>
                <w:szCs w:val="20"/>
                <w:color w:val="auto"/>
              </w:rPr>
            </w:pPr>
            <w:r>
              <w:rPr>
                <w:rFonts w:ascii="Arial" w:cs="Arial" w:eastAsia="Arial" w:hAnsi="Arial"/>
                <w:sz w:val="14"/>
                <w:szCs w:val="14"/>
                <w:color w:val="auto"/>
              </w:rPr>
              <w:t xml:space="preserve">Alpha Midco, Inc. </w:t>
            </w:r>
            <w:r>
              <w:rPr>
                <w:rFonts w:ascii="Arial" w:cs="Arial" w:eastAsia="Arial" w:hAnsi="Arial"/>
                <w:sz w:val="23"/>
                <w:szCs w:val="23"/>
                <w:color w:val="auto"/>
                <w:vertAlign w:val="superscript"/>
              </w:rPr>
              <w:t>(3)(5)</w:t>
            </w:r>
          </w:p>
        </w:tc>
        <w:tc>
          <w:tcPr>
            <w:tcW w:w="2420" w:type="dxa"/>
            <w:vAlign w:val="bottom"/>
            <w:gridSpan w:val="3"/>
          </w:tcPr>
          <w:p>
            <w:pPr>
              <w:ind w:left="120"/>
              <w:spacing w:after="0"/>
              <w:rPr>
                <w:sz w:val="20"/>
                <w:szCs w:val="20"/>
                <w:color w:val="auto"/>
              </w:rPr>
            </w:pPr>
            <w:r>
              <w:rPr>
                <w:rFonts w:ascii="Arial" w:cs="Arial" w:eastAsia="Arial" w:hAnsi="Arial"/>
                <w:sz w:val="16"/>
                <w:szCs w:val="16"/>
                <w:color w:val="auto"/>
              </w:rPr>
              <w:t>First-lien loan ($45,296 par, due</w:t>
            </w:r>
          </w:p>
        </w:tc>
        <w:tc>
          <w:tcPr>
            <w:tcW w:w="820" w:type="dxa"/>
            <w:vAlign w:val="bottom"/>
          </w:tcPr>
          <w:p>
            <w:pPr>
              <w:jc w:val="right"/>
              <w:spacing w:after="0"/>
              <w:rPr>
                <w:sz w:val="20"/>
                <w:szCs w:val="20"/>
                <w:color w:val="auto"/>
              </w:rPr>
            </w:pPr>
            <w:r>
              <w:rPr>
                <w:rFonts w:ascii="Arial" w:cs="Arial" w:eastAsia="Arial" w:hAnsi="Arial"/>
                <w:sz w:val="16"/>
                <w:szCs w:val="16"/>
                <w:color w:val="auto"/>
              </w:rPr>
              <w:t>8/15/2019</w:t>
            </w:r>
          </w:p>
        </w:tc>
        <w:tc>
          <w:tcPr>
            <w:tcW w:w="12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L + 6.75%</w:t>
            </w: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8.75%</w:t>
            </w:r>
          </w:p>
        </w:tc>
        <w:tc>
          <w:tcPr>
            <w:tcW w:w="760" w:type="dxa"/>
            <w:vAlign w:val="bottom"/>
          </w:tcPr>
          <w:p>
            <w:pPr>
              <w:jc w:val="right"/>
              <w:spacing w:after="0"/>
              <w:rPr>
                <w:sz w:val="20"/>
                <w:szCs w:val="20"/>
                <w:color w:val="auto"/>
              </w:rPr>
            </w:pPr>
            <w:r>
              <w:rPr>
                <w:rFonts w:ascii="Arial" w:cs="Arial" w:eastAsia="Arial" w:hAnsi="Arial"/>
                <w:sz w:val="16"/>
                <w:szCs w:val="16"/>
                <w:color w:val="auto"/>
              </w:rPr>
              <w:t>43,921</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44,061</w:t>
            </w:r>
          </w:p>
        </w:tc>
        <w:tc>
          <w:tcPr>
            <w:tcW w:w="20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3.9%</w:t>
            </w:r>
          </w:p>
        </w:tc>
      </w:tr>
      <w:tr>
        <w:trPr>
          <w:trHeight w:val="209"/>
        </w:trPr>
        <w:tc>
          <w:tcPr>
            <w:tcW w:w="2500" w:type="dxa"/>
            <w:vAlign w:val="bottom"/>
          </w:tcPr>
          <w:p>
            <w:pPr>
              <w:spacing w:after="0"/>
              <w:rPr>
                <w:sz w:val="18"/>
                <w:szCs w:val="18"/>
                <w:color w:val="auto"/>
              </w:rPr>
            </w:pPr>
          </w:p>
        </w:tc>
        <w:tc>
          <w:tcPr>
            <w:tcW w:w="2320" w:type="dxa"/>
            <w:vAlign w:val="bottom"/>
            <w:gridSpan w:val="2"/>
          </w:tcPr>
          <w:p>
            <w:pPr>
              <w:ind w:left="120"/>
              <w:spacing w:after="0"/>
              <w:rPr>
                <w:sz w:val="20"/>
                <w:szCs w:val="20"/>
                <w:color w:val="auto"/>
              </w:rPr>
            </w:pPr>
            <w:r>
              <w:rPr>
                <w:rFonts w:ascii="Arial" w:cs="Arial" w:eastAsia="Arial" w:hAnsi="Arial"/>
                <w:sz w:val="16"/>
                <w:szCs w:val="16"/>
                <w:color w:val="auto"/>
              </w:rPr>
              <w:t>8/2025)</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50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Dye &amp; Durham Corp. </w:t>
            </w:r>
            <w:r>
              <w:rPr>
                <w:rFonts w:ascii="Arial" w:cs="Arial" w:eastAsia="Arial" w:hAnsi="Arial"/>
                <w:sz w:val="24"/>
                <w:szCs w:val="24"/>
                <w:color w:val="auto"/>
                <w:vertAlign w:val="superscript"/>
              </w:rPr>
              <w:t>(3)(4)</w:t>
            </w:r>
          </w:p>
        </w:tc>
        <w:tc>
          <w:tcPr>
            <w:tcW w:w="2420" w:type="dxa"/>
            <w:vAlign w:val="bottom"/>
            <w:gridSpan w:val="3"/>
            <w:shd w:val="clear" w:color="auto" w:fill="CFF0FC"/>
          </w:tcPr>
          <w:p>
            <w:pPr>
              <w:ind w:left="120"/>
              <w:spacing w:after="0"/>
              <w:rPr>
                <w:sz w:val="20"/>
                <w:szCs w:val="20"/>
                <w:color w:val="auto"/>
              </w:rPr>
            </w:pPr>
            <w:r>
              <w:rPr>
                <w:rFonts w:ascii="Arial" w:cs="Arial" w:eastAsia="Arial" w:hAnsi="Arial"/>
                <w:sz w:val="16"/>
                <w:szCs w:val="16"/>
                <w:color w:val="auto"/>
              </w:rPr>
              <w:t>First-lien loan (CAD 65,669 par,</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7/11/2019</w:t>
            </w: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C + 7.00%</w:t>
            </w: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9.03%</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49,015</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49,628</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4.4%</w:t>
            </w:r>
          </w:p>
        </w:tc>
      </w:tr>
      <w:tr>
        <w:trPr>
          <w:trHeight w:val="203"/>
        </w:trPr>
        <w:tc>
          <w:tcPr>
            <w:tcW w:w="2500" w:type="dxa"/>
            <w:vAlign w:val="bottom"/>
            <w:shd w:val="clear" w:color="auto" w:fill="CFF0FC"/>
          </w:tcPr>
          <w:p>
            <w:pPr>
              <w:spacing w:after="0"/>
              <w:rPr>
                <w:sz w:val="17"/>
                <w:szCs w:val="17"/>
                <w:color w:val="auto"/>
              </w:rPr>
            </w:pPr>
          </w:p>
        </w:tc>
        <w:tc>
          <w:tcPr>
            <w:tcW w:w="2420" w:type="dxa"/>
            <w:vAlign w:val="bottom"/>
            <w:gridSpan w:val="3"/>
            <w:shd w:val="clear" w:color="auto" w:fill="CFF0FC"/>
          </w:tcPr>
          <w:p>
            <w:pPr>
              <w:ind w:left="120"/>
              <w:spacing w:after="0"/>
              <w:rPr>
                <w:sz w:val="20"/>
                <w:szCs w:val="20"/>
                <w:color w:val="auto"/>
              </w:rPr>
            </w:pPr>
            <w:r>
              <w:rPr>
                <w:rFonts w:ascii="Arial" w:cs="Arial" w:eastAsia="Arial" w:hAnsi="Arial"/>
                <w:sz w:val="16"/>
                <w:szCs w:val="16"/>
                <w:color w:val="auto"/>
              </w:rPr>
              <w:t>due 7/2024)</w:t>
            </w: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(CAD</w:t>
            </w:r>
          </w:p>
        </w:tc>
        <w:tc>
          <w:tcPr>
            <w:tcW w:w="7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12"/>
        </w:trPr>
        <w:tc>
          <w:tcPr>
            <w:tcW w:w="2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64,355)</w:t>
            </w: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500" w:type="dxa"/>
            <w:vAlign w:val="bottom"/>
          </w:tcPr>
          <w:p>
            <w:pPr>
              <w:spacing w:after="0"/>
              <w:rPr>
                <w:sz w:val="17"/>
                <w:szCs w:val="17"/>
                <w:color w:val="auto"/>
              </w:rPr>
            </w:pPr>
          </w:p>
        </w:tc>
        <w:tc>
          <w:tcPr>
            <w:tcW w:w="2420" w:type="dxa"/>
            <w:vAlign w:val="bottom"/>
            <w:gridSpan w:val="3"/>
          </w:tcPr>
          <w:p>
            <w:pPr>
              <w:ind w:left="120"/>
              <w:spacing w:after="0"/>
              <w:rPr>
                <w:sz w:val="20"/>
                <w:szCs w:val="20"/>
                <w:color w:val="auto"/>
              </w:rPr>
            </w:pPr>
            <w:r>
              <w:rPr>
                <w:rFonts w:ascii="Arial" w:cs="Arial" w:eastAsia="Arial" w:hAnsi="Arial"/>
                <w:sz w:val="16"/>
                <w:szCs w:val="16"/>
                <w:color w:val="auto"/>
              </w:rPr>
              <w:t>First-lien revolving loan (CAD</w:t>
            </w:r>
          </w:p>
        </w:tc>
        <w:tc>
          <w:tcPr>
            <w:tcW w:w="820" w:type="dxa"/>
            <w:vAlign w:val="bottom"/>
          </w:tcPr>
          <w:p>
            <w:pPr>
              <w:jc w:val="right"/>
              <w:spacing w:after="0"/>
              <w:rPr>
                <w:sz w:val="20"/>
                <w:szCs w:val="20"/>
                <w:color w:val="auto"/>
              </w:rPr>
            </w:pPr>
            <w:r>
              <w:rPr>
                <w:rFonts w:ascii="Arial" w:cs="Arial" w:eastAsia="Arial" w:hAnsi="Arial"/>
                <w:sz w:val="16"/>
                <w:szCs w:val="16"/>
                <w:color w:val="auto"/>
              </w:rPr>
              <w:t>7/11/2019</w:t>
            </w:r>
          </w:p>
        </w:tc>
        <w:tc>
          <w:tcPr>
            <w:tcW w:w="12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P + 6.00%</w:t>
            </w: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10.00%</w:t>
            </w:r>
          </w:p>
        </w:tc>
        <w:tc>
          <w:tcPr>
            <w:tcW w:w="760" w:type="dxa"/>
            <w:vAlign w:val="bottom"/>
          </w:tcPr>
          <w:p>
            <w:pPr>
              <w:jc w:val="right"/>
              <w:spacing w:after="0"/>
              <w:rPr>
                <w:sz w:val="20"/>
                <w:szCs w:val="20"/>
                <w:color w:val="auto"/>
              </w:rPr>
            </w:pPr>
            <w:r>
              <w:rPr>
                <w:rFonts w:ascii="Arial" w:cs="Arial" w:eastAsia="Arial" w:hAnsi="Arial"/>
                <w:sz w:val="16"/>
                <w:szCs w:val="16"/>
                <w:color w:val="auto"/>
              </w:rPr>
              <w:t>1,269</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1,296</w:t>
            </w:r>
          </w:p>
        </w:tc>
        <w:tc>
          <w:tcPr>
            <w:tcW w:w="20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0.1%</w:t>
            </w:r>
          </w:p>
        </w:tc>
      </w:tr>
      <w:tr>
        <w:trPr>
          <w:trHeight w:val="209"/>
        </w:trPr>
        <w:tc>
          <w:tcPr>
            <w:tcW w:w="2500" w:type="dxa"/>
            <w:vAlign w:val="bottom"/>
          </w:tcPr>
          <w:p>
            <w:pPr>
              <w:spacing w:after="0"/>
              <w:rPr>
                <w:sz w:val="18"/>
                <w:szCs w:val="18"/>
                <w:color w:val="auto"/>
              </w:rPr>
            </w:pPr>
          </w:p>
        </w:tc>
        <w:tc>
          <w:tcPr>
            <w:tcW w:w="2420" w:type="dxa"/>
            <w:vAlign w:val="bottom"/>
            <w:gridSpan w:val="3"/>
          </w:tcPr>
          <w:p>
            <w:pPr>
              <w:ind w:left="120"/>
              <w:spacing w:after="0"/>
              <w:rPr>
                <w:sz w:val="20"/>
                <w:szCs w:val="20"/>
                <w:color w:val="auto"/>
              </w:rPr>
            </w:pPr>
            <w:r>
              <w:rPr>
                <w:rFonts w:ascii="Arial" w:cs="Arial" w:eastAsia="Arial" w:hAnsi="Arial"/>
                <w:sz w:val="16"/>
                <w:szCs w:val="16"/>
                <w:color w:val="auto"/>
              </w:rPr>
              <w:t>1,750 par, due 7/2024)</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6"/>
                <w:szCs w:val="16"/>
                <w:color w:val="auto"/>
                <w:w w:val="94"/>
              </w:rPr>
              <w:t>(CAD 1,680)</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50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Integration Appliance, Inc. </w:t>
            </w:r>
            <w:r>
              <w:rPr>
                <w:rFonts w:ascii="Arial" w:cs="Arial" w:eastAsia="Arial" w:hAnsi="Arial"/>
                <w:sz w:val="24"/>
                <w:szCs w:val="24"/>
                <w:color w:val="auto"/>
                <w:vertAlign w:val="superscript"/>
              </w:rPr>
              <w:t>(3)</w:t>
            </w:r>
          </w:p>
        </w:tc>
        <w:tc>
          <w:tcPr>
            <w:tcW w:w="2420" w:type="dxa"/>
            <w:vAlign w:val="bottom"/>
            <w:gridSpan w:val="3"/>
            <w:shd w:val="clear" w:color="auto" w:fill="CFF0FC"/>
          </w:tcPr>
          <w:p>
            <w:pPr>
              <w:ind w:left="120"/>
              <w:spacing w:after="0"/>
              <w:rPr>
                <w:sz w:val="20"/>
                <w:szCs w:val="20"/>
                <w:color w:val="auto"/>
              </w:rPr>
            </w:pPr>
            <w:r>
              <w:rPr>
                <w:rFonts w:ascii="Arial" w:cs="Arial" w:eastAsia="Arial" w:hAnsi="Arial"/>
                <w:sz w:val="16"/>
                <w:szCs w:val="16"/>
                <w:color w:val="auto"/>
              </w:rPr>
              <w:t>First-lien loan ($71,500 par, due</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8/13/2018</w:t>
            </w: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+ 7.25%</w:t>
            </w: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9.43%</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70,619</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71,685</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6.4%</w:t>
            </w:r>
          </w:p>
        </w:tc>
      </w:tr>
      <w:tr>
        <w:trPr>
          <w:trHeight w:val="212"/>
        </w:trPr>
        <w:tc>
          <w:tcPr>
            <w:tcW w:w="2500" w:type="dxa"/>
            <w:vAlign w:val="bottom"/>
            <w:shd w:val="clear" w:color="auto" w:fill="CFF0FC"/>
          </w:tcPr>
          <w:p>
            <w:pPr>
              <w:spacing w:after="0"/>
              <w:rPr>
                <w:sz w:val="18"/>
                <w:szCs w:val="18"/>
                <w:color w:val="auto"/>
              </w:rPr>
            </w:pPr>
          </w:p>
        </w:tc>
        <w:tc>
          <w:tcPr>
            <w:tcW w:w="232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8/2023)</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500" w:type="dxa"/>
            <w:vAlign w:val="bottom"/>
          </w:tcPr>
          <w:p>
            <w:pPr>
              <w:spacing w:after="0" w:line="207" w:lineRule="exact"/>
              <w:rPr>
                <w:sz w:val="20"/>
                <w:szCs w:val="20"/>
                <w:color w:val="auto"/>
              </w:rPr>
            </w:pPr>
            <w:r>
              <w:rPr>
                <w:rFonts w:ascii="Arial" w:cs="Arial" w:eastAsia="Arial" w:hAnsi="Arial"/>
                <w:sz w:val="14"/>
                <w:szCs w:val="14"/>
                <w:color w:val="auto"/>
              </w:rPr>
              <w:t xml:space="preserve">Motus, LLC </w:t>
            </w:r>
            <w:r>
              <w:rPr>
                <w:rFonts w:ascii="Arial" w:cs="Arial" w:eastAsia="Arial" w:hAnsi="Arial"/>
                <w:sz w:val="23"/>
                <w:szCs w:val="23"/>
                <w:color w:val="auto"/>
                <w:vertAlign w:val="superscript"/>
              </w:rPr>
              <w:t>(3)(5)</w:t>
            </w:r>
          </w:p>
        </w:tc>
        <w:tc>
          <w:tcPr>
            <w:tcW w:w="2420" w:type="dxa"/>
            <w:vAlign w:val="bottom"/>
            <w:gridSpan w:val="3"/>
          </w:tcPr>
          <w:p>
            <w:pPr>
              <w:ind w:left="120"/>
              <w:spacing w:after="0"/>
              <w:rPr>
                <w:sz w:val="20"/>
                <w:szCs w:val="20"/>
                <w:color w:val="auto"/>
              </w:rPr>
            </w:pPr>
            <w:r>
              <w:rPr>
                <w:rFonts w:ascii="Arial" w:cs="Arial" w:eastAsia="Arial" w:hAnsi="Arial"/>
                <w:sz w:val="16"/>
                <w:szCs w:val="16"/>
                <w:color w:val="auto"/>
              </w:rPr>
              <w:t>First-lien loan ($59,853 par, due</w:t>
            </w:r>
          </w:p>
        </w:tc>
        <w:tc>
          <w:tcPr>
            <w:tcW w:w="820" w:type="dxa"/>
            <w:vAlign w:val="bottom"/>
          </w:tcPr>
          <w:p>
            <w:pPr>
              <w:jc w:val="right"/>
              <w:spacing w:after="0"/>
              <w:rPr>
                <w:sz w:val="20"/>
                <w:szCs w:val="20"/>
                <w:color w:val="auto"/>
              </w:rPr>
            </w:pPr>
            <w:r>
              <w:rPr>
                <w:rFonts w:ascii="Arial" w:cs="Arial" w:eastAsia="Arial" w:hAnsi="Arial"/>
                <w:sz w:val="16"/>
                <w:szCs w:val="16"/>
                <w:color w:val="auto"/>
              </w:rPr>
              <w:t>1/17/2018</w:t>
            </w:r>
          </w:p>
        </w:tc>
        <w:tc>
          <w:tcPr>
            <w:tcW w:w="12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L + 5.50%</w:t>
            </w: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7.45%</w:t>
            </w:r>
          </w:p>
        </w:tc>
        <w:tc>
          <w:tcPr>
            <w:tcW w:w="760" w:type="dxa"/>
            <w:vAlign w:val="bottom"/>
          </w:tcPr>
          <w:p>
            <w:pPr>
              <w:jc w:val="right"/>
              <w:spacing w:after="0"/>
              <w:rPr>
                <w:sz w:val="20"/>
                <w:szCs w:val="20"/>
                <w:color w:val="auto"/>
              </w:rPr>
            </w:pPr>
            <w:r>
              <w:rPr>
                <w:rFonts w:ascii="Arial" w:cs="Arial" w:eastAsia="Arial" w:hAnsi="Arial"/>
                <w:sz w:val="16"/>
                <w:szCs w:val="16"/>
                <w:color w:val="auto"/>
              </w:rPr>
              <w:t>58,764</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60,451</w:t>
            </w:r>
          </w:p>
        </w:tc>
        <w:tc>
          <w:tcPr>
            <w:tcW w:w="20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5.4%</w:t>
            </w:r>
          </w:p>
        </w:tc>
      </w:tr>
      <w:tr>
        <w:trPr>
          <w:trHeight w:val="209"/>
        </w:trPr>
        <w:tc>
          <w:tcPr>
            <w:tcW w:w="2500" w:type="dxa"/>
            <w:vAlign w:val="bottom"/>
          </w:tcPr>
          <w:p>
            <w:pPr>
              <w:spacing w:after="0"/>
              <w:rPr>
                <w:sz w:val="18"/>
                <w:szCs w:val="18"/>
                <w:color w:val="auto"/>
              </w:rPr>
            </w:pPr>
          </w:p>
        </w:tc>
        <w:tc>
          <w:tcPr>
            <w:tcW w:w="2320" w:type="dxa"/>
            <w:vAlign w:val="bottom"/>
            <w:gridSpan w:val="2"/>
          </w:tcPr>
          <w:p>
            <w:pPr>
              <w:ind w:left="120"/>
              <w:spacing w:after="0"/>
              <w:rPr>
                <w:sz w:val="20"/>
                <w:szCs w:val="20"/>
                <w:color w:val="auto"/>
              </w:rPr>
            </w:pPr>
            <w:r>
              <w:rPr>
                <w:rFonts w:ascii="Arial" w:cs="Arial" w:eastAsia="Arial" w:hAnsi="Arial"/>
                <w:sz w:val="16"/>
                <w:szCs w:val="16"/>
                <w:color w:val="auto"/>
              </w:rPr>
              <w:t>1/2024)</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6"/>
        </w:trPr>
        <w:tc>
          <w:tcPr>
            <w:tcW w:w="2500" w:type="dxa"/>
            <w:vAlign w:val="bottom"/>
            <w:shd w:val="clear" w:color="auto" w:fill="CFF0FC"/>
          </w:tcPr>
          <w:p>
            <w:pPr>
              <w:spacing w:after="0"/>
              <w:rPr>
                <w:sz w:val="20"/>
                <w:szCs w:val="20"/>
                <w:color w:val="auto"/>
              </w:rPr>
            </w:pPr>
            <w:r>
              <w:rPr>
                <w:rFonts w:ascii="Arial" w:cs="Arial" w:eastAsia="Arial" w:hAnsi="Arial"/>
                <w:sz w:val="16"/>
                <w:szCs w:val="16"/>
                <w:color w:val="auto"/>
              </w:rPr>
              <w:t>Netwrix Corp. and Concept</w:t>
            </w:r>
          </w:p>
        </w:tc>
        <w:tc>
          <w:tcPr>
            <w:tcW w:w="2420" w:type="dxa"/>
            <w:vAlign w:val="bottom"/>
            <w:gridSpan w:val="3"/>
            <w:shd w:val="clear" w:color="auto" w:fill="CFF0FC"/>
          </w:tcPr>
          <w:p>
            <w:pPr>
              <w:ind w:left="120"/>
              <w:spacing w:after="0"/>
              <w:rPr>
                <w:sz w:val="20"/>
                <w:szCs w:val="20"/>
                <w:color w:val="auto"/>
              </w:rPr>
            </w:pPr>
            <w:r>
              <w:rPr>
                <w:rFonts w:ascii="Arial" w:cs="Arial" w:eastAsia="Arial" w:hAnsi="Arial"/>
                <w:sz w:val="16"/>
                <w:szCs w:val="16"/>
                <w:color w:val="auto"/>
              </w:rPr>
              <w:t>First-lien loan ($20,000 par, due</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10/17/2019</w:t>
            </w:r>
          </w:p>
        </w:tc>
        <w:tc>
          <w:tcPr>
            <w:tcW w:w="1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+ 5.88%</w:t>
            </w: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7.67%</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19,541</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19,650</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1.8%</w:t>
            </w:r>
          </w:p>
        </w:tc>
      </w:tr>
      <w:tr>
        <w:trPr>
          <w:trHeight w:val="216"/>
        </w:trPr>
        <w:tc>
          <w:tcPr>
            <w:tcW w:w="2500" w:type="dxa"/>
            <w:vAlign w:val="bottom"/>
            <w:shd w:val="clear" w:color="auto" w:fill="CFF0FC"/>
          </w:tcPr>
          <w:p>
            <w:pPr>
              <w:ind w:left="120"/>
              <w:spacing w:after="0" w:line="216" w:lineRule="exact"/>
              <w:rPr>
                <w:sz w:val="20"/>
                <w:szCs w:val="20"/>
                <w:color w:val="auto"/>
              </w:rPr>
            </w:pPr>
            <w:r>
              <w:rPr>
                <w:rFonts w:ascii="Arial" w:cs="Arial" w:eastAsia="Arial" w:hAnsi="Arial"/>
                <w:sz w:val="15"/>
                <w:szCs w:val="15"/>
                <w:color w:val="auto"/>
              </w:rPr>
              <w:t xml:space="preserve">Searching, Inc. </w:t>
            </w:r>
            <w:r>
              <w:rPr>
                <w:rFonts w:ascii="Arial" w:cs="Arial" w:eastAsia="Arial" w:hAnsi="Arial"/>
                <w:sz w:val="25"/>
                <w:szCs w:val="25"/>
                <w:color w:val="auto"/>
                <w:vertAlign w:val="superscript"/>
              </w:rPr>
              <w:t>(3)(5)</w:t>
            </w:r>
          </w:p>
        </w:tc>
        <w:tc>
          <w:tcPr>
            <w:tcW w:w="232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10/2024)</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500" w:type="dxa"/>
            <w:vAlign w:val="bottom"/>
          </w:tcPr>
          <w:p>
            <w:pPr>
              <w:spacing w:after="0" w:line="207" w:lineRule="exact"/>
              <w:rPr>
                <w:sz w:val="20"/>
                <w:szCs w:val="20"/>
                <w:color w:val="auto"/>
              </w:rPr>
            </w:pPr>
            <w:r>
              <w:rPr>
                <w:rFonts w:ascii="Arial" w:cs="Arial" w:eastAsia="Arial" w:hAnsi="Arial"/>
                <w:sz w:val="14"/>
                <w:szCs w:val="14"/>
                <w:color w:val="auto"/>
              </w:rPr>
              <w:t xml:space="preserve">Nintex Global, Ltd. </w:t>
            </w:r>
            <w:r>
              <w:rPr>
                <w:rFonts w:ascii="Arial" w:cs="Arial" w:eastAsia="Arial" w:hAnsi="Arial"/>
                <w:sz w:val="23"/>
                <w:szCs w:val="23"/>
                <w:color w:val="auto"/>
                <w:vertAlign w:val="superscript"/>
              </w:rPr>
              <w:t>(3)(5)</w:t>
            </w:r>
          </w:p>
        </w:tc>
        <w:tc>
          <w:tcPr>
            <w:tcW w:w="2420" w:type="dxa"/>
            <w:vAlign w:val="bottom"/>
            <w:gridSpan w:val="3"/>
          </w:tcPr>
          <w:p>
            <w:pPr>
              <w:ind w:left="120"/>
              <w:spacing w:after="0"/>
              <w:rPr>
                <w:sz w:val="20"/>
                <w:szCs w:val="20"/>
                <w:color w:val="auto"/>
              </w:rPr>
            </w:pPr>
            <w:r>
              <w:rPr>
                <w:rFonts w:ascii="Arial" w:cs="Arial" w:eastAsia="Arial" w:hAnsi="Arial"/>
                <w:sz w:val="16"/>
                <w:szCs w:val="16"/>
                <w:color w:val="auto"/>
              </w:rPr>
              <w:t>First-lien loan ($74,223 par, due</w:t>
            </w:r>
          </w:p>
        </w:tc>
        <w:tc>
          <w:tcPr>
            <w:tcW w:w="820" w:type="dxa"/>
            <w:vAlign w:val="bottom"/>
          </w:tcPr>
          <w:p>
            <w:pPr>
              <w:jc w:val="right"/>
              <w:spacing w:after="0"/>
              <w:rPr>
                <w:sz w:val="20"/>
                <w:szCs w:val="20"/>
                <w:color w:val="auto"/>
              </w:rPr>
            </w:pPr>
            <w:r>
              <w:rPr>
                <w:rFonts w:ascii="Arial" w:cs="Arial" w:eastAsia="Arial" w:hAnsi="Arial"/>
                <w:sz w:val="16"/>
                <w:szCs w:val="16"/>
                <w:color w:val="auto"/>
              </w:rPr>
              <w:t>3/30/2018</w:t>
            </w:r>
          </w:p>
        </w:tc>
        <w:tc>
          <w:tcPr>
            <w:tcW w:w="12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L + 6.25%</w:t>
            </w: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8.05%</w:t>
            </w:r>
          </w:p>
        </w:tc>
        <w:tc>
          <w:tcPr>
            <w:tcW w:w="760" w:type="dxa"/>
            <w:vAlign w:val="bottom"/>
          </w:tcPr>
          <w:p>
            <w:pPr>
              <w:jc w:val="right"/>
              <w:spacing w:after="0"/>
              <w:rPr>
                <w:sz w:val="20"/>
                <w:szCs w:val="20"/>
                <w:color w:val="auto"/>
              </w:rPr>
            </w:pPr>
            <w:r>
              <w:rPr>
                <w:rFonts w:ascii="Arial" w:cs="Arial" w:eastAsia="Arial" w:hAnsi="Arial"/>
                <w:sz w:val="16"/>
                <w:szCs w:val="16"/>
                <w:color w:val="auto"/>
              </w:rPr>
              <w:t>72,844</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75,151</w:t>
            </w:r>
          </w:p>
        </w:tc>
        <w:tc>
          <w:tcPr>
            <w:tcW w:w="20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6.7%</w:t>
            </w:r>
          </w:p>
        </w:tc>
      </w:tr>
      <w:tr>
        <w:trPr>
          <w:trHeight w:val="209"/>
        </w:trPr>
        <w:tc>
          <w:tcPr>
            <w:tcW w:w="2500" w:type="dxa"/>
            <w:vAlign w:val="bottom"/>
            <w:tcBorders>
              <w:bottom w:val="single" w:sz="8" w:color="CFF0FC"/>
            </w:tcBorders>
          </w:tcPr>
          <w:p>
            <w:pPr>
              <w:spacing w:after="0"/>
              <w:rPr>
                <w:sz w:val="18"/>
                <w:szCs w:val="18"/>
                <w:color w:val="auto"/>
              </w:rPr>
            </w:pPr>
          </w:p>
        </w:tc>
        <w:tc>
          <w:tcPr>
            <w:tcW w:w="2320" w:type="dxa"/>
            <w:vAlign w:val="bottom"/>
            <w:tcBorders>
              <w:bottom w:val="single" w:sz="8" w:color="CFF0FC"/>
            </w:tcBorders>
            <w:gridSpan w:val="2"/>
          </w:tcPr>
          <w:p>
            <w:pPr>
              <w:ind w:left="120"/>
              <w:spacing w:after="0"/>
              <w:rPr>
                <w:sz w:val="20"/>
                <w:szCs w:val="20"/>
                <w:color w:val="auto"/>
              </w:rPr>
            </w:pPr>
            <w:r>
              <w:rPr>
                <w:rFonts w:ascii="Arial" w:cs="Arial" w:eastAsia="Arial" w:hAnsi="Arial"/>
                <w:sz w:val="16"/>
                <w:szCs w:val="16"/>
                <w:color w:val="auto"/>
              </w:rPr>
              <w:t>4/2024)</w:t>
            </w:r>
          </w:p>
        </w:tc>
        <w:tc>
          <w:tcPr>
            <w:tcW w:w="100" w:type="dxa"/>
            <w:vAlign w:val="bottom"/>
            <w:tcBorders>
              <w:bottom w:val="single" w:sz="8" w:color="CFF0FC"/>
            </w:tcBorders>
          </w:tcPr>
          <w:p>
            <w:pPr>
              <w:spacing w:after="0"/>
              <w:rPr>
                <w:sz w:val="18"/>
                <w:szCs w:val="18"/>
                <w:color w:val="auto"/>
              </w:rPr>
            </w:pPr>
          </w:p>
        </w:tc>
        <w:tc>
          <w:tcPr>
            <w:tcW w:w="82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76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118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r>
      <w:tr>
        <w:trPr>
          <w:trHeight w:val="213"/>
        </w:trPr>
        <w:tc>
          <w:tcPr>
            <w:tcW w:w="2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363,974</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371,419</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33.1%</w:t>
            </w:r>
          </w:p>
        </w:tc>
      </w:tr>
      <w:tr>
        <w:trPr>
          <w:trHeight w:val="207"/>
        </w:trPr>
        <w:tc>
          <w:tcPr>
            <w:tcW w:w="2500" w:type="dxa"/>
            <w:vAlign w:val="bottom"/>
          </w:tcPr>
          <w:p>
            <w:pPr>
              <w:spacing w:after="0"/>
              <w:rPr>
                <w:sz w:val="20"/>
                <w:szCs w:val="20"/>
                <w:color w:val="auto"/>
              </w:rPr>
            </w:pPr>
            <w:r>
              <w:rPr>
                <w:rFonts w:ascii="Arial" w:cs="Arial" w:eastAsia="Arial" w:hAnsi="Arial"/>
                <w:sz w:val="16"/>
                <w:szCs w:val="16"/>
                <w:b w:val="1"/>
                <w:bCs w:val="1"/>
                <w:color w:val="auto"/>
              </w:rPr>
              <w:t>Chemicals</w:t>
            </w:r>
          </w:p>
        </w:tc>
        <w:tc>
          <w:tcPr>
            <w:tcW w:w="1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250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Vertellus Specialties, Inc. </w:t>
            </w:r>
            <w:r>
              <w:rPr>
                <w:rFonts w:ascii="Arial" w:cs="Arial" w:eastAsia="Arial" w:hAnsi="Arial"/>
                <w:sz w:val="24"/>
                <w:szCs w:val="24"/>
                <w:color w:val="auto"/>
                <w:vertAlign w:val="superscript"/>
              </w:rPr>
              <w:t>(3)</w:t>
            </w:r>
          </w:p>
        </w:tc>
        <w:tc>
          <w:tcPr>
            <w:tcW w:w="2420" w:type="dxa"/>
            <w:vAlign w:val="bottom"/>
            <w:gridSpan w:val="3"/>
            <w:shd w:val="clear" w:color="auto" w:fill="CFF0FC"/>
          </w:tcPr>
          <w:p>
            <w:pPr>
              <w:ind w:left="120"/>
              <w:spacing w:after="0"/>
              <w:rPr>
                <w:sz w:val="20"/>
                <w:szCs w:val="20"/>
                <w:color w:val="auto"/>
              </w:rPr>
            </w:pPr>
            <w:r>
              <w:rPr>
                <w:rFonts w:ascii="Arial" w:cs="Arial" w:eastAsia="Arial" w:hAnsi="Arial"/>
                <w:sz w:val="16"/>
                <w:szCs w:val="16"/>
                <w:color w:val="auto"/>
              </w:rPr>
              <w:t>Second-lien loan ($4,147 par,</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10/31/2016</w:t>
            </w: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+ 12.00%</w:t>
            </w: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13.63%</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4,147</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4,147</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0.4%</w:t>
            </w:r>
          </w:p>
        </w:tc>
      </w:tr>
      <w:tr>
        <w:trPr>
          <w:trHeight w:val="212"/>
        </w:trPr>
        <w:tc>
          <w:tcPr>
            <w:tcW w:w="2500" w:type="dxa"/>
            <w:vAlign w:val="bottom"/>
            <w:shd w:val="clear" w:color="auto" w:fill="CFF0FC"/>
          </w:tcPr>
          <w:p>
            <w:pPr>
              <w:spacing w:after="0"/>
              <w:rPr>
                <w:sz w:val="18"/>
                <w:szCs w:val="18"/>
                <w:color w:val="auto"/>
              </w:rPr>
            </w:pPr>
          </w:p>
        </w:tc>
        <w:tc>
          <w:tcPr>
            <w:tcW w:w="2420" w:type="dxa"/>
            <w:vAlign w:val="bottom"/>
            <w:gridSpan w:val="3"/>
            <w:shd w:val="clear" w:color="auto" w:fill="CFF0FC"/>
          </w:tcPr>
          <w:p>
            <w:pPr>
              <w:ind w:left="120"/>
              <w:spacing w:after="0"/>
              <w:rPr>
                <w:sz w:val="20"/>
                <w:szCs w:val="20"/>
                <w:color w:val="auto"/>
              </w:rPr>
            </w:pPr>
            <w:r>
              <w:rPr>
                <w:rFonts w:ascii="Arial" w:cs="Arial" w:eastAsia="Arial" w:hAnsi="Arial"/>
                <w:sz w:val="16"/>
                <w:szCs w:val="16"/>
                <w:color w:val="auto"/>
              </w:rPr>
              <w:t>due 10/2021)</w:t>
            </w: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3"/>
        </w:trPr>
        <w:tc>
          <w:tcPr>
            <w:tcW w:w="2500" w:type="dxa"/>
            <w:vAlign w:val="bottom"/>
          </w:tcPr>
          <w:p>
            <w:pPr>
              <w:spacing w:after="0"/>
              <w:rPr>
                <w:sz w:val="20"/>
                <w:szCs w:val="20"/>
                <w:color w:val="auto"/>
              </w:rPr>
            </w:pPr>
            <w:r>
              <w:rPr>
                <w:rFonts w:ascii="Arial" w:cs="Arial" w:eastAsia="Arial" w:hAnsi="Arial"/>
                <w:sz w:val="16"/>
                <w:szCs w:val="16"/>
                <w:b w:val="1"/>
                <w:bCs w:val="1"/>
                <w:color w:val="auto"/>
              </w:rPr>
              <w:t>Communications</w:t>
            </w: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50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IntelePeer Holdings, Inc. </w:t>
            </w:r>
            <w:r>
              <w:rPr>
                <w:rFonts w:ascii="Arial" w:cs="Arial" w:eastAsia="Arial" w:hAnsi="Arial"/>
                <w:sz w:val="24"/>
                <w:szCs w:val="24"/>
                <w:color w:val="auto"/>
                <w:vertAlign w:val="superscript"/>
              </w:rPr>
              <w:t>(3)</w:t>
            </w:r>
          </w:p>
        </w:tc>
        <w:tc>
          <w:tcPr>
            <w:tcW w:w="2420" w:type="dxa"/>
            <w:vAlign w:val="bottom"/>
            <w:gridSpan w:val="3"/>
            <w:shd w:val="clear" w:color="auto" w:fill="CFF0FC"/>
          </w:tcPr>
          <w:p>
            <w:pPr>
              <w:ind w:left="120"/>
              <w:spacing w:after="0"/>
              <w:rPr>
                <w:sz w:val="20"/>
                <w:szCs w:val="20"/>
                <w:color w:val="auto"/>
              </w:rPr>
            </w:pPr>
            <w:r>
              <w:rPr>
                <w:rFonts w:ascii="Arial" w:cs="Arial" w:eastAsia="Arial" w:hAnsi="Arial"/>
                <w:sz w:val="16"/>
                <w:szCs w:val="16"/>
                <w:color w:val="auto"/>
              </w:rPr>
              <w:t>First-lien loan ($35,000 par, due</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12/2/2019</w:t>
            </w: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+ 8.00%</w:t>
            </w: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9.91%</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35,000</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34,711</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3.1%</w:t>
            </w:r>
          </w:p>
        </w:tc>
      </w:tr>
      <w:tr>
        <w:trPr>
          <w:trHeight w:val="212"/>
        </w:trPr>
        <w:tc>
          <w:tcPr>
            <w:tcW w:w="2500" w:type="dxa"/>
            <w:vAlign w:val="bottom"/>
            <w:shd w:val="clear" w:color="auto" w:fill="CFF0FC"/>
          </w:tcPr>
          <w:p>
            <w:pPr>
              <w:spacing w:after="0"/>
              <w:rPr>
                <w:sz w:val="18"/>
                <w:szCs w:val="18"/>
                <w:color w:val="auto"/>
              </w:rPr>
            </w:pPr>
          </w:p>
        </w:tc>
        <w:tc>
          <w:tcPr>
            <w:tcW w:w="232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12/2024)</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3"/>
        </w:trPr>
        <w:tc>
          <w:tcPr>
            <w:tcW w:w="2500" w:type="dxa"/>
            <w:vAlign w:val="bottom"/>
          </w:tcPr>
          <w:p>
            <w:pPr>
              <w:spacing w:after="0"/>
              <w:rPr>
                <w:sz w:val="20"/>
                <w:szCs w:val="20"/>
                <w:color w:val="auto"/>
              </w:rPr>
            </w:pPr>
            <w:r>
              <w:rPr>
                <w:rFonts w:ascii="Arial" w:cs="Arial" w:eastAsia="Arial" w:hAnsi="Arial"/>
                <w:sz w:val="16"/>
                <w:szCs w:val="16"/>
                <w:b w:val="1"/>
                <w:bCs w:val="1"/>
                <w:color w:val="auto"/>
              </w:rPr>
              <w:t>Education</w:t>
            </w: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6"/>
        </w:trPr>
        <w:tc>
          <w:tcPr>
            <w:tcW w:w="2500" w:type="dxa"/>
            <w:vAlign w:val="bottom"/>
            <w:shd w:val="clear" w:color="auto" w:fill="CFF0FC"/>
          </w:tcPr>
          <w:p>
            <w:pPr>
              <w:spacing w:after="0"/>
              <w:rPr>
                <w:sz w:val="20"/>
                <w:szCs w:val="20"/>
                <w:color w:val="auto"/>
              </w:rPr>
            </w:pPr>
            <w:r>
              <w:rPr>
                <w:rFonts w:ascii="Arial" w:cs="Arial" w:eastAsia="Arial" w:hAnsi="Arial"/>
                <w:sz w:val="16"/>
                <w:szCs w:val="16"/>
                <w:color w:val="auto"/>
              </w:rPr>
              <w:t>Curriculum Associates,</w:t>
            </w:r>
          </w:p>
        </w:tc>
        <w:tc>
          <w:tcPr>
            <w:tcW w:w="2420" w:type="dxa"/>
            <w:vAlign w:val="bottom"/>
            <w:gridSpan w:val="3"/>
            <w:shd w:val="clear" w:color="auto" w:fill="CFF0FC"/>
          </w:tcPr>
          <w:p>
            <w:pPr>
              <w:ind w:left="120"/>
              <w:spacing w:after="0"/>
              <w:rPr>
                <w:sz w:val="20"/>
                <w:szCs w:val="20"/>
                <w:color w:val="auto"/>
              </w:rPr>
            </w:pPr>
            <w:r>
              <w:rPr>
                <w:rFonts w:ascii="Arial" w:cs="Arial" w:eastAsia="Arial" w:hAnsi="Arial"/>
                <w:sz w:val="16"/>
                <w:szCs w:val="16"/>
                <w:color w:val="auto"/>
              </w:rPr>
              <w:t>First-lien loan ($75,000 par, due</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2/28/2018</w:t>
            </w:r>
          </w:p>
        </w:tc>
        <w:tc>
          <w:tcPr>
            <w:tcW w:w="1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+ 5.50%</w:t>
            </w: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7.30%</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72,055</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77,438</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6.9%</w:t>
            </w:r>
          </w:p>
        </w:tc>
      </w:tr>
      <w:tr>
        <w:trPr>
          <w:trHeight w:val="216"/>
        </w:trPr>
        <w:tc>
          <w:tcPr>
            <w:tcW w:w="25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 xml:space="preserve">LLC </w:t>
            </w:r>
            <w:r>
              <w:rPr>
                <w:rFonts w:ascii="Arial" w:cs="Arial" w:eastAsia="Arial" w:hAnsi="Arial"/>
                <w:sz w:val="13"/>
                <w:szCs w:val="13"/>
                <w:color w:val="auto"/>
              </w:rPr>
              <w:t>(3)(5)</w:t>
            </w:r>
          </w:p>
        </w:tc>
        <w:tc>
          <w:tcPr>
            <w:tcW w:w="232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9/2025)</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3"/>
        </w:trPr>
        <w:tc>
          <w:tcPr>
            <w:tcW w:w="2500" w:type="dxa"/>
            <w:vAlign w:val="bottom"/>
          </w:tcPr>
          <w:p>
            <w:pPr>
              <w:spacing w:after="0"/>
              <w:rPr>
                <w:sz w:val="20"/>
                <w:szCs w:val="20"/>
                <w:color w:val="auto"/>
              </w:rPr>
            </w:pPr>
            <w:r>
              <w:rPr>
                <w:rFonts w:ascii="Arial" w:cs="Arial" w:eastAsia="Arial" w:hAnsi="Arial"/>
                <w:sz w:val="16"/>
                <w:szCs w:val="16"/>
                <w:color w:val="auto"/>
              </w:rPr>
              <w:t>Frontline Technologies</w:t>
            </w:r>
          </w:p>
        </w:tc>
        <w:tc>
          <w:tcPr>
            <w:tcW w:w="2420" w:type="dxa"/>
            <w:vAlign w:val="bottom"/>
            <w:gridSpan w:val="3"/>
          </w:tcPr>
          <w:p>
            <w:pPr>
              <w:ind w:left="120"/>
              <w:spacing w:after="0"/>
              <w:rPr>
                <w:sz w:val="20"/>
                <w:szCs w:val="20"/>
                <w:color w:val="auto"/>
              </w:rPr>
            </w:pPr>
            <w:r>
              <w:rPr>
                <w:rFonts w:ascii="Arial" w:cs="Arial" w:eastAsia="Arial" w:hAnsi="Arial"/>
                <w:sz w:val="16"/>
                <w:szCs w:val="16"/>
                <w:color w:val="auto"/>
              </w:rPr>
              <w:t>First-lien loan ($65,798 par, due</w:t>
            </w:r>
          </w:p>
        </w:tc>
        <w:tc>
          <w:tcPr>
            <w:tcW w:w="820" w:type="dxa"/>
            <w:vAlign w:val="bottom"/>
          </w:tcPr>
          <w:p>
            <w:pPr>
              <w:jc w:val="right"/>
              <w:spacing w:after="0"/>
              <w:rPr>
                <w:sz w:val="20"/>
                <w:szCs w:val="20"/>
                <w:color w:val="auto"/>
              </w:rPr>
            </w:pPr>
            <w:r>
              <w:rPr>
                <w:rFonts w:ascii="Arial" w:cs="Arial" w:eastAsia="Arial" w:hAnsi="Arial"/>
                <w:sz w:val="16"/>
                <w:szCs w:val="16"/>
                <w:color w:val="auto"/>
              </w:rPr>
              <w:t>9/18/2017</w:t>
            </w:r>
          </w:p>
        </w:tc>
        <w:tc>
          <w:tcPr>
            <w:tcW w:w="12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L + 5.75%</w:t>
            </w: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7.55%</w:t>
            </w:r>
          </w:p>
        </w:tc>
        <w:tc>
          <w:tcPr>
            <w:tcW w:w="760" w:type="dxa"/>
            <w:vAlign w:val="bottom"/>
          </w:tcPr>
          <w:p>
            <w:pPr>
              <w:jc w:val="right"/>
              <w:spacing w:after="0"/>
              <w:rPr>
                <w:sz w:val="20"/>
                <w:szCs w:val="20"/>
                <w:color w:val="auto"/>
              </w:rPr>
            </w:pPr>
            <w:r>
              <w:rPr>
                <w:rFonts w:ascii="Arial" w:cs="Arial" w:eastAsia="Arial" w:hAnsi="Arial"/>
                <w:sz w:val="16"/>
                <w:szCs w:val="16"/>
                <w:color w:val="auto"/>
              </w:rPr>
              <w:t>65,395</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65,963</w:t>
            </w:r>
          </w:p>
        </w:tc>
        <w:tc>
          <w:tcPr>
            <w:tcW w:w="20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5.9%</w:t>
            </w:r>
          </w:p>
        </w:tc>
      </w:tr>
      <w:tr>
        <w:trPr>
          <w:trHeight w:val="216"/>
        </w:trPr>
        <w:tc>
          <w:tcPr>
            <w:tcW w:w="2500" w:type="dxa"/>
            <w:vAlign w:val="bottom"/>
          </w:tcPr>
          <w:p>
            <w:pPr>
              <w:ind w:left="120"/>
              <w:spacing w:after="0" w:line="216" w:lineRule="exact"/>
              <w:rPr>
                <w:sz w:val="20"/>
                <w:szCs w:val="20"/>
                <w:color w:val="auto"/>
              </w:rPr>
            </w:pPr>
            <w:r>
              <w:rPr>
                <w:rFonts w:ascii="Arial" w:cs="Arial" w:eastAsia="Arial" w:hAnsi="Arial"/>
                <w:sz w:val="15"/>
                <w:szCs w:val="15"/>
                <w:color w:val="auto"/>
              </w:rPr>
              <w:t xml:space="preserve">Group, LLC </w:t>
            </w:r>
            <w:r>
              <w:rPr>
                <w:rFonts w:ascii="Arial" w:cs="Arial" w:eastAsia="Arial" w:hAnsi="Arial"/>
                <w:sz w:val="25"/>
                <w:szCs w:val="25"/>
                <w:color w:val="auto"/>
                <w:vertAlign w:val="superscript"/>
              </w:rPr>
              <w:t>(3)</w:t>
            </w:r>
          </w:p>
        </w:tc>
        <w:tc>
          <w:tcPr>
            <w:tcW w:w="2320" w:type="dxa"/>
            <w:vAlign w:val="bottom"/>
            <w:gridSpan w:val="2"/>
          </w:tcPr>
          <w:p>
            <w:pPr>
              <w:ind w:left="120"/>
              <w:spacing w:after="0"/>
              <w:rPr>
                <w:sz w:val="20"/>
                <w:szCs w:val="20"/>
                <w:color w:val="auto"/>
              </w:rPr>
            </w:pPr>
            <w:r>
              <w:rPr>
                <w:rFonts w:ascii="Arial" w:cs="Arial" w:eastAsia="Arial" w:hAnsi="Arial"/>
                <w:sz w:val="16"/>
                <w:szCs w:val="16"/>
                <w:color w:val="auto"/>
              </w:rPr>
              <w:t>9/2023)</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3"/>
        </w:trPr>
        <w:tc>
          <w:tcPr>
            <w:tcW w:w="2500" w:type="dxa"/>
            <w:vAlign w:val="bottom"/>
            <w:shd w:val="clear" w:color="auto" w:fill="CFF0FC"/>
          </w:tcPr>
          <w:p>
            <w:pPr>
              <w:spacing w:after="0"/>
              <w:rPr>
                <w:sz w:val="20"/>
                <w:szCs w:val="20"/>
                <w:color w:val="auto"/>
              </w:rPr>
            </w:pPr>
            <w:r>
              <w:rPr>
                <w:rFonts w:ascii="Arial" w:cs="Arial" w:eastAsia="Arial" w:hAnsi="Arial"/>
                <w:sz w:val="16"/>
                <w:szCs w:val="16"/>
                <w:color w:val="auto"/>
              </w:rPr>
              <w:t>Illuminate Education,</w:t>
            </w:r>
          </w:p>
        </w:tc>
        <w:tc>
          <w:tcPr>
            <w:tcW w:w="2420" w:type="dxa"/>
            <w:vAlign w:val="bottom"/>
            <w:gridSpan w:val="3"/>
            <w:shd w:val="clear" w:color="auto" w:fill="CFF0FC"/>
          </w:tcPr>
          <w:p>
            <w:pPr>
              <w:ind w:left="120"/>
              <w:spacing w:after="0"/>
              <w:rPr>
                <w:sz w:val="20"/>
                <w:szCs w:val="20"/>
                <w:color w:val="auto"/>
              </w:rPr>
            </w:pPr>
            <w:r>
              <w:rPr>
                <w:rFonts w:ascii="Arial" w:cs="Arial" w:eastAsia="Arial" w:hAnsi="Arial"/>
                <w:sz w:val="16"/>
                <w:szCs w:val="16"/>
                <w:color w:val="auto"/>
              </w:rPr>
              <w:t>First-lien loan ($64,025 par, due</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8/25/2017</w:t>
            </w:r>
          </w:p>
        </w:tc>
        <w:tc>
          <w:tcPr>
            <w:tcW w:w="1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+ 7.25%</w:t>
            </w: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9.05%</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63,227</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63,545</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5.7%</w:t>
            </w:r>
          </w:p>
        </w:tc>
      </w:tr>
      <w:tr>
        <w:trPr>
          <w:trHeight w:val="213"/>
        </w:trPr>
        <w:tc>
          <w:tcPr>
            <w:tcW w:w="25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Inc.</w:t>
            </w:r>
            <w:r>
              <w:rPr>
                <w:rFonts w:ascii="Arial" w:cs="Arial" w:eastAsia="Arial" w:hAnsi="Arial"/>
                <w:sz w:val="13"/>
                <w:szCs w:val="13"/>
                <w:color w:val="auto"/>
              </w:rPr>
              <w:t>(3)(5)</w:t>
            </w:r>
          </w:p>
        </w:tc>
        <w:tc>
          <w:tcPr>
            <w:tcW w:w="232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8/2022)</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0"/>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200,677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206,946</w:t>
            </w: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18.5%</w:t>
            </w:r>
          </w:p>
        </w:tc>
      </w:tr>
      <w:tr>
        <w:trPr>
          <w:trHeight w:val="213"/>
        </w:trPr>
        <w:tc>
          <w:tcPr>
            <w:tcW w:w="2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Electronics</w:t>
            </w:r>
          </w:p>
        </w:tc>
        <w:tc>
          <w:tcPr>
            <w:tcW w:w="120" w:type="dxa"/>
            <w:vAlign w:val="bottom"/>
            <w:tcBorders>
              <w:top w:val="single" w:sz="8" w:color="CFF0FC"/>
            </w:tcBorders>
            <w:shd w:val="clear" w:color="auto" w:fill="CFF0FC"/>
          </w:tcPr>
          <w:p>
            <w:pPr>
              <w:spacing w:after="0"/>
              <w:rPr>
                <w:sz w:val="18"/>
                <w:szCs w:val="18"/>
                <w:color w:val="auto"/>
              </w:rPr>
            </w:pPr>
          </w:p>
        </w:tc>
        <w:tc>
          <w:tcPr>
            <w:tcW w:w="2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1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06"/>
        </w:trPr>
        <w:tc>
          <w:tcPr>
            <w:tcW w:w="2500" w:type="dxa"/>
            <w:vAlign w:val="bottom"/>
          </w:tcPr>
          <w:p>
            <w:pPr>
              <w:spacing w:after="0" w:line="207" w:lineRule="exact"/>
              <w:rPr>
                <w:sz w:val="20"/>
                <w:szCs w:val="20"/>
                <w:color w:val="auto"/>
              </w:rPr>
            </w:pPr>
            <w:r>
              <w:rPr>
                <w:rFonts w:ascii="Arial" w:cs="Arial" w:eastAsia="Arial" w:hAnsi="Arial"/>
                <w:sz w:val="14"/>
                <w:szCs w:val="14"/>
                <w:color w:val="auto"/>
              </w:rPr>
              <w:t xml:space="preserve">APX Group, Inc. </w:t>
            </w:r>
            <w:r>
              <w:rPr>
                <w:rFonts w:ascii="Arial" w:cs="Arial" w:eastAsia="Arial" w:hAnsi="Arial"/>
                <w:sz w:val="23"/>
                <w:szCs w:val="23"/>
                <w:color w:val="auto"/>
                <w:vertAlign w:val="superscript"/>
              </w:rPr>
              <w:t>(11)</w:t>
            </w:r>
          </w:p>
        </w:tc>
        <w:tc>
          <w:tcPr>
            <w:tcW w:w="2420" w:type="dxa"/>
            <w:vAlign w:val="bottom"/>
            <w:gridSpan w:val="3"/>
          </w:tcPr>
          <w:p>
            <w:pPr>
              <w:ind w:left="120"/>
              <w:spacing w:after="0"/>
              <w:rPr>
                <w:sz w:val="20"/>
                <w:szCs w:val="20"/>
                <w:color w:val="auto"/>
              </w:rPr>
            </w:pPr>
            <w:r>
              <w:rPr>
                <w:rFonts w:ascii="Arial" w:cs="Arial" w:eastAsia="Arial" w:hAnsi="Arial"/>
                <w:sz w:val="16"/>
                <w:szCs w:val="16"/>
                <w:color w:val="auto"/>
              </w:rPr>
              <w:t>Secured note ($1,000 par, due</w:t>
            </w:r>
          </w:p>
        </w:tc>
        <w:tc>
          <w:tcPr>
            <w:tcW w:w="820" w:type="dxa"/>
            <w:vAlign w:val="bottom"/>
          </w:tcPr>
          <w:p>
            <w:pPr>
              <w:jc w:val="right"/>
              <w:spacing w:after="0"/>
              <w:rPr>
                <w:sz w:val="20"/>
                <w:szCs w:val="20"/>
                <w:color w:val="auto"/>
              </w:rPr>
            </w:pPr>
            <w:r>
              <w:rPr>
                <w:rFonts w:ascii="Arial" w:cs="Arial" w:eastAsia="Arial" w:hAnsi="Arial"/>
                <w:sz w:val="16"/>
                <w:szCs w:val="16"/>
                <w:color w:val="auto"/>
              </w:rPr>
              <w:t>5/31/2019</w:t>
            </w:r>
          </w:p>
        </w:tc>
        <w:tc>
          <w:tcPr>
            <w:tcW w:w="12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7.88%</w:t>
            </w: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7.88%</w:t>
            </w:r>
          </w:p>
        </w:tc>
        <w:tc>
          <w:tcPr>
            <w:tcW w:w="760" w:type="dxa"/>
            <w:vAlign w:val="bottom"/>
          </w:tcPr>
          <w:p>
            <w:pPr>
              <w:jc w:val="right"/>
              <w:spacing w:after="0"/>
              <w:rPr>
                <w:sz w:val="20"/>
                <w:szCs w:val="20"/>
                <w:color w:val="auto"/>
              </w:rPr>
            </w:pPr>
            <w:r>
              <w:rPr>
                <w:rFonts w:ascii="Arial" w:cs="Arial" w:eastAsia="Arial" w:hAnsi="Arial"/>
                <w:sz w:val="16"/>
                <w:szCs w:val="16"/>
                <w:color w:val="auto"/>
              </w:rPr>
              <w:t>938</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1,009</w:t>
            </w:r>
          </w:p>
        </w:tc>
        <w:tc>
          <w:tcPr>
            <w:tcW w:w="20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0.1%</w:t>
            </w:r>
          </w:p>
        </w:tc>
      </w:tr>
      <w:tr>
        <w:trPr>
          <w:trHeight w:val="209"/>
        </w:trPr>
        <w:tc>
          <w:tcPr>
            <w:tcW w:w="2500" w:type="dxa"/>
            <w:vAlign w:val="bottom"/>
          </w:tcPr>
          <w:p>
            <w:pPr>
              <w:spacing w:after="0"/>
              <w:rPr>
                <w:sz w:val="18"/>
                <w:szCs w:val="18"/>
                <w:color w:val="auto"/>
              </w:rPr>
            </w:pPr>
          </w:p>
        </w:tc>
        <w:tc>
          <w:tcPr>
            <w:tcW w:w="2320" w:type="dxa"/>
            <w:vAlign w:val="bottom"/>
            <w:gridSpan w:val="2"/>
          </w:tcPr>
          <w:p>
            <w:pPr>
              <w:ind w:left="120"/>
              <w:spacing w:after="0"/>
              <w:rPr>
                <w:sz w:val="20"/>
                <w:szCs w:val="20"/>
                <w:color w:val="auto"/>
              </w:rPr>
            </w:pPr>
            <w:r>
              <w:rPr>
                <w:rFonts w:ascii="Arial" w:cs="Arial" w:eastAsia="Arial" w:hAnsi="Arial"/>
                <w:sz w:val="16"/>
                <w:szCs w:val="16"/>
                <w:color w:val="auto"/>
              </w:rPr>
              <w:t>12/2022)</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25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Financial services</w:t>
            </w:r>
          </w:p>
        </w:tc>
        <w:tc>
          <w:tcPr>
            <w:tcW w:w="120" w:type="dxa"/>
            <w:vAlign w:val="bottom"/>
            <w:shd w:val="clear" w:color="auto" w:fill="CFF0FC"/>
          </w:tcPr>
          <w:p>
            <w:pPr>
              <w:spacing w:after="0"/>
              <w:rPr>
                <w:sz w:val="19"/>
                <w:szCs w:val="19"/>
                <w:color w:val="auto"/>
              </w:rPr>
            </w:pPr>
          </w:p>
        </w:tc>
        <w:tc>
          <w:tcPr>
            <w:tcW w:w="2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06"/>
        </w:trPr>
        <w:tc>
          <w:tcPr>
            <w:tcW w:w="2500" w:type="dxa"/>
            <w:vAlign w:val="bottom"/>
          </w:tcPr>
          <w:p>
            <w:pPr>
              <w:spacing w:after="0" w:line="207" w:lineRule="exact"/>
              <w:rPr>
                <w:sz w:val="20"/>
                <w:szCs w:val="20"/>
                <w:color w:val="auto"/>
              </w:rPr>
            </w:pPr>
            <w:r>
              <w:rPr>
                <w:rFonts w:ascii="Arial" w:cs="Arial" w:eastAsia="Arial" w:hAnsi="Arial"/>
                <w:sz w:val="14"/>
                <w:szCs w:val="14"/>
                <w:color w:val="auto"/>
              </w:rPr>
              <w:t xml:space="preserve">AppStar Financial, LLC </w:t>
            </w:r>
            <w:r>
              <w:rPr>
                <w:rFonts w:ascii="Arial" w:cs="Arial" w:eastAsia="Arial" w:hAnsi="Arial"/>
                <w:sz w:val="23"/>
                <w:szCs w:val="23"/>
                <w:color w:val="auto"/>
                <w:vertAlign w:val="superscript"/>
              </w:rPr>
              <w:t>(3)</w:t>
            </w:r>
          </w:p>
        </w:tc>
        <w:tc>
          <w:tcPr>
            <w:tcW w:w="2420" w:type="dxa"/>
            <w:vAlign w:val="bottom"/>
            <w:gridSpan w:val="3"/>
          </w:tcPr>
          <w:p>
            <w:pPr>
              <w:ind w:left="120"/>
              <w:spacing w:after="0"/>
              <w:rPr>
                <w:sz w:val="20"/>
                <w:szCs w:val="20"/>
                <w:color w:val="auto"/>
              </w:rPr>
            </w:pPr>
            <w:r>
              <w:rPr>
                <w:rFonts w:ascii="Arial" w:cs="Arial" w:eastAsia="Arial" w:hAnsi="Arial"/>
                <w:sz w:val="16"/>
                <w:szCs w:val="16"/>
                <w:color w:val="auto"/>
              </w:rPr>
              <w:t>First-lien loan ($15,855 par, due</w:t>
            </w:r>
          </w:p>
        </w:tc>
        <w:tc>
          <w:tcPr>
            <w:tcW w:w="820" w:type="dxa"/>
            <w:vAlign w:val="bottom"/>
          </w:tcPr>
          <w:p>
            <w:pPr>
              <w:jc w:val="right"/>
              <w:spacing w:after="0"/>
              <w:rPr>
                <w:sz w:val="20"/>
                <w:szCs w:val="20"/>
                <w:color w:val="auto"/>
              </w:rPr>
            </w:pPr>
            <w:r>
              <w:rPr>
                <w:rFonts w:ascii="Arial" w:cs="Arial" w:eastAsia="Arial" w:hAnsi="Arial"/>
                <w:sz w:val="16"/>
                <w:szCs w:val="16"/>
                <w:color w:val="auto"/>
              </w:rPr>
              <w:t>8/18/2015</w:t>
            </w:r>
          </w:p>
        </w:tc>
        <w:tc>
          <w:tcPr>
            <w:tcW w:w="12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L + 7.50%</w:t>
            </w: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9.30%</w:t>
            </w:r>
          </w:p>
        </w:tc>
        <w:tc>
          <w:tcPr>
            <w:tcW w:w="760" w:type="dxa"/>
            <w:vAlign w:val="bottom"/>
          </w:tcPr>
          <w:p>
            <w:pPr>
              <w:jc w:val="right"/>
              <w:spacing w:after="0"/>
              <w:rPr>
                <w:sz w:val="20"/>
                <w:szCs w:val="20"/>
                <w:color w:val="auto"/>
              </w:rPr>
            </w:pPr>
            <w:r>
              <w:rPr>
                <w:rFonts w:ascii="Arial" w:cs="Arial" w:eastAsia="Arial" w:hAnsi="Arial"/>
                <w:sz w:val="16"/>
                <w:szCs w:val="16"/>
                <w:color w:val="auto"/>
              </w:rPr>
              <w:t>15,794</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15,944</w:t>
            </w:r>
          </w:p>
        </w:tc>
        <w:tc>
          <w:tcPr>
            <w:tcW w:w="20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1.4%</w:t>
            </w:r>
          </w:p>
        </w:tc>
      </w:tr>
      <w:tr>
        <w:trPr>
          <w:trHeight w:val="209"/>
        </w:trPr>
        <w:tc>
          <w:tcPr>
            <w:tcW w:w="2500" w:type="dxa"/>
            <w:vAlign w:val="bottom"/>
          </w:tcPr>
          <w:p>
            <w:pPr>
              <w:spacing w:after="0"/>
              <w:rPr>
                <w:sz w:val="18"/>
                <w:szCs w:val="18"/>
                <w:color w:val="auto"/>
              </w:rPr>
            </w:pPr>
          </w:p>
        </w:tc>
        <w:tc>
          <w:tcPr>
            <w:tcW w:w="2320" w:type="dxa"/>
            <w:vAlign w:val="bottom"/>
            <w:gridSpan w:val="2"/>
          </w:tcPr>
          <w:p>
            <w:pPr>
              <w:ind w:left="120"/>
              <w:spacing w:after="0"/>
              <w:rPr>
                <w:sz w:val="20"/>
                <w:szCs w:val="20"/>
                <w:color w:val="auto"/>
              </w:rPr>
            </w:pPr>
            <w:r>
              <w:rPr>
                <w:rFonts w:ascii="Arial" w:cs="Arial" w:eastAsia="Arial" w:hAnsi="Arial"/>
                <w:sz w:val="16"/>
                <w:szCs w:val="16"/>
                <w:color w:val="auto"/>
              </w:rPr>
              <w:t>8/2020)</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50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AvidXchange, Inc. </w:t>
            </w:r>
            <w:r>
              <w:rPr>
                <w:rFonts w:ascii="Arial" w:cs="Arial" w:eastAsia="Arial" w:hAnsi="Arial"/>
                <w:sz w:val="24"/>
                <w:szCs w:val="24"/>
                <w:color w:val="auto"/>
                <w:vertAlign w:val="superscript"/>
              </w:rPr>
              <w:t>(3)(5)</w:t>
            </w:r>
          </w:p>
        </w:tc>
        <w:tc>
          <w:tcPr>
            <w:tcW w:w="2420" w:type="dxa"/>
            <w:vAlign w:val="bottom"/>
            <w:gridSpan w:val="3"/>
            <w:shd w:val="clear" w:color="auto" w:fill="CFF0FC"/>
          </w:tcPr>
          <w:p>
            <w:pPr>
              <w:ind w:left="120"/>
              <w:spacing w:after="0"/>
              <w:rPr>
                <w:sz w:val="20"/>
                <w:szCs w:val="20"/>
                <w:color w:val="auto"/>
              </w:rPr>
            </w:pPr>
            <w:r>
              <w:rPr>
                <w:rFonts w:ascii="Arial" w:cs="Arial" w:eastAsia="Arial" w:hAnsi="Arial"/>
                <w:sz w:val="16"/>
                <w:szCs w:val="16"/>
                <w:color w:val="auto"/>
              </w:rPr>
              <w:t>First-lien loan ($10,350 par, due</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10/1/2019</w:t>
            </w: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+ 9.00%</w:t>
            </w: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11.00%</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10,195</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10,236</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0.9%</w:t>
            </w:r>
          </w:p>
        </w:tc>
      </w:tr>
      <w:tr>
        <w:trPr>
          <w:trHeight w:val="212"/>
        </w:trPr>
        <w:tc>
          <w:tcPr>
            <w:tcW w:w="2500" w:type="dxa"/>
            <w:vAlign w:val="bottom"/>
            <w:shd w:val="clear" w:color="auto" w:fill="CFF0FC"/>
          </w:tcPr>
          <w:p>
            <w:pPr>
              <w:spacing w:after="0"/>
              <w:rPr>
                <w:sz w:val="18"/>
                <w:szCs w:val="18"/>
                <w:color w:val="auto"/>
              </w:rPr>
            </w:pPr>
          </w:p>
        </w:tc>
        <w:tc>
          <w:tcPr>
            <w:tcW w:w="232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4/2024)</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500" w:type="dxa"/>
            <w:vAlign w:val="bottom"/>
          </w:tcPr>
          <w:p>
            <w:pPr>
              <w:spacing w:after="0" w:line="207" w:lineRule="exact"/>
              <w:rPr>
                <w:sz w:val="20"/>
                <w:szCs w:val="20"/>
                <w:color w:val="auto"/>
              </w:rPr>
            </w:pPr>
            <w:r>
              <w:rPr>
                <w:rFonts w:ascii="Arial" w:cs="Arial" w:eastAsia="Arial" w:hAnsi="Arial"/>
                <w:sz w:val="14"/>
                <w:szCs w:val="14"/>
                <w:color w:val="auto"/>
              </w:rPr>
              <w:t xml:space="preserve">Bear OpCo, LLC </w:t>
            </w:r>
            <w:r>
              <w:rPr>
                <w:rFonts w:ascii="Arial" w:cs="Arial" w:eastAsia="Arial" w:hAnsi="Arial"/>
                <w:sz w:val="23"/>
                <w:szCs w:val="23"/>
                <w:color w:val="auto"/>
                <w:vertAlign w:val="superscript"/>
              </w:rPr>
              <w:t>(3)(5)</w:t>
            </w:r>
          </w:p>
        </w:tc>
        <w:tc>
          <w:tcPr>
            <w:tcW w:w="2420" w:type="dxa"/>
            <w:vAlign w:val="bottom"/>
            <w:gridSpan w:val="3"/>
          </w:tcPr>
          <w:p>
            <w:pPr>
              <w:ind w:left="120"/>
              <w:spacing w:after="0"/>
              <w:rPr>
                <w:sz w:val="20"/>
                <w:szCs w:val="20"/>
                <w:color w:val="auto"/>
              </w:rPr>
            </w:pPr>
            <w:r>
              <w:rPr>
                <w:rFonts w:ascii="Arial" w:cs="Arial" w:eastAsia="Arial" w:hAnsi="Arial"/>
                <w:sz w:val="16"/>
                <w:szCs w:val="16"/>
                <w:color w:val="auto"/>
              </w:rPr>
              <w:t>First-lien loan ($17,456 par, due</w:t>
            </w:r>
          </w:p>
        </w:tc>
        <w:tc>
          <w:tcPr>
            <w:tcW w:w="820" w:type="dxa"/>
            <w:vAlign w:val="bottom"/>
          </w:tcPr>
          <w:p>
            <w:pPr>
              <w:jc w:val="right"/>
              <w:spacing w:after="0"/>
              <w:rPr>
                <w:sz w:val="20"/>
                <w:szCs w:val="20"/>
                <w:color w:val="auto"/>
              </w:rPr>
            </w:pPr>
            <w:r>
              <w:rPr>
                <w:rFonts w:ascii="Arial" w:cs="Arial" w:eastAsia="Arial" w:hAnsi="Arial"/>
                <w:sz w:val="16"/>
                <w:szCs w:val="16"/>
                <w:color w:val="auto"/>
                <w:w w:val="99"/>
              </w:rPr>
              <w:t>10/10/2019</w:t>
            </w:r>
          </w:p>
        </w:tc>
        <w:tc>
          <w:tcPr>
            <w:tcW w:w="12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L + 5.00%</w:t>
            </w: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6.80%</w:t>
            </w:r>
          </w:p>
        </w:tc>
        <w:tc>
          <w:tcPr>
            <w:tcW w:w="760" w:type="dxa"/>
            <w:vAlign w:val="bottom"/>
          </w:tcPr>
          <w:p>
            <w:pPr>
              <w:jc w:val="right"/>
              <w:spacing w:after="0"/>
              <w:rPr>
                <w:sz w:val="20"/>
                <w:szCs w:val="20"/>
                <w:color w:val="auto"/>
              </w:rPr>
            </w:pPr>
            <w:r>
              <w:rPr>
                <w:rFonts w:ascii="Arial" w:cs="Arial" w:eastAsia="Arial" w:hAnsi="Arial"/>
                <w:sz w:val="16"/>
                <w:szCs w:val="16"/>
                <w:color w:val="auto"/>
              </w:rPr>
              <w:t>16,978</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17,063</w:t>
            </w:r>
          </w:p>
        </w:tc>
        <w:tc>
          <w:tcPr>
            <w:tcW w:w="20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1.5%</w:t>
            </w:r>
          </w:p>
        </w:tc>
      </w:tr>
      <w:tr>
        <w:trPr>
          <w:trHeight w:val="209"/>
        </w:trPr>
        <w:tc>
          <w:tcPr>
            <w:tcW w:w="2500" w:type="dxa"/>
            <w:vAlign w:val="bottom"/>
          </w:tcPr>
          <w:p>
            <w:pPr>
              <w:spacing w:after="0"/>
              <w:rPr>
                <w:sz w:val="18"/>
                <w:szCs w:val="18"/>
                <w:color w:val="auto"/>
              </w:rPr>
            </w:pPr>
          </w:p>
        </w:tc>
        <w:tc>
          <w:tcPr>
            <w:tcW w:w="2320" w:type="dxa"/>
            <w:vAlign w:val="bottom"/>
            <w:gridSpan w:val="2"/>
          </w:tcPr>
          <w:p>
            <w:pPr>
              <w:ind w:left="120"/>
              <w:spacing w:after="0"/>
              <w:rPr>
                <w:sz w:val="20"/>
                <w:szCs w:val="20"/>
                <w:color w:val="auto"/>
              </w:rPr>
            </w:pPr>
            <w:r>
              <w:rPr>
                <w:rFonts w:ascii="Arial" w:cs="Arial" w:eastAsia="Arial" w:hAnsi="Arial"/>
                <w:sz w:val="16"/>
                <w:szCs w:val="16"/>
                <w:color w:val="auto"/>
              </w:rPr>
              <w:t>10/2024)</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50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BlueSnap, Inc. </w:t>
            </w:r>
            <w:r>
              <w:rPr>
                <w:rFonts w:ascii="Arial" w:cs="Arial" w:eastAsia="Arial" w:hAnsi="Arial"/>
                <w:sz w:val="24"/>
                <w:szCs w:val="24"/>
                <w:color w:val="auto"/>
                <w:vertAlign w:val="superscript"/>
              </w:rPr>
              <w:t>(3)</w:t>
            </w:r>
          </w:p>
        </w:tc>
        <w:tc>
          <w:tcPr>
            <w:tcW w:w="2420" w:type="dxa"/>
            <w:vAlign w:val="bottom"/>
            <w:gridSpan w:val="3"/>
            <w:shd w:val="clear" w:color="auto" w:fill="CFF0FC"/>
          </w:tcPr>
          <w:p>
            <w:pPr>
              <w:ind w:left="120"/>
              <w:spacing w:after="0"/>
              <w:rPr>
                <w:sz w:val="20"/>
                <w:szCs w:val="20"/>
                <w:color w:val="auto"/>
              </w:rPr>
            </w:pPr>
            <w:r>
              <w:rPr>
                <w:rFonts w:ascii="Arial" w:cs="Arial" w:eastAsia="Arial" w:hAnsi="Arial"/>
                <w:sz w:val="16"/>
                <w:szCs w:val="16"/>
                <w:color w:val="auto"/>
              </w:rPr>
              <w:t>First-lien loan ($35,000 par, due</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10/25/2019</w:t>
            </w: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+ 7.00%</w:t>
            </w: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8.80%</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34,273</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34,531</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3.1%</w:t>
            </w:r>
          </w:p>
        </w:tc>
      </w:tr>
      <w:tr>
        <w:trPr>
          <w:trHeight w:val="212"/>
        </w:trPr>
        <w:tc>
          <w:tcPr>
            <w:tcW w:w="2500" w:type="dxa"/>
            <w:vAlign w:val="bottom"/>
            <w:shd w:val="clear" w:color="auto" w:fill="CFF0FC"/>
          </w:tcPr>
          <w:p>
            <w:pPr>
              <w:spacing w:after="0"/>
              <w:rPr>
                <w:sz w:val="18"/>
                <w:szCs w:val="18"/>
                <w:color w:val="auto"/>
              </w:rPr>
            </w:pPr>
          </w:p>
        </w:tc>
        <w:tc>
          <w:tcPr>
            <w:tcW w:w="232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10/2024)</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500" w:type="dxa"/>
            <w:vAlign w:val="bottom"/>
          </w:tcPr>
          <w:p>
            <w:pPr>
              <w:spacing w:after="0" w:line="207" w:lineRule="exact"/>
              <w:rPr>
                <w:sz w:val="20"/>
                <w:szCs w:val="20"/>
                <w:color w:val="auto"/>
              </w:rPr>
            </w:pPr>
            <w:r>
              <w:rPr>
                <w:rFonts w:ascii="Arial" w:cs="Arial" w:eastAsia="Arial" w:hAnsi="Arial"/>
                <w:sz w:val="14"/>
                <w:szCs w:val="14"/>
                <w:color w:val="auto"/>
              </w:rPr>
              <w:t xml:space="preserve">G Treasury SS, LLC </w:t>
            </w:r>
            <w:r>
              <w:rPr>
                <w:rFonts w:ascii="Arial" w:cs="Arial" w:eastAsia="Arial" w:hAnsi="Arial"/>
                <w:sz w:val="23"/>
                <w:szCs w:val="23"/>
                <w:color w:val="auto"/>
                <w:vertAlign w:val="superscript"/>
              </w:rPr>
              <w:t>(3)(5)</w:t>
            </w:r>
          </w:p>
        </w:tc>
        <w:tc>
          <w:tcPr>
            <w:tcW w:w="2420" w:type="dxa"/>
            <w:vAlign w:val="bottom"/>
            <w:gridSpan w:val="3"/>
          </w:tcPr>
          <w:p>
            <w:pPr>
              <w:ind w:left="120"/>
              <w:spacing w:after="0"/>
              <w:rPr>
                <w:sz w:val="20"/>
                <w:szCs w:val="20"/>
                <w:color w:val="auto"/>
              </w:rPr>
            </w:pPr>
            <w:r>
              <w:rPr>
                <w:rFonts w:ascii="Arial" w:cs="Arial" w:eastAsia="Arial" w:hAnsi="Arial"/>
                <w:sz w:val="16"/>
                <w:szCs w:val="16"/>
                <w:color w:val="auto"/>
              </w:rPr>
              <w:t>First-lien loan ($30,000 par, due</w:t>
            </w:r>
          </w:p>
        </w:tc>
        <w:tc>
          <w:tcPr>
            <w:tcW w:w="820" w:type="dxa"/>
            <w:vAlign w:val="bottom"/>
          </w:tcPr>
          <w:p>
            <w:pPr>
              <w:jc w:val="right"/>
              <w:spacing w:after="0"/>
              <w:rPr>
                <w:sz w:val="20"/>
                <w:szCs w:val="20"/>
                <w:color w:val="auto"/>
              </w:rPr>
            </w:pPr>
            <w:r>
              <w:rPr>
                <w:rFonts w:ascii="Arial" w:cs="Arial" w:eastAsia="Arial" w:hAnsi="Arial"/>
                <w:sz w:val="16"/>
                <w:szCs w:val="16"/>
                <w:color w:val="auto"/>
              </w:rPr>
              <w:t>4/9/2018</w:t>
            </w:r>
          </w:p>
        </w:tc>
        <w:tc>
          <w:tcPr>
            <w:tcW w:w="12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L + 8.25%</w:t>
            </w: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10.03%</w:t>
            </w:r>
          </w:p>
        </w:tc>
        <w:tc>
          <w:tcPr>
            <w:tcW w:w="760" w:type="dxa"/>
            <w:vAlign w:val="bottom"/>
          </w:tcPr>
          <w:p>
            <w:pPr>
              <w:jc w:val="right"/>
              <w:spacing w:after="0"/>
              <w:rPr>
                <w:sz w:val="20"/>
                <w:szCs w:val="20"/>
                <w:color w:val="auto"/>
              </w:rPr>
            </w:pPr>
            <w:r>
              <w:rPr>
                <w:rFonts w:ascii="Arial" w:cs="Arial" w:eastAsia="Arial" w:hAnsi="Arial"/>
                <w:sz w:val="16"/>
                <w:szCs w:val="16"/>
                <w:color w:val="auto"/>
              </w:rPr>
              <w:t>29,643</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30,000</w:t>
            </w:r>
          </w:p>
        </w:tc>
        <w:tc>
          <w:tcPr>
            <w:tcW w:w="20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2.7%</w:t>
            </w:r>
          </w:p>
        </w:tc>
      </w:tr>
      <w:tr>
        <w:trPr>
          <w:trHeight w:val="209"/>
        </w:trPr>
        <w:tc>
          <w:tcPr>
            <w:tcW w:w="2500" w:type="dxa"/>
            <w:vAlign w:val="bottom"/>
          </w:tcPr>
          <w:p>
            <w:pPr>
              <w:spacing w:after="0"/>
              <w:rPr>
                <w:sz w:val="18"/>
                <w:szCs w:val="18"/>
                <w:color w:val="auto"/>
              </w:rPr>
            </w:pPr>
          </w:p>
        </w:tc>
        <w:tc>
          <w:tcPr>
            <w:tcW w:w="2320" w:type="dxa"/>
            <w:vAlign w:val="bottom"/>
            <w:gridSpan w:val="2"/>
          </w:tcPr>
          <w:p>
            <w:pPr>
              <w:ind w:left="120"/>
              <w:spacing w:after="0"/>
              <w:rPr>
                <w:sz w:val="20"/>
                <w:szCs w:val="20"/>
                <w:color w:val="auto"/>
              </w:rPr>
            </w:pPr>
            <w:r>
              <w:rPr>
                <w:rFonts w:ascii="Arial" w:cs="Arial" w:eastAsia="Arial" w:hAnsi="Arial"/>
                <w:sz w:val="16"/>
                <w:szCs w:val="16"/>
                <w:color w:val="auto"/>
              </w:rPr>
              <w:t>4/2023)</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50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GC Agile Holdings, Ltd. </w:t>
            </w:r>
            <w:r>
              <w:rPr>
                <w:rFonts w:ascii="Arial" w:cs="Arial" w:eastAsia="Arial" w:hAnsi="Arial"/>
                <w:sz w:val="24"/>
                <w:szCs w:val="24"/>
                <w:color w:val="auto"/>
                <w:vertAlign w:val="superscript"/>
              </w:rPr>
              <w:t>(3)(4)</w:t>
            </w:r>
          </w:p>
        </w:tc>
        <w:tc>
          <w:tcPr>
            <w:tcW w:w="2420" w:type="dxa"/>
            <w:vAlign w:val="bottom"/>
            <w:gridSpan w:val="3"/>
            <w:shd w:val="clear" w:color="auto" w:fill="CFF0FC"/>
          </w:tcPr>
          <w:p>
            <w:pPr>
              <w:ind w:left="120"/>
              <w:spacing w:after="0"/>
              <w:rPr>
                <w:sz w:val="20"/>
                <w:szCs w:val="20"/>
                <w:color w:val="auto"/>
              </w:rPr>
            </w:pPr>
            <w:r>
              <w:rPr>
                <w:rFonts w:ascii="Arial" w:cs="Arial" w:eastAsia="Arial" w:hAnsi="Arial"/>
                <w:sz w:val="16"/>
                <w:szCs w:val="16"/>
                <w:color w:val="auto"/>
              </w:rPr>
              <w:t>First-lien loan ($39,724 par, due</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1/31/2019</w:t>
            </w: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+ 7.00%</w:t>
            </w: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8.95%</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39,099</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39,128</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3.5%</w:t>
            </w:r>
          </w:p>
        </w:tc>
      </w:tr>
      <w:tr>
        <w:trPr>
          <w:trHeight w:val="212"/>
        </w:trPr>
        <w:tc>
          <w:tcPr>
            <w:tcW w:w="2500" w:type="dxa"/>
            <w:vAlign w:val="bottom"/>
            <w:shd w:val="clear" w:color="auto" w:fill="CFF0FC"/>
          </w:tcPr>
          <w:p>
            <w:pPr>
              <w:spacing w:after="0"/>
              <w:rPr>
                <w:sz w:val="18"/>
                <w:szCs w:val="18"/>
                <w:color w:val="auto"/>
              </w:rPr>
            </w:pPr>
          </w:p>
        </w:tc>
        <w:tc>
          <w:tcPr>
            <w:tcW w:w="232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6/2025)</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500" w:type="dxa"/>
            <w:vAlign w:val="bottom"/>
          </w:tcPr>
          <w:p>
            <w:pPr>
              <w:spacing w:after="0" w:line="207" w:lineRule="exact"/>
              <w:rPr>
                <w:sz w:val="20"/>
                <w:szCs w:val="20"/>
                <w:color w:val="auto"/>
              </w:rPr>
            </w:pPr>
            <w:r>
              <w:rPr>
                <w:rFonts w:ascii="Arial" w:cs="Arial" w:eastAsia="Arial" w:hAnsi="Arial"/>
                <w:sz w:val="14"/>
                <w:szCs w:val="14"/>
                <w:color w:val="auto"/>
              </w:rPr>
              <w:t>Kyriba Corp.</w:t>
            </w:r>
            <w:r>
              <w:rPr>
                <w:rFonts w:ascii="Arial" w:cs="Arial" w:eastAsia="Arial" w:hAnsi="Arial"/>
                <w:sz w:val="23"/>
                <w:szCs w:val="23"/>
                <w:color w:val="auto"/>
                <w:vertAlign w:val="superscript"/>
              </w:rPr>
              <w:t>(3)</w:t>
            </w:r>
          </w:p>
        </w:tc>
        <w:tc>
          <w:tcPr>
            <w:tcW w:w="2420" w:type="dxa"/>
            <w:vAlign w:val="bottom"/>
            <w:gridSpan w:val="3"/>
          </w:tcPr>
          <w:p>
            <w:pPr>
              <w:ind w:left="120"/>
              <w:spacing w:after="0"/>
              <w:rPr>
                <w:sz w:val="20"/>
                <w:szCs w:val="20"/>
                <w:color w:val="auto"/>
              </w:rPr>
            </w:pPr>
            <w:r>
              <w:rPr>
                <w:rFonts w:ascii="Arial" w:cs="Arial" w:eastAsia="Arial" w:hAnsi="Arial"/>
                <w:sz w:val="16"/>
                <w:szCs w:val="16"/>
                <w:color w:val="auto"/>
              </w:rPr>
              <w:t>First-lien loan ($12,717 par, due</w:t>
            </w:r>
          </w:p>
        </w:tc>
        <w:tc>
          <w:tcPr>
            <w:tcW w:w="820" w:type="dxa"/>
            <w:vAlign w:val="bottom"/>
          </w:tcPr>
          <w:p>
            <w:pPr>
              <w:jc w:val="right"/>
              <w:spacing w:after="0"/>
              <w:rPr>
                <w:sz w:val="20"/>
                <w:szCs w:val="20"/>
                <w:color w:val="auto"/>
              </w:rPr>
            </w:pPr>
            <w:r>
              <w:rPr>
                <w:rFonts w:ascii="Arial" w:cs="Arial" w:eastAsia="Arial" w:hAnsi="Arial"/>
                <w:sz w:val="16"/>
                <w:szCs w:val="16"/>
                <w:color w:val="auto"/>
              </w:rPr>
              <w:t>4/9/2019</w:t>
            </w:r>
          </w:p>
        </w:tc>
        <w:tc>
          <w:tcPr>
            <w:tcW w:w="12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L + 9.00%</w:t>
            </w:r>
          </w:p>
        </w:tc>
        <w:tc>
          <w:tcPr>
            <w:tcW w:w="1440" w:type="dxa"/>
            <w:vAlign w:val="bottom"/>
            <w:gridSpan w:val="2"/>
          </w:tcPr>
          <w:p>
            <w:pPr>
              <w:jc w:val="right"/>
              <w:ind w:right="260"/>
              <w:spacing w:after="0"/>
              <w:rPr>
                <w:sz w:val="20"/>
                <w:szCs w:val="20"/>
                <w:color w:val="auto"/>
              </w:rPr>
            </w:pPr>
            <w:r>
              <w:rPr>
                <w:rFonts w:ascii="Arial" w:cs="Arial" w:eastAsia="Arial" w:hAnsi="Arial"/>
                <w:sz w:val="16"/>
                <w:szCs w:val="16"/>
                <w:color w:val="auto"/>
              </w:rPr>
              <w:t>10.94% (incl.</w:t>
            </w:r>
          </w:p>
        </w:tc>
        <w:tc>
          <w:tcPr>
            <w:tcW w:w="760" w:type="dxa"/>
            <w:vAlign w:val="bottom"/>
          </w:tcPr>
          <w:p>
            <w:pPr>
              <w:jc w:val="right"/>
              <w:spacing w:after="0"/>
              <w:rPr>
                <w:sz w:val="20"/>
                <w:szCs w:val="20"/>
                <w:color w:val="auto"/>
              </w:rPr>
            </w:pPr>
            <w:r>
              <w:rPr>
                <w:rFonts w:ascii="Arial" w:cs="Arial" w:eastAsia="Arial" w:hAnsi="Arial"/>
                <w:sz w:val="16"/>
                <w:szCs w:val="16"/>
                <w:color w:val="auto"/>
              </w:rPr>
              <w:t>12,391</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12,866</w:t>
            </w:r>
          </w:p>
        </w:tc>
        <w:tc>
          <w:tcPr>
            <w:tcW w:w="20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1.1%</w:t>
            </w:r>
          </w:p>
        </w:tc>
      </w:tr>
      <w:tr>
        <w:trPr>
          <w:trHeight w:val="206"/>
        </w:trPr>
        <w:tc>
          <w:tcPr>
            <w:tcW w:w="2500" w:type="dxa"/>
            <w:vAlign w:val="bottom"/>
          </w:tcPr>
          <w:p>
            <w:pPr>
              <w:spacing w:after="0"/>
              <w:rPr>
                <w:sz w:val="17"/>
                <w:szCs w:val="17"/>
                <w:color w:val="auto"/>
              </w:rPr>
            </w:pPr>
          </w:p>
        </w:tc>
        <w:tc>
          <w:tcPr>
            <w:tcW w:w="2320" w:type="dxa"/>
            <w:vAlign w:val="bottom"/>
            <w:gridSpan w:val="2"/>
          </w:tcPr>
          <w:p>
            <w:pPr>
              <w:ind w:left="120"/>
              <w:spacing w:after="0"/>
              <w:rPr>
                <w:sz w:val="20"/>
                <w:szCs w:val="20"/>
                <w:color w:val="auto"/>
              </w:rPr>
            </w:pPr>
            <w:r>
              <w:rPr>
                <w:rFonts w:ascii="Arial" w:cs="Arial" w:eastAsia="Arial" w:hAnsi="Arial"/>
                <w:sz w:val="16"/>
                <w:szCs w:val="16"/>
                <w:color w:val="auto"/>
              </w:rPr>
              <w:t>4/2025)</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6"/>
                <w:szCs w:val="16"/>
                <w:color w:val="auto"/>
              </w:rPr>
              <w:t>9.00% PIK)</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6"/>
        </w:trPr>
        <w:tc>
          <w:tcPr>
            <w:tcW w:w="2300" w:type="dxa"/>
            <w:vAlign w:val="bottom"/>
            <w:shd w:val="clear" w:color="auto" w:fill="CFF0FC"/>
          </w:tcPr>
          <w:p>
            <w:pPr>
              <w:spacing w:after="0"/>
              <w:rPr>
                <w:sz w:val="17"/>
                <w:szCs w:val="17"/>
                <w:color w:val="auto"/>
              </w:rPr>
            </w:pPr>
          </w:p>
        </w:tc>
        <w:tc>
          <w:tcPr>
            <w:tcW w:w="2540" w:type="dxa"/>
            <w:vAlign w:val="bottom"/>
            <w:shd w:val="clear" w:color="auto" w:fill="CFF0FC"/>
          </w:tcPr>
          <w:p>
            <w:pPr>
              <w:ind w:left="300"/>
              <w:spacing w:after="0"/>
              <w:rPr>
                <w:sz w:val="20"/>
                <w:szCs w:val="20"/>
                <w:color w:val="auto"/>
              </w:rPr>
            </w:pPr>
            <w:r>
              <w:rPr>
                <w:rFonts w:ascii="Arial" w:cs="Arial" w:eastAsia="Arial" w:hAnsi="Arial"/>
                <w:sz w:val="16"/>
                <w:szCs w:val="16"/>
                <w:color w:val="auto"/>
              </w:rPr>
              <w:t>First-lien loan (EUR 7,571 par,</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4/9/2019</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E + 9.00%</w:t>
            </w:r>
          </w:p>
        </w:tc>
        <w:tc>
          <w:tcPr>
            <w:tcW w:w="136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9.00% PIK</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8,258</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7,759</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0.7%</w:t>
            </w:r>
          </w:p>
        </w:tc>
      </w:tr>
      <w:tr>
        <w:trPr>
          <w:trHeight w:val="212"/>
        </w:trPr>
        <w:tc>
          <w:tcPr>
            <w:tcW w:w="2300" w:type="dxa"/>
            <w:vAlign w:val="bottom"/>
            <w:shd w:val="clear" w:color="auto" w:fill="CFF0FC"/>
          </w:tcPr>
          <w:p>
            <w:pPr>
              <w:spacing w:after="0"/>
              <w:rPr>
                <w:sz w:val="18"/>
                <w:szCs w:val="18"/>
                <w:color w:val="auto"/>
              </w:rPr>
            </w:pPr>
          </w:p>
        </w:tc>
        <w:tc>
          <w:tcPr>
            <w:tcW w:w="2540" w:type="dxa"/>
            <w:vAlign w:val="bottom"/>
            <w:shd w:val="clear" w:color="auto" w:fill="CFF0FC"/>
          </w:tcPr>
          <w:p>
            <w:pPr>
              <w:ind w:left="300"/>
              <w:spacing w:after="0"/>
              <w:rPr>
                <w:sz w:val="20"/>
                <w:szCs w:val="20"/>
                <w:color w:val="auto"/>
              </w:rPr>
            </w:pPr>
            <w:r>
              <w:rPr>
                <w:rFonts w:ascii="Arial" w:cs="Arial" w:eastAsia="Arial" w:hAnsi="Arial"/>
                <w:sz w:val="16"/>
                <w:szCs w:val="16"/>
                <w:color w:val="auto"/>
              </w:rPr>
              <w:t>due 4/2025)</w:t>
            </w:r>
          </w:p>
        </w:tc>
        <w:tc>
          <w:tcPr>
            <w:tcW w:w="1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(EUR 6,912)</w:t>
            </w: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300" w:type="dxa"/>
            <w:vAlign w:val="bottom"/>
          </w:tcPr>
          <w:p>
            <w:pPr>
              <w:spacing w:after="0"/>
              <w:rPr>
                <w:sz w:val="17"/>
                <w:szCs w:val="17"/>
                <w:color w:val="auto"/>
              </w:rPr>
            </w:pPr>
          </w:p>
        </w:tc>
        <w:tc>
          <w:tcPr>
            <w:tcW w:w="2540" w:type="dxa"/>
            <w:vAlign w:val="bottom"/>
          </w:tcPr>
          <w:p>
            <w:pPr>
              <w:ind w:left="300"/>
              <w:spacing w:after="0"/>
              <w:rPr>
                <w:sz w:val="20"/>
                <w:szCs w:val="20"/>
                <w:color w:val="auto"/>
              </w:rPr>
            </w:pPr>
            <w:r>
              <w:rPr>
                <w:rFonts w:ascii="Arial" w:cs="Arial" w:eastAsia="Arial" w:hAnsi="Arial"/>
                <w:sz w:val="16"/>
                <w:szCs w:val="16"/>
                <w:color w:val="auto"/>
              </w:rPr>
              <w:t>First-lien revolving loan ($427</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4/9/2019</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+ 7.25%</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9.17%</w:t>
            </w:r>
          </w:p>
        </w:tc>
        <w:tc>
          <w:tcPr>
            <w:tcW w:w="760" w:type="dxa"/>
            <w:vAlign w:val="bottom"/>
          </w:tcPr>
          <w:p>
            <w:pPr>
              <w:jc w:val="right"/>
              <w:spacing w:after="0"/>
              <w:rPr>
                <w:sz w:val="20"/>
                <w:szCs w:val="20"/>
                <w:color w:val="auto"/>
              </w:rPr>
            </w:pPr>
            <w:r>
              <w:rPr>
                <w:rFonts w:ascii="Arial" w:cs="Arial" w:eastAsia="Arial" w:hAnsi="Arial"/>
                <w:sz w:val="16"/>
                <w:szCs w:val="16"/>
                <w:color w:val="auto"/>
              </w:rPr>
              <w:t>384</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536</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0.0%</w:t>
            </w:r>
          </w:p>
        </w:tc>
      </w:tr>
      <w:tr>
        <w:trPr>
          <w:trHeight w:val="209"/>
        </w:trPr>
        <w:tc>
          <w:tcPr>
            <w:tcW w:w="2300" w:type="dxa"/>
            <w:vAlign w:val="bottom"/>
          </w:tcPr>
          <w:p>
            <w:pPr>
              <w:spacing w:after="0"/>
              <w:rPr>
                <w:sz w:val="18"/>
                <w:szCs w:val="18"/>
                <w:color w:val="auto"/>
              </w:rPr>
            </w:pPr>
          </w:p>
        </w:tc>
        <w:tc>
          <w:tcPr>
            <w:tcW w:w="2540" w:type="dxa"/>
            <w:vAlign w:val="bottom"/>
          </w:tcPr>
          <w:p>
            <w:pPr>
              <w:ind w:left="300"/>
              <w:spacing w:after="0"/>
              <w:rPr>
                <w:sz w:val="20"/>
                <w:szCs w:val="20"/>
                <w:color w:val="auto"/>
              </w:rPr>
            </w:pPr>
            <w:r>
              <w:rPr>
                <w:rFonts w:ascii="Arial" w:cs="Arial" w:eastAsia="Arial" w:hAnsi="Arial"/>
                <w:sz w:val="16"/>
                <w:szCs w:val="16"/>
                <w:color w:val="auto"/>
              </w:rPr>
              <w:t>par, due 4/2025)</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300" w:type="dxa"/>
            <w:vAlign w:val="bottom"/>
            <w:shd w:val="clear" w:color="auto" w:fill="CFF0FC"/>
          </w:tcPr>
          <w:p>
            <w:pPr>
              <w:spacing w:after="0"/>
              <w:rPr>
                <w:sz w:val="18"/>
                <w:szCs w:val="18"/>
                <w:color w:val="auto"/>
              </w:rPr>
            </w:pPr>
          </w:p>
        </w:tc>
        <w:tc>
          <w:tcPr>
            <w:tcW w:w="2540" w:type="dxa"/>
            <w:vAlign w:val="bottom"/>
            <w:shd w:val="clear" w:color="auto" w:fill="CFF0FC"/>
          </w:tcPr>
          <w:p>
            <w:pPr>
              <w:ind w:left="300"/>
              <w:spacing w:after="0"/>
              <w:rPr>
                <w:sz w:val="20"/>
                <w:szCs w:val="20"/>
                <w:color w:val="auto"/>
              </w:rPr>
            </w:pPr>
            <w:r>
              <w:rPr>
                <w:rFonts w:ascii="Arial" w:cs="Arial" w:eastAsia="Arial" w:hAnsi="Arial"/>
                <w:sz w:val="16"/>
                <w:szCs w:val="16"/>
                <w:color w:val="auto"/>
              </w:rPr>
              <w:t>First-lien revolving loan (EUR</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4/9/2019</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E + 7.25%</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7.25%</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197</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60</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0.0%</w:t>
            </w:r>
          </w:p>
        </w:tc>
      </w:tr>
      <w:tr>
        <w:trPr>
          <w:trHeight w:val="212"/>
        </w:trPr>
        <w:tc>
          <w:tcPr>
            <w:tcW w:w="2300" w:type="dxa"/>
            <w:vAlign w:val="bottom"/>
            <w:shd w:val="clear" w:color="auto" w:fill="CFF0FC"/>
          </w:tcPr>
          <w:p>
            <w:pPr>
              <w:spacing w:after="0"/>
              <w:rPr>
                <w:sz w:val="18"/>
                <w:szCs w:val="18"/>
                <w:color w:val="auto"/>
              </w:rPr>
            </w:pPr>
          </w:p>
        </w:tc>
        <w:tc>
          <w:tcPr>
            <w:tcW w:w="2540" w:type="dxa"/>
            <w:vAlign w:val="bottom"/>
            <w:shd w:val="clear" w:color="auto" w:fill="CFF0FC"/>
          </w:tcPr>
          <w:p>
            <w:pPr>
              <w:ind w:left="300"/>
              <w:spacing w:after="0"/>
              <w:rPr>
                <w:sz w:val="20"/>
                <w:szCs w:val="20"/>
                <w:color w:val="auto"/>
              </w:rPr>
            </w:pPr>
            <w:r>
              <w:rPr>
                <w:rFonts w:ascii="Arial" w:cs="Arial" w:eastAsia="Arial" w:hAnsi="Arial"/>
                <w:sz w:val="16"/>
                <w:szCs w:val="16"/>
                <w:color w:val="auto"/>
              </w:rPr>
              <w:t>183 par, due 4/2025)</w:t>
            </w:r>
          </w:p>
        </w:tc>
        <w:tc>
          <w:tcPr>
            <w:tcW w:w="1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(EUR 54)</w:t>
            </w: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300" w:type="dxa"/>
            <w:vAlign w:val="bottom"/>
          </w:tcPr>
          <w:p>
            <w:pPr>
              <w:spacing w:after="0" w:line="207" w:lineRule="exact"/>
              <w:rPr>
                <w:sz w:val="20"/>
                <w:szCs w:val="20"/>
                <w:color w:val="auto"/>
              </w:rPr>
            </w:pPr>
            <w:r>
              <w:rPr>
                <w:rFonts w:ascii="Arial" w:cs="Arial" w:eastAsia="Arial" w:hAnsi="Arial"/>
                <w:sz w:val="14"/>
                <w:szCs w:val="14"/>
                <w:color w:val="auto"/>
              </w:rPr>
              <w:t xml:space="preserve">PayLease, LLC </w:t>
            </w:r>
            <w:r>
              <w:rPr>
                <w:rFonts w:ascii="Arial" w:cs="Arial" w:eastAsia="Arial" w:hAnsi="Arial"/>
                <w:sz w:val="23"/>
                <w:szCs w:val="23"/>
                <w:color w:val="auto"/>
                <w:vertAlign w:val="superscript"/>
              </w:rPr>
              <w:t>(3)</w:t>
            </w:r>
          </w:p>
        </w:tc>
        <w:tc>
          <w:tcPr>
            <w:tcW w:w="2540" w:type="dxa"/>
            <w:vAlign w:val="bottom"/>
          </w:tcPr>
          <w:p>
            <w:pPr>
              <w:ind w:left="300"/>
              <w:spacing w:after="0"/>
              <w:rPr>
                <w:sz w:val="20"/>
                <w:szCs w:val="20"/>
                <w:color w:val="auto"/>
              </w:rPr>
            </w:pPr>
            <w:r>
              <w:rPr>
                <w:rFonts w:ascii="Arial" w:cs="Arial" w:eastAsia="Arial" w:hAnsi="Arial"/>
                <w:sz w:val="16"/>
                <w:szCs w:val="16"/>
                <w:color w:val="auto"/>
                <w:w w:val="97"/>
              </w:rPr>
              <w:t>First-lien loan ($64,327 par, due</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7/28/2017</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+ 7.25%</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9.05%</w:t>
            </w:r>
          </w:p>
        </w:tc>
        <w:tc>
          <w:tcPr>
            <w:tcW w:w="760" w:type="dxa"/>
            <w:vAlign w:val="bottom"/>
          </w:tcPr>
          <w:p>
            <w:pPr>
              <w:jc w:val="right"/>
              <w:spacing w:after="0"/>
              <w:rPr>
                <w:sz w:val="20"/>
                <w:szCs w:val="20"/>
                <w:color w:val="auto"/>
              </w:rPr>
            </w:pPr>
            <w:r>
              <w:rPr>
                <w:rFonts w:ascii="Arial" w:cs="Arial" w:eastAsia="Arial" w:hAnsi="Arial"/>
                <w:sz w:val="16"/>
                <w:szCs w:val="16"/>
                <w:color w:val="auto"/>
              </w:rPr>
              <w:t>63,518</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65,511</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5.9%</w:t>
            </w:r>
          </w:p>
        </w:tc>
      </w:tr>
      <w:tr>
        <w:trPr>
          <w:trHeight w:val="209"/>
        </w:trPr>
        <w:tc>
          <w:tcPr>
            <w:tcW w:w="2300" w:type="dxa"/>
            <w:vAlign w:val="bottom"/>
          </w:tcPr>
          <w:p>
            <w:pPr>
              <w:spacing w:after="0"/>
              <w:rPr>
                <w:sz w:val="18"/>
                <w:szCs w:val="18"/>
                <w:color w:val="auto"/>
              </w:rPr>
            </w:pPr>
          </w:p>
        </w:tc>
        <w:tc>
          <w:tcPr>
            <w:tcW w:w="2540" w:type="dxa"/>
            <w:vAlign w:val="bottom"/>
          </w:tcPr>
          <w:p>
            <w:pPr>
              <w:ind w:left="300"/>
              <w:spacing w:after="0"/>
              <w:rPr>
                <w:sz w:val="20"/>
                <w:szCs w:val="20"/>
                <w:color w:val="auto"/>
              </w:rPr>
            </w:pPr>
            <w:r>
              <w:rPr>
                <w:rFonts w:ascii="Arial" w:cs="Arial" w:eastAsia="Arial" w:hAnsi="Arial"/>
                <w:sz w:val="16"/>
                <w:szCs w:val="16"/>
                <w:color w:val="auto"/>
              </w:rPr>
              <w:t>7/2022)</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30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PrimeRevenue, Inc. </w:t>
            </w:r>
            <w:r>
              <w:rPr>
                <w:rFonts w:ascii="Arial" w:cs="Arial" w:eastAsia="Arial" w:hAnsi="Arial"/>
                <w:sz w:val="24"/>
                <w:szCs w:val="24"/>
                <w:color w:val="auto"/>
                <w:vertAlign w:val="superscript"/>
              </w:rPr>
              <w:t>(3)</w:t>
            </w:r>
          </w:p>
        </w:tc>
        <w:tc>
          <w:tcPr>
            <w:tcW w:w="2540" w:type="dxa"/>
            <w:vAlign w:val="bottom"/>
            <w:shd w:val="clear" w:color="auto" w:fill="CFF0FC"/>
          </w:tcPr>
          <w:p>
            <w:pPr>
              <w:ind w:left="300"/>
              <w:spacing w:after="0"/>
              <w:rPr>
                <w:sz w:val="20"/>
                <w:szCs w:val="20"/>
                <w:color w:val="auto"/>
              </w:rPr>
            </w:pPr>
            <w:r>
              <w:rPr>
                <w:rFonts w:ascii="Arial" w:cs="Arial" w:eastAsia="Arial" w:hAnsi="Arial"/>
                <w:sz w:val="16"/>
                <w:szCs w:val="16"/>
                <w:color w:val="auto"/>
                <w:w w:val="97"/>
              </w:rPr>
              <w:t>First-lien loan ($21,144 par, due</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12/31/2018</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+ 8.50%</w:t>
            </w:r>
          </w:p>
        </w:tc>
        <w:tc>
          <w:tcPr>
            <w:tcW w:w="136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10.30% (incl.</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20,877</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21,213</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1.9%</w:t>
            </w:r>
          </w:p>
        </w:tc>
      </w:tr>
      <w:tr>
        <w:trPr>
          <w:trHeight w:val="212"/>
        </w:trPr>
        <w:tc>
          <w:tcPr>
            <w:tcW w:w="2300" w:type="dxa"/>
            <w:vAlign w:val="bottom"/>
            <w:shd w:val="clear" w:color="auto" w:fill="CFF0FC"/>
          </w:tcPr>
          <w:p>
            <w:pPr>
              <w:spacing w:after="0"/>
              <w:rPr>
                <w:sz w:val="18"/>
                <w:szCs w:val="18"/>
                <w:color w:val="auto"/>
              </w:rPr>
            </w:pPr>
          </w:p>
        </w:tc>
        <w:tc>
          <w:tcPr>
            <w:tcW w:w="2540" w:type="dxa"/>
            <w:vAlign w:val="bottom"/>
            <w:shd w:val="clear" w:color="auto" w:fill="CFF0FC"/>
          </w:tcPr>
          <w:p>
            <w:pPr>
              <w:ind w:left="300"/>
              <w:spacing w:after="0"/>
              <w:rPr>
                <w:sz w:val="20"/>
                <w:szCs w:val="20"/>
                <w:color w:val="auto"/>
              </w:rPr>
            </w:pPr>
            <w:r>
              <w:rPr>
                <w:rFonts w:ascii="Arial" w:cs="Arial" w:eastAsia="Arial" w:hAnsi="Arial"/>
                <w:sz w:val="16"/>
                <w:szCs w:val="16"/>
                <w:color w:val="auto"/>
              </w:rPr>
              <w:t>12/2023)</w:t>
            </w:r>
          </w:p>
        </w:tc>
        <w:tc>
          <w:tcPr>
            <w:tcW w:w="1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5.50% PIK)</w:t>
            </w: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300" w:type="dxa"/>
            <w:vAlign w:val="bottom"/>
          </w:tcPr>
          <w:p>
            <w:pPr>
              <w:spacing w:after="0" w:line="207" w:lineRule="exact"/>
              <w:rPr>
                <w:sz w:val="20"/>
                <w:szCs w:val="20"/>
                <w:color w:val="auto"/>
              </w:rPr>
            </w:pPr>
            <w:r>
              <w:rPr>
                <w:rFonts w:ascii="Arial" w:cs="Arial" w:eastAsia="Arial" w:hAnsi="Arial"/>
                <w:sz w:val="14"/>
                <w:szCs w:val="14"/>
                <w:color w:val="auto"/>
              </w:rPr>
              <w:t xml:space="preserve">Swift Gift, Ltd. </w:t>
            </w:r>
            <w:r>
              <w:rPr>
                <w:rFonts w:ascii="Arial" w:cs="Arial" w:eastAsia="Arial" w:hAnsi="Arial"/>
                <w:sz w:val="23"/>
                <w:szCs w:val="23"/>
                <w:color w:val="auto"/>
                <w:vertAlign w:val="superscript"/>
              </w:rPr>
              <w:t>(3)(5)</w:t>
            </w:r>
          </w:p>
        </w:tc>
        <w:tc>
          <w:tcPr>
            <w:tcW w:w="2540" w:type="dxa"/>
            <w:vAlign w:val="bottom"/>
          </w:tcPr>
          <w:p>
            <w:pPr>
              <w:ind w:left="300"/>
              <w:spacing w:after="0"/>
              <w:rPr>
                <w:sz w:val="20"/>
                <w:szCs w:val="20"/>
                <w:color w:val="auto"/>
              </w:rPr>
            </w:pPr>
            <w:r>
              <w:rPr>
                <w:rFonts w:ascii="Arial" w:cs="Arial" w:eastAsia="Arial" w:hAnsi="Arial"/>
                <w:sz w:val="16"/>
                <w:szCs w:val="16"/>
                <w:color w:val="auto"/>
                <w:w w:val="97"/>
              </w:rPr>
              <w:t>First-lien loan ($28,146 par, due</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7/31/2017</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+ 6.50%</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8.31%</w:t>
            </w:r>
          </w:p>
        </w:tc>
        <w:tc>
          <w:tcPr>
            <w:tcW w:w="760" w:type="dxa"/>
            <w:vAlign w:val="bottom"/>
          </w:tcPr>
          <w:p>
            <w:pPr>
              <w:jc w:val="right"/>
              <w:spacing w:after="0"/>
              <w:rPr>
                <w:sz w:val="20"/>
                <w:szCs w:val="20"/>
                <w:color w:val="auto"/>
              </w:rPr>
            </w:pPr>
            <w:r>
              <w:rPr>
                <w:rFonts w:ascii="Arial" w:cs="Arial" w:eastAsia="Arial" w:hAnsi="Arial"/>
                <w:sz w:val="16"/>
                <w:szCs w:val="16"/>
                <w:color w:val="auto"/>
              </w:rPr>
              <w:t>27,776</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28,849</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2.6%</w:t>
            </w:r>
          </w:p>
        </w:tc>
      </w:tr>
      <w:tr>
        <w:trPr>
          <w:trHeight w:val="209"/>
        </w:trPr>
        <w:tc>
          <w:tcPr>
            <w:tcW w:w="2300" w:type="dxa"/>
            <w:vAlign w:val="bottom"/>
            <w:tcBorders>
              <w:bottom w:val="single" w:sz="8" w:color="CFF0FC"/>
            </w:tcBorders>
          </w:tcPr>
          <w:p>
            <w:pPr>
              <w:spacing w:after="0"/>
              <w:rPr>
                <w:sz w:val="18"/>
                <w:szCs w:val="18"/>
                <w:color w:val="auto"/>
              </w:rPr>
            </w:pPr>
          </w:p>
        </w:tc>
        <w:tc>
          <w:tcPr>
            <w:tcW w:w="2540" w:type="dxa"/>
            <w:vAlign w:val="bottom"/>
            <w:tcBorders>
              <w:bottom w:val="single" w:sz="8" w:color="CFF0FC"/>
            </w:tcBorders>
          </w:tcPr>
          <w:p>
            <w:pPr>
              <w:ind w:left="300"/>
              <w:spacing w:after="0"/>
              <w:rPr>
                <w:sz w:val="20"/>
                <w:szCs w:val="20"/>
                <w:color w:val="auto"/>
              </w:rPr>
            </w:pPr>
            <w:r>
              <w:rPr>
                <w:rFonts w:ascii="Arial" w:cs="Arial" w:eastAsia="Arial" w:hAnsi="Arial"/>
                <w:sz w:val="16"/>
                <w:szCs w:val="16"/>
                <w:color w:val="auto"/>
              </w:rPr>
              <w:t>1/2022)</w:t>
            </w:r>
          </w:p>
        </w:tc>
        <w:tc>
          <w:tcPr>
            <w:tcW w:w="1000" w:type="dxa"/>
            <w:vAlign w:val="bottom"/>
            <w:tcBorders>
              <w:bottom w:val="single" w:sz="8" w:color="CFF0FC"/>
            </w:tcBorders>
          </w:tcPr>
          <w:p>
            <w:pPr>
              <w:spacing w:after="0"/>
              <w:rPr>
                <w:sz w:val="18"/>
                <w:szCs w:val="18"/>
                <w:color w:val="auto"/>
              </w:rPr>
            </w:pPr>
          </w:p>
        </w:tc>
        <w:tc>
          <w:tcPr>
            <w:tcW w:w="1060" w:type="dxa"/>
            <w:vAlign w:val="bottom"/>
            <w:tcBorders>
              <w:bottom w:val="single" w:sz="8" w:color="CFF0FC"/>
            </w:tcBorders>
          </w:tcPr>
          <w:p>
            <w:pPr>
              <w:spacing w:after="0"/>
              <w:rPr>
                <w:sz w:val="18"/>
                <w:szCs w:val="18"/>
                <w:color w:val="auto"/>
              </w:rPr>
            </w:pPr>
          </w:p>
        </w:tc>
        <w:tc>
          <w:tcPr>
            <w:tcW w:w="136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r>
      <w:tr>
        <w:trPr>
          <w:trHeight w:val="213"/>
        </w:trPr>
        <w:tc>
          <w:tcPr>
            <w:tcW w:w="2300" w:type="dxa"/>
            <w:vAlign w:val="bottom"/>
            <w:shd w:val="clear" w:color="auto" w:fill="CFF0FC"/>
          </w:tcPr>
          <w:p>
            <w:pPr>
              <w:spacing w:after="0"/>
              <w:rPr>
                <w:sz w:val="18"/>
                <w:szCs w:val="18"/>
                <w:color w:val="auto"/>
              </w:rPr>
            </w:pPr>
          </w:p>
        </w:tc>
        <w:tc>
          <w:tcPr>
            <w:tcW w:w="25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279,383</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283,696</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25.3%</w:t>
            </w:r>
          </w:p>
        </w:tc>
      </w:tr>
      <w:tr>
        <w:trPr>
          <w:trHeight w:val="207"/>
        </w:trPr>
        <w:tc>
          <w:tcPr>
            <w:tcW w:w="2300" w:type="dxa"/>
            <w:vAlign w:val="bottom"/>
          </w:tcPr>
          <w:p>
            <w:pPr>
              <w:spacing w:after="0"/>
              <w:rPr>
                <w:sz w:val="20"/>
                <w:szCs w:val="20"/>
                <w:color w:val="auto"/>
              </w:rPr>
            </w:pPr>
            <w:r>
              <w:rPr>
                <w:rFonts w:ascii="Arial" w:cs="Arial" w:eastAsia="Arial" w:hAnsi="Arial"/>
                <w:sz w:val="16"/>
                <w:szCs w:val="16"/>
                <w:b w:val="1"/>
                <w:bCs w:val="1"/>
                <w:color w:val="auto"/>
              </w:rPr>
              <w:t>Healthcare</w:t>
            </w:r>
          </w:p>
        </w:tc>
        <w:tc>
          <w:tcPr>
            <w:tcW w:w="2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2300" w:type="dxa"/>
            <w:vAlign w:val="bottom"/>
            <w:shd w:val="clear" w:color="auto" w:fill="CFF0FC"/>
          </w:tcPr>
          <w:p>
            <w:pPr>
              <w:spacing w:after="0"/>
              <w:rPr>
                <w:sz w:val="20"/>
                <w:szCs w:val="20"/>
                <w:color w:val="auto"/>
              </w:rPr>
            </w:pPr>
            <w:r>
              <w:rPr>
                <w:rFonts w:ascii="Arial" w:cs="Arial" w:eastAsia="Arial" w:hAnsi="Arial"/>
                <w:sz w:val="16"/>
                <w:szCs w:val="16"/>
                <w:color w:val="auto"/>
              </w:rPr>
              <w:t>Caris Life Sciences, Ltd.</w:t>
            </w:r>
          </w:p>
        </w:tc>
        <w:tc>
          <w:tcPr>
            <w:tcW w:w="2540" w:type="dxa"/>
            <w:vAlign w:val="bottom"/>
            <w:shd w:val="clear" w:color="auto" w:fill="CFF0FC"/>
          </w:tcPr>
          <w:p>
            <w:pPr>
              <w:ind w:left="300"/>
              <w:spacing w:after="0"/>
              <w:rPr>
                <w:sz w:val="20"/>
                <w:szCs w:val="20"/>
                <w:color w:val="auto"/>
              </w:rPr>
            </w:pPr>
            <w:r>
              <w:rPr>
                <w:rFonts w:ascii="Arial" w:cs="Arial" w:eastAsia="Arial" w:hAnsi="Arial"/>
                <w:sz w:val="16"/>
                <w:szCs w:val="16"/>
                <w:color w:val="auto"/>
              </w:rPr>
              <w:t>First-lien loan ($5,000 par, due</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9/21/2018</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11.30%</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11.30%</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4,855</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4,956</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0.4%</w:t>
            </w:r>
          </w:p>
        </w:tc>
      </w:tr>
      <w:tr>
        <w:trPr>
          <w:trHeight w:val="212"/>
        </w:trPr>
        <w:tc>
          <w:tcPr>
            <w:tcW w:w="2300" w:type="dxa"/>
            <w:vAlign w:val="bottom"/>
            <w:shd w:val="clear" w:color="auto" w:fill="CFF0FC"/>
          </w:tcPr>
          <w:p>
            <w:pPr>
              <w:spacing w:after="0"/>
              <w:rPr>
                <w:sz w:val="18"/>
                <w:szCs w:val="18"/>
                <w:color w:val="auto"/>
              </w:rPr>
            </w:pPr>
          </w:p>
        </w:tc>
        <w:tc>
          <w:tcPr>
            <w:tcW w:w="2540" w:type="dxa"/>
            <w:vAlign w:val="bottom"/>
            <w:shd w:val="clear" w:color="auto" w:fill="CFF0FC"/>
          </w:tcPr>
          <w:p>
            <w:pPr>
              <w:ind w:left="300"/>
              <w:spacing w:after="0"/>
              <w:rPr>
                <w:sz w:val="20"/>
                <w:szCs w:val="20"/>
                <w:color w:val="auto"/>
              </w:rPr>
            </w:pPr>
            <w:r>
              <w:rPr>
                <w:rFonts w:ascii="Arial" w:cs="Arial" w:eastAsia="Arial" w:hAnsi="Arial"/>
                <w:sz w:val="16"/>
                <w:szCs w:val="16"/>
                <w:color w:val="auto"/>
              </w:rPr>
              <w:t>9/2023)</w:t>
            </w:r>
          </w:p>
        </w:tc>
        <w:tc>
          <w:tcPr>
            <w:tcW w:w="1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300" w:type="dxa"/>
            <w:vAlign w:val="bottom"/>
          </w:tcPr>
          <w:p>
            <w:pPr>
              <w:spacing w:after="0"/>
              <w:rPr>
                <w:sz w:val="17"/>
                <w:szCs w:val="17"/>
                <w:color w:val="auto"/>
              </w:rPr>
            </w:pPr>
          </w:p>
        </w:tc>
        <w:tc>
          <w:tcPr>
            <w:tcW w:w="2540" w:type="dxa"/>
            <w:vAlign w:val="bottom"/>
          </w:tcPr>
          <w:p>
            <w:pPr>
              <w:ind w:left="300"/>
              <w:spacing w:after="0"/>
              <w:rPr>
                <w:sz w:val="20"/>
                <w:szCs w:val="20"/>
                <w:color w:val="auto"/>
              </w:rPr>
            </w:pPr>
            <w:r>
              <w:rPr>
                <w:rFonts w:ascii="Arial" w:cs="Arial" w:eastAsia="Arial" w:hAnsi="Arial"/>
                <w:sz w:val="16"/>
                <w:szCs w:val="16"/>
                <w:color w:val="auto"/>
              </w:rPr>
              <w:t>Convertible note ($2,500 par,</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9/21/2018</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8.00%</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8.00%</w:t>
            </w:r>
          </w:p>
        </w:tc>
        <w:tc>
          <w:tcPr>
            <w:tcW w:w="760" w:type="dxa"/>
            <w:vAlign w:val="bottom"/>
          </w:tcPr>
          <w:p>
            <w:pPr>
              <w:jc w:val="right"/>
              <w:spacing w:after="0"/>
              <w:rPr>
                <w:sz w:val="20"/>
                <w:szCs w:val="20"/>
                <w:color w:val="auto"/>
              </w:rPr>
            </w:pPr>
            <w:r>
              <w:rPr>
                <w:rFonts w:ascii="Arial" w:cs="Arial" w:eastAsia="Arial" w:hAnsi="Arial"/>
                <w:sz w:val="16"/>
                <w:szCs w:val="16"/>
                <w:color w:val="auto"/>
              </w:rPr>
              <w:t>2,500</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2,550</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0.2%</w:t>
            </w:r>
          </w:p>
        </w:tc>
      </w:tr>
      <w:tr>
        <w:trPr>
          <w:trHeight w:val="209"/>
        </w:trPr>
        <w:tc>
          <w:tcPr>
            <w:tcW w:w="2300" w:type="dxa"/>
            <w:vAlign w:val="bottom"/>
          </w:tcPr>
          <w:p>
            <w:pPr>
              <w:spacing w:after="0"/>
              <w:rPr>
                <w:sz w:val="18"/>
                <w:szCs w:val="18"/>
                <w:color w:val="auto"/>
              </w:rPr>
            </w:pPr>
          </w:p>
        </w:tc>
        <w:tc>
          <w:tcPr>
            <w:tcW w:w="2540" w:type="dxa"/>
            <w:vAlign w:val="bottom"/>
          </w:tcPr>
          <w:p>
            <w:pPr>
              <w:ind w:left="300"/>
              <w:spacing w:after="0"/>
              <w:rPr>
                <w:sz w:val="20"/>
                <w:szCs w:val="20"/>
                <w:color w:val="auto"/>
              </w:rPr>
            </w:pPr>
            <w:r>
              <w:rPr>
                <w:rFonts w:ascii="Arial" w:cs="Arial" w:eastAsia="Arial" w:hAnsi="Arial"/>
                <w:sz w:val="16"/>
                <w:szCs w:val="16"/>
                <w:color w:val="auto"/>
              </w:rPr>
              <w:t>due 9/2023)</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30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Clinicient, Inc.</w:t>
            </w:r>
            <w:r>
              <w:rPr>
                <w:rFonts w:ascii="Arial" w:cs="Arial" w:eastAsia="Arial" w:hAnsi="Arial"/>
                <w:sz w:val="24"/>
                <w:szCs w:val="24"/>
                <w:color w:val="auto"/>
                <w:vertAlign w:val="superscript"/>
              </w:rPr>
              <w:t>(3)</w:t>
            </w:r>
          </w:p>
        </w:tc>
        <w:tc>
          <w:tcPr>
            <w:tcW w:w="2540" w:type="dxa"/>
            <w:vAlign w:val="bottom"/>
            <w:shd w:val="clear" w:color="auto" w:fill="CFF0FC"/>
          </w:tcPr>
          <w:p>
            <w:pPr>
              <w:ind w:left="300"/>
              <w:spacing w:after="0"/>
              <w:rPr>
                <w:sz w:val="20"/>
                <w:szCs w:val="20"/>
                <w:color w:val="auto"/>
              </w:rPr>
            </w:pPr>
            <w:r>
              <w:rPr>
                <w:rFonts w:ascii="Arial" w:cs="Arial" w:eastAsia="Arial" w:hAnsi="Arial"/>
                <w:sz w:val="16"/>
                <w:szCs w:val="16"/>
                <w:color w:val="auto"/>
                <w:w w:val="97"/>
              </w:rPr>
              <w:t>First-lien loan ($15,000 par, due</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5/31/2019</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+ 7.00%</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8.94%</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14,829</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14,858</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1.3%</w:t>
            </w:r>
          </w:p>
        </w:tc>
      </w:tr>
      <w:tr>
        <w:trPr>
          <w:trHeight w:val="212"/>
        </w:trPr>
        <w:tc>
          <w:tcPr>
            <w:tcW w:w="2300" w:type="dxa"/>
            <w:vAlign w:val="bottom"/>
            <w:shd w:val="clear" w:color="auto" w:fill="CFF0FC"/>
          </w:tcPr>
          <w:p>
            <w:pPr>
              <w:spacing w:after="0"/>
              <w:rPr>
                <w:sz w:val="18"/>
                <w:szCs w:val="18"/>
                <w:color w:val="auto"/>
              </w:rPr>
            </w:pPr>
          </w:p>
        </w:tc>
        <w:tc>
          <w:tcPr>
            <w:tcW w:w="2540" w:type="dxa"/>
            <w:vAlign w:val="bottom"/>
            <w:shd w:val="clear" w:color="auto" w:fill="CFF0FC"/>
          </w:tcPr>
          <w:p>
            <w:pPr>
              <w:ind w:left="300"/>
              <w:spacing w:after="0"/>
              <w:rPr>
                <w:sz w:val="20"/>
                <w:szCs w:val="20"/>
                <w:color w:val="auto"/>
              </w:rPr>
            </w:pPr>
            <w:r>
              <w:rPr>
                <w:rFonts w:ascii="Arial" w:cs="Arial" w:eastAsia="Arial" w:hAnsi="Arial"/>
                <w:sz w:val="16"/>
                <w:szCs w:val="16"/>
                <w:color w:val="auto"/>
              </w:rPr>
              <w:t>5/2024)</w:t>
            </w:r>
          </w:p>
        </w:tc>
        <w:tc>
          <w:tcPr>
            <w:tcW w:w="1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3"/>
        </w:trPr>
        <w:tc>
          <w:tcPr>
            <w:tcW w:w="2300" w:type="dxa"/>
            <w:vAlign w:val="bottom"/>
          </w:tcPr>
          <w:p>
            <w:pPr>
              <w:spacing w:after="0"/>
              <w:rPr>
                <w:sz w:val="20"/>
                <w:szCs w:val="20"/>
                <w:color w:val="auto"/>
              </w:rPr>
            </w:pPr>
            <w:r>
              <w:rPr>
                <w:rFonts w:ascii="Arial" w:cs="Arial" w:eastAsia="Arial" w:hAnsi="Arial"/>
                <w:sz w:val="16"/>
                <w:szCs w:val="16"/>
                <w:color w:val="auto"/>
              </w:rPr>
              <w:t>Integrated Practice</w:t>
            </w:r>
          </w:p>
        </w:tc>
        <w:tc>
          <w:tcPr>
            <w:tcW w:w="2540" w:type="dxa"/>
            <w:vAlign w:val="bottom"/>
          </w:tcPr>
          <w:p>
            <w:pPr>
              <w:ind w:left="300"/>
              <w:spacing w:after="0"/>
              <w:rPr>
                <w:sz w:val="20"/>
                <w:szCs w:val="20"/>
                <w:color w:val="auto"/>
              </w:rPr>
            </w:pPr>
            <w:r>
              <w:rPr>
                <w:rFonts w:ascii="Arial" w:cs="Arial" w:eastAsia="Arial" w:hAnsi="Arial"/>
                <w:sz w:val="16"/>
                <w:szCs w:val="16"/>
                <w:color w:val="auto"/>
                <w:w w:val="97"/>
              </w:rPr>
              <w:t>First-lien loan ($49,875 par, due</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6/30/2017</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+ 7.50%</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9.30%</w:t>
            </w:r>
          </w:p>
        </w:tc>
        <w:tc>
          <w:tcPr>
            <w:tcW w:w="760" w:type="dxa"/>
            <w:vAlign w:val="bottom"/>
          </w:tcPr>
          <w:p>
            <w:pPr>
              <w:jc w:val="right"/>
              <w:spacing w:after="0"/>
              <w:rPr>
                <w:sz w:val="20"/>
                <w:szCs w:val="20"/>
                <w:color w:val="auto"/>
              </w:rPr>
            </w:pPr>
            <w:r>
              <w:rPr>
                <w:rFonts w:ascii="Arial" w:cs="Arial" w:eastAsia="Arial" w:hAnsi="Arial"/>
                <w:sz w:val="16"/>
                <w:szCs w:val="16"/>
                <w:color w:val="auto"/>
              </w:rPr>
              <w:t>48,104</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49,875</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4.5%</w:t>
            </w:r>
          </w:p>
        </w:tc>
      </w:tr>
      <w:tr>
        <w:trPr>
          <w:trHeight w:val="216"/>
        </w:trPr>
        <w:tc>
          <w:tcPr>
            <w:tcW w:w="2300" w:type="dxa"/>
            <w:vAlign w:val="bottom"/>
          </w:tcPr>
          <w:p>
            <w:pPr>
              <w:ind w:left="120"/>
              <w:spacing w:after="0" w:line="216" w:lineRule="exact"/>
              <w:rPr>
                <w:sz w:val="20"/>
                <w:szCs w:val="20"/>
                <w:color w:val="auto"/>
              </w:rPr>
            </w:pPr>
            <w:r>
              <w:rPr>
                <w:rFonts w:ascii="Arial" w:cs="Arial" w:eastAsia="Arial" w:hAnsi="Arial"/>
                <w:sz w:val="15"/>
                <w:szCs w:val="15"/>
                <w:color w:val="auto"/>
              </w:rPr>
              <w:t xml:space="preserve">Solutions, Inc. </w:t>
            </w:r>
            <w:r>
              <w:rPr>
                <w:rFonts w:ascii="Arial" w:cs="Arial" w:eastAsia="Arial" w:hAnsi="Arial"/>
                <w:sz w:val="25"/>
                <w:szCs w:val="25"/>
                <w:color w:val="auto"/>
                <w:vertAlign w:val="superscript"/>
              </w:rPr>
              <w:t>(3)(5)</w:t>
            </w:r>
          </w:p>
        </w:tc>
        <w:tc>
          <w:tcPr>
            <w:tcW w:w="2540" w:type="dxa"/>
            <w:vAlign w:val="bottom"/>
          </w:tcPr>
          <w:p>
            <w:pPr>
              <w:ind w:left="300"/>
              <w:spacing w:after="0"/>
              <w:rPr>
                <w:sz w:val="20"/>
                <w:szCs w:val="20"/>
                <w:color w:val="auto"/>
              </w:rPr>
            </w:pPr>
            <w:r>
              <w:rPr>
                <w:rFonts w:ascii="Arial" w:cs="Arial" w:eastAsia="Arial" w:hAnsi="Arial"/>
                <w:sz w:val="16"/>
                <w:szCs w:val="16"/>
                <w:color w:val="auto"/>
              </w:rPr>
              <w:t>10/2024)</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6"/>
        </w:trPr>
        <w:tc>
          <w:tcPr>
            <w:tcW w:w="2300" w:type="dxa"/>
            <w:vAlign w:val="bottom"/>
            <w:shd w:val="clear" w:color="auto" w:fill="CFF0FC"/>
          </w:tcPr>
          <w:p>
            <w:pPr>
              <w:spacing w:after="0" w:line="207" w:lineRule="exact"/>
              <w:rPr>
                <w:sz w:val="20"/>
                <w:szCs w:val="20"/>
                <w:color w:val="auto"/>
              </w:rPr>
            </w:pPr>
            <w:r>
              <w:rPr>
                <w:rFonts w:ascii="Arial" w:cs="Arial" w:eastAsia="Arial" w:hAnsi="Arial"/>
                <w:sz w:val="14"/>
                <w:szCs w:val="14"/>
                <w:color w:val="auto"/>
              </w:rPr>
              <w:t xml:space="preserve">MedeAnalytics, Inc. </w:t>
            </w:r>
            <w:r>
              <w:rPr>
                <w:rFonts w:ascii="Arial" w:cs="Arial" w:eastAsia="Arial" w:hAnsi="Arial"/>
                <w:sz w:val="23"/>
                <w:szCs w:val="23"/>
                <w:color w:val="auto"/>
                <w:vertAlign w:val="superscript"/>
              </w:rPr>
              <w:t>(3)(5)</w:t>
            </w:r>
          </w:p>
        </w:tc>
        <w:tc>
          <w:tcPr>
            <w:tcW w:w="2540" w:type="dxa"/>
            <w:vAlign w:val="bottom"/>
            <w:shd w:val="clear" w:color="auto" w:fill="CFF0FC"/>
          </w:tcPr>
          <w:p>
            <w:pPr>
              <w:ind w:left="300"/>
              <w:spacing w:after="0"/>
              <w:rPr>
                <w:sz w:val="20"/>
                <w:szCs w:val="20"/>
                <w:color w:val="auto"/>
              </w:rPr>
            </w:pPr>
            <w:r>
              <w:rPr>
                <w:rFonts w:ascii="Arial" w:cs="Arial" w:eastAsia="Arial" w:hAnsi="Arial"/>
                <w:sz w:val="16"/>
                <w:szCs w:val="16"/>
                <w:color w:val="auto"/>
                <w:w w:val="97"/>
              </w:rPr>
              <w:t>First-lien loan ($40,773 par, due</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9/30/2015</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+ 7.50%</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9.30%</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40,556</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40,875</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3.7%</w:t>
            </w:r>
          </w:p>
        </w:tc>
      </w:tr>
      <w:tr>
        <w:trPr>
          <w:trHeight w:val="212"/>
        </w:trPr>
        <w:tc>
          <w:tcPr>
            <w:tcW w:w="2300" w:type="dxa"/>
            <w:vAlign w:val="bottom"/>
            <w:shd w:val="clear" w:color="auto" w:fill="CFF0FC"/>
          </w:tcPr>
          <w:p>
            <w:pPr>
              <w:spacing w:after="0"/>
              <w:rPr>
                <w:sz w:val="18"/>
                <w:szCs w:val="18"/>
                <w:color w:val="auto"/>
              </w:rPr>
            </w:pPr>
          </w:p>
        </w:tc>
        <w:tc>
          <w:tcPr>
            <w:tcW w:w="2540" w:type="dxa"/>
            <w:vAlign w:val="bottom"/>
            <w:shd w:val="clear" w:color="auto" w:fill="CFF0FC"/>
          </w:tcPr>
          <w:p>
            <w:pPr>
              <w:ind w:left="300"/>
              <w:spacing w:after="0"/>
              <w:rPr>
                <w:sz w:val="20"/>
                <w:szCs w:val="20"/>
                <w:color w:val="auto"/>
              </w:rPr>
            </w:pPr>
            <w:r>
              <w:rPr>
                <w:rFonts w:ascii="Arial" w:cs="Arial" w:eastAsia="Arial" w:hAnsi="Arial"/>
                <w:sz w:val="16"/>
                <w:szCs w:val="16"/>
                <w:color w:val="auto"/>
              </w:rPr>
              <w:t>9/2020)</w:t>
            </w:r>
          </w:p>
        </w:tc>
        <w:tc>
          <w:tcPr>
            <w:tcW w:w="1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300" w:type="dxa"/>
            <w:vAlign w:val="bottom"/>
          </w:tcPr>
          <w:p>
            <w:pPr>
              <w:spacing w:after="0" w:line="207" w:lineRule="exact"/>
              <w:rPr>
                <w:sz w:val="20"/>
                <w:szCs w:val="20"/>
                <w:color w:val="auto"/>
              </w:rPr>
            </w:pPr>
            <w:r>
              <w:rPr>
                <w:rFonts w:ascii="Arial" w:cs="Arial" w:eastAsia="Arial" w:hAnsi="Arial"/>
                <w:sz w:val="14"/>
                <w:szCs w:val="14"/>
                <w:color w:val="auto"/>
              </w:rPr>
              <w:t xml:space="preserve">Quantros, Inc. </w:t>
            </w:r>
            <w:r>
              <w:rPr>
                <w:rFonts w:ascii="Arial" w:cs="Arial" w:eastAsia="Arial" w:hAnsi="Arial"/>
                <w:sz w:val="23"/>
                <w:szCs w:val="23"/>
                <w:color w:val="auto"/>
                <w:vertAlign w:val="superscript"/>
              </w:rPr>
              <w:t>(3)(5)</w:t>
            </w:r>
          </w:p>
        </w:tc>
        <w:tc>
          <w:tcPr>
            <w:tcW w:w="2540" w:type="dxa"/>
            <w:vAlign w:val="bottom"/>
          </w:tcPr>
          <w:p>
            <w:pPr>
              <w:ind w:left="300"/>
              <w:spacing w:after="0"/>
              <w:rPr>
                <w:sz w:val="20"/>
                <w:szCs w:val="20"/>
                <w:color w:val="auto"/>
              </w:rPr>
            </w:pPr>
            <w:r>
              <w:rPr>
                <w:rFonts w:ascii="Arial" w:cs="Arial" w:eastAsia="Arial" w:hAnsi="Arial"/>
                <w:sz w:val="16"/>
                <w:szCs w:val="16"/>
                <w:color w:val="auto"/>
                <w:w w:val="97"/>
              </w:rPr>
              <w:t>First-lien loan ($18,444 par, due</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2/29/2016</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+ 8.50%</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10.41%</w:t>
            </w:r>
          </w:p>
        </w:tc>
        <w:tc>
          <w:tcPr>
            <w:tcW w:w="760" w:type="dxa"/>
            <w:vAlign w:val="bottom"/>
          </w:tcPr>
          <w:p>
            <w:pPr>
              <w:jc w:val="right"/>
              <w:spacing w:after="0"/>
              <w:rPr>
                <w:sz w:val="20"/>
                <w:szCs w:val="20"/>
                <w:color w:val="auto"/>
              </w:rPr>
            </w:pPr>
            <w:r>
              <w:rPr>
                <w:rFonts w:ascii="Arial" w:cs="Arial" w:eastAsia="Arial" w:hAnsi="Arial"/>
                <w:sz w:val="16"/>
                <w:szCs w:val="16"/>
                <w:color w:val="auto"/>
              </w:rPr>
              <w:t>18,326</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18,444</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1.6%</w:t>
            </w:r>
          </w:p>
        </w:tc>
      </w:tr>
      <w:tr>
        <w:trPr>
          <w:trHeight w:val="209"/>
        </w:trPr>
        <w:tc>
          <w:tcPr>
            <w:tcW w:w="2300" w:type="dxa"/>
            <w:vAlign w:val="bottom"/>
          </w:tcPr>
          <w:p>
            <w:pPr>
              <w:spacing w:after="0"/>
              <w:rPr>
                <w:sz w:val="18"/>
                <w:szCs w:val="18"/>
                <w:color w:val="auto"/>
              </w:rPr>
            </w:pPr>
          </w:p>
        </w:tc>
        <w:tc>
          <w:tcPr>
            <w:tcW w:w="2540" w:type="dxa"/>
            <w:vAlign w:val="bottom"/>
          </w:tcPr>
          <w:p>
            <w:pPr>
              <w:ind w:left="300"/>
              <w:spacing w:after="0"/>
              <w:rPr>
                <w:sz w:val="20"/>
                <w:szCs w:val="20"/>
                <w:color w:val="auto"/>
              </w:rPr>
            </w:pPr>
            <w:r>
              <w:rPr>
                <w:rFonts w:ascii="Arial" w:cs="Arial" w:eastAsia="Arial" w:hAnsi="Arial"/>
                <w:sz w:val="16"/>
                <w:szCs w:val="16"/>
                <w:color w:val="auto"/>
              </w:rPr>
              <w:t>12/2020)</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6"/>
        </w:trPr>
        <w:tc>
          <w:tcPr>
            <w:tcW w:w="2300" w:type="dxa"/>
            <w:vAlign w:val="bottom"/>
            <w:shd w:val="clear" w:color="auto" w:fill="CFF0FC"/>
          </w:tcPr>
          <w:p>
            <w:pPr>
              <w:spacing w:after="0"/>
              <w:rPr>
                <w:sz w:val="20"/>
                <w:szCs w:val="20"/>
                <w:color w:val="auto"/>
              </w:rPr>
            </w:pPr>
            <w:r>
              <w:rPr>
                <w:rFonts w:ascii="Arial" w:cs="Arial" w:eastAsia="Arial" w:hAnsi="Arial"/>
                <w:sz w:val="16"/>
                <w:szCs w:val="16"/>
                <w:color w:val="auto"/>
              </w:rPr>
              <w:t>Valant Medical Solutions,</w:t>
            </w:r>
          </w:p>
        </w:tc>
        <w:tc>
          <w:tcPr>
            <w:tcW w:w="2540" w:type="dxa"/>
            <w:vAlign w:val="bottom"/>
            <w:shd w:val="clear" w:color="auto" w:fill="CFF0FC"/>
          </w:tcPr>
          <w:p>
            <w:pPr>
              <w:ind w:left="300"/>
              <w:spacing w:after="0"/>
              <w:rPr>
                <w:sz w:val="20"/>
                <w:szCs w:val="20"/>
                <w:color w:val="auto"/>
              </w:rPr>
            </w:pPr>
            <w:r>
              <w:rPr>
                <w:rFonts w:ascii="Arial" w:cs="Arial" w:eastAsia="Arial" w:hAnsi="Arial"/>
                <w:sz w:val="16"/>
                <w:szCs w:val="16"/>
                <w:color w:val="auto"/>
                <w:w w:val="97"/>
              </w:rPr>
              <w:t>First-lien loan ($27,936 par, due</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4/8/2019</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+ 8.75%</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10.55%</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27,117</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27,372</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2.4%</w:t>
            </w:r>
          </w:p>
        </w:tc>
      </w:tr>
      <w:tr>
        <w:trPr>
          <w:trHeight w:val="216"/>
        </w:trPr>
        <w:tc>
          <w:tcPr>
            <w:tcW w:w="2300" w:type="dxa"/>
            <w:vAlign w:val="bottom"/>
            <w:shd w:val="clear" w:color="auto" w:fill="CFF0FC"/>
          </w:tcPr>
          <w:p>
            <w:pPr>
              <w:ind w:left="120"/>
              <w:spacing w:after="0" w:line="216" w:lineRule="exact"/>
              <w:rPr>
                <w:sz w:val="20"/>
                <w:szCs w:val="20"/>
                <w:color w:val="auto"/>
              </w:rPr>
            </w:pPr>
            <w:r>
              <w:rPr>
                <w:rFonts w:ascii="Arial" w:cs="Arial" w:eastAsia="Arial" w:hAnsi="Arial"/>
                <w:sz w:val="15"/>
                <w:szCs w:val="15"/>
                <w:color w:val="auto"/>
              </w:rPr>
              <w:t xml:space="preserve">Inc. </w:t>
            </w:r>
            <w:r>
              <w:rPr>
                <w:rFonts w:ascii="Arial" w:cs="Arial" w:eastAsia="Arial" w:hAnsi="Arial"/>
                <w:sz w:val="25"/>
                <w:szCs w:val="25"/>
                <w:color w:val="auto"/>
                <w:vertAlign w:val="superscript"/>
              </w:rPr>
              <w:t>(3)</w:t>
            </w:r>
          </w:p>
        </w:tc>
        <w:tc>
          <w:tcPr>
            <w:tcW w:w="2540" w:type="dxa"/>
            <w:vAlign w:val="bottom"/>
            <w:shd w:val="clear" w:color="auto" w:fill="CFF0FC"/>
          </w:tcPr>
          <w:p>
            <w:pPr>
              <w:ind w:left="300"/>
              <w:spacing w:after="0"/>
              <w:rPr>
                <w:sz w:val="20"/>
                <w:szCs w:val="20"/>
                <w:color w:val="auto"/>
              </w:rPr>
            </w:pPr>
            <w:r>
              <w:rPr>
                <w:rFonts w:ascii="Arial" w:cs="Arial" w:eastAsia="Arial" w:hAnsi="Arial"/>
                <w:sz w:val="16"/>
                <w:szCs w:val="16"/>
                <w:color w:val="auto"/>
              </w:rPr>
              <w:t>4/2024)</w:t>
            </w:r>
          </w:p>
        </w:tc>
        <w:tc>
          <w:tcPr>
            <w:tcW w:w="1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300" w:type="dxa"/>
            <w:vAlign w:val="bottom"/>
          </w:tcPr>
          <w:p>
            <w:pPr>
              <w:spacing w:after="0" w:line="207" w:lineRule="exact"/>
              <w:rPr>
                <w:sz w:val="20"/>
                <w:szCs w:val="20"/>
                <w:color w:val="auto"/>
              </w:rPr>
            </w:pPr>
            <w:r>
              <w:rPr>
                <w:rFonts w:ascii="Arial" w:cs="Arial" w:eastAsia="Arial" w:hAnsi="Arial"/>
                <w:sz w:val="14"/>
                <w:szCs w:val="14"/>
                <w:color w:val="auto"/>
              </w:rPr>
              <w:t xml:space="preserve">Vita Bidco, Inc. </w:t>
            </w:r>
            <w:r>
              <w:rPr>
                <w:rFonts w:ascii="Arial" w:cs="Arial" w:eastAsia="Arial" w:hAnsi="Arial"/>
                <w:sz w:val="23"/>
                <w:szCs w:val="23"/>
                <w:color w:val="auto"/>
                <w:vertAlign w:val="superscript"/>
              </w:rPr>
              <w:t>(3)(5)</w:t>
            </w:r>
          </w:p>
        </w:tc>
        <w:tc>
          <w:tcPr>
            <w:tcW w:w="2540" w:type="dxa"/>
            <w:vAlign w:val="bottom"/>
          </w:tcPr>
          <w:p>
            <w:pPr>
              <w:ind w:left="300"/>
              <w:spacing w:after="0"/>
              <w:rPr>
                <w:sz w:val="20"/>
                <w:szCs w:val="20"/>
                <w:color w:val="auto"/>
              </w:rPr>
            </w:pPr>
            <w:r>
              <w:rPr>
                <w:rFonts w:ascii="Arial" w:cs="Arial" w:eastAsia="Arial" w:hAnsi="Arial"/>
                <w:sz w:val="16"/>
                <w:szCs w:val="16"/>
                <w:color w:val="auto"/>
                <w:w w:val="97"/>
              </w:rPr>
              <w:t>First-lien loan ($21,773 par, due</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2/11/2019</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+ 6.50%</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8.30%</w:t>
            </w:r>
          </w:p>
        </w:tc>
        <w:tc>
          <w:tcPr>
            <w:tcW w:w="760" w:type="dxa"/>
            <w:vAlign w:val="bottom"/>
          </w:tcPr>
          <w:p>
            <w:pPr>
              <w:jc w:val="right"/>
              <w:spacing w:after="0"/>
              <w:rPr>
                <w:sz w:val="20"/>
                <w:szCs w:val="20"/>
                <w:color w:val="auto"/>
              </w:rPr>
            </w:pPr>
            <w:r>
              <w:rPr>
                <w:rFonts w:ascii="Arial" w:cs="Arial" w:eastAsia="Arial" w:hAnsi="Arial"/>
                <w:sz w:val="16"/>
                <w:szCs w:val="16"/>
                <w:color w:val="auto"/>
              </w:rPr>
              <w:t>21,237</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21,773</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1.9%</w:t>
            </w:r>
          </w:p>
        </w:tc>
      </w:tr>
      <w:tr>
        <w:trPr>
          <w:trHeight w:val="209"/>
        </w:trPr>
        <w:tc>
          <w:tcPr>
            <w:tcW w:w="2300" w:type="dxa"/>
            <w:vAlign w:val="bottom"/>
            <w:tcBorders>
              <w:bottom w:val="single" w:sz="8" w:color="CFF0FC"/>
            </w:tcBorders>
          </w:tcPr>
          <w:p>
            <w:pPr>
              <w:spacing w:after="0"/>
              <w:rPr>
                <w:sz w:val="18"/>
                <w:szCs w:val="18"/>
                <w:color w:val="auto"/>
              </w:rPr>
            </w:pPr>
          </w:p>
        </w:tc>
        <w:tc>
          <w:tcPr>
            <w:tcW w:w="2540" w:type="dxa"/>
            <w:vAlign w:val="bottom"/>
            <w:tcBorders>
              <w:bottom w:val="single" w:sz="8" w:color="CFF0FC"/>
            </w:tcBorders>
          </w:tcPr>
          <w:p>
            <w:pPr>
              <w:ind w:left="300"/>
              <w:spacing w:after="0"/>
              <w:rPr>
                <w:sz w:val="20"/>
                <w:szCs w:val="20"/>
                <w:color w:val="auto"/>
              </w:rPr>
            </w:pPr>
            <w:r>
              <w:rPr>
                <w:rFonts w:ascii="Arial" w:cs="Arial" w:eastAsia="Arial" w:hAnsi="Arial"/>
                <w:sz w:val="16"/>
                <w:szCs w:val="16"/>
                <w:color w:val="auto"/>
              </w:rPr>
              <w:t>2/2024)</w:t>
            </w:r>
          </w:p>
        </w:tc>
        <w:tc>
          <w:tcPr>
            <w:tcW w:w="1000" w:type="dxa"/>
            <w:vAlign w:val="bottom"/>
            <w:tcBorders>
              <w:bottom w:val="single" w:sz="8" w:color="CFF0FC"/>
            </w:tcBorders>
          </w:tcPr>
          <w:p>
            <w:pPr>
              <w:spacing w:after="0"/>
              <w:rPr>
                <w:sz w:val="18"/>
                <w:szCs w:val="18"/>
                <w:color w:val="auto"/>
              </w:rPr>
            </w:pPr>
          </w:p>
        </w:tc>
        <w:tc>
          <w:tcPr>
            <w:tcW w:w="1060" w:type="dxa"/>
            <w:vAlign w:val="bottom"/>
            <w:tcBorders>
              <w:bottom w:val="single" w:sz="8" w:color="CFF0FC"/>
            </w:tcBorders>
          </w:tcPr>
          <w:p>
            <w:pPr>
              <w:spacing w:after="0"/>
              <w:rPr>
                <w:sz w:val="18"/>
                <w:szCs w:val="18"/>
                <w:color w:val="auto"/>
              </w:rPr>
            </w:pPr>
          </w:p>
        </w:tc>
        <w:tc>
          <w:tcPr>
            <w:tcW w:w="136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r>
      <w:tr>
        <w:trPr>
          <w:trHeight w:val="213"/>
        </w:trPr>
        <w:tc>
          <w:tcPr>
            <w:tcW w:w="2300" w:type="dxa"/>
            <w:vAlign w:val="bottom"/>
            <w:shd w:val="clear" w:color="auto" w:fill="CFF0FC"/>
          </w:tcPr>
          <w:p>
            <w:pPr>
              <w:spacing w:after="0"/>
              <w:rPr>
                <w:sz w:val="18"/>
                <w:szCs w:val="18"/>
                <w:color w:val="auto"/>
              </w:rPr>
            </w:pPr>
          </w:p>
        </w:tc>
        <w:tc>
          <w:tcPr>
            <w:tcW w:w="25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177,524</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180,703</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16.0%</w:t>
            </w:r>
          </w:p>
        </w:tc>
      </w:tr>
      <w:tr>
        <w:trPr>
          <w:trHeight w:val="207"/>
        </w:trPr>
        <w:tc>
          <w:tcPr>
            <w:tcW w:w="2300" w:type="dxa"/>
            <w:vAlign w:val="bottom"/>
          </w:tcPr>
          <w:p>
            <w:pPr>
              <w:spacing w:after="0"/>
              <w:rPr>
                <w:sz w:val="20"/>
                <w:szCs w:val="20"/>
                <w:color w:val="auto"/>
              </w:rPr>
            </w:pPr>
            <w:r>
              <w:rPr>
                <w:rFonts w:ascii="Arial" w:cs="Arial" w:eastAsia="Arial" w:hAnsi="Arial"/>
                <w:sz w:val="16"/>
                <w:szCs w:val="16"/>
                <w:b w:val="1"/>
                <w:bCs w:val="1"/>
                <w:color w:val="auto"/>
              </w:rPr>
              <w:t>Hotel, gaming, and leisure</w:t>
            </w:r>
          </w:p>
        </w:tc>
        <w:tc>
          <w:tcPr>
            <w:tcW w:w="2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230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IRGSE Holding Corp. </w:t>
            </w:r>
            <w:r>
              <w:rPr>
                <w:rFonts w:ascii="Arial" w:cs="Arial" w:eastAsia="Arial" w:hAnsi="Arial"/>
                <w:sz w:val="24"/>
                <w:szCs w:val="24"/>
                <w:color w:val="auto"/>
                <w:vertAlign w:val="superscript"/>
              </w:rPr>
              <w:t>(3)(7)</w:t>
            </w:r>
          </w:p>
        </w:tc>
        <w:tc>
          <w:tcPr>
            <w:tcW w:w="2540" w:type="dxa"/>
            <w:vAlign w:val="bottom"/>
            <w:shd w:val="clear" w:color="auto" w:fill="CFF0FC"/>
          </w:tcPr>
          <w:p>
            <w:pPr>
              <w:ind w:left="300"/>
              <w:spacing w:after="0"/>
              <w:rPr>
                <w:sz w:val="20"/>
                <w:szCs w:val="20"/>
                <w:color w:val="auto"/>
              </w:rPr>
            </w:pPr>
            <w:r>
              <w:rPr>
                <w:rFonts w:ascii="Arial" w:cs="Arial" w:eastAsia="Arial" w:hAnsi="Arial"/>
                <w:sz w:val="16"/>
                <w:szCs w:val="16"/>
                <w:color w:val="auto"/>
                <w:w w:val="97"/>
              </w:rPr>
              <w:t>First-lien loan ($31,600 par, due</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9/29/2015</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+ 9.50%</w:t>
            </w:r>
          </w:p>
        </w:tc>
        <w:tc>
          <w:tcPr>
            <w:tcW w:w="136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11.44% (incl.</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29,746</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31,047</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2.8%</w:t>
            </w:r>
          </w:p>
        </w:tc>
      </w:tr>
      <w:tr>
        <w:trPr>
          <w:trHeight w:val="212"/>
        </w:trPr>
        <w:tc>
          <w:tcPr>
            <w:tcW w:w="2300" w:type="dxa"/>
            <w:vAlign w:val="bottom"/>
            <w:shd w:val="clear" w:color="auto" w:fill="CFF0FC"/>
          </w:tcPr>
          <w:p>
            <w:pPr>
              <w:spacing w:after="0"/>
              <w:rPr>
                <w:sz w:val="18"/>
                <w:szCs w:val="18"/>
                <w:color w:val="auto"/>
              </w:rPr>
            </w:pPr>
          </w:p>
        </w:tc>
        <w:tc>
          <w:tcPr>
            <w:tcW w:w="2540" w:type="dxa"/>
            <w:vAlign w:val="bottom"/>
            <w:shd w:val="clear" w:color="auto" w:fill="CFF0FC"/>
          </w:tcPr>
          <w:p>
            <w:pPr>
              <w:ind w:left="300"/>
              <w:spacing w:after="0"/>
              <w:rPr>
                <w:sz w:val="20"/>
                <w:szCs w:val="20"/>
                <w:color w:val="auto"/>
              </w:rPr>
            </w:pPr>
            <w:r>
              <w:rPr>
                <w:rFonts w:ascii="Arial" w:cs="Arial" w:eastAsia="Arial" w:hAnsi="Arial"/>
                <w:sz w:val="16"/>
                <w:szCs w:val="16"/>
                <w:color w:val="auto"/>
              </w:rPr>
              <w:t>9/2021)</w:t>
            </w:r>
          </w:p>
        </w:tc>
        <w:tc>
          <w:tcPr>
            <w:tcW w:w="1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5.00% PIK)</w:t>
            </w: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300" w:type="dxa"/>
            <w:vAlign w:val="bottom"/>
          </w:tcPr>
          <w:p>
            <w:pPr>
              <w:spacing w:after="0"/>
              <w:rPr>
                <w:sz w:val="17"/>
                <w:szCs w:val="17"/>
                <w:color w:val="auto"/>
              </w:rPr>
            </w:pPr>
          </w:p>
        </w:tc>
        <w:tc>
          <w:tcPr>
            <w:tcW w:w="2540" w:type="dxa"/>
            <w:vAlign w:val="bottom"/>
          </w:tcPr>
          <w:p>
            <w:pPr>
              <w:ind w:left="300"/>
              <w:spacing w:after="0"/>
              <w:rPr>
                <w:sz w:val="20"/>
                <w:szCs w:val="20"/>
                <w:color w:val="auto"/>
              </w:rPr>
            </w:pPr>
            <w:r>
              <w:rPr>
                <w:rFonts w:ascii="Arial" w:cs="Arial" w:eastAsia="Arial" w:hAnsi="Arial"/>
                <w:sz w:val="16"/>
                <w:szCs w:val="16"/>
                <w:color w:val="auto"/>
                <w:w w:val="99"/>
              </w:rPr>
              <w:t>First-lien revolving loan ($3,221</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9/29/2015</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+ 9.50%</w:t>
            </w:r>
          </w:p>
        </w:tc>
        <w:tc>
          <w:tcPr>
            <w:tcW w:w="1360" w:type="dxa"/>
            <w:vAlign w:val="bottom"/>
          </w:tcPr>
          <w:p>
            <w:pPr>
              <w:jc w:val="right"/>
              <w:ind w:right="199"/>
              <w:spacing w:after="0"/>
              <w:rPr>
                <w:sz w:val="20"/>
                <w:szCs w:val="20"/>
                <w:color w:val="auto"/>
              </w:rPr>
            </w:pPr>
            <w:r>
              <w:rPr>
                <w:rFonts w:ascii="Arial" w:cs="Arial" w:eastAsia="Arial" w:hAnsi="Arial"/>
                <w:sz w:val="16"/>
                <w:szCs w:val="16"/>
                <w:color w:val="auto"/>
              </w:rPr>
              <w:t>11.44% (incl.</w:t>
            </w:r>
          </w:p>
        </w:tc>
        <w:tc>
          <w:tcPr>
            <w:tcW w:w="760" w:type="dxa"/>
            <w:vAlign w:val="bottom"/>
          </w:tcPr>
          <w:p>
            <w:pPr>
              <w:jc w:val="right"/>
              <w:spacing w:after="0"/>
              <w:rPr>
                <w:sz w:val="20"/>
                <w:szCs w:val="20"/>
                <w:color w:val="auto"/>
              </w:rPr>
            </w:pPr>
            <w:r>
              <w:rPr>
                <w:rFonts w:ascii="Arial" w:cs="Arial" w:eastAsia="Arial" w:hAnsi="Arial"/>
                <w:sz w:val="16"/>
                <w:szCs w:val="16"/>
                <w:color w:val="auto"/>
              </w:rPr>
              <w:t>3,221</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3,128</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0.3%</w:t>
            </w:r>
          </w:p>
        </w:tc>
      </w:tr>
      <w:tr>
        <w:trPr>
          <w:trHeight w:val="209"/>
        </w:trPr>
        <w:tc>
          <w:tcPr>
            <w:tcW w:w="2300" w:type="dxa"/>
            <w:vAlign w:val="bottom"/>
            <w:tcBorders>
              <w:bottom w:val="single" w:sz="8" w:color="CFF0FC"/>
            </w:tcBorders>
          </w:tcPr>
          <w:p>
            <w:pPr>
              <w:spacing w:after="0"/>
              <w:rPr>
                <w:sz w:val="18"/>
                <w:szCs w:val="18"/>
                <w:color w:val="auto"/>
              </w:rPr>
            </w:pPr>
          </w:p>
        </w:tc>
        <w:tc>
          <w:tcPr>
            <w:tcW w:w="2540" w:type="dxa"/>
            <w:vAlign w:val="bottom"/>
            <w:tcBorders>
              <w:bottom w:val="single" w:sz="8" w:color="CFF0FC"/>
            </w:tcBorders>
          </w:tcPr>
          <w:p>
            <w:pPr>
              <w:ind w:left="300"/>
              <w:spacing w:after="0"/>
              <w:rPr>
                <w:sz w:val="20"/>
                <w:szCs w:val="20"/>
                <w:color w:val="auto"/>
              </w:rPr>
            </w:pPr>
            <w:r>
              <w:rPr>
                <w:rFonts w:ascii="Arial" w:cs="Arial" w:eastAsia="Arial" w:hAnsi="Arial"/>
                <w:sz w:val="16"/>
                <w:szCs w:val="16"/>
                <w:color w:val="auto"/>
              </w:rPr>
              <w:t>par, due 9/2021)</w:t>
            </w:r>
          </w:p>
        </w:tc>
        <w:tc>
          <w:tcPr>
            <w:tcW w:w="1000" w:type="dxa"/>
            <w:vAlign w:val="bottom"/>
            <w:tcBorders>
              <w:bottom w:val="single" w:sz="8" w:color="CFF0FC"/>
            </w:tcBorders>
          </w:tcPr>
          <w:p>
            <w:pPr>
              <w:spacing w:after="0"/>
              <w:rPr>
                <w:sz w:val="18"/>
                <w:szCs w:val="18"/>
                <w:color w:val="auto"/>
              </w:rPr>
            </w:pPr>
          </w:p>
        </w:tc>
        <w:tc>
          <w:tcPr>
            <w:tcW w:w="1060" w:type="dxa"/>
            <w:vAlign w:val="bottom"/>
            <w:tcBorders>
              <w:bottom w:val="single" w:sz="8" w:color="CFF0FC"/>
            </w:tcBorders>
          </w:tcPr>
          <w:p>
            <w:pPr>
              <w:spacing w:after="0"/>
              <w:rPr>
                <w:sz w:val="18"/>
                <w:szCs w:val="18"/>
                <w:color w:val="auto"/>
              </w:rPr>
            </w:pPr>
          </w:p>
        </w:tc>
        <w:tc>
          <w:tcPr>
            <w:tcW w:w="1360" w:type="dxa"/>
            <w:vAlign w:val="bottom"/>
            <w:tcBorders>
              <w:bottom w:val="single" w:sz="8" w:color="CFF0FC"/>
            </w:tcBorders>
          </w:tcPr>
          <w:p>
            <w:pPr>
              <w:jc w:val="right"/>
              <w:ind w:right="199"/>
              <w:spacing w:after="0"/>
              <w:rPr>
                <w:sz w:val="20"/>
                <w:szCs w:val="20"/>
                <w:color w:val="auto"/>
              </w:rPr>
            </w:pPr>
            <w:r>
              <w:rPr>
                <w:rFonts w:ascii="Arial" w:cs="Arial" w:eastAsia="Arial" w:hAnsi="Arial"/>
                <w:sz w:val="16"/>
                <w:szCs w:val="16"/>
                <w:color w:val="auto"/>
              </w:rPr>
              <w:t>5.00% PIK)</w:t>
            </w:r>
          </w:p>
        </w:tc>
        <w:tc>
          <w:tcPr>
            <w:tcW w:w="76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r>
      <w:tr>
        <w:trPr>
          <w:trHeight w:val="213"/>
        </w:trPr>
        <w:tc>
          <w:tcPr>
            <w:tcW w:w="2300" w:type="dxa"/>
            <w:vAlign w:val="bottom"/>
            <w:shd w:val="clear" w:color="auto" w:fill="CFF0FC"/>
          </w:tcPr>
          <w:p>
            <w:pPr>
              <w:spacing w:after="0"/>
              <w:rPr>
                <w:sz w:val="18"/>
                <w:szCs w:val="18"/>
                <w:color w:val="auto"/>
              </w:rPr>
            </w:pPr>
          </w:p>
        </w:tc>
        <w:tc>
          <w:tcPr>
            <w:tcW w:w="25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32,967</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34,175</w:t>
            </w: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4"/>
              </w:rPr>
              <w:t>%</w:t>
            </w:r>
          </w:p>
        </w:tc>
      </w:tr>
      <w:tr>
        <w:trPr>
          <w:trHeight w:val="196"/>
        </w:trPr>
        <w:tc>
          <w:tcPr>
            <w:tcW w:w="2300" w:type="dxa"/>
            <w:vAlign w:val="bottom"/>
          </w:tcPr>
          <w:p>
            <w:pPr>
              <w:spacing w:after="0"/>
              <w:rPr>
                <w:sz w:val="20"/>
                <w:szCs w:val="20"/>
                <w:color w:val="auto"/>
              </w:rPr>
            </w:pPr>
            <w:r>
              <w:rPr>
                <w:rFonts w:ascii="Arial" w:cs="Arial" w:eastAsia="Arial" w:hAnsi="Arial"/>
                <w:sz w:val="16"/>
                <w:szCs w:val="16"/>
                <w:b w:val="1"/>
                <w:bCs w:val="1"/>
                <w:color w:val="auto"/>
              </w:rPr>
              <w:t>Human resource support</w:t>
            </w:r>
          </w:p>
        </w:tc>
        <w:tc>
          <w:tcPr>
            <w:tcW w:w="2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13"/>
        </w:trPr>
        <w:tc>
          <w:tcPr>
            <w:tcW w:w="2300" w:type="dxa"/>
            <w:vAlign w:val="bottom"/>
          </w:tcPr>
          <w:p>
            <w:pPr>
              <w:ind w:left="120"/>
              <w:spacing w:after="0"/>
              <w:rPr>
                <w:sz w:val="20"/>
                <w:szCs w:val="20"/>
                <w:color w:val="auto"/>
              </w:rPr>
            </w:pPr>
            <w:r>
              <w:rPr>
                <w:rFonts w:ascii="Arial" w:cs="Arial" w:eastAsia="Arial" w:hAnsi="Arial"/>
                <w:sz w:val="16"/>
                <w:szCs w:val="16"/>
                <w:b w:val="1"/>
                <w:bCs w:val="1"/>
                <w:color w:val="auto"/>
              </w:rPr>
              <w:t>services</w:t>
            </w:r>
          </w:p>
        </w:tc>
        <w:tc>
          <w:tcPr>
            <w:tcW w:w="2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30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Absorb Software, Inc. </w:t>
            </w:r>
            <w:r>
              <w:rPr>
                <w:rFonts w:ascii="Arial" w:cs="Arial" w:eastAsia="Arial" w:hAnsi="Arial"/>
                <w:sz w:val="24"/>
                <w:szCs w:val="24"/>
                <w:color w:val="auto"/>
                <w:vertAlign w:val="superscript"/>
              </w:rPr>
              <w:t>(3)(4)(5)</w:t>
            </w:r>
          </w:p>
        </w:tc>
        <w:tc>
          <w:tcPr>
            <w:tcW w:w="2540" w:type="dxa"/>
            <w:vAlign w:val="bottom"/>
            <w:shd w:val="clear" w:color="auto" w:fill="CFF0FC"/>
          </w:tcPr>
          <w:p>
            <w:pPr>
              <w:ind w:left="300"/>
              <w:spacing w:after="0"/>
              <w:rPr>
                <w:sz w:val="20"/>
                <w:szCs w:val="20"/>
                <w:color w:val="auto"/>
              </w:rPr>
            </w:pPr>
            <w:r>
              <w:rPr>
                <w:rFonts w:ascii="Arial" w:cs="Arial" w:eastAsia="Arial" w:hAnsi="Arial"/>
                <w:sz w:val="16"/>
                <w:szCs w:val="16"/>
                <w:color w:val="auto"/>
                <w:w w:val="97"/>
              </w:rPr>
              <w:t>First-lien loan ($34,837 par, due</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7/31/2019</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+ 6.50%</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8.30%</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34,122</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34,228</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3.1%</w:t>
            </w:r>
          </w:p>
        </w:tc>
      </w:tr>
      <w:tr>
        <w:trPr>
          <w:trHeight w:val="212"/>
        </w:trPr>
        <w:tc>
          <w:tcPr>
            <w:tcW w:w="2300" w:type="dxa"/>
            <w:vAlign w:val="bottom"/>
            <w:shd w:val="clear" w:color="auto" w:fill="CFF0FC"/>
          </w:tcPr>
          <w:p>
            <w:pPr>
              <w:spacing w:after="0"/>
              <w:rPr>
                <w:sz w:val="18"/>
                <w:szCs w:val="18"/>
                <w:color w:val="auto"/>
              </w:rPr>
            </w:pPr>
          </w:p>
        </w:tc>
        <w:tc>
          <w:tcPr>
            <w:tcW w:w="2540" w:type="dxa"/>
            <w:vAlign w:val="bottom"/>
            <w:shd w:val="clear" w:color="auto" w:fill="CFF0FC"/>
          </w:tcPr>
          <w:p>
            <w:pPr>
              <w:ind w:left="300"/>
              <w:spacing w:after="0"/>
              <w:rPr>
                <w:sz w:val="20"/>
                <w:szCs w:val="20"/>
                <w:color w:val="auto"/>
              </w:rPr>
            </w:pPr>
            <w:r>
              <w:rPr>
                <w:rFonts w:ascii="Arial" w:cs="Arial" w:eastAsia="Arial" w:hAnsi="Arial"/>
                <w:sz w:val="16"/>
                <w:szCs w:val="16"/>
                <w:color w:val="auto"/>
              </w:rPr>
              <w:t>5/2024)</w:t>
            </w:r>
          </w:p>
        </w:tc>
        <w:tc>
          <w:tcPr>
            <w:tcW w:w="1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300" w:type="dxa"/>
            <w:vAlign w:val="bottom"/>
          </w:tcPr>
          <w:p>
            <w:pPr>
              <w:spacing w:after="0" w:line="207" w:lineRule="exact"/>
              <w:rPr>
                <w:sz w:val="20"/>
                <w:szCs w:val="20"/>
                <w:color w:val="auto"/>
              </w:rPr>
            </w:pPr>
            <w:r>
              <w:rPr>
                <w:rFonts w:ascii="Arial" w:cs="Arial" w:eastAsia="Arial" w:hAnsi="Arial"/>
                <w:sz w:val="14"/>
                <w:szCs w:val="14"/>
                <w:color w:val="auto"/>
              </w:rPr>
              <w:t xml:space="preserve">ClearCompany, LLC </w:t>
            </w:r>
            <w:r>
              <w:rPr>
                <w:rFonts w:ascii="Arial" w:cs="Arial" w:eastAsia="Arial" w:hAnsi="Arial"/>
                <w:sz w:val="23"/>
                <w:szCs w:val="23"/>
                <w:color w:val="auto"/>
                <w:vertAlign w:val="superscript"/>
              </w:rPr>
              <w:t>(3)</w:t>
            </w:r>
          </w:p>
        </w:tc>
        <w:tc>
          <w:tcPr>
            <w:tcW w:w="2540" w:type="dxa"/>
            <w:vAlign w:val="bottom"/>
          </w:tcPr>
          <w:p>
            <w:pPr>
              <w:ind w:left="300"/>
              <w:spacing w:after="0"/>
              <w:rPr>
                <w:sz w:val="20"/>
                <w:szCs w:val="20"/>
                <w:color w:val="auto"/>
              </w:rPr>
            </w:pPr>
            <w:r>
              <w:rPr>
                <w:rFonts w:ascii="Arial" w:cs="Arial" w:eastAsia="Arial" w:hAnsi="Arial"/>
                <w:sz w:val="16"/>
                <w:szCs w:val="16"/>
                <w:color w:val="auto"/>
                <w:w w:val="97"/>
              </w:rPr>
              <w:t>First-lien loan ($19,192 par, due</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7/23/2018</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+ 8.50%</w:t>
            </w:r>
          </w:p>
        </w:tc>
        <w:tc>
          <w:tcPr>
            <w:tcW w:w="1360" w:type="dxa"/>
            <w:vAlign w:val="bottom"/>
          </w:tcPr>
          <w:p>
            <w:pPr>
              <w:jc w:val="right"/>
              <w:ind w:right="199"/>
              <w:spacing w:after="0"/>
              <w:rPr>
                <w:sz w:val="20"/>
                <w:szCs w:val="20"/>
                <w:color w:val="auto"/>
              </w:rPr>
            </w:pPr>
            <w:r>
              <w:rPr>
                <w:rFonts w:ascii="Arial" w:cs="Arial" w:eastAsia="Arial" w:hAnsi="Arial"/>
                <w:sz w:val="16"/>
                <w:szCs w:val="16"/>
                <w:color w:val="auto"/>
              </w:rPr>
              <w:t>10.34% (incl.</w:t>
            </w:r>
          </w:p>
        </w:tc>
        <w:tc>
          <w:tcPr>
            <w:tcW w:w="760" w:type="dxa"/>
            <w:vAlign w:val="bottom"/>
          </w:tcPr>
          <w:p>
            <w:pPr>
              <w:jc w:val="right"/>
              <w:spacing w:after="0"/>
              <w:rPr>
                <w:sz w:val="20"/>
                <w:szCs w:val="20"/>
                <w:color w:val="auto"/>
              </w:rPr>
            </w:pPr>
            <w:r>
              <w:rPr>
                <w:rFonts w:ascii="Arial" w:cs="Arial" w:eastAsia="Arial" w:hAnsi="Arial"/>
                <w:sz w:val="16"/>
                <w:szCs w:val="16"/>
                <w:color w:val="auto"/>
              </w:rPr>
              <w:t>18,993</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19,140</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1.7%</w:t>
            </w:r>
          </w:p>
        </w:tc>
      </w:tr>
      <w:tr>
        <w:trPr>
          <w:trHeight w:val="209"/>
        </w:trPr>
        <w:tc>
          <w:tcPr>
            <w:tcW w:w="2300" w:type="dxa"/>
            <w:vAlign w:val="bottom"/>
          </w:tcPr>
          <w:p>
            <w:pPr>
              <w:spacing w:after="0"/>
              <w:rPr>
                <w:sz w:val="18"/>
                <w:szCs w:val="18"/>
                <w:color w:val="auto"/>
              </w:rPr>
            </w:pPr>
          </w:p>
        </w:tc>
        <w:tc>
          <w:tcPr>
            <w:tcW w:w="2540" w:type="dxa"/>
            <w:vAlign w:val="bottom"/>
          </w:tcPr>
          <w:p>
            <w:pPr>
              <w:ind w:left="300"/>
              <w:spacing w:after="0"/>
              <w:rPr>
                <w:sz w:val="20"/>
                <w:szCs w:val="20"/>
                <w:color w:val="auto"/>
              </w:rPr>
            </w:pPr>
            <w:r>
              <w:rPr>
                <w:rFonts w:ascii="Arial" w:cs="Arial" w:eastAsia="Arial" w:hAnsi="Arial"/>
                <w:sz w:val="16"/>
                <w:szCs w:val="16"/>
                <w:color w:val="auto"/>
              </w:rPr>
              <w:t>7/2023)</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jc w:val="right"/>
              <w:ind w:right="199"/>
              <w:spacing w:after="0"/>
              <w:rPr>
                <w:sz w:val="20"/>
                <w:szCs w:val="20"/>
                <w:color w:val="auto"/>
              </w:rPr>
            </w:pPr>
            <w:r>
              <w:rPr>
                <w:rFonts w:ascii="Arial" w:cs="Arial" w:eastAsia="Arial" w:hAnsi="Arial"/>
                <w:sz w:val="16"/>
                <w:szCs w:val="16"/>
                <w:color w:val="auto"/>
              </w:rPr>
              <w:t>2.50% PIK)</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30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DaySmart Holdings, LLC </w:t>
            </w:r>
            <w:r>
              <w:rPr>
                <w:rFonts w:ascii="Arial" w:cs="Arial" w:eastAsia="Arial" w:hAnsi="Arial"/>
                <w:sz w:val="24"/>
                <w:szCs w:val="24"/>
                <w:color w:val="auto"/>
                <w:vertAlign w:val="superscript"/>
              </w:rPr>
              <w:t>(3)</w:t>
            </w:r>
          </w:p>
        </w:tc>
        <w:tc>
          <w:tcPr>
            <w:tcW w:w="2540" w:type="dxa"/>
            <w:vAlign w:val="bottom"/>
            <w:shd w:val="clear" w:color="auto" w:fill="CFF0FC"/>
          </w:tcPr>
          <w:p>
            <w:pPr>
              <w:ind w:left="300"/>
              <w:spacing w:after="0"/>
              <w:rPr>
                <w:sz w:val="20"/>
                <w:szCs w:val="20"/>
                <w:color w:val="auto"/>
              </w:rPr>
            </w:pPr>
            <w:r>
              <w:rPr>
                <w:rFonts w:ascii="Arial" w:cs="Arial" w:eastAsia="Arial" w:hAnsi="Arial"/>
                <w:sz w:val="16"/>
                <w:szCs w:val="16"/>
                <w:color w:val="auto"/>
                <w:w w:val="97"/>
              </w:rPr>
              <w:t>First-lien loan ($30,247 par, due</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10/1/2019</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+ 7.25%</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9.05%</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29,370</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29,456</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2.6%</w:t>
            </w:r>
          </w:p>
        </w:tc>
      </w:tr>
      <w:tr>
        <w:trPr>
          <w:trHeight w:val="212"/>
        </w:trPr>
        <w:tc>
          <w:tcPr>
            <w:tcW w:w="2300" w:type="dxa"/>
            <w:vAlign w:val="bottom"/>
            <w:shd w:val="clear" w:color="auto" w:fill="CFF0FC"/>
          </w:tcPr>
          <w:p>
            <w:pPr>
              <w:spacing w:after="0"/>
              <w:rPr>
                <w:sz w:val="18"/>
                <w:szCs w:val="18"/>
                <w:color w:val="auto"/>
              </w:rPr>
            </w:pPr>
          </w:p>
        </w:tc>
        <w:tc>
          <w:tcPr>
            <w:tcW w:w="2540" w:type="dxa"/>
            <w:vAlign w:val="bottom"/>
            <w:shd w:val="clear" w:color="auto" w:fill="CFF0FC"/>
          </w:tcPr>
          <w:p>
            <w:pPr>
              <w:ind w:left="300"/>
              <w:spacing w:after="0"/>
              <w:rPr>
                <w:sz w:val="20"/>
                <w:szCs w:val="20"/>
                <w:color w:val="auto"/>
              </w:rPr>
            </w:pPr>
            <w:r>
              <w:rPr>
                <w:rFonts w:ascii="Arial" w:cs="Arial" w:eastAsia="Arial" w:hAnsi="Arial"/>
                <w:sz w:val="16"/>
                <w:szCs w:val="16"/>
                <w:color w:val="auto"/>
              </w:rPr>
              <w:t>10/2024)</w:t>
            </w:r>
          </w:p>
        </w:tc>
        <w:tc>
          <w:tcPr>
            <w:tcW w:w="1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300" w:type="dxa"/>
            <w:vAlign w:val="bottom"/>
          </w:tcPr>
          <w:p>
            <w:pPr>
              <w:spacing w:after="0" w:line="207" w:lineRule="exact"/>
              <w:rPr>
                <w:sz w:val="20"/>
                <w:szCs w:val="20"/>
                <w:color w:val="auto"/>
              </w:rPr>
            </w:pPr>
            <w:r>
              <w:rPr>
                <w:rFonts w:ascii="Arial" w:cs="Arial" w:eastAsia="Arial" w:hAnsi="Arial"/>
                <w:sz w:val="14"/>
                <w:szCs w:val="14"/>
                <w:color w:val="auto"/>
              </w:rPr>
              <w:t xml:space="preserve">PageUp People, Ltd. </w:t>
            </w:r>
            <w:r>
              <w:rPr>
                <w:rFonts w:ascii="Arial" w:cs="Arial" w:eastAsia="Arial" w:hAnsi="Arial"/>
                <w:sz w:val="23"/>
                <w:szCs w:val="23"/>
                <w:color w:val="auto"/>
                <w:vertAlign w:val="superscript"/>
              </w:rPr>
              <w:t>(3)(4)</w:t>
            </w:r>
          </w:p>
        </w:tc>
        <w:tc>
          <w:tcPr>
            <w:tcW w:w="2540" w:type="dxa"/>
            <w:vAlign w:val="bottom"/>
          </w:tcPr>
          <w:p>
            <w:pPr>
              <w:ind w:left="300"/>
              <w:spacing w:after="0"/>
              <w:rPr>
                <w:sz w:val="20"/>
                <w:szCs w:val="20"/>
                <w:color w:val="auto"/>
              </w:rPr>
            </w:pPr>
            <w:r>
              <w:rPr>
                <w:rFonts w:ascii="Arial" w:cs="Arial" w:eastAsia="Arial" w:hAnsi="Arial"/>
                <w:sz w:val="16"/>
                <w:szCs w:val="16"/>
                <w:color w:val="auto"/>
                <w:w w:val="98"/>
              </w:rPr>
              <w:t>First-lien loan (AUD 51,401 par,</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1/11/2018</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B + 7.25%</w:t>
            </w:r>
          </w:p>
        </w:tc>
        <w:tc>
          <w:tcPr>
            <w:tcW w:w="1360" w:type="dxa"/>
            <w:vAlign w:val="bottom"/>
          </w:tcPr>
          <w:p>
            <w:pPr>
              <w:jc w:val="right"/>
              <w:ind w:right="199"/>
              <w:spacing w:after="0"/>
              <w:rPr>
                <w:sz w:val="20"/>
                <w:szCs w:val="20"/>
                <w:color w:val="auto"/>
              </w:rPr>
            </w:pPr>
            <w:r>
              <w:rPr>
                <w:rFonts w:ascii="Arial" w:cs="Arial" w:eastAsia="Arial" w:hAnsi="Arial"/>
                <w:sz w:val="16"/>
                <w:szCs w:val="16"/>
                <w:color w:val="auto"/>
              </w:rPr>
              <w:t>8.50% (incl.</w:t>
            </w:r>
          </w:p>
        </w:tc>
        <w:tc>
          <w:tcPr>
            <w:tcW w:w="760" w:type="dxa"/>
            <w:vAlign w:val="bottom"/>
          </w:tcPr>
          <w:p>
            <w:pPr>
              <w:jc w:val="right"/>
              <w:spacing w:after="0"/>
              <w:rPr>
                <w:sz w:val="20"/>
                <w:szCs w:val="20"/>
                <w:color w:val="auto"/>
              </w:rPr>
            </w:pPr>
            <w:r>
              <w:rPr>
                <w:rFonts w:ascii="Arial" w:cs="Arial" w:eastAsia="Arial" w:hAnsi="Arial"/>
                <w:sz w:val="16"/>
                <w:szCs w:val="16"/>
                <w:color w:val="auto"/>
              </w:rPr>
              <w:t>39,391</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36,042</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3.2%</w:t>
            </w:r>
          </w:p>
        </w:tc>
      </w:tr>
      <w:tr>
        <w:trPr>
          <w:trHeight w:val="209"/>
        </w:trPr>
        <w:tc>
          <w:tcPr>
            <w:tcW w:w="2300" w:type="dxa"/>
            <w:vAlign w:val="bottom"/>
          </w:tcPr>
          <w:p>
            <w:pPr>
              <w:spacing w:after="0"/>
              <w:rPr>
                <w:sz w:val="18"/>
                <w:szCs w:val="18"/>
                <w:color w:val="auto"/>
              </w:rPr>
            </w:pPr>
          </w:p>
        </w:tc>
        <w:tc>
          <w:tcPr>
            <w:tcW w:w="2540" w:type="dxa"/>
            <w:vAlign w:val="bottom"/>
          </w:tcPr>
          <w:p>
            <w:pPr>
              <w:ind w:left="300"/>
              <w:spacing w:after="0"/>
              <w:rPr>
                <w:sz w:val="20"/>
                <w:szCs w:val="20"/>
                <w:color w:val="auto"/>
              </w:rPr>
            </w:pPr>
            <w:r>
              <w:rPr>
                <w:rFonts w:ascii="Arial" w:cs="Arial" w:eastAsia="Arial" w:hAnsi="Arial"/>
                <w:sz w:val="16"/>
                <w:szCs w:val="16"/>
                <w:color w:val="auto"/>
              </w:rPr>
              <w:t>due 12/2022)</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jc w:val="right"/>
              <w:ind w:right="199"/>
              <w:spacing w:after="0"/>
              <w:rPr>
                <w:sz w:val="20"/>
                <w:szCs w:val="20"/>
                <w:color w:val="auto"/>
              </w:rPr>
            </w:pPr>
            <w:r>
              <w:rPr>
                <w:rFonts w:ascii="Arial" w:cs="Arial" w:eastAsia="Arial" w:hAnsi="Arial"/>
                <w:sz w:val="16"/>
                <w:szCs w:val="16"/>
                <w:color w:val="auto"/>
              </w:rPr>
              <w:t>1.25% PIK)</w:t>
            </w:r>
          </w:p>
        </w:tc>
        <w:tc>
          <w:tcPr>
            <w:tcW w:w="760" w:type="dxa"/>
            <w:vAlign w:val="bottom"/>
          </w:tcPr>
          <w:p>
            <w:pPr>
              <w:spacing w:after="0"/>
              <w:rPr>
                <w:sz w:val="18"/>
                <w:szCs w:val="18"/>
                <w:color w:val="auto"/>
              </w:rPr>
            </w:pPr>
          </w:p>
        </w:tc>
        <w:tc>
          <w:tcPr>
            <w:tcW w:w="1360" w:type="dxa"/>
            <w:vAlign w:val="bottom"/>
            <w:gridSpan w:val="3"/>
          </w:tcPr>
          <w:p>
            <w:pPr>
              <w:ind w:left="200"/>
              <w:spacing w:after="0"/>
              <w:rPr>
                <w:sz w:val="20"/>
                <w:szCs w:val="20"/>
                <w:color w:val="auto"/>
              </w:rPr>
            </w:pPr>
            <w:r>
              <w:rPr>
                <w:rFonts w:ascii="Arial" w:cs="Arial" w:eastAsia="Arial" w:hAnsi="Arial"/>
                <w:sz w:val="16"/>
                <w:szCs w:val="16"/>
                <w:color w:val="auto"/>
              </w:rPr>
              <w:t>(AUD 51,273)</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300" w:type="dxa"/>
            <w:vAlign w:val="bottom"/>
            <w:shd w:val="clear" w:color="auto" w:fill="CFF0FC"/>
          </w:tcPr>
          <w:p>
            <w:pPr>
              <w:spacing w:after="0"/>
              <w:rPr>
                <w:sz w:val="18"/>
                <w:szCs w:val="18"/>
                <w:color w:val="auto"/>
              </w:rPr>
            </w:pPr>
          </w:p>
        </w:tc>
        <w:tc>
          <w:tcPr>
            <w:tcW w:w="2540" w:type="dxa"/>
            <w:vAlign w:val="bottom"/>
            <w:shd w:val="clear" w:color="auto" w:fill="CFF0FC"/>
          </w:tcPr>
          <w:p>
            <w:pPr>
              <w:ind w:left="300"/>
              <w:spacing w:after="0"/>
              <w:rPr>
                <w:sz w:val="20"/>
                <w:szCs w:val="20"/>
                <w:color w:val="auto"/>
              </w:rPr>
            </w:pPr>
            <w:r>
              <w:rPr>
                <w:rFonts w:ascii="Arial" w:cs="Arial" w:eastAsia="Arial" w:hAnsi="Arial"/>
                <w:sz w:val="16"/>
                <w:szCs w:val="16"/>
                <w:color w:val="auto"/>
              </w:rPr>
              <w:t>First-lien revolving loan (AUD</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1/11/2018</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B + 7.25%</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8.50%</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714</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694</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0.1%</w:t>
            </w:r>
          </w:p>
        </w:tc>
      </w:tr>
      <w:tr>
        <w:trPr>
          <w:trHeight w:val="212"/>
        </w:trPr>
        <w:tc>
          <w:tcPr>
            <w:tcW w:w="2300" w:type="dxa"/>
            <w:vAlign w:val="bottom"/>
            <w:shd w:val="clear" w:color="auto" w:fill="CFF0FC"/>
          </w:tcPr>
          <w:p>
            <w:pPr>
              <w:spacing w:after="0"/>
              <w:rPr>
                <w:sz w:val="18"/>
                <w:szCs w:val="18"/>
                <w:color w:val="auto"/>
              </w:rPr>
            </w:pPr>
          </w:p>
        </w:tc>
        <w:tc>
          <w:tcPr>
            <w:tcW w:w="2540" w:type="dxa"/>
            <w:vAlign w:val="bottom"/>
            <w:shd w:val="clear" w:color="auto" w:fill="CFF0FC"/>
          </w:tcPr>
          <w:p>
            <w:pPr>
              <w:ind w:left="300"/>
              <w:spacing w:after="0"/>
              <w:rPr>
                <w:sz w:val="20"/>
                <w:szCs w:val="20"/>
                <w:color w:val="auto"/>
              </w:rPr>
            </w:pPr>
            <w:r>
              <w:rPr>
                <w:rFonts w:ascii="Arial" w:cs="Arial" w:eastAsia="Arial" w:hAnsi="Arial"/>
                <w:sz w:val="16"/>
                <w:szCs w:val="16"/>
                <w:color w:val="auto"/>
              </w:rPr>
              <w:t>1,000 par, due 12/2022)</w:t>
            </w:r>
          </w:p>
        </w:tc>
        <w:tc>
          <w:tcPr>
            <w:tcW w:w="1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(AUD 988)</w:t>
            </w: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300" w:type="dxa"/>
            <w:vAlign w:val="bottom"/>
          </w:tcPr>
          <w:p>
            <w:pPr>
              <w:spacing w:after="0" w:line="207" w:lineRule="exact"/>
              <w:rPr>
                <w:sz w:val="20"/>
                <w:szCs w:val="20"/>
                <w:color w:val="auto"/>
              </w:rPr>
            </w:pPr>
            <w:r>
              <w:rPr>
                <w:rFonts w:ascii="Arial" w:cs="Arial" w:eastAsia="Arial" w:hAnsi="Arial"/>
                <w:sz w:val="14"/>
                <w:szCs w:val="14"/>
                <w:color w:val="auto"/>
              </w:rPr>
              <w:t xml:space="preserve">PayScale Holdings, Inc. </w:t>
            </w:r>
            <w:r>
              <w:rPr>
                <w:rFonts w:ascii="Arial" w:cs="Arial" w:eastAsia="Arial" w:hAnsi="Arial"/>
                <w:sz w:val="23"/>
                <w:szCs w:val="23"/>
                <w:color w:val="auto"/>
                <w:vertAlign w:val="superscript"/>
              </w:rPr>
              <w:t>(3)(5)</w:t>
            </w:r>
          </w:p>
        </w:tc>
        <w:tc>
          <w:tcPr>
            <w:tcW w:w="2540" w:type="dxa"/>
            <w:vAlign w:val="bottom"/>
          </w:tcPr>
          <w:p>
            <w:pPr>
              <w:ind w:left="300"/>
              <w:spacing w:after="0"/>
              <w:rPr>
                <w:sz w:val="20"/>
                <w:szCs w:val="20"/>
                <w:color w:val="auto"/>
              </w:rPr>
            </w:pPr>
            <w:r>
              <w:rPr>
                <w:rFonts w:ascii="Arial" w:cs="Arial" w:eastAsia="Arial" w:hAnsi="Arial"/>
                <w:sz w:val="16"/>
                <w:szCs w:val="16"/>
                <w:color w:val="auto"/>
                <w:w w:val="97"/>
              </w:rPr>
              <w:t>First-lien loan ($39,900 par, due</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5/3/2019</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+ 7.00%</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8.80%</w:t>
            </w:r>
          </w:p>
        </w:tc>
        <w:tc>
          <w:tcPr>
            <w:tcW w:w="760" w:type="dxa"/>
            <w:vAlign w:val="bottom"/>
          </w:tcPr>
          <w:p>
            <w:pPr>
              <w:jc w:val="right"/>
              <w:spacing w:after="0"/>
              <w:rPr>
                <w:sz w:val="20"/>
                <w:szCs w:val="20"/>
                <w:color w:val="auto"/>
              </w:rPr>
            </w:pPr>
            <w:r>
              <w:rPr>
                <w:rFonts w:ascii="Arial" w:cs="Arial" w:eastAsia="Arial" w:hAnsi="Arial"/>
                <w:sz w:val="16"/>
                <w:szCs w:val="16"/>
                <w:color w:val="auto"/>
              </w:rPr>
              <w:t>38,914</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39,187</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3.5%</w:t>
            </w:r>
          </w:p>
        </w:tc>
      </w:tr>
      <w:tr>
        <w:trPr>
          <w:trHeight w:val="209"/>
        </w:trPr>
        <w:tc>
          <w:tcPr>
            <w:tcW w:w="2300" w:type="dxa"/>
            <w:vAlign w:val="bottom"/>
          </w:tcPr>
          <w:p>
            <w:pPr>
              <w:spacing w:after="0"/>
              <w:rPr>
                <w:sz w:val="18"/>
                <w:szCs w:val="18"/>
                <w:color w:val="auto"/>
              </w:rPr>
            </w:pPr>
          </w:p>
        </w:tc>
        <w:tc>
          <w:tcPr>
            <w:tcW w:w="2540" w:type="dxa"/>
            <w:vAlign w:val="bottom"/>
          </w:tcPr>
          <w:p>
            <w:pPr>
              <w:ind w:left="300"/>
              <w:spacing w:after="0"/>
              <w:rPr>
                <w:sz w:val="20"/>
                <w:szCs w:val="20"/>
                <w:color w:val="auto"/>
              </w:rPr>
            </w:pPr>
            <w:r>
              <w:rPr>
                <w:rFonts w:ascii="Arial" w:cs="Arial" w:eastAsia="Arial" w:hAnsi="Arial"/>
                <w:sz w:val="16"/>
                <w:szCs w:val="16"/>
                <w:color w:val="auto"/>
              </w:rPr>
              <w:t>5/2024)</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30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Shaker International, Inc. </w:t>
            </w:r>
            <w:r>
              <w:rPr>
                <w:rFonts w:ascii="Arial" w:cs="Arial" w:eastAsia="Arial" w:hAnsi="Arial"/>
                <w:sz w:val="24"/>
                <w:szCs w:val="24"/>
                <w:color w:val="auto"/>
                <w:vertAlign w:val="superscript"/>
              </w:rPr>
              <w:t>(3)(5)</w:t>
            </w:r>
          </w:p>
        </w:tc>
        <w:tc>
          <w:tcPr>
            <w:tcW w:w="2540" w:type="dxa"/>
            <w:vAlign w:val="bottom"/>
            <w:shd w:val="clear" w:color="auto" w:fill="CFF0FC"/>
          </w:tcPr>
          <w:p>
            <w:pPr>
              <w:ind w:left="300"/>
              <w:spacing w:after="0"/>
              <w:rPr>
                <w:sz w:val="20"/>
                <w:szCs w:val="20"/>
                <w:color w:val="auto"/>
              </w:rPr>
            </w:pPr>
            <w:r>
              <w:rPr>
                <w:rFonts w:ascii="Arial" w:cs="Arial" w:eastAsia="Arial" w:hAnsi="Arial"/>
                <w:sz w:val="16"/>
                <w:szCs w:val="16"/>
                <w:color w:val="auto"/>
                <w:w w:val="97"/>
              </w:rPr>
              <w:t>First-lien loan ($22,388 par, due</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5/15/2019</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L + 7.00%</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8.94%</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21,879</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21,940</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2.0%</w:t>
            </w:r>
          </w:p>
        </w:tc>
      </w:tr>
      <w:tr>
        <w:trPr>
          <w:trHeight w:val="209"/>
        </w:trPr>
        <w:tc>
          <w:tcPr>
            <w:tcW w:w="2300" w:type="dxa"/>
            <w:vAlign w:val="bottom"/>
            <w:shd w:val="clear" w:color="auto" w:fill="CFF0FC"/>
          </w:tcPr>
          <w:p>
            <w:pPr>
              <w:spacing w:after="0"/>
              <w:rPr>
                <w:sz w:val="18"/>
                <w:szCs w:val="18"/>
                <w:color w:val="auto"/>
              </w:rPr>
            </w:pPr>
          </w:p>
        </w:tc>
        <w:tc>
          <w:tcPr>
            <w:tcW w:w="2540" w:type="dxa"/>
            <w:vAlign w:val="bottom"/>
            <w:shd w:val="clear" w:color="auto" w:fill="CFF0FC"/>
          </w:tcPr>
          <w:p>
            <w:pPr>
              <w:ind w:left="300"/>
              <w:spacing w:after="0"/>
              <w:rPr>
                <w:sz w:val="20"/>
                <w:szCs w:val="20"/>
                <w:color w:val="auto"/>
              </w:rPr>
            </w:pPr>
            <w:r>
              <w:rPr>
                <w:rFonts w:ascii="Arial" w:cs="Arial" w:eastAsia="Arial" w:hAnsi="Arial"/>
                <w:sz w:val="16"/>
                <w:szCs w:val="16"/>
                <w:color w:val="auto"/>
              </w:rPr>
              <w:t>5/2024)</w:t>
            </w:r>
          </w:p>
        </w:tc>
        <w:tc>
          <w:tcPr>
            <w:tcW w:w="1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0"/>
        </w:trPr>
        <w:tc>
          <w:tcPr>
            <w:tcW w:w="23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183,383</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180,687</w:t>
            </w:r>
          </w:p>
        </w:tc>
        <w:tc>
          <w:tcPr>
            <w:tcW w:w="2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16.2%</w:t>
            </w:r>
          </w:p>
        </w:tc>
      </w:tr>
      <w:tr>
        <w:trPr>
          <w:trHeight w:val="212"/>
        </w:trPr>
        <w:tc>
          <w:tcPr>
            <w:tcW w:w="2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Insurance</w:t>
            </w:r>
          </w:p>
        </w:tc>
        <w:tc>
          <w:tcPr>
            <w:tcW w:w="254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CFF0FC"/>
            </w:tcBorders>
            <w:shd w:val="clear" w:color="auto" w:fill="CFF0FC"/>
          </w:tcPr>
          <w:p>
            <w:pPr>
              <w:spacing w:after="0"/>
              <w:rPr>
                <w:sz w:val="18"/>
                <w:szCs w:val="18"/>
                <w:color w:val="auto"/>
              </w:rPr>
            </w:pPr>
          </w:p>
        </w:tc>
        <w:tc>
          <w:tcPr>
            <w:tcW w:w="136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06"/>
        </w:trPr>
        <w:tc>
          <w:tcPr>
            <w:tcW w:w="2300" w:type="dxa"/>
            <w:vAlign w:val="bottom"/>
          </w:tcPr>
          <w:p>
            <w:pPr>
              <w:spacing w:after="0" w:line="207" w:lineRule="exact"/>
              <w:rPr>
                <w:sz w:val="20"/>
                <w:szCs w:val="20"/>
                <w:color w:val="auto"/>
              </w:rPr>
            </w:pPr>
            <w:r>
              <w:rPr>
                <w:rFonts w:ascii="Arial" w:cs="Arial" w:eastAsia="Arial" w:hAnsi="Arial"/>
                <w:sz w:val="14"/>
                <w:szCs w:val="14"/>
                <w:color w:val="auto"/>
              </w:rPr>
              <w:t xml:space="preserve">Riskonnect, Inc. </w:t>
            </w:r>
            <w:r>
              <w:rPr>
                <w:rFonts w:ascii="Arial" w:cs="Arial" w:eastAsia="Arial" w:hAnsi="Arial"/>
                <w:sz w:val="23"/>
                <w:szCs w:val="23"/>
                <w:color w:val="auto"/>
                <w:vertAlign w:val="superscript"/>
              </w:rPr>
              <w:t>(3)(5)</w:t>
            </w:r>
          </w:p>
        </w:tc>
        <w:tc>
          <w:tcPr>
            <w:tcW w:w="2540" w:type="dxa"/>
            <w:vAlign w:val="bottom"/>
          </w:tcPr>
          <w:p>
            <w:pPr>
              <w:ind w:left="300"/>
              <w:spacing w:after="0"/>
              <w:rPr>
                <w:sz w:val="20"/>
                <w:szCs w:val="20"/>
                <w:color w:val="auto"/>
              </w:rPr>
            </w:pPr>
            <w:r>
              <w:rPr>
                <w:rFonts w:ascii="Arial" w:cs="Arial" w:eastAsia="Arial" w:hAnsi="Arial"/>
                <w:sz w:val="16"/>
                <w:szCs w:val="16"/>
                <w:color w:val="auto"/>
                <w:w w:val="97"/>
              </w:rPr>
              <w:t>First-lien loan ($49,813 par, due</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6/30/2017</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L + 7.00%</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8.95%</w:t>
            </w:r>
          </w:p>
        </w:tc>
        <w:tc>
          <w:tcPr>
            <w:tcW w:w="760" w:type="dxa"/>
            <w:vAlign w:val="bottom"/>
          </w:tcPr>
          <w:p>
            <w:pPr>
              <w:jc w:val="right"/>
              <w:spacing w:after="0"/>
              <w:rPr>
                <w:sz w:val="20"/>
                <w:szCs w:val="20"/>
                <w:color w:val="auto"/>
              </w:rPr>
            </w:pPr>
            <w:r>
              <w:rPr>
                <w:rFonts w:ascii="Arial" w:cs="Arial" w:eastAsia="Arial" w:hAnsi="Arial"/>
                <w:sz w:val="16"/>
                <w:szCs w:val="16"/>
                <w:color w:val="auto"/>
              </w:rPr>
              <w:t>49,346</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50,186</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4.5%</w:t>
            </w:r>
          </w:p>
        </w:tc>
      </w:tr>
      <w:tr>
        <w:trPr>
          <w:trHeight w:val="209"/>
        </w:trPr>
        <w:tc>
          <w:tcPr>
            <w:tcW w:w="2300" w:type="dxa"/>
            <w:vAlign w:val="bottom"/>
          </w:tcPr>
          <w:p>
            <w:pPr>
              <w:spacing w:after="0"/>
              <w:rPr>
                <w:sz w:val="18"/>
                <w:szCs w:val="18"/>
                <w:color w:val="auto"/>
              </w:rPr>
            </w:pPr>
          </w:p>
        </w:tc>
        <w:tc>
          <w:tcPr>
            <w:tcW w:w="2540" w:type="dxa"/>
            <w:vAlign w:val="bottom"/>
          </w:tcPr>
          <w:p>
            <w:pPr>
              <w:ind w:left="300"/>
              <w:spacing w:after="0"/>
              <w:rPr>
                <w:sz w:val="20"/>
                <w:szCs w:val="20"/>
                <w:color w:val="auto"/>
              </w:rPr>
            </w:pPr>
            <w:r>
              <w:rPr>
                <w:rFonts w:ascii="Arial" w:cs="Arial" w:eastAsia="Arial" w:hAnsi="Arial"/>
                <w:sz w:val="16"/>
                <w:szCs w:val="16"/>
                <w:color w:val="auto"/>
              </w:rPr>
              <w:t>10/2023)</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2300" w:type="dxa"/>
            <w:vAlign w:val="bottom"/>
            <w:shd w:val="clear" w:color="auto" w:fill="CFF0FC"/>
          </w:tcPr>
          <w:p>
            <w:pPr>
              <w:spacing w:after="0"/>
              <w:rPr>
                <w:sz w:val="19"/>
                <w:szCs w:val="19"/>
                <w:color w:val="auto"/>
              </w:rPr>
            </w:pPr>
          </w:p>
        </w:tc>
        <w:tc>
          <w:tcPr>
            <w:tcW w:w="25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13"/>
        </w:trPr>
        <w:tc>
          <w:tcPr>
            <w:tcW w:w="2300" w:type="dxa"/>
            <w:vAlign w:val="bottom"/>
          </w:tcPr>
          <w:p>
            <w:pPr>
              <w:spacing w:after="0"/>
              <w:rPr>
                <w:sz w:val="20"/>
                <w:szCs w:val="20"/>
                <w:color w:val="auto"/>
              </w:rPr>
            </w:pPr>
            <w:r>
              <w:rPr>
                <w:rFonts w:ascii="Arial" w:cs="Arial" w:eastAsia="Arial" w:hAnsi="Arial"/>
                <w:sz w:val="16"/>
                <w:szCs w:val="16"/>
                <w:b w:val="1"/>
                <w:bCs w:val="1"/>
                <w:color w:val="auto"/>
              </w:rPr>
              <w:t>Internet services</w:t>
            </w:r>
          </w:p>
        </w:tc>
        <w:tc>
          <w:tcPr>
            <w:tcW w:w="2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30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Gainsight, Inc. </w:t>
            </w:r>
            <w:r>
              <w:rPr>
                <w:rFonts w:ascii="Arial" w:cs="Arial" w:eastAsia="Arial" w:hAnsi="Arial"/>
                <w:sz w:val="24"/>
                <w:szCs w:val="24"/>
                <w:color w:val="auto"/>
                <w:vertAlign w:val="superscript"/>
              </w:rPr>
              <w:t>(9)</w:t>
            </w:r>
          </w:p>
        </w:tc>
        <w:tc>
          <w:tcPr>
            <w:tcW w:w="2540" w:type="dxa"/>
            <w:vAlign w:val="bottom"/>
            <w:shd w:val="clear" w:color="auto" w:fill="CFF0FC"/>
          </w:tcPr>
          <w:p>
            <w:pPr>
              <w:ind w:left="300"/>
              <w:spacing w:after="0"/>
              <w:rPr>
                <w:sz w:val="20"/>
                <w:szCs w:val="20"/>
                <w:color w:val="auto"/>
              </w:rPr>
            </w:pPr>
            <w:r>
              <w:rPr>
                <w:rFonts w:ascii="Arial" w:cs="Arial" w:eastAsia="Arial" w:hAnsi="Arial"/>
                <w:sz w:val="16"/>
                <w:szCs w:val="16"/>
                <w:color w:val="auto"/>
              </w:rPr>
              <w:t>First-lien loan ($3,322 par, due</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7/29/2019</w:t>
            </w:r>
          </w:p>
        </w:tc>
        <w:tc>
          <w:tcPr>
            <w:tcW w:w="10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13.00%</w:t>
            </w:r>
          </w:p>
        </w:tc>
        <w:tc>
          <w:tcPr>
            <w:tcW w:w="136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13.00% PIK</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3,255</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3,284</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0.3%</w:t>
            </w:r>
          </w:p>
        </w:tc>
      </w:tr>
      <w:tr>
        <w:trPr>
          <w:trHeight w:val="212"/>
        </w:trPr>
        <w:tc>
          <w:tcPr>
            <w:tcW w:w="2300" w:type="dxa"/>
            <w:vAlign w:val="bottom"/>
            <w:shd w:val="clear" w:color="auto" w:fill="CFF0FC"/>
          </w:tcPr>
          <w:p>
            <w:pPr>
              <w:spacing w:after="0"/>
              <w:rPr>
                <w:sz w:val="18"/>
                <w:szCs w:val="18"/>
                <w:color w:val="auto"/>
              </w:rPr>
            </w:pPr>
          </w:p>
        </w:tc>
        <w:tc>
          <w:tcPr>
            <w:tcW w:w="2540" w:type="dxa"/>
            <w:vAlign w:val="bottom"/>
            <w:shd w:val="clear" w:color="auto" w:fill="CFF0FC"/>
          </w:tcPr>
          <w:p>
            <w:pPr>
              <w:ind w:left="300"/>
              <w:spacing w:after="0"/>
              <w:rPr>
                <w:sz w:val="20"/>
                <w:szCs w:val="20"/>
                <w:color w:val="auto"/>
              </w:rPr>
            </w:pPr>
            <w:r>
              <w:rPr>
                <w:rFonts w:ascii="Arial" w:cs="Arial" w:eastAsia="Arial" w:hAnsi="Arial"/>
                <w:sz w:val="16"/>
                <w:szCs w:val="16"/>
                <w:color w:val="auto"/>
              </w:rPr>
              <w:t>7/2025)</w:t>
            </w:r>
          </w:p>
        </w:tc>
        <w:tc>
          <w:tcPr>
            <w:tcW w:w="1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310"/>
        </w:trPr>
        <w:tc>
          <w:tcPr>
            <w:tcW w:w="2400" w:type="dxa"/>
            <w:vAlign w:val="bottom"/>
          </w:tcPr>
          <w:p>
            <w:pPr>
              <w:spacing w:after="0"/>
              <w:rPr>
                <w:sz w:val="20"/>
                <w:szCs w:val="20"/>
                <w:color w:val="auto"/>
              </w:rPr>
            </w:pPr>
            <w:r>
              <w:rPr>
                <w:rFonts w:ascii="Arial" w:cs="Arial" w:eastAsia="Arial" w:hAnsi="Arial"/>
                <w:sz w:val="16"/>
                <w:szCs w:val="16"/>
                <w:color w:val="auto"/>
              </w:rPr>
              <w:t xml:space="preserve">Higher Logic, LLC </w:t>
            </w:r>
            <w:r>
              <w:rPr>
                <w:rFonts w:ascii="Arial" w:cs="Arial" w:eastAsia="Arial" w:hAnsi="Arial"/>
                <w:sz w:val="27"/>
                <w:szCs w:val="27"/>
                <w:color w:val="auto"/>
                <w:vertAlign w:val="superscript"/>
              </w:rPr>
              <w:t>(3)(5)</w:t>
            </w:r>
          </w:p>
        </w:tc>
        <w:tc>
          <w:tcPr>
            <w:tcW w:w="2480" w:type="dxa"/>
            <w:vAlign w:val="bottom"/>
          </w:tcPr>
          <w:p>
            <w:pPr>
              <w:ind w:left="200"/>
              <w:spacing w:after="0"/>
              <w:rPr>
                <w:sz w:val="20"/>
                <w:szCs w:val="20"/>
                <w:color w:val="auto"/>
              </w:rPr>
            </w:pPr>
            <w:r>
              <w:rPr>
                <w:rFonts w:ascii="Arial" w:cs="Arial" w:eastAsia="Arial" w:hAnsi="Arial"/>
                <w:sz w:val="16"/>
                <w:szCs w:val="16"/>
                <w:color w:val="auto"/>
                <w:w w:val="99"/>
              </w:rPr>
              <w:t>First-lien loan ($37,430 par, due</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6/18/2018</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L + 6.00%</w:t>
            </w: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7.80%</w:t>
            </w:r>
          </w:p>
        </w:tc>
        <w:tc>
          <w:tcPr>
            <w:tcW w:w="760" w:type="dxa"/>
            <w:vAlign w:val="bottom"/>
          </w:tcPr>
          <w:p>
            <w:pPr>
              <w:jc w:val="right"/>
              <w:spacing w:after="0"/>
              <w:rPr>
                <w:sz w:val="20"/>
                <w:szCs w:val="20"/>
                <w:color w:val="auto"/>
              </w:rPr>
            </w:pPr>
            <w:r>
              <w:rPr>
                <w:rFonts w:ascii="Arial" w:cs="Arial" w:eastAsia="Arial" w:hAnsi="Arial"/>
                <w:sz w:val="16"/>
                <w:szCs w:val="16"/>
                <w:color w:val="auto"/>
              </w:rPr>
              <w:t>37,034</w:t>
            </w: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37,243</w:t>
            </w:r>
          </w:p>
        </w:tc>
        <w:tc>
          <w:tcPr>
            <w:tcW w:w="20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3.3%</w:t>
            </w:r>
          </w:p>
        </w:tc>
      </w:tr>
      <w:tr>
        <w:trPr>
          <w:trHeight w:val="209"/>
        </w:trPr>
        <w:tc>
          <w:tcPr>
            <w:tcW w:w="2400" w:type="dxa"/>
            <w:vAlign w:val="bottom"/>
          </w:tcPr>
          <w:p>
            <w:pPr>
              <w:spacing w:after="0"/>
              <w:rPr>
                <w:sz w:val="18"/>
                <w:szCs w:val="18"/>
                <w:color w:val="auto"/>
              </w:rPr>
            </w:pPr>
          </w:p>
        </w:tc>
        <w:tc>
          <w:tcPr>
            <w:tcW w:w="2480" w:type="dxa"/>
            <w:vAlign w:val="bottom"/>
          </w:tcPr>
          <w:p>
            <w:pPr>
              <w:ind w:left="200"/>
              <w:spacing w:after="0"/>
              <w:rPr>
                <w:sz w:val="20"/>
                <w:szCs w:val="20"/>
                <w:color w:val="auto"/>
              </w:rPr>
            </w:pPr>
            <w:r>
              <w:rPr>
                <w:rFonts w:ascii="Arial" w:cs="Arial" w:eastAsia="Arial" w:hAnsi="Arial"/>
                <w:sz w:val="16"/>
                <w:szCs w:val="16"/>
                <w:color w:val="auto"/>
              </w:rPr>
              <w:t>1/2022)</w:t>
            </w: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40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Lithium Technologies, LLC </w:t>
            </w:r>
            <w:r>
              <w:rPr>
                <w:rFonts w:ascii="Arial" w:cs="Arial" w:eastAsia="Arial" w:hAnsi="Arial"/>
                <w:sz w:val="24"/>
                <w:szCs w:val="24"/>
                <w:color w:val="auto"/>
                <w:vertAlign w:val="superscript"/>
              </w:rPr>
              <w:t>(3)</w:t>
            </w:r>
          </w:p>
        </w:tc>
        <w:tc>
          <w:tcPr>
            <w:tcW w:w="2480" w:type="dxa"/>
            <w:vAlign w:val="bottom"/>
            <w:shd w:val="clear" w:color="auto" w:fill="CFF0FC"/>
          </w:tcPr>
          <w:p>
            <w:pPr>
              <w:ind w:left="200"/>
              <w:spacing w:after="0"/>
              <w:rPr>
                <w:sz w:val="20"/>
                <w:szCs w:val="20"/>
                <w:color w:val="auto"/>
              </w:rPr>
            </w:pPr>
            <w:r>
              <w:rPr>
                <w:rFonts w:ascii="Arial" w:cs="Arial" w:eastAsia="Arial" w:hAnsi="Arial"/>
                <w:sz w:val="16"/>
                <w:szCs w:val="16"/>
                <w:color w:val="auto"/>
                <w:w w:val="99"/>
              </w:rPr>
              <w:t>First-lien loan ($54,700 par, due</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10/3/2017</w:t>
            </w:r>
          </w:p>
        </w:tc>
        <w:tc>
          <w:tcPr>
            <w:tcW w:w="11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L + 8.00%</w:t>
            </w:r>
          </w:p>
        </w:tc>
        <w:tc>
          <w:tcPr>
            <w:tcW w:w="13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10.04%</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53,888</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53,967</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4.8%</w:t>
            </w:r>
          </w:p>
        </w:tc>
      </w:tr>
      <w:tr>
        <w:trPr>
          <w:trHeight w:val="212"/>
        </w:trPr>
        <w:tc>
          <w:tcPr>
            <w:tcW w:w="2400" w:type="dxa"/>
            <w:vAlign w:val="bottom"/>
            <w:shd w:val="clear" w:color="auto" w:fill="CFF0FC"/>
          </w:tcPr>
          <w:p>
            <w:pPr>
              <w:spacing w:after="0"/>
              <w:rPr>
                <w:sz w:val="18"/>
                <w:szCs w:val="18"/>
                <w:color w:val="auto"/>
              </w:rPr>
            </w:pPr>
          </w:p>
        </w:tc>
        <w:tc>
          <w:tcPr>
            <w:tcW w:w="24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10/2022)</w:t>
            </w:r>
          </w:p>
        </w:tc>
        <w:tc>
          <w:tcPr>
            <w:tcW w:w="9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400" w:type="dxa"/>
            <w:vAlign w:val="bottom"/>
          </w:tcPr>
          <w:p>
            <w:pPr>
              <w:spacing w:after="0" w:line="207" w:lineRule="exact"/>
              <w:rPr>
                <w:sz w:val="20"/>
                <w:szCs w:val="20"/>
                <w:color w:val="auto"/>
              </w:rPr>
            </w:pPr>
            <w:r>
              <w:rPr>
                <w:rFonts w:ascii="Arial" w:cs="Arial" w:eastAsia="Arial" w:hAnsi="Arial"/>
                <w:sz w:val="14"/>
                <w:szCs w:val="14"/>
                <w:color w:val="auto"/>
              </w:rPr>
              <w:t xml:space="preserve">Lucidworks, Inc. </w:t>
            </w:r>
            <w:r>
              <w:rPr>
                <w:rFonts w:ascii="Arial" w:cs="Arial" w:eastAsia="Arial" w:hAnsi="Arial"/>
                <w:sz w:val="23"/>
                <w:szCs w:val="23"/>
                <w:color w:val="auto"/>
                <w:vertAlign w:val="superscript"/>
              </w:rPr>
              <w:t>(9)</w:t>
            </w:r>
          </w:p>
        </w:tc>
        <w:tc>
          <w:tcPr>
            <w:tcW w:w="2480" w:type="dxa"/>
            <w:vAlign w:val="bottom"/>
          </w:tcPr>
          <w:p>
            <w:pPr>
              <w:ind w:left="200"/>
              <w:spacing w:after="0"/>
              <w:rPr>
                <w:sz w:val="20"/>
                <w:szCs w:val="20"/>
                <w:color w:val="auto"/>
              </w:rPr>
            </w:pPr>
            <w:r>
              <w:rPr>
                <w:rFonts w:ascii="Arial" w:cs="Arial" w:eastAsia="Arial" w:hAnsi="Arial"/>
                <w:sz w:val="16"/>
                <w:szCs w:val="16"/>
                <w:color w:val="auto"/>
                <w:w w:val="99"/>
              </w:rPr>
              <w:t>First-lien loan ($12,018 par, due</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7/31/2019</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12.00%</w:t>
            </w:r>
          </w:p>
        </w:tc>
        <w:tc>
          <w:tcPr>
            <w:tcW w:w="1360" w:type="dxa"/>
            <w:vAlign w:val="bottom"/>
          </w:tcPr>
          <w:p>
            <w:pPr>
              <w:jc w:val="right"/>
              <w:ind w:right="199"/>
              <w:spacing w:after="0"/>
              <w:rPr>
                <w:sz w:val="20"/>
                <w:szCs w:val="20"/>
                <w:color w:val="auto"/>
              </w:rPr>
            </w:pPr>
            <w:r>
              <w:rPr>
                <w:rFonts w:ascii="Arial" w:cs="Arial" w:eastAsia="Arial" w:hAnsi="Arial"/>
                <w:sz w:val="16"/>
                <w:szCs w:val="16"/>
                <w:color w:val="auto"/>
              </w:rPr>
              <w:t>12.00% (incl.</w:t>
            </w:r>
          </w:p>
        </w:tc>
        <w:tc>
          <w:tcPr>
            <w:tcW w:w="760" w:type="dxa"/>
            <w:vAlign w:val="bottom"/>
          </w:tcPr>
          <w:p>
            <w:pPr>
              <w:jc w:val="right"/>
              <w:spacing w:after="0"/>
              <w:rPr>
                <w:sz w:val="20"/>
                <w:szCs w:val="20"/>
                <w:color w:val="auto"/>
              </w:rPr>
            </w:pPr>
            <w:r>
              <w:rPr>
                <w:rFonts w:ascii="Arial" w:cs="Arial" w:eastAsia="Arial" w:hAnsi="Arial"/>
                <w:sz w:val="16"/>
                <w:szCs w:val="16"/>
                <w:color w:val="auto"/>
              </w:rPr>
              <w:t>11,879</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11,941</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1.1%</w:t>
            </w:r>
          </w:p>
        </w:tc>
      </w:tr>
      <w:tr>
        <w:trPr>
          <w:trHeight w:val="209"/>
        </w:trPr>
        <w:tc>
          <w:tcPr>
            <w:tcW w:w="2400" w:type="dxa"/>
            <w:vAlign w:val="bottom"/>
            <w:tcBorders>
              <w:bottom w:val="single" w:sz="8" w:color="CFF0FC"/>
            </w:tcBorders>
          </w:tcPr>
          <w:p>
            <w:pPr>
              <w:spacing w:after="0"/>
              <w:rPr>
                <w:sz w:val="18"/>
                <w:szCs w:val="18"/>
                <w:color w:val="auto"/>
              </w:rPr>
            </w:pPr>
          </w:p>
        </w:tc>
        <w:tc>
          <w:tcPr>
            <w:tcW w:w="2480" w:type="dxa"/>
            <w:vAlign w:val="bottom"/>
            <w:tcBorders>
              <w:bottom w:val="single" w:sz="8" w:color="CFF0FC"/>
            </w:tcBorders>
          </w:tcPr>
          <w:p>
            <w:pPr>
              <w:ind w:left="200"/>
              <w:spacing w:after="0"/>
              <w:rPr>
                <w:sz w:val="20"/>
                <w:szCs w:val="20"/>
                <w:color w:val="auto"/>
              </w:rPr>
            </w:pPr>
            <w:r>
              <w:rPr>
                <w:rFonts w:ascii="Arial" w:cs="Arial" w:eastAsia="Arial" w:hAnsi="Arial"/>
                <w:sz w:val="16"/>
                <w:szCs w:val="16"/>
                <w:color w:val="auto"/>
              </w:rPr>
              <w:t>7/2024)</w:t>
            </w:r>
          </w:p>
        </w:tc>
        <w:tc>
          <w:tcPr>
            <w:tcW w:w="960" w:type="dxa"/>
            <w:vAlign w:val="bottom"/>
            <w:tcBorders>
              <w:bottom w:val="single" w:sz="8" w:color="CFF0FC"/>
            </w:tcBorders>
          </w:tcPr>
          <w:p>
            <w:pPr>
              <w:spacing w:after="0"/>
              <w:rPr>
                <w:sz w:val="18"/>
                <w:szCs w:val="18"/>
                <w:color w:val="auto"/>
              </w:rPr>
            </w:pPr>
          </w:p>
        </w:tc>
        <w:tc>
          <w:tcPr>
            <w:tcW w:w="1120" w:type="dxa"/>
            <w:vAlign w:val="bottom"/>
            <w:tcBorders>
              <w:bottom w:val="single" w:sz="8" w:color="CFF0FC"/>
            </w:tcBorders>
          </w:tcPr>
          <w:p>
            <w:pPr>
              <w:spacing w:after="0"/>
              <w:rPr>
                <w:sz w:val="18"/>
                <w:szCs w:val="18"/>
                <w:color w:val="auto"/>
              </w:rPr>
            </w:pPr>
          </w:p>
        </w:tc>
        <w:tc>
          <w:tcPr>
            <w:tcW w:w="1360" w:type="dxa"/>
            <w:vAlign w:val="bottom"/>
            <w:tcBorders>
              <w:bottom w:val="single" w:sz="8" w:color="CFF0FC"/>
            </w:tcBorders>
          </w:tcPr>
          <w:p>
            <w:pPr>
              <w:jc w:val="right"/>
              <w:ind w:right="199"/>
              <w:spacing w:after="0"/>
              <w:rPr>
                <w:sz w:val="20"/>
                <w:szCs w:val="20"/>
                <w:color w:val="auto"/>
              </w:rPr>
            </w:pPr>
            <w:r>
              <w:rPr>
                <w:rFonts w:ascii="Arial" w:cs="Arial" w:eastAsia="Arial" w:hAnsi="Arial"/>
                <w:sz w:val="16"/>
                <w:szCs w:val="16"/>
                <w:color w:val="auto"/>
              </w:rPr>
              <w:t>7.00% PIK)</w:t>
            </w:r>
          </w:p>
        </w:tc>
        <w:tc>
          <w:tcPr>
            <w:tcW w:w="76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r>
      <w:tr>
        <w:trPr>
          <w:trHeight w:val="213"/>
        </w:trPr>
        <w:tc>
          <w:tcPr>
            <w:tcW w:w="2400" w:type="dxa"/>
            <w:vAlign w:val="bottom"/>
            <w:shd w:val="clear" w:color="auto" w:fill="CFF0FC"/>
          </w:tcPr>
          <w:p>
            <w:pPr>
              <w:spacing w:after="0"/>
              <w:rPr>
                <w:sz w:val="18"/>
                <w:szCs w:val="18"/>
                <w:color w:val="auto"/>
              </w:rPr>
            </w:pPr>
          </w:p>
        </w:tc>
        <w:tc>
          <w:tcPr>
            <w:tcW w:w="24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106,056</w:t>
            </w:r>
          </w:p>
        </w:tc>
        <w:tc>
          <w:tcPr>
            <w:tcW w:w="220" w:type="dxa"/>
            <w:vAlign w:val="bottom"/>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106,435</w:t>
            </w:r>
          </w:p>
        </w:tc>
        <w:tc>
          <w:tcPr>
            <w:tcW w:w="20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9.5</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4"/>
              </w:rPr>
              <w:t>%</w:t>
            </w:r>
          </w:p>
        </w:tc>
      </w:tr>
      <w:tr>
        <w:trPr>
          <w:trHeight w:val="206"/>
        </w:trPr>
        <w:tc>
          <w:tcPr>
            <w:tcW w:w="2400" w:type="dxa"/>
            <w:vAlign w:val="bottom"/>
          </w:tcPr>
          <w:p>
            <w:pPr>
              <w:spacing w:after="0"/>
              <w:rPr>
                <w:sz w:val="20"/>
                <w:szCs w:val="20"/>
                <w:color w:val="auto"/>
              </w:rPr>
            </w:pPr>
            <w:r>
              <w:rPr>
                <w:rFonts w:ascii="Arial" w:cs="Arial" w:eastAsia="Arial" w:hAnsi="Arial"/>
                <w:sz w:val="16"/>
                <w:szCs w:val="16"/>
                <w:b w:val="1"/>
                <w:bCs w:val="1"/>
                <w:color w:val="auto"/>
              </w:rPr>
              <w:t>Marketing Services</w:t>
            </w:r>
          </w:p>
        </w:tc>
        <w:tc>
          <w:tcPr>
            <w:tcW w:w="2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240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Acoustic, L.P. </w:t>
            </w:r>
            <w:r>
              <w:rPr>
                <w:rFonts w:ascii="Arial" w:cs="Arial" w:eastAsia="Arial" w:hAnsi="Arial"/>
                <w:sz w:val="24"/>
                <w:szCs w:val="24"/>
                <w:color w:val="auto"/>
                <w:vertAlign w:val="superscript"/>
              </w:rPr>
              <w:t>(3)</w:t>
            </w:r>
          </w:p>
        </w:tc>
        <w:tc>
          <w:tcPr>
            <w:tcW w:w="2480" w:type="dxa"/>
            <w:vAlign w:val="bottom"/>
            <w:shd w:val="clear" w:color="auto" w:fill="CFF0FC"/>
          </w:tcPr>
          <w:p>
            <w:pPr>
              <w:ind w:left="200"/>
              <w:spacing w:after="0"/>
              <w:rPr>
                <w:sz w:val="20"/>
                <w:szCs w:val="20"/>
                <w:color w:val="auto"/>
              </w:rPr>
            </w:pPr>
            <w:r>
              <w:rPr>
                <w:rFonts w:ascii="Arial" w:cs="Arial" w:eastAsia="Arial" w:hAnsi="Arial"/>
                <w:sz w:val="16"/>
                <w:szCs w:val="16"/>
                <w:color w:val="auto"/>
                <w:w w:val="99"/>
              </w:rPr>
              <w:t>First-lien note ($33,000 par, due</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12/17/2019</w:t>
            </w:r>
          </w:p>
        </w:tc>
        <w:tc>
          <w:tcPr>
            <w:tcW w:w="11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L + 7.00%</w:t>
            </w:r>
          </w:p>
        </w:tc>
        <w:tc>
          <w:tcPr>
            <w:tcW w:w="13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8.80%</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32,230</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32,175</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2.9%</w:t>
            </w:r>
          </w:p>
        </w:tc>
      </w:tr>
      <w:tr>
        <w:trPr>
          <w:trHeight w:val="212"/>
        </w:trPr>
        <w:tc>
          <w:tcPr>
            <w:tcW w:w="2400" w:type="dxa"/>
            <w:vAlign w:val="bottom"/>
            <w:shd w:val="clear" w:color="auto" w:fill="CFF0FC"/>
          </w:tcPr>
          <w:p>
            <w:pPr>
              <w:spacing w:after="0"/>
              <w:rPr>
                <w:sz w:val="18"/>
                <w:szCs w:val="18"/>
                <w:color w:val="auto"/>
              </w:rPr>
            </w:pPr>
          </w:p>
        </w:tc>
        <w:tc>
          <w:tcPr>
            <w:tcW w:w="24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6/2024)</w:t>
            </w:r>
          </w:p>
        </w:tc>
        <w:tc>
          <w:tcPr>
            <w:tcW w:w="9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3"/>
        </w:trPr>
        <w:tc>
          <w:tcPr>
            <w:tcW w:w="2400" w:type="dxa"/>
            <w:vAlign w:val="bottom"/>
          </w:tcPr>
          <w:p>
            <w:pPr>
              <w:spacing w:after="0"/>
              <w:rPr>
                <w:sz w:val="20"/>
                <w:szCs w:val="20"/>
                <w:color w:val="auto"/>
              </w:rPr>
            </w:pPr>
            <w:r>
              <w:rPr>
                <w:rFonts w:ascii="Arial" w:cs="Arial" w:eastAsia="Arial" w:hAnsi="Arial"/>
                <w:sz w:val="16"/>
                <w:szCs w:val="16"/>
                <w:b w:val="1"/>
                <w:bCs w:val="1"/>
                <w:color w:val="auto"/>
              </w:rPr>
              <w:t>Office products</w:t>
            </w:r>
          </w:p>
        </w:tc>
        <w:tc>
          <w:tcPr>
            <w:tcW w:w="2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40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USR Parent, Inc. </w:t>
            </w:r>
            <w:r>
              <w:rPr>
                <w:rFonts w:ascii="Arial" w:cs="Arial" w:eastAsia="Arial" w:hAnsi="Arial"/>
                <w:sz w:val="24"/>
                <w:szCs w:val="24"/>
                <w:color w:val="auto"/>
                <w:vertAlign w:val="superscript"/>
              </w:rPr>
              <w:t>(3)(5)</w:t>
            </w:r>
          </w:p>
        </w:tc>
        <w:tc>
          <w:tcPr>
            <w:tcW w:w="24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ABL FILO term loan ($11,500</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9/12/2017</w:t>
            </w:r>
          </w:p>
        </w:tc>
        <w:tc>
          <w:tcPr>
            <w:tcW w:w="11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L + 7.75%</w:t>
            </w:r>
          </w:p>
        </w:tc>
        <w:tc>
          <w:tcPr>
            <w:tcW w:w="13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9.45%</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11,338</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11,701</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w:t>
            </w:r>
          </w:p>
        </w:tc>
      </w:tr>
      <w:tr>
        <w:trPr>
          <w:trHeight w:val="212"/>
        </w:trPr>
        <w:tc>
          <w:tcPr>
            <w:tcW w:w="2400" w:type="dxa"/>
            <w:vAlign w:val="bottom"/>
            <w:shd w:val="clear" w:color="auto" w:fill="CFF0FC"/>
          </w:tcPr>
          <w:p>
            <w:pPr>
              <w:spacing w:after="0"/>
              <w:rPr>
                <w:sz w:val="18"/>
                <w:szCs w:val="18"/>
                <w:color w:val="auto"/>
              </w:rPr>
            </w:pPr>
          </w:p>
        </w:tc>
        <w:tc>
          <w:tcPr>
            <w:tcW w:w="24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par, due 9/2022)</w:t>
            </w:r>
          </w:p>
        </w:tc>
        <w:tc>
          <w:tcPr>
            <w:tcW w:w="9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3"/>
        </w:trPr>
        <w:tc>
          <w:tcPr>
            <w:tcW w:w="2400" w:type="dxa"/>
            <w:vAlign w:val="bottom"/>
          </w:tcPr>
          <w:p>
            <w:pPr>
              <w:spacing w:after="0"/>
              <w:rPr>
                <w:sz w:val="20"/>
                <w:szCs w:val="20"/>
                <w:color w:val="auto"/>
              </w:rPr>
            </w:pPr>
            <w:r>
              <w:rPr>
                <w:rFonts w:ascii="Arial" w:cs="Arial" w:eastAsia="Arial" w:hAnsi="Arial"/>
                <w:sz w:val="16"/>
                <w:szCs w:val="16"/>
                <w:b w:val="1"/>
                <w:bCs w:val="1"/>
                <w:color w:val="auto"/>
              </w:rPr>
              <w:t>Oil, gas and consumable fuels</w:t>
            </w:r>
          </w:p>
        </w:tc>
        <w:tc>
          <w:tcPr>
            <w:tcW w:w="2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40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Energy Alloys, LLC </w:t>
            </w:r>
            <w:r>
              <w:rPr>
                <w:rFonts w:ascii="Arial" w:cs="Arial" w:eastAsia="Arial" w:hAnsi="Arial"/>
                <w:sz w:val="24"/>
                <w:szCs w:val="24"/>
                <w:color w:val="auto"/>
                <w:vertAlign w:val="superscript"/>
              </w:rPr>
              <w:t>(3)(5)</w:t>
            </w:r>
          </w:p>
        </w:tc>
        <w:tc>
          <w:tcPr>
            <w:tcW w:w="24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ABL FILO term loan ($22,000</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8/28/2019</w:t>
            </w:r>
          </w:p>
        </w:tc>
        <w:tc>
          <w:tcPr>
            <w:tcW w:w="11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L + 6.25%</w:t>
            </w:r>
          </w:p>
        </w:tc>
        <w:tc>
          <w:tcPr>
            <w:tcW w:w="13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8.25%</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21,171</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21,260</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1.9%</w:t>
            </w:r>
          </w:p>
        </w:tc>
      </w:tr>
      <w:tr>
        <w:trPr>
          <w:trHeight w:val="212"/>
        </w:trPr>
        <w:tc>
          <w:tcPr>
            <w:tcW w:w="2400" w:type="dxa"/>
            <w:vAlign w:val="bottom"/>
            <w:shd w:val="clear" w:color="auto" w:fill="CFF0FC"/>
          </w:tcPr>
          <w:p>
            <w:pPr>
              <w:spacing w:after="0"/>
              <w:rPr>
                <w:sz w:val="18"/>
                <w:szCs w:val="18"/>
                <w:color w:val="auto"/>
              </w:rPr>
            </w:pPr>
          </w:p>
        </w:tc>
        <w:tc>
          <w:tcPr>
            <w:tcW w:w="24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par, due 8/2024)</w:t>
            </w:r>
          </w:p>
        </w:tc>
        <w:tc>
          <w:tcPr>
            <w:tcW w:w="9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400" w:type="dxa"/>
            <w:vAlign w:val="bottom"/>
          </w:tcPr>
          <w:p>
            <w:pPr>
              <w:spacing w:after="0" w:line="207" w:lineRule="exact"/>
              <w:rPr>
                <w:sz w:val="20"/>
                <w:szCs w:val="20"/>
                <w:color w:val="auto"/>
              </w:rPr>
            </w:pPr>
            <w:r>
              <w:rPr>
                <w:rFonts w:ascii="Arial" w:cs="Arial" w:eastAsia="Arial" w:hAnsi="Arial"/>
                <w:sz w:val="14"/>
                <w:szCs w:val="14"/>
                <w:color w:val="auto"/>
              </w:rPr>
              <w:t xml:space="preserve">MD America Energy, LLC </w:t>
            </w:r>
            <w:r>
              <w:rPr>
                <w:rFonts w:ascii="Arial" w:cs="Arial" w:eastAsia="Arial" w:hAnsi="Arial"/>
                <w:sz w:val="23"/>
                <w:szCs w:val="23"/>
                <w:color w:val="auto"/>
                <w:vertAlign w:val="superscript"/>
              </w:rPr>
              <w:t>(3)</w:t>
            </w:r>
          </w:p>
        </w:tc>
        <w:tc>
          <w:tcPr>
            <w:tcW w:w="2480" w:type="dxa"/>
            <w:vAlign w:val="bottom"/>
          </w:tcPr>
          <w:p>
            <w:pPr>
              <w:ind w:left="200"/>
              <w:spacing w:after="0"/>
              <w:rPr>
                <w:sz w:val="20"/>
                <w:szCs w:val="20"/>
                <w:color w:val="auto"/>
              </w:rPr>
            </w:pPr>
            <w:r>
              <w:rPr>
                <w:rFonts w:ascii="Arial" w:cs="Arial" w:eastAsia="Arial" w:hAnsi="Arial"/>
                <w:sz w:val="16"/>
                <w:szCs w:val="16"/>
                <w:color w:val="auto"/>
                <w:w w:val="99"/>
              </w:rPr>
              <w:t>First-lien loan ($19,069 par, due</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11/14/2018</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L + 7.75%</w:t>
            </w: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9.67%</w:t>
            </w:r>
          </w:p>
        </w:tc>
        <w:tc>
          <w:tcPr>
            <w:tcW w:w="760" w:type="dxa"/>
            <w:vAlign w:val="bottom"/>
          </w:tcPr>
          <w:p>
            <w:pPr>
              <w:jc w:val="right"/>
              <w:spacing w:after="0"/>
              <w:rPr>
                <w:sz w:val="20"/>
                <w:szCs w:val="20"/>
                <w:color w:val="auto"/>
              </w:rPr>
            </w:pPr>
            <w:r>
              <w:rPr>
                <w:rFonts w:ascii="Arial" w:cs="Arial" w:eastAsia="Arial" w:hAnsi="Arial"/>
                <w:sz w:val="16"/>
                <w:szCs w:val="16"/>
                <w:color w:val="auto"/>
              </w:rPr>
              <w:t>18,836</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18,640</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1.7%</w:t>
            </w:r>
          </w:p>
        </w:tc>
      </w:tr>
      <w:tr>
        <w:trPr>
          <w:trHeight w:val="209"/>
        </w:trPr>
        <w:tc>
          <w:tcPr>
            <w:tcW w:w="2400" w:type="dxa"/>
            <w:vAlign w:val="bottom"/>
          </w:tcPr>
          <w:p>
            <w:pPr>
              <w:spacing w:after="0"/>
              <w:rPr>
                <w:sz w:val="18"/>
                <w:szCs w:val="18"/>
                <w:color w:val="auto"/>
              </w:rPr>
            </w:pPr>
          </w:p>
        </w:tc>
        <w:tc>
          <w:tcPr>
            <w:tcW w:w="2480" w:type="dxa"/>
            <w:vAlign w:val="bottom"/>
          </w:tcPr>
          <w:p>
            <w:pPr>
              <w:ind w:left="200"/>
              <w:spacing w:after="0"/>
              <w:rPr>
                <w:sz w:val="20"/>
                <w:szCs w:val="20"/>
                <w:color w:val="auto"/>
              </w:rPr>
            </w:pPr>
            <w:r>
              <w:rPr>
                <w:rFonts w:ascii="Arial" w:cs="Arial" w:eastAsia="Arial" w:hAnsi="Arial"/>
                <w:sz w:val="16"/>
                <w:szCs w:val="16"/>
                <w:color w:val="auto"/>
              </w:rPr>
              <w:t>11/2023)</w:t>
            </w: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40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Mississippi Resources, LLC </w:t>
            </w:r>
            <w:r>
              <w:rPr>
                <w:rFonts w:ascii="Arial" w:cs="Arial" w:eastAsia="Arial" w:hAnsi="Arial"/>
                <w:sz w:val="24"/>
                <w:szCs w:val="24"/>
                <w:color w:val="auto"/>
                <w:vertAlign w:val="superscript"/>
              </w:rPr>
              <w:t>(3)(7)</w:t>
            </w:r>
          </w:p>
        </w:tc>
        <w:tc>
          <w:tcPr>
            <w:tcW w:w="24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First-lien loan ($8,000 par, due</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6/29/2018</w:t>
            </w:r>
          </w:p>
        </w:tc>
        <w:tc>
          <w:tcPr>
            <w:tcW w:w="11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L + 9.00%</w:t>
            </w:r>
          </w:p>
        </w:tc>
        <w:tc>
          <w:tcPr>
            <w:tcW w:w="13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10.80%</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7,998</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8,000</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0.7%</w:t>
            </w:r>
          </w:p>
        </w:tc>
      </w:tr>
      <w:tr>
        <w:trPr>
          <w:trHeight w:val="212"/>
        </w:trPr>
        <w:tc>
          <w:tcPr>
            <w:tcW w:w="2400" w:type="dxa"/>
            <w:vAlign w:val="bottom"/>
            <w:shd w:val="clear" w:color="auto" w:fill="CFF0FC"/>
          </w:tcPr>
          <w:p>
            <w:pPr>
              <w:spacing w:after="0"/>
              <w:rPr>
                <w:sz w:val="18"/>
                <w:szCs w:val="18"/>
                <w:color w:val="auto"/>
              </w:rPr>
            </w:pPr>
          </w:p>
        </w:tc>
        <w:tc>
          <w:tcPr>
            <w:tcW w:w="24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6/2020)</w:t>
            </w:r>
          </w:p>
        </w:tc>
        <w:tc>
          <w:tcPr>
            <w:tcW w:w="9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3"/>
        </w:trPr>
        <w:tc>
          <w:tcPr>
            <w:tcW w:w="2400" w:type="dxa"/>
            <w:vAlign w:val="bottom"/>
          </w:tcPr>
          <w:p>
            <w:pPr>
              <w:spacing w:after="0"/>
              <w:rPr>
                <w:sz w:val="20"/>
                <w:szCs w:val="20"/>
                <w:color w:val="auto"/>
              </w:rPr>
            </w:pPr>
            <w:r>
              <w:rPr>
                <w:rFonts w:ascii="Arial" w:cs="Arial" w:eastAsia="Arial" w:hAnsi="Arial"/>
                <w:sz w:val="16"/>
                <w:szCs w:val="16"/>
                <w:color w:val="auto"/>
              </w:rPr>
              <w:t>Verdad Resources Intermediate</w:t>
            </w:r>
          </w:p>
        </w:tc>
        <w:tc>
          <w:tcPr>
            <w:tcW w:w="2480" w:type="dxa"/>
            <w:vAlign w:val="bottom"/>
          </w:tcPr>
          <w:p>
            <w:pPr>
              <w:ind w:left="200"/>
              <w:spacing w:after="0"/>
              <w:rPr>
                <w:sz w:val="20"/>
                <w:szCs w:val="20"/>
                <w:color w:val="auto"/>
              </w:rPr>
            </w:pPr>
            <w:r>
              <w:rPr>
                <w:rFonts w:ascii="Arial" w:cs="Arial" w:eastAsia="Arial" w:hAnsi="Arial"/>
                <w:sz w:val="16"/>
                <w:szCs w:val="16"/>
                <w:color w:val="auto"/>
                <w:w w:val="99"/>
              </w:rPr>
              <w:t>First-lien loan ($42,222 par, due</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4/10/2019</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L + 7.50%</w:t>
            </w: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9.50%</w:t>
            </w:r>
          </w:p>
        </w:tc>
        <w:tc>
          <w:tcPr>
            <w:tcW w:w="760" w:type="dxa"/>
            <w:vAlign w:val="bottom"/>
          </w:tcPr>
          <w:p>
            <w:pPr>
              <w:jc w:val="right"/>
              <w:spacing w:after="0"/>
              <w:rPr>
                <w:sz w:val="20"/>
                <w:szCs w:val="20"/>
                <w:color w:val="auto"/>
              </w:rPr>
            </w:pPr>
            <w:r>
              <w:rPr>
                <w:rFonts w:ascii="Arial" w:cs="Arial" w:eastAsia="Arial" w:hAnsi="Arial"/>
                <w:sz w:val="16"/>
                <w:szCs w:val="16"/>
                <w:color w:val="auto"/>
              </w:rPr>
              <w:t>41,257</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41,347</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3.7%</w:t>
            </w:r>
          </w:p>
        </w:tc>
      </w:tr>
      <w:tr>
        <w:trPr>
          <w:trHeight w:val="216"/>
        </w:trPr>
        <w:tc>
          <w:tcPr>
            <w:tcW w:w="2400" w:type="dxa"/>
            <w:vAlign w:val="bottom"/>
            <w:tcBorders>
              <w:bottom w:val="single" w:sz="8" w:color="CFF0FC"/>
            </w:tcBorders>
          </w:tcPr>
          <w:p>
            <w:pPr>
              <w:ind w:left="120"/>
              <w:spacing w:after="0" w:line="216" w:lineRule="exact"/>
              <w:rPr>
                <w:sz w:val="20"/>
                <w:szCs w:val="20"/>
                <w:color w:val="auto"/>
              </w:rPr>
            </w:pPr>
            <w:r>
              <w:rPr>
                <w:rFonts w:ascii="Arial" w:cs="Arial" w:eastAsia="Arial" w:hAnsi="Arial"/>
                <w:sz w:val="15"/>
                <w:szCs w:val="15"/>
                <w:color w:val="auto"/>
              </w:rPr>
              <w:t xml:space="preserve">Holdings, LLC </w:t>
            </w:r>
            <w:r>
              <w:rPr>
                <w:rFonts w:ascii="Arial" w:cs="Arial" w:eastAsia="Arial" w:hAnsi="Arial"/>
                <w:sz w:val="25"/>
                <w:szCs w:val="25"/>
                <w:color w:val="auto"/>
                <w:vertAlign w:val="superscript"/>
              </w:rPr>
              <w:t>(3)</w:t>
            </w:r>
          </w:p>
        </w:tc>
        <w:tc>
          <w:tcPr>
            <w:tcW w:w="2480" w:type="dxa"/>
            <w:vAlign w:val="bottom"/>
            <w:tcBorders>
              <w:bottom w:val="single" w:sz="8" w:color="CFF0FC"/>
            </w:tcBorders>
          </w:tcPr>
          <w:p>
            <w:pPr>
              <w:ind w:left="200"/>
              <w:spacing w:after="0"/>
              <w:rPr>
                <w:sz w:val="20"/>
                <w:szCs w:val="20"/>
                <w:color w:val="auto"/>
              </w:rPr>
            </w:pPr>
            <w:r>
              <w:rPr>
                <w:rFonts w:ascii="Arial" w:cs="Arial" w:eastAsia="Arial" w:hAnsi="Arial"/>
                <w:sz w:val="16"/>
                <w:szCs w:val="16"/>
                <w:color w:val="auto"/>
              </w:rPr>
              <w:t>10/2023)</w:t>
            </w:r>
          </w:p>
        </w:tc>
        <w:tc>
          <w:tcPr>
            <w:tcW w:w="960" w:type="dxa"/>
            <w:vAlign w:val="bottom"/>
            <w:tcBorders>
              <w:bottom w:val="single" w:sz="8" w:color="CFF0FC"/>
            </w:tcBorders>
          </w:tcPr>
          <w:p>
            <w:pPr>
              <w:spacing w:after="0"/>
              <w:rPr>
                <w:sz w:val="18"/>
                <w:szCs w:val="18"/>
                <w:color w:val="auto"/>
              </w:rPr>
            </w:pPr>
          </w:p>
        </w:tc>
        <w:tc>
          <w:tcPr>
            <w:tcW w:w="1120" w:type="dxa"/>
            <w:vAlign w:val="bottom"/>
            <w:tcBorders>
              <w:bottom w:val="single" w:sz="8" w:color="CFF0FC"/>
            </w:tcBorders>
          </w:tcPr>
          <w:p>
            <w:pPr>
              <w:spacing w:after="0"/>
              <w:rPr>
                <w:sz w:val="18"/>
                <w:szCs w:val="18"/>
                <w:color w:val="auto"/>
              </w:rPr>
            </w:pPr>
          </w:p>
        </w:tc>
        <w:tc>
          <w:tcPr>
            <w:tcW w:w="136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r>
      <w:tr>
        <w:trPr>
          <w:trHeight w:val="210"/>
        </w:trPr>
        <w:tc>
          <w:tcPr>
            <w:tcW w:w="2400" w:type="dxa"/>
            <w:vAlign w:val="bottom"/>
            <w:shd w:val="clear" w:color="auto" w:fill="CFF0FC"/>
          </w:tcPr>
          <w:p>
            <w:pPr>
              <w:spacing w:after="0"/>
              <w:rPr>
                <w:sz w:val="18"/>
                <w:szCs w:val="18"/>
                <w:color w:val="auto"/>
              </w:rPr>
            </w:pPr>
          </w:p>
        </w:tc>
        <w:tc>
          <w:tcPr>
            <w:tcW w:w="24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89,262</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89,247</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8.0%</w:t>
            </w:r>
          </w:p>
        </w:tc>
      </w:tr>
      <w:tr>
        <w:trPr>
          <w:trHeight w:val="206"/>
        </w:trPr>
        <w:tc>
          <w:tcPr>
            <w:tcW w:w="2400" w:type="dxa"/>
            <w:vAlign w:val="bottom"/>
          </w:tcPr>
          <w:p>
            <w:pPr>
              <w:spacing w:after="0"/>
              <w:rPr>
                <w:sz w:val="20"/>
                <w:szCs w:val="20"/>
                <w:color w:val="auto"/>
              </w:rPr>
            </w:pPr>
            <w:r>
              <w:rPr>
                <w:rFonts w:ascii="Arial" w:cs="Arial" w:eastAsia="Arial" w:hAnsi="Arial"/>
                <w:sz w:val="16"/>
                <w:szCs w:val="16"/>
                <w:b w:val="1"/>
                <w:bCs w:val="1"/>
                <w:color w:val="auto"/>
              </w:rPr>
              <w:t>Pharmaceuticals</w:t>
            </w:r>
          </w:p>
        </w:tc>
        <w:tc>
          <w:tcPr>
            <w:tcW w:w="2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240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Nektar Therapeutics </w:t>
            </w:r>
            <w:r>
              <w:rPr>
                <w:rFonts w:ascii="Arial" w:cs="Arial" w:eastAsia="Arial" w:hAnsi="Arial"/>
                <w:sz w:val="24"/>
                <w:szCs w:val="24"/>
                <w:color w:val="auto"/>
                <w:vertAlign w:val="superscript"/>
              </w:rPr>
              <w:t>(4)(5)(9)</w:t>
            </w:r>
          </w:p>
        </w:tc>
        <w:tc>
          <w:tcPr>
            <w:tcW w:w="24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Secured note ($74,950 par, due</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10/5/2015</w:t>
            </w:r>
          </w:p>
        </w:tc>
        <w:tc>
          <w:tcPr>
            <w:tcW w:w="11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7.75%</w:t>
            </w:r>
          </w:p>
        </w:tc>
        <w:tc>
          <w:tcPr>
            <w:tcW w:w="13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7.75%</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74,774</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76,074</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6.8%</w:t>
            </w:r>
          </w:p>
        </w:tc>
      </w:tr>
      <w:tr>
        <w:trPr>
          <w:trHeight w:val="212"/>
        </w:trPr>
        <w:tc>
          <w:tcPr>
            <w:tcW w:w="2400" w:type="dxa"/>
            <w:vAlign w:val="bottom"/>
            <w:shd w:val="clear" w:color="auto" w:fill="CFF0FC"/>
          </w:tcPr>
          <w:p>
            <w:pPr>
              <w:spacing w:after="0"/>
              <w:rPr>
                <w:sz w:val="18"/>
                <w:szCs w:val="18"/>
                <w:color w:val="auto"/>
              </w:rPr>
            </w:pPr>
          </w:p>
        </w:tc>
        <w:tc>
          <w:tcPr>
            <w:tcW w:w="24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10/2020)</w:t>
            </w:r>
          </w:p>
        </w:tc>
        <w:tc>
          <w:tcPr>
            <w:tcW w:w="9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400" w:type="dxa"/>
            <w:vAlign w:val="bottom"/>
          </w:tcPr>
          <w:p>
            <w:pPr>
              <w:spacing w:after="0" w:line="207" w:lineRule="exact"/>
              <w:rPr>
                <w:sz w:val="20"/>
                <w:szCs w:val="20"/>
                <w:color w:val="auto"/>
              </w:rPr>
            </w:pPr>
            <w:r>
              <w:rPr>
                <w:rFonts w:ascii="Arial" w:cs="Arial" w:eastAsia="Arial" w:hAnsi="Arial"/>
                <w:sz w:val="14"/>
                <w:szCs w:val="14"/>
                <w:color w:val="auto"/>
              </w:rPr>
              <w:t xml:space="preserve">TherapeuticsMD, Inc. </w:t>
            </w:r>
            <w:r>
              <w:rPr>
                <w:rFonts w:ascii="Arial" w:cs="Arial" w:eastAsia="Arial" w:hAnsi="Arial"/>
                <w:sz w:val="23"/>
                <w:szCs w:val="23"/>
                <w:color w:val="auto"/>
                <w:vertAlign w:val="superscript"/>
              </w:rPr>
              <w:t>(3)(4)</w:t>
            </w:r>
          </w:p>
        </w:tc>
        <w:tc>
          <w:tcPr>
            <w:tcW w:w="2480" w:type="dxa"/>
            <w:vAlign w:val="bottom"/>
          </w:tcPr>
          <w:p>
            <w:pPr>
              <w:ind w:left="200"/>
              <w:spacing w:after="0"/>
              <w:rPr>
                <w:sz w:val="20"/>
                <w:szCs w:val="20"/>
                <w:color w:val="auto"/>
              </w:rPr>
            </w:pPr>
            <w:r>
              <w:rPr>
                <w:rFonts w:ascii="Arial" w:cs="Arial" w:eastAsia="Arial" w:hAnsi="Arial"/>
                <w:sz w:val="16"/>
                <w:szCs w:val="16"/>
                <w:color w:val="auto"/>
                <w:w w:val="99"/>
              </w:rPr>
              <w:t>First-lien loan ($30,000 par, due</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4/24/2019</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L + 7.75%</w:t>
            </w: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10.45%</w:t>
            </w:r>
          </w:p>
        </w:tc>
        <w:tc>
          <w:tcPr>
            <w:tcW w:w="760" w:type="dxa"/>
            <w:vAlign w:val="bottom"/>
          </w:tcPr>
          <w:p>
            <w:pPr>
              <w:jc w:val="right"/>
              <w:spacing w:after="0"/>
              <w:rPr>
                <w:sz w:val="20"/>
                <w:szCs w:val="20"/>
                <w:color w:val="auto"/>
              </w:rPr>
            </w:pPr>
            <w:r>
              <w:rPr>
                <w:rFonts w:ascii="Arial" w:cs="Arial" w:eastAsia="Arial" w:hAnsi="Arial"/>
                <w:sz w:val="16"/>
                <w:szCs w:val="16"/>
                <w:color w:val="auto"/>
              </w:rPr>
              <w:t>29,333</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29,100</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2.6%</w:t>
            </w:r>
          </w:p>
        </w:tc>
      </w:tr>
      <w:tr>
        <w:trPr>
          <w:trHeight w:val="209"/>
        </w:trPr>
        <w:tc>
          <w:tcPr>
            <w:tcW w:w="2400" w:type="dxa"/>
            <w:vAlign w:val="bottom"/>
            <w:tcBorders>
              <w:bottom w:val="single" w:sz="8" w:color="CFF0FC"/>
            </w:tcBorders>
          </w:tcPr>
          <w:p>
            <w:pPr>
              <w:spacing w:after="0"/>
              <w:rPr>
                <w:sz w:val="18"/>
                <w:szCs w:val="18"/>
                <w:color w:val="auto"/>
              </w:rPr>
            </w:pPr>
          </w:p>
        </w:tc>
        <w:tc>
          <w:tcPr>
            <w:tcW w:w="2480" w:type="dxa"/>
            <w:vAlign w:val="bottom"/>
            <w:tcBorders>
              <w:bottom w:val="single" w:sz="8" w:color="CFF0FC"/>
            </w:tcBorders>
          </w:tcPr>
          <w:p>
            <w:pPr>
              <w:ind w:left="200"/>
              <w:spacing w:after="0"/>
              <w:rPr>
                <w:sz w:val="20"/>
                <w:szCs w:val="20"/>
                <w:color w:val="auto"/>
              </w:rPr>
            </w:pPr>
            <w:r>
              <w:rPr>
                <w:rFonts w:ascii="Arial" w:cs="Arial" w:eastAsia="Arial" w:hAnsi="Arial"/>
                <w:sz w:val="16"/>
                <w:szCs w:val="16"/>
                <w:color w:val="auto"/>
              </w:rPr>
              <w:t>3/2024)</w:t>
            </w:r>
          </w:p>
        </w:tc>
        <w:tc>
          <w:tcPr>
            <w:tcW w:w="960" w:type="dxa"/>
            <w:vAlign w:val="bottom"/>
            <w:tcBorders>
              <w:bottom w:val="single" w:sz="8" w:color="CFF0FC"/>
            </w:tcBorders>
          </w:tcPr>
          <w:p>
            <w:pPr>
              <w:spacing w:after="0"/>
              <w:rPr>
                <w:sz w:val="18"/>
                <w:szCs w:val="18"/>
                <w:color w:val="auto"/>
              </w:rPr>
            </w:pPr>
          </w:p>
        </w:tc>
        <w:tc>
          <w:tcPr>
            <w:tcW w:w="1120" w:type="dxa"/>
            <w:vAlign w:val="bottom"/>
            <w:tcBorders>
              <w:bottom w:val="single" w:sz="8" w:color="CFF0FC"/>
            </w:tcBorders>
          </w:tcPr>
          <w:p>
            <w:pPr>
              <w:spacing w:after="0"/>
              <w:rPr>
                <w:sz w:val="18"/>
                <w:szCs w:val="18"/>
                <w:color w:val="auto"/>
              </w:rPr>
            </w:pPr>
          </w:p>
        </w:tc>
        <w:tc>
          <w:tcPr>
            <w:tcW w:w="136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r>
      <w:tr>
        <w:trPr>
          <w:trHeight w:val="213"/>
        </w:trPr>
        <w:tc>
          <w:tcPr>
            <w:tcW w:w="2400" w:type="dxa"/>
            <w:vAlign w:val="bottom"/>
            <w:shd w:val="clear" w:color="auto" w:fill="CFF0FC"/>
          </w:tcPr>
          <w:p>
            <w:pPr>
              <w:spacing w:after="0"/>
              <w:rPr>
                <w:sz w:val="18"/>
                <w:szCs w:val="18"/>
                <w:color w:val="auto"/>
              </w:rPr>
            </w:pPr>
          </w:p>
        </w:tc>
        <w:tc>
          <w:tcPr>
            <w:tcW w:w="24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104,107</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105,174</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9.4%</w:t>
            </w:r>
          </w:p>
        </w:tc>
      </w:tr>
      <w:tr>
        <w:trPr>
          <w:trHeight w:val="206"/>
        </w:trPr>
        <w:tc>
          <w:tcPr>
            <w:tcW w:w="2400" w:type="dxa"/>
            <w:vAlign w:val="bottom"/>
          </w:tcPr>
          <w:p>
            <w:pPr>
              <w:spacing w:after="0"/>
              <w:rPr>
                <w:sz w:val="20"/>
                <w:szCs w:val="20"/>
                <w:color w:val="auto"/>
              </w:rPr>
            </w:pPr>
            <w:r>
              <w:rPr>
                <w:rFonts w:ascii="Arial" w:cs="Arial" w:eastAsia="Arial" w:hAnsi="Arial"/>
                <w:sz w:val="16"/>
                <w:szCs w:val="16"/>
                <w:b w:val="1"/>
                <w:bCs w:val="1"/>
                <w:color w:val="auto"/>
              </w:rPr>
              <w:t>Real Estate</w:t>
            </w:r>
          </w:p>
        </w:tc>
        <w:tc>
          <w:tcPr>
            <w:tcW w:w="2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240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ResMan, LLC </w:t>
            </w:r>
            <w:r>
              <w:rPr>
                <w:rFonts w:ascii="Arial" w:cs="Arial" w:eastAsia="Arial" w:hAnsi="Arial"/>
                <w:sz w:val="24"/>
                <w:szCs w:val="24"/>
                <w:color w:val="auto"/>
                <w:vertAlign w:val="superscript"/>
              </w:rPr>
              <w:t>(3)</w:t>
            </w:r>
          </w:p>
        </w:tc>
        <w:tc>
          <w:tcPr>
            <w:tcW w:w="2480" w:type="dxa"/>
            <w:vAlign w:val="bottom"/>
            <w:shd w:val="clear" w:color="auto" w:fill="CFF0FC"/>
          </w:tcPr>
          <w:p>
            <w:pPr>
              <w:ind w:left="200"/>
              <w:spacing w:after="0"/>
              <w:rPr>
                <w:sz w:val="20"/>
                <w:szCs w:val="20"/>
                <w:color w:val="auto"/>
              </w:rPr>
            </w:pPr>
            <w:r>
              <w:rPr>
                <w:rFonts w:ascii="Arial" w:cs="Arial" w:eastAsia="Arial" w:hAnsi="Arial"/>
                <w:sz w:val="16"/>
                <w:szCs w:val="16"/>
                <w:color w:val="auto"/>
                <w:w w:val="99"/>
              </w:rPr>
              <w:t>First-lien loan ($20,648 par, due</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10/3/2019</w:t>
            </w:r>
          </w:p>
        </w:tc>
        <w:tc>
          <w:tcPr>
            <w:tcW w:w="11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L + 8.00%</w:t>
            </w:r>
          </w:p>
        </w:tc>
        <w:tc>
          <w:tcPr>
            <w:tcW w:w="13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9.94%</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20,208</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20,303</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1.8%</w:t>
            </w:r>
          </w:p>
        </w:tc>
      </w:tr>
      <w:tr>
        <w:trPr>
          <w:trHeight w:val="212"/>
        </w:trPr>
        <w:tc>
          <w:tcPr>
            <w:tcW w:w="2400" w:type="dxa"/>
            <w:vAlign w:val="bottom"/>
            <w:shd w:val="clear" w:color="auto" w:fill="CFF0FC"/>
          </w:tcPr>
          <w:p>
            <w:pPr>
              <w:spacing w:after="0"/>
              <w:rPr>
                <w:sz w:val="18"/>
                <w:szCs w:val="18"/>
                <w:color w:val="auto"/>
              </w:rPr>
            </w:pPr>
          </w:p>
        </w:tc>
        <w:tc>
          <w:tcPr>
            <w:tcW w:w="24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10/2024)</w:t>
            </w:r>
          </w:p>
        </w:tc>
        <w:tc>
          <w:tcPr>
            <w:tcW w:w="9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3"/>
        </w:trPr>
        <w:tc>
          <w:tcPr>
            <w:tcW w:w="2400" w:type="dxa"/>
            <w:vAlign w:val="bottom"/>
          </w:tcPr>
          <w:p>
            <w:pPr>
              <w:spacing w:after="0"/>
              <w:rPr>
                <w:sz w:val="20"/>
                <w:szCs w:val="20"/>
                <w:color w:val="auto"/>
              </w:rPr>
            </w:pPr>
            <w:r>
              <w:rPr>
                <w:rFonts w:ascii="Arial" w:cs="Arial" w:eastAsia="Arial" w:hAnsi="Arial"/>
                <w:sz w:val="16"/>
                <w:szCs w:val="16"/>
                <w:b w:val="1"/>
                <w:bCs w:val="1"/>
                <w:color w:val="auto"/>
              </w:rPr>
              <w:t>Retail and consumer products</w:t>
            </w:r>
          </w:p>
        </w:tc>
        <w:tc>
          <w:tcPr>
            <w:tcW w:w="2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40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99 Cents Only Stores LLC </w:t>
            </w:r>
            <w:r>
              <w:rPr>
                <w:rFonts w:ascii="Arial" w:cs="Arial" w:eastAsia="Arial" w:hAnsi="Arial"/>
                <w:sz w:val="24"/>
                <w:szCs w:val="24"/>
                <w:color w:val="auto"/>
                <w:vertAlign w:val="superscript"/>
              </w:rPr>
              <w:t>(3)</w:t>
            </w:r>
          </w:p>
        </w:tc>
        <w:tc>
          <w:tcPr>
            <w:tcW w:w="24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ABL FILO term loan ($32,500</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9/6/2017</w:t>
            </w:r>
          </w:p>
        </w:tc>
        <w:tc>
          <w:tcPr>
            <w:tcW w:w="11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L + 7.75%</w:t>
            </w:r>
          </w:p>
        </w:tc>
        <w:tc>
          <w:tcPr>
            <w:tcW w:w="13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9.64%</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32,303</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32,581</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2.9%</w:t>
            </w:r>
          </w:p>
        </w:tc>
      </w:tr>
      <w:tr>
        <w:trPr>
          <w:trHeight w:val="212"/>
        </w:trPr>
        <w:tc>
          <w:tcPr>
            <w:tcW w:w="2400" w:type="dxa"/>
            <w:vAlign w:val="bottom"/>
            <w:shd w:val="clear" w:color="auto" w:fill="CFF0FC"/>
          </w:tcPr>
          <w:p>
            <w:pPr>
              <w:spacing w:after="0"/>
              <w:rPr>
                <w:sz w:val="18"/>
                <w:szCs w:val="18"/>
                <w:color w:val="auto"/>
              </w:rPr>
            </w:pPr>
          </w:p>
        </w:tc>
        <w:tc>
          <w:tcPr>
            <w:tcW w:w="24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par, due 4/2021)</w:t>
            </w:r>
          </w:p>
        </w:tc>
        <w:tc>
          <w:tcPr>
            <w:tcW w:w="9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3"/>
        </w:trPr>
        <w:tc>
          <w:tcPr>
            <w:tcW w:w="2400" w:type="dxa"/>
            <w:vAlign w:val="bottom"/>
          </w:tcPr>
          <w:p>
            <w:pPr>
              <w:spacing w:after="0"/>
              <w:rPr>
                <w:sz w:val="20"/>
                <w:szCs w:val="20"/>
                <w:color w:val="auto"/>
              </w:rPr>
            </w:pPr>
            <w:r>
              <w:rPr>
                <w:rFonts w:ascii="Arial" w:cs="Arial" w:eastAsia="Arial" w:hAnsi="Arial"/>
                <w:sz w:val="16"/>
                <w:szCs w:val="16"/>
                <w:color w:val="auto"/>
              </w:rPr>
              <w:t>American Achievement,</w:t>
            </w:r>
          </w:p>
        </w:tc>
        <w:tc>
          <w:tcPr>
            <w:tcW w:w="2480" w:type="dxa"/>
            <w:vAlign w:val="bottom"/>
          </w:tcPr>
          <w:p>
            <w:pPr>
              <w:ind w:left="200"/>
              <w:spacing w:after="0"/>
              <w:rPr>
                <w:sz w:val="20"/>
                <w:szCs w:val="20"/>
                <w:color w:val="auto"/>
              </w:rPr>
            </w:pPr>
            <w:r>
              <w:rPr>
                <w:rFonts w:ascii="Arial" w:cs="Arial" w:eastAsia="Arial" w:hAnsi="Arial"/>
                <w:sz w:val="16"/>
                <w:szCs w:val="16"/>
                <w:color w:val="auto"/>
                <w:w w:val="99"/>
              </w:rPr>
              <w:t>First-lien loan ($22,619 par, due</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9/30/2015</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L + 8.25%</w:t>
            </w: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9.95%</w:t>
            </w:r>
          </w:p>
        </w:tc>
        <w:tc>
          <w:tcPr>
            <w:tcW w:w="760" w:type="dxa"/>
            <w:vAlign w:val="bottom"/>
          </w:tcPr>
          <w:p>
            <w:pPr>
              <w:jc w:val="right"/>
              <w:spacing w:after="0"/>
              <w:rPr>
                <w:sz w:val="20"/>
                <w:szCs w:val="20"/>
                <w:color w:val="auto"/>
              </w:rPr>
            </w:pPr>
            <w:r>
              <w:rPr>
                <w:rFonts w:ascii="Arial" w:cs="Arial" w:eastAsia="Arial" w:hAnsi="Arial"/>
                <w:sz w:val="16"/>
                <w:szCs w:val="16"/>
                <w:color w:val="auto"/>
              </w:rPr>
              <w:t>22,540</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22,167</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2.0%</w:t>
            </w:r>
          </w:p>
        </w:tc>
      </w:tr>
      <w:tr>
        <w:trPr>
          <w:trHeight w:val="213"/>
        </w:trPr>
        <w:tc>
          <w:tcPr>
            <w:tcW w:w="2400" w:type="dxa"/>
            <w:vAlign w:val="bottom"/>
          </w:tcPr>
          <w:p>
            <w:pPr>
              <w:ind w:left="120"/>
              <w:spacing w:after="0"/>
              <w:rPr>
                <w:sz w:val="20"/>
                <w:szCs w:val="20"/>
                <w:color w:val="auto"/>
              </w:rPr>
            </w:pPr>
            <w:r>
              <w:rPr>
                <w:rFonts w:ascii="Arial" w:cs="Arial" w:eastAsia="Arial" w:hAnsi="Arial"/>
                <w:sz w:val="16"/>
                <w:szCs w:val="16"/>
                <w:color w:val="auto"/>
              </w:rPr>
              <w:t xml:space="preserve">Corp. </w:t>
            </w:r>
            <w:r>
              <w:rPr>
                <w:rFonts w:ascii="Arial" w:cs="Arial" w:eastAsia="Arial" w:hAnsi="Arial"/>
                <w:sz w:val="13"/>
                <w:szCs w:val="13"/>
                <w:color w:val="auto"/>
              </w:rPr>
              <w:t>(3)(5)</w:t>
            </w:r>
          </w:p>
        </w:tc>
        <w:tc>
          <w:tcPr>
            <w:tcW w:w="2480" w:type="dxa"/>
            <w:vAlign w:val="bottom"/>
          </w:tcPr>
          <w:p>
            <w:pPr>
              <w:ind w:left="200"/>
              <w:spacing w:after="0"/>
              <w:rPr>
                <w:sz w:val="20"/>
                <w:szCs w:val="20"/>
                <w:color w:val="auto"/>
              </w:rPr>
            </w:pPr>
            <w:r>
              <w:rPr>
                <w:rFonts w:ascii="Arial" w:cs="Arial" w:eastAsia="Arial" w:hAnsi="Arial"/>
                <w:sz w:val="16"/>
                <w:szCs w:val="16"/>
                <w:color w:val="auto"/>
              </w:rPr>
              <w:t>9/2022)</w:t>
            </w: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40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Forever 21, Inc. </w:t>
            </w:r>
            <w:r>
              <w:rPr>
                <w:rFonts w:ascii="Arial" w:cs="Arial" w:eastAsia="Arial" w:hAnsi="Arial"/>
                <w:sz w:val="24"/>
                <w:szCs w:val="24"/>
                <w:color w:val="auto"/>
                <w:vertAlign w:val="superscript"/>
              </w:rPr>
              <w:t>(3)</w:t>
            </w:r>
          </w:p>
        </w:tc>
        <w:tc>
          <w:tcPr>
            <w:tcW w:w="2480" w:type="dxa"/>
            <w:vAlign w:val="bottom"/>
            <w:shd w:val="clear" w:color="auto" w:fill="CFF0FC"/>
          </w:tcPr>
          <w:p>
            <w:pPr>
              <w:ind w:left="200"/>
              <w:spacing w:after="0"/>
              <w:rPr>
                <w:sz w:val="20"/>
                <w:szCs w:val="20"/>
                <w:color w:val="auto"/>
              </w:rPr>
            </w:pPr>
            <w:r>
              <w:rPr>
                <w:rFonts w:ascii="Arial" w:cs="Arial" w:eastAsia="Arial" w:hAnsi="Arial"/>
                <w:sz w:val="16"/>
                <w:szCs w:val="16"/>
                <w:color w:val="auto"/>
                <w:w w:val="97"/>
              </w:rPr>
              <w:t>ABL DIP term loan ($50,000 par,</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10/2/2019</w:t>
            </w:r>
          </w:p>
        </w:tc>
        <w:tc>
          <w:tcPr>
            <w:tcW w:w="11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L + 12.00%</w:t>
            </w:r>
          </w:p>
        </w:tc>
        <w:tc>
          <w:tcPr>
            <w:tcW w:w="13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13.81%</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48,970</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48,500</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4.3%</w:t>
            </w:r>
          </w:p>
        </w:tc>
      </w:tr>
      <w:tr>
        <w:trPr>
          <w:trHeight w:val="212"/>
        </w:trPr>
        <w:tc>
          <w:tcPr>
            <w:tcW w:w="2400" w:type="dxa"/>
            <w:vAlign w:val="bottom"/>
            <w:shd w:val="clear" w:color="auto" w:fill="CFF0FC"/>
          </w:tcPr>
          <w:p>
            <w:pPr>
              <w:spacing w:after="0"/>
              <w:rPr>
                <w:sz w:val="18"/>
                <w:szCs w:val="18"/>
                <w:color w:val="auto"/>
              </w:rPr>
            </w:pPr>
          </w:p>
        </w:tc>
        <w:tc>
          <w:tcPr>
            <w:tcW w:w="24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due 7/2020)</w:t>
            </w:r>
          </w:p>
        </w:tc>
        <w:tc>
          <w:tcPr>
            <w:tcW w:w="9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3"/>
        </w:trPr>
        <w:tc>
          <w:tcPr>
            <w:tcW w:w="2400" w:type="dxa"/>
            <w:vAlign w:val="bottom"/>
          </w:tcPr>
          <w:p>
            <w:pPr>
              <w:spacing w:after="0" w:line="203" w:lineRule="exact"/>
              <w:rPr>
                <w:sz w:val="20"/>
                <w:szCs w:val="20"/>
                <w:color w:val="auto"/>
              </w:rPr>
            </w:pPr>
            <w:r>
              <w:rPr>
                <w:rFonts w:ascii="Arial" w:cs="Arial" w:eastAsia="Arial" w:hAnsi="Arial"/>
                <w:sz w:val="14"/>
                <w:szCs w:val="14"/>
                <w:color w:val="auto"/>
              </w:rPr>
              <w:t xml:space="preserve">J.C. Penney Company, Inc. </w:t>
            </w:r>
            <w:r>
              <w:rPr>
                <w:rFonts w:ascii="Arial" w:cs="Arial" w:eastAsia="Arial" w:hAnsi="Arial"/>
                <w:sz w:val="23"/>
                <w:szCs w:val="23"/>
                <w:color w:val="auto"/>
                <w:vertAlign w:val="superscript"/>
              </w:rPr>
              <w:t>(4)(11)</w:t>
            </w:r>
          </w:p>
        </w:tc>
        <w:tc>
          <w:tcPr>
            <w:tcW w:w="2480" w:type="dxa"/>
            <w:vAlign w:val="bottom"/>
          </w:tcPr>
          <w:p>
            <w:pPr>
              <w:ind w:left="200"/>
              <w:spacing w:after="0"/>
              <w:rPr>
                <w:sz w:val="20"/>
                <w:szCs w:val="20"/>
                <w:color w:val="auto"/>
              </w:rPr>
            </w:pPr>
            <w:r>
              <w:rPr>
                <w:rFonts w:ascii="Arial" w:cs="Arial" w:eastAsia="Arial" w:hAnsi="Arial"/>
                <w:sz w:val="16"/>
                <w:szCs w:val="16"/>
                <w:color w:val="auto"/>
              </w:rPr>
              <w:t>First-lien loan ($6,201 par, due</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6/5/2019</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L + 4.25%</w:t>
            </w: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6.16%</w:t>
            </w:r>
          </w:p>
        </w:tc>
        <w:tc>
          <w:tcPr>
            <w:tcW w:w="760" w:type="dxa"/>
            <w:vAlign w:val="bottom"/>
          </w:tcPr>
          <w:p>
            <w:pPr>
              <w:jc w:val="right"/>
              <w:spacing w:after="0"/>
              <w:rPr>
                <w:sz w:val="20"/>
                <w:szCs w:val="20"/>
                <w:color w:val="auto"/>
              </w:rPr>
            </w:pPr>
            <w:r>
              <w:rPr>
                <w:rFonts w:ascii="Arial" w:cs="Arial" w:eastAsia="Arial" w:hAnsi="Arial"/>
                <w:sz w:val="16"/>
                <w:szCs w:val="16"/>
                <w:color w:val="auto"/>
              </w:rPr>
              <w:t>5,358</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5,451</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0.5%</w:t>
            </w:r>
          </w:p>
        </w:tc>
      </w:tr>
      <w:tr>
        <w:trPr>
          <w:trHeight w:val="216"/>
        </w:trPr>
        <w:tc>
          <w:tcPr>
            <w:tcW w:w="2400" w:type="dxa"/>
            <w:vAlign w:val="bottom"/>
          </w:tcPr>
          <w:p>
            <w:pPr>
              <w:spacing w:after="0"/>
              <w:rPr>
                <w:sz w:val="18"/>
                <w:szCs w:val="18"/>
                <w:color w:val="auto"/>
              </w:rPr>
            </w:pPr>
          </w:p>
        </w:tc>
        <w:tc>
          <w:tcPr>
            <w:tcW w:w="2480" w:type="dxa"/>
            <w:vAlign w:val="bottom"/>
          </w:tcPr>
          <w:p>
            <w:pPr>
              <w:ind w:left="200"/>
              <w:spacing w:after="0" w:line="216" w:lineRule="exact"/>
              <w:rPr>
                <w:sz w:val="20"/>
                <w:szCs w:val="20"/>
                <w:color w:val="auto"/>
              </w:rPr>
            </w:pPr>
            <w:r>
              <w:rPr>
                <w:rFonts w:ascii="Arial" w:cs="Arial" w:eastAsia="Arial" w:hAnsi="Arial"/>
                <w:sz w:val="15"/>
                <w:szCs w:val="15"/>
                <w:color w:val="auto"/>
              </w:rPr>
              <w:t>6/2023)</w:t>
            </w:r>
            <w:r>
              <w:rPr>
                <w:rFonts w:ascii="Arial" w:cs="Arial" w:eastAsia="Arial" w:hAnsi="Arial"/>
                <w:sz w:val="25"/>
                <w:szCs w:val="25"/>
                <w:color w:val="auto"/>
                <w:vertAlign w:val="superscript"/>
              </w:rPr>
              <w:t>(3)</w:t>
            </w: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6"/>
        </w:trPr>
        <w:tc>
          <w:tcPr>
            <w:tcW w:w="2400" w:type="dxa"/>
            <w:vAlign w:val="bottom"/>
            <w:shd w:val="clear" w:color="auto" w:fill="CFF0FC"/>
          </w:tcPr>
          <w:p>
            <w:pPr>
              <w:spacing w:after="0"/>
              <w:rPr>
                <w:sz w:val="17"/>
                <w:szCs w:val="17"/>
                <w:color w:val="auto"/>
              </w:rPr>
            </w:pPr>
          </w:p>
        </w:tc>
        <w:tc>
          <w:tcPr>
            <w:tcW w:w="24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First-lien secured note ($11,559</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6/5/2019</w:t>
            </w:r>
          </w:p>
        </w:tc>
        <w:tc>
          <w:tcPr>
            <w:tcW w:w="11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5.88%</w:t>
            </w:r>
          </w:p>
        </w:tc>
        <w:tc>
          <w:tcPr>
            <w:tcW w:w="13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5.88%</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9,761</w:t>
            </w: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9,911</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0.9%</w:t>
            </w:r>
          </w:p>
        </w:tc>
      </w:tr>
      <w:tr>
        <w:trPr>
          <w:trHeight w:val="212"/>
        </w:trPr>
        <w:tc>
          <w:tcPr>
            <w:tcW w:w="2400" w:type="dxa"/>
            <w:vAlign w:val="bottom"/>
            <w:shd w:val="clear" w:color="auto" w:fill="CFF0FC"/>
          </w:tcPr>
          <w:p>
            <w:pPr>
              <w:spacing w:after="0"/>
              <w:rPr>
                <w:sz w:val="18"/>
                <w:szCs w:val="18"/>
                <w:color w:val="auto"/>
              </w:rPr>
            </w:pPr>
          </w:p>
        </w:tc>
        <w:tc>
          <w:tcPr>
            <w:tcW w:w="24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par, due 7/2023)</w:t>
            </w:r>
          </w:p>
        </w:tc>
        <w:tc>
          <w:tcPr>
            <w:tcW w:w="9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400" w:type="dxa"/>
            <w:vAlign w:val="bottom"/>
          </w:tcPr>
          <w:p>
            <w:pPr>
              <w:spacing w:after="0" w:line="207" w:lineRule="exact"/>
              <w:rPr>
                <w:sz w:val="20"/>
                <w:szCs w:val="20"/>
                <w:color w:val="auto"/>
              </w:rPr>
            </w:pPr>
            <w:r>
              <w:rPr>
                <w:rFonts w:ascii="Arial" w:cs="Arial" w:eastAsia="Arial" w:hAnsi="Arial"/>
                <w:sz w:val="14"/>
                <w:szCs w:val="14"/>
                <w:color w:val="auto"/>
              </w:rPr>
              <w:t xml:space="preserve">Maurices, Inc. </w:t>
            </w:r>
            <w:r>
              <w:rPr>
                <w:rFonts w:ascii="Arial" w:cs="Arial" w:eastAsia="Arial" w:hAnsi="Arial"/>
                <w:sz w:val="23"/>
                <w:szCs w:val="23"/>
                <w:color w:val="auto"/>
                <w:vertAlign w:val="superscript"/>
              </w:rPr>
              <w:t>(3)(5)</w:t>
            </w:r>
          </w:p>
        </w:tc>
        <w:tc>
          <w:tcPr>
            <w:tcW w:w="2480" w:type="dxa"/>
            <w:vAlign w:val="bottom"/>
          </w:tcPr>
          <w:p>
            <w:pPr>
              <w:ind w:left="200"/>
              <w:spacing w:after="0"/>
              <w:rPr>
                <w:sz w:val="20"/>
                <w:szCs w:val="20"/>
                <w:color w:val="auto"/>
              </w:rPr>
            </w:pPr>
            <w:r>
              <w:rPr>
                <w:rFonts w:ascii="Arial" w:cs="Arial" w:eastAsia="Arial" w:hAnsi="Arial"/>
                <w:sz w:val="16"/>
                <w:szCs w:val="16"/>
                <w:color w:val="auto"/>
              </w:rPr>
              <w:t>ABL FILO term loan ($27,778</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5/6/2019</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L + 6.50%</w:t>
            </w: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8.21%</w:t>
            </w:r>
          </w:p>
        </w:tc>
        <w:tc>
          <w:tcPr>
            <w:tcW w:w="760" w:type="dxa"/>
            <w:vAlign w:val="bottom"/>
          </w:tcPr>
          <w:p>
            <w:pPr>
              <w:jc w:val="right"/>
              <w:spacing w:after="0"/>
              <w:rPr>
                <w:sz w:val="20"/>
                <w:szCs w:val="20"/>
                <w:color w:val="auto"/>
              </w:rPr>
            </w:pPr>
            <w:r>
              <w:rPr>
                <w:rFonts w:ascii="Arial" w:cs="Arial" w:eastAsia="Arial" w:hAnsi="Arial"/>
                <w:sz w:val="16"/>
                <w:szCs w:val="16"/>
                <w:color w:val="auto"/>
              </w:rPr>
              <w:t>27,014</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28,958</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2.6%</w:t>
            </w:r>
          </w:p>
        </w:tc>
      </w:tr>
      <w:tr>
        <w:trPr>
          <w:trHeight w:val="209"/>
        </w:trPr>
        <w:tc>
          <w:tcPr>
            <w:tcW w:w="2400" w:type="dxa"/>
            <w:vAlign w:val="bottom"/>
          </w:tcPr>
          <w:p>
            <w:pPr>
              <w:spacing w:after="0"/>
              <w:rPr>
                <w:sz w:val="18"/>
                <w:szCs w:val="18"/>
                <w:color w:val="auto"/>
              </w:rPr>
            </w:pPr>
          </w:p>
        </w:tc>
        <w:tc>
          <w:tcPr>
            <w:tcW w:w="2480" w:type="dxa"/>
            <w:vAlign w:val="bottom"/>
          </w:tcPr>
          <w:p>
            <w:pPr>
              <w:ind w:left="200"/>
              <w:spacing w:after="0"/>
              <w:rPr>
                <w:sz w:val="20"/>
                <w:szCs w:val="20"/>
                <w:color w:val="auto"/>
              </w:rPr>
            </w:pPr>
            <w:r>
              <w:rPr>
                <w:rFonts w:ascii="Arial" w:cs="Arial" w:eastAsia="Arial" w:hAnsi="Arial"/>
                <w:sz w:val="16"/>
                <w:szCs w:val="16"/>
                <w:color w:val="auto"/>
              </w:rPr>
              <w:t>par, due 5/2024)</w:t>
            </w: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40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Moran Foods, LLC </w:t>
            </w:r>
            <w:r>
              <w:rPr>
                <w:rFonts w:ascii="Arial" w:cs="Arial" w:eastAsia="Arial" w:hAnsi="Arial"/>
                <w:sz w:val="24"/>
                <w:szCs w:val="24"/>
                <w:color w:val="auto"/>
                <w:vertAlign w:val="superscript"/>
              </w:rPr>
              <w:t>(3)</w:t>
            </w:r>
          </w:p>
        </w:tc>
        <w:tc>
          <w:tcPr>
            <w:tcW w:w="24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ABL FILO term loan ($39,138</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6/21/2019</w:t>
            </w:r>
          </w:p>
        </w:tc>
        <w:tc>
          <w:tcPr>
            <w:tcW w:w="11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L + 6.75%</w:t>
            </w:r>
          </w:p>
        </w:tc>
        <w:tc>
          <w:tcPr>
            <w:tcW w:w="13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8.69%</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38,750</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39,138</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3.5%</w:t>
            </w:r>
          </w:p>
        </w:tc>
      </w:tr>
      <w:tr>
        <w:trPr>
          <w:trHeight w:val="212"/>
        </w:trPr>
        <w:tc>
          <w:tcPr>
            <w:tcW w:w="2400" w:type="dxa"/>
            <w:vAlign w:val="bottom"/>
            <w:shd w:val="clear" w:color="auto" w:fill="CFF0FC"/>
          </w:tcPr>
          <w:p>
            <w:pPr>
              <w:spacing w:after="0"/>
              <w:rPr>
                <w:sz w:val="18"/>
                <w:szCs w:val="18"/>
                <w:color w:val="auto"/>
              </w:rPr>
            </w:pPr>
          </w:p>
        </w:tc>
        <w:tc>
          <w:tcPr>
            <w:tcW w:w="24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par, due 12/2021)</w:t>
            </w:r>
          </w:p>
        </w:tc>
        <w:tc>
          <w:tcPr>
            <w:tcW w:w="9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3"/>
        </w:trPr>
        <w:tc>
          <w:tcPr>
            <w:tcW w:w="2400" w:type="dxa"/>
            <w:vAlign w:val="bottom"/>
          </w:tcPr>
          <w:p>
            <w:pPr>
              <w:spacing w:after="0"/>
              <w:rPr>
                <w:sz w:val="20"/>
                <w:szCs w:val="20"/>
                <w:color w:val="auto"/>
              </w:rPr>
            </w:pPr>
            <w:r>
              <w:rPr>
                <w:rFonts w:ascii="Arial" w:cs="Arial" w:eastAsia="Arial" w:hAnsi="Arial"/>
                <w:sz w:val="16"/>
                <w:szCs w:val="16"/>
                <w:color w:val="auto"/>
              </w:rPr>
              <w:t>Neiman Marcus Group</w:t>
            </w:r>
          </w:p>
        </w:tc>
        <w:tc>
          <w:tcPr>
            <w:tcW w:w="2480" w:type="dxa"/>
            <w:vAlign w:val="bottom"/>
          </w:tcPr>
          <w:p>
            <w:pPr>
              <w:ind w:left="200"/>
              <w:spacing w:after="0"/>
              <w:rPr>
                <w:sz w:val="20"/>
                <w:szCs w:val="20"/>
                <w:color w:val="auto"/>
              </w:rPr>
            </w:pPr>
            <w:r>
              <w:rPr>
                <w:rFonts w:ascii="Arial" w:cs="Arial" w:eastAsia="Arial" w:hAnsi="Arial"/>
                <w:sz w:val="16"/>
                <w:szCs w:val="16"/>
                <w:color w:val="auto"/>
              </w:rPr>
              <w:t>ABL FILO term loan ($72,000</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9/11/2019</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L + 6.00%</w:t>
            </w: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7.89%</w:t>
            </w:r>
          </w:p>
        </w:tc>
        <w:tc>
          <w:tcPr>
            <w:tcW w:w="760" w:type="dxa"/>
            <w:vAlign w:val="bottom"/>
          </w:tcPr>
          <w:p>
            <w:pPr>
              <w:jc w:val="right"/>
              <w:spacing w:after="0"/>
              <w:rPr>
                <w:sz w:val="20"/>
                <w:szCs w:val="20"/>
                <w:color w:val="auto"/>
              </w:rPr>
            </w:pPr>
            <w:r>
              <w:rPr>
                <w:rFonts w:ascii="Arial" w:cs="Arial" w:eastAsia="Arial" w:hAnsi="Arial"/>
                <w:sz w:val="16"/>
                <w:szCs w:val="16"/>
                <w:color w:val="auto"/>
              </w:rPr>
              <w:t>71,086</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71,100</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6.4%</w:t>
            </w:r>
          </w:p>
        </w:tc>
      </w:tr>
      <w:tr>
        <w:trPr>
          <w:trHeight w:val="216"/>
        </w:trPr>
        <w:tc>
          <w:tcPr>
            <w:tcW w:w="2400" w:type="dxa"/>
            <w:vAlign w:val="bottom"/>
          </w:tcPr>
          <w:p>
            <w:pPr>
              <w:ind w:left="120"/>
              <w:spacing w:after="0" w:line="216" w:lineRule="exact"/>
              <w:rPr>
                <w:sz w:val="20"/>
                <w:szCs w:val="20"/>
                <w:color w:val="auto"/>
              </w:rPr>
            </w:pPr>
            <w:r>
              <w:rPr>
                <w:rFonts w:ascii="Arial" w:cs="Arial" w:eastAsia="Arial" w:hAnsi="Arial"/>
                <w:sz w:val="15"/>
                <w:szCs w:val="15"/>
                <w:color w:val="auto"/>
              </w:rPr>
              <w:t xml:space="preserve">Ltd., LLC </w:t>
            </w:r>
            <w:r>
              <w:rPr>
                <w:rFonts w:ascii="Arial" w:cs="Arial" w:eastAsia="Arial" w:hAnsi="Arial"/>
                <w:sz w:val="25"/>
                <w:szCs w:val="25"/>
                <w:color w:val="auto"/>
                <w:vertAlign w:val="superscript"/>
              </w:rPr>
              <w:t>(3)</w:t>
            </w:r>
          </w:p>
        </w:tc>
        <w:tc>
          <w:tcPr>
            <w:tcW w:w="2480" w:type="dxa"/>
            <w:vAlign w:val="bottom"/>
          </w:tcPr>
          <w:p>
            <w:pPr>
              <w:ind w:left="200"/>
              <w:spacing w:after="0"/>
              <w:rPr>
                <w:sz w:val="20"/>
                <w:szCs w:val="20"/>
                <w:color w:val="auto"/>
              </w:rPr>
            </w:pPr>
            <w:r>
              <w:rPr>
                <w:rFonts w:ascii="Arial" w:cs="Arial" w:eastAsia="Arial" w:hAnsi="Arial"/>
                <w:sz w:val="16"/>
                <w:szCs w:val="16"/>
                <w:color w:val="auto"/>
              </w:rPr>
              <w:t>par, due 7/2021)</w:t>
            </w: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3"/>
        </w:trPr>
        <w:tc>
          <w:tcPr>
            <w:tcW w:w="2400" w:type="dxa"/>
            <w:vAlign w:val="bottom"/>
            <w:shd w:val="clear" w:color="auto" w:fill="CFF0FC"/>
          </w:tcPr>
          <w:p>
            <w:pPr>
              <w:spacing w:after="0"/>
              <w:rPr>
                <w:sz w:val="17"/>
                <w:szCs w:val="17"/>
                <w:color w:val="auto"/>
              </w:rPr>
            </w:pPr>
          </w:p>
        </w:tc>
        <w:tc>
          <w:tcPr>
            <w:tcW w:w="24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First-lien loan ($996 par, due</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9/12/2019</w:t>
            </w:r>
          </w:p>
        </w:tc>
        <w:tc>
          <w:tcPr>
            <w:tcW w:w="11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L + 6.00%</w:t>
            </w:r>
          </w:p>
        </w:tc>
        <w:tc>
          <w:tcPr>
            <w:tcW w:w="13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7.71%</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799</w:t>
            </w: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819</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0.1%</w:t>
            </w:r>
          </w:p>
        </w:tc>
      </w:tr>
      <w:tr>
        <w:trPr>
          <w:trHeight w:val="216"/>
        </w:trPr>
        <w:tc>
          <w:tcPr>
            <w:tcW w:w="2400" w:type="dxa"/>
            <w:vAlign w:val="bottom"/>
            <w:shd w:val="clear" w:color="auto" w:fill="CFF0FC"/>
          </w:tcPr>
          <w:p>
            <w:pPr>
              <w:spacing w:after="0"/>
              <w:rPr>
                <w:sz w:val="18"/>
                <w:szCs w:val="18"/>
                <w:color w:val="auto"/>
              </w:rPr>
            </w:pPr>
          </w:p>
        </w:tc>
        <w:tc>
          <w:tcPr>
            <w:tcW w:w="2480" w:type="dxa"/>
            <w:vAlign w:val="bottom"/>
            <w:shd w:val="clear" w:color="auto" w:fill="CFF0FC"/>
          </w:tcPr>
          <w:p>
            <w:pPr>
              <w:ind w:left="200"/>
              <w:spacing w:after="0" w:line="216" w:lineRule="exact"/>
              <w:rPr>
                <w:sz w:val="20"/>
                <w:szCs w:val="20"/>
                <w:color w:val="auto"/>
              </w:rPr>
            </w:pPr>
            <w:r>
              <w:rPr>
                <w:rFonts w:ascii="Arial" w:cs="Arial" w:eastAsia="Arial" w:hAnsi="Arial"/>
                <w:sz w:val="15"/>
                <w:szCs w:val="15"/>
                <w:color w:val="auto"/>
              </w:rPr>
              <w:t xml:space="preserve">10/2023) </w:t>
            </w:r>
            <w:r>
              <w:rPr>
                <w:rFonts w:ascii="Arial" w:cs="Arial" w:eastAsia="Arial" w:hAnsi="Arial"/>
                <w:sz w:val="25"/>
                <w:szCs w:val="25"/>
                <w:color w:val="auto"/>
                <w:vertAlign w:val="superscript"/>
              </w:rPr>
              <w:t>(11)</w:t>
            </w:r>
          </w:p>
        </w:tc>
        <w:tc>
          <w:tcPr>
            <w:tcW w:w="9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400" w:type="dxa"/>
            <w:vAlign w:val="bottom"/>
          </w:tcPr>
          <w:p>
            <w:pPr>
              <w:spacing w:after="0" w:line="207" w:lineRule="exact"/>
              <w:rPr>
                <w:sz w:val="20"/>
                <w:szCs w:val="20"/>
                <w:color w:val="auto"/>
              </w:rPr>
            </w:pPr>
            <w:r>
              <w:rPr>
                <w:rFonts w:ascii="Arial" w:cs="Arial" w:eastAsia="Arial" w:hAnsi="Arial"/>
                <w:sz w:val="14"/>
                <w:szCs w:val="14"/>
                <w:color w:val="auto"/>
              </w:rPr>
              <w:t xml:space="preserve">Transform SR Holdings, LLC </w:t>
            </w:r>
            <w:r>
              <w:rPr>
                <w:rFonts w:ascii="Arial" w:cs="Arial" w:eastAsia="Arial" w:hAnsi="Arial"/>
                <w:sz w:val="23"/>
                <w:szCs w:val="23"/>
                <w:color w:val="auto"/>
                <w:vertAlign w:val="superscript"/>
              </w:rPr>
              <w:t>(3)</w:t>
            </w:r>
          </w:p>
        </w:tc>
        <w:tc>
          <w:tcPr>
            <w:tcW w:w="2480" w:type="dxa"/>
            <w:vAlign w:val="bottom"/>
          </w:tcPr>
          <w:p>
            <w:pPr>
              <w:ind w:left="200"/>
              <w:spacing w:after="0"/>
              <w:rPr>
                <w:sz w:val="20"/>
                <w:szCs w:val="20"/>
                <w:color w:val="auto"/>
              </w:rPr>
            </w:pPr>
            <w:r>
              <w:rPr>
                <w:rFonts w:ascii="Arial" w:cs="Arial" w:eastAsia="Arial" w:hAnsi="Arial"/>
                <w:sz w:val="16"/>
                <w:szCs w:val="16"/>
                <w:color w:val="auto"/>
              </w:rPr>
              <w:t>ABL FILO term loan ($75,000</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2/11/2019</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L + 7.25%</w:t>
            </w: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9.18%</w:t>
            </w:r>
          </w:p>
        </w:tc>
        <w:tc>
          <w:tcPr>
            <w:tcW w:w="760" w:type="dxa"/>
            <w:vAlign w:val="bottom"/>
          </w:tcPr>
          <w:p>
            <w:pPr>
              <w:jc w:val="right"/>
              <w:spacing w:after="0"/>
              <w:rPr>
                <w:sz w:val="20"/>
                <w:szCs w:val="20"/>
                <w:color w:val="auto"/>
              </w:rPr>
            </w:pPr>
            <w:r>
              <w:rPr>
                <w:rFonts w:ascii="Arial" w:cs="Arial" w:eastAsia="Arial" w:hAnsi="Arial"/>
                <w:sz w:val="16"/>
                <w:szCs w:val="16"/>
                <w:color w:val="auto"/>
              </w:rPr>
              <w:t>74,359</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75,750</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6.8%</w:t>
            </w:r>
          </w:p>
        </w:tc>
      </w:tr>
      <w:tr>
        <w:trPr>
          <w:trHeight w:val="209"/>
        </w:trPr>
        <w:tc>
          <w:tcPr>
            <w:tcW w:w="2400" w:type="dxa"/>
            <w:vAlign w:val="bottom"/>
            <w:tcBorders>
              <w:bottom w:val="single" w:sz="8" w:color="CFF0FC"/>
            </w:tcBorders>
          </w:tcPr>
          <w:p>
            <w:pPr>
              <w:spacing w:after="0"/>
              <w:rPr>
                <w:sz w:val="18"/>
                <w:szCs w:val="18"/>
                <w:color w:val="auto"/>
              </w:rPr>
            </w:pPr>
          </w:p>
        </w:tc>
        <w:tc>
          <w:tcPr>
            <w:tcW w:w="2480" w:type="dxa"/>
            <w:vAlign w:val="bottom"/>
            <w:tcBorders>
              <w:bottom w:val="single" w:sz="8" w:color="CFF0FC"/>
            </w:tcBorders>
          </w:tcPr>
          <w:p>
            <w:pPr>
              <w:ind w:left="200"/>
              <w:spacing w:after="0"/>
              <w:rPr>
                <w:sz w:val="20"/>
                <w:szCs w:val="20"/>
                <w:color w:val="auto"/>
              </w:rPr>
            </w:pPr>
            <w:r>
              <w:rPr>
                <w:rFonts w:ascii="Arial" w:cs="Arial" w:eastAsia="Arial" w:hAnsi="Arial"/>
                <w:sz w:val="16"/>
                <w:szCs w:val="16"/>
                <w:color w:val="auto"/>
              </w:rPr>
              <w:t>par, due 2/2024)</w:t>
            </w:r>
          </w:p>
        </w:tc>
        <w:tc>
          <w:tcPr>
            <w:tcW w:w="960" w:type="dxa"/>
            <w:vAlign w:val="bottom"/>
            <w:tcBorders>
              <w:bottom w:val="single" w:sz="8" w:color="CFF0FC"/>
            </w:tcBorders>
          </w:tcPr>
          <w:p>
            <w:pPr>
              <w:spacing w:after="0"/>
              <w:rPr>
                <w:sz w:val="18"/>
                <w:szCs w:val="18"/>
                <w:color w:val="auto"/>
              </w:rPr>
            </w:pPr>
          </w:p>
        </w:tc>
        <w:tc>
          <w:tcPr>
            <w:tcW w:w="1120" w:type="dxa"/>
            <w:vAlign w:val="bottom"/>
            <w:tcBorders>
              <w:bottom w:val="single" w:sz="8" w:color="CFF0FC"/>
            </w:tcBorders>
          </w:tcPr>
          <w:p>
            <w:pPr>
              <w:spacing w:after="0"/>
              <w:rPr>
                <w:sz w:val="18"/>
                <w:szCs w:val="18"/>
                <w:color w:val="auto"/>
              </w:rPr>
            </w:pPr>
          </w:p>
        </w:tc>
        <w:tc>
          <w:tcPr>
            <w:tcW w:w="136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r>
      <w:tr>
        <w:trPr>
          <w:trHeight w:val="213"/>
        </w:trPr>
        <w:tc>
          <w:tcPr>
            <w:tcW w:w="2400" w:type="dxa"/>
            <w:vAlign w:val="bottom"/>
            <w:shd w:val="clear" w:color="auto" w:fill="CFF0FC"/>
          </w:tcPr>
          <w:p>
            <w:pPr>
              <w:spacing w:after="0"/>
              <w:rPr>
                <w:sz w:val="18"/>
                <w:szCs w:val="18"/>
                <w:color w:val="auto"/>
              </w:rPr>
            </w:pPr>
          </w:p>
        </w:tc>
        <w:tc>
          <w:tcPr>
            <w:tcW w:w="24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330,940</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334,375</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30.0%</w:t>
            </w:r>
          </w:p>
        </w:tc>
      </w:tr>
      <w:tr>
        <w:trPr>
          <w:trHeight w:val="206"/>
        </w:trPr>
        <w:tc>
          <w:tcPr>
            <w:tcW w:w="2400" w:type="dxa"/>
            <w:vAlign w:val="bottom"/>
          </w:tcPr>
          <w:p>
            <w:pPr>
              <w:spacing w:after="0"/>
              <w:rPr>
                <w:sz w:val="20"/>
                <w:szCs w:val="20"/>
                <w:color w:val="auto"/>
              </w:rPr>
            </w:pPr>
            <w:r>
              <w:rPr>
                <w:rFonts w:ascii="Arial" w:cs="Arial" w:eastAsia="Arial" w:hAnsi="Arial"/>
                <w:sz w:val="16"/>
                <w:szCs w:val="16"/>
                <w:b w:val="1"/>
                <w:bCs w:val="1"/>
                <w:color w:val="auto"/>
              </w:rPr>
              <w:t>Transportation</w:t>
            </w:r>
          </w:p>
        </w:tc>
        <w:tc>
          <w:tcPr>
            <w:tcW w:w="2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240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Ferrellgas, L.P. </w:t>
            </w:r>
            <w:r>
              <w:rPr>
                <w:rFonts w:ascii="Arial" w:cs="Arial" w:eastAsia="Arial" w:hAnsi="Arial"/>
                <w:sz w:val="24"/>
                <w:szCs w:val="24"/>
                <w:color w:val="auto"/>
                <w:vertAlign w:val="superscript"/>
              </w:rPr>
              <w:t>(3)(4)(5)</w:t>
            </w:r>
          </w:p>
        </w:tc>
        <w:tc>
          <w:tcPr>
            <w:tcW w:w="2480" w:type="dxa"/>
            <w:vAlign w:val="bottom"/>
            <w:shd w:val="clear" w:color="auto" w:fill="CFF0FC"/>
          </w:tcPr>
          <w:p>
            <w:pPr>
              <w:ind w:left="200"/>
              <w:spacing w:after="0"/>
              <w:rPr>
                <w:sz w:val="20"/>
                <w:szCs w:val="20"/>
                <w:color w:val="auto"/>
              </w:rPr>
            </w:pPr>
            <w:r>
              <w:rPr>
                <w:rFonts w:ascii="Arial" w:cs="Arial" w:eastAsia="Arial" w:hAnsi="Arial"/>
                <w:sz w:val="16"/>
                <w:szCs w:val="16"/>
                <w:color w:val="auto"/>
                <w:w w:val="99"/>
              </w:rPr>
              <w:t>First-lien loan ($85,159 par, due</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5/4/2018</w:t>
            </w:r>
          </w:p>
        </w:tc>
        <w:tc>
          <w:tcPr>
            <w:tcW w:w="11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L + 5.75%</w:t>
            </w:r>
          </w:p>
        </w:tc>
        <w:tc>
          <w:tcPr>
            <w:tcW w:w="13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7.45%</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83,994</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90,053</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8.0%</w:t>
            </w:r>
          </w:p>
        </w:tc>
      </w:tr>
      <w:tr>
        <w:trPr>
          <w:trHeight w:val="212"/>
        </w:trPr>
        <w:tc>
          <w:tcPr>
            <w:tcW w:w="2400" w:type="dxa"/>
            <w:vAlign w:val="bottom"/>
            <w:shd w:val="clear" w:color="auto" w:fill="CFF0FC"/>
          </w:tcPr>
          <w:p>
            <w:pPr>
              <w:spacing w:after="0"/>
              <w:rPr>
                <w:sz w:val="18"/>
                <w:szCs w:val="18"/>
                <w:color w:val="auto"/>
              </w:rPr>
            </w:pPr>
          </w:p>
        </w:tc>
        <w:tc>
          <w:tcPr>
            <w:tcW w:w="24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5/2023)</w:t>
            </w:r>
          </w:p>
        </w:tc>
        <w:tc>
          <w:tcPr>
            <w:tcW w:w="9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400" w:type="dxa"/>
            <w:vAlign w:val="bottom"/>
          </w:tcPr>
          <w:p>
            <w:pPr>
              <w:spacing w:after="0"/>
              <w:rPr>
                <w:sz w:val="20"/>
                <w:szCs w:val="20"/>
                <w:color w:val="auto"/>
              </w:rPr>
            </w:pPr>
            <w:r>
              <w:rPr>
                <w:rFonts w:ascii="Arial" w:cs="Arial" w:eastAsia="Arial" w:hAnsi="Arial"/>
                <w:sz w:val="16"/>
                <w:szCs w:val="16"/>
                <w:b w:val="1"/>
                <w:bCs w:val="1"/>
                <w:color w:val="auto"/>
              </w:rPr>
              <w:t>Total Debt Investments</w:t>
            </w:r>
          </w:p>
        </w:tc>
        <w:tc>
          <w:tcPr>
            <w:tcW w:w="2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2,150,478</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2,182,815</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195.0%</w:t>
            </w:r>
          </w:p>
        </w:tc>
      </w:tr>
      <w:tr>
        <w:trPr>
          <w:trHeight w:val="213"/>
        </w:trPr>
        <w:tc>
          <w:tcPr>
            <w:tcW w:w="2400" w:type="dxa"/>
            <w:vAlign w:val="bottom"/>
            <w:tcBorders>
              <w:top w:val="single" w:sz="8" w:color="CFF0FC"/>
            </w:tcBorders>
            <w:shd w:val="clear" w:color="auto" w:fill="CFF0FC"/>
          </w:tcPr>
          <w:p>
            <w:pPr>
              <w:spacing w:after="0"/>
              <w:rPr>
                <w:sz w:val="18"/>
                <w:szCs w:val="18"/>
                <w:color w:val="auto"/>
              </w:rPr>
            </w:pPr>
          </w:p>
        </w:tc>
        <w:tc>
          <w:tcPr>
            <w:tcW w:w="248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CFF0FC"/>
            </w:tcBorders>
            <w:shd w:val="clear" w:color="auto" w:fill="CFF0FC"/>
          </w:tcPr>
          <w:p>
            <w:pPr>
              <w:spacing w:after="0"/>
              <w:rPr>
                <w:sz w:val="18"/>
                <w:szCs w:val="18"/>
                <w:color w:val="auto"/>
              </w:rPr>
            </w:pPr>
          </w:p>
        </w:tc>
        <w:tc>
          <w:tcPr>
            <w:tcW w:w="136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13"/>
        </w:trPr>
        <w:tc>
          <w:tcPr>
            <w:tcW w:w="2400" w:type="dxa"/>
            <w:vAlign w:val="bottom"/>
          </w:tcPr>
          <w:p>
            <w:pPr>
              <w:spacing w:after="0"/>
              <w:rPr>
                <w:sz w:val="20"/>
                <w:szCs w:val="20"/>
                <w:color w:val="auto"/>
              </w:rPr>
            </w:pPr>
            <w:r>
              <w:rPr>
                <w:rFonts w:ascii="Arial" w:cs="Arial" w:eastAsia="Arial" w:hAnsi="Arial"/>
                <w:sz w:val="16"/>
                <w:szCs w:val="16"/>
                <w:b w:val="1"/>
                <w:bCs w:val="1"/>
                <w:color w:val="auto"/>
              </w:rPr>
              <w:t>Equity and Other Investments</w:t>
            </w:r>
          </w:p>
        </w:tc>
        <w:tc>
          <w:tcPr>
            <w:tcW w:w="2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24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Beverage, food and tobacco</w:t>
            </w:r>
          </w:p>
        </w:tc>
        <w:tc>
          <w:tcPr>
            <w:tcW w:w="24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359"/>
        </w:trPr>
        <w:tc>
          <w:tcPr>
            <w:tcW w:w="2400" w:type="dxa"/>
            <w:vAlign w:val="bottom"/>
          </w:tcPr>
          <w:p>
            <w:pPr>
              <w:spacing w:after="0"/>
              <w:rPr>
                <w:sz w:val="20"/>
                <w:szCs w:val="20"/>
                <w:color w:val="auto"/>
              </w:rPr>
            </w:pPr>
            <w:r>
              <w:rPr>
                <w:rFonts w:ascii="Arial" w:cs="Arial" w:eastAsia="Arial" w:hAnsi="Arial"/>
                <w:sz w:val="16"/>
                <w:szCs w:val="16"/>
                <w:color w:val="auto"/>
              </w:rPr>
              <w:t xml:space="preserve">AFS Technologies, Inc. </w:t>
            </w:r>
            <w:r>
              <w:rPr>
                <w:rFonts w:ascii="Arial" w:cs="Arial" w:eastAsia="Arial" w:hAnsi="Arial"/>
                <w:sz w:val="27"/>
                <w:szCs w:val="27"/>
                <w:color w:val="auto"/>
                <w:vertAlign w:val="superscript"/>
              </w:rPr>
              <w:t>(6)(13)</w:t>
            </w:r>
          </w:p>
        </w:tc>
        <w:tc>
          <w:tcPr>
            <w:tcW w:w="2480" w:type="dxa"/>
            <w:vAlign w:val="bottom"/>
          </w:tcPr>
          <w:p>
            <w:pPr>
              <w:ind w:left="200"/>
              <w:spacing w:after="0"/>
              <w:rPr>
                <w:sz w:val="20"/>
                <w:szCs w:val="20"/>
                <w:color w:val="auto"/>
              </w:rPr>
            </w:pPr>
            <w:r>
              <w:rPr>
                <w:rFonts w:ascii="Arial" w:cs="Arial" w:eastAsia="Arial" w:hAnsi="Arial"/>
                <w:sz w:val="16"/>
                <w:szCs w:val="16"/>
                <w:color w:val="auto"/>
                <w:w w:val="97"/>
              </w:rPr>
              <w:t>Preferred Units (4,441,090 units)</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10/16/2018</w:t>
            </w:r>
          </w:p>
        </w:tc>
        <w:tc>
          <w:tcPr>
            <w:tcW w:w="1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4,441</w:t>
            </w: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4,463</w:t>
            </w:r>
          </w:p>
        </w:tc>
        <w:tc>
          <w:tcPr>
            <w:tcW w:w="20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0.4%</w:t>
            </w:r>
          </w:p>
        </w:tc>
      </w:tr>
    </w:tbl>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51"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6"/>
        </w:trPr>
        <w:tc>
          <w:tcPr>
            <w:tcW w:w="24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Business Services</w:t>
            </w:r>
          </w:p>
        </w:tc>
        <w:tc>
          <w:tcPr>
            <w:tcW w:w="2580" w:type="dxa"/>
            <w:vAlign w:val="bottom"/>
            <w:shd w:val="clear" w:color="auto" w:fill="CFF0FC"/>
          </w:tcPr>
          <w:p>
            <w:pPr>
              <w:spacing w:after="0"/>
              <w:rPr>
                <w:sz w:val="18"/>
                <w:szCs w:val="18"/>
                <w:color w:val="auto"/>
              </w:rPr>
            </w:pPr>
          </w:p>
        </w:tc>
        <w:tc>
          <w:tcPr>
            <w:tcW w:w="3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6"/>
        </w:trPr>
        <w:tc>
          <w:tcPr>
            <w:tcW w:w="2420" w:type="dxa"/>
            <w:vAlign w:val="bottom"/>
          </w:tcPr>
          <w:p>
            <w:pPr>
              <w:spacing w:after="0" w:line="216" w:lineRule="exact"/>
              <w:rPr>
                <w:sz w:val="20"/>
                <w:szCs w:val="20"/>
                <w:color w:val="auto"/>
              </w:rPr>
            </w:pPr>
            <w:r>
              <w:rPr>
                <w:rFonts w:ascii="Arial" w:cs="Arial" w:eastAsia="Arial" w:hAnsi="Arial"/>
                <w:sz w:val="15"/>
                <w:szCs w:val="15"/>
                <w:color w:val="auto"/>
              </w:rPr>
              <w:t xml:space="preserve">Motus, LLC </w:t>
            </w:r>
            <w:r>
              <w:rPr>
                <w:rFonts w:ascii="Arial" w:cs="Arial" w:eastAsia="Arial" w:hAnsi="Arial"/>
                <w:sz w:val="25"/>
                <w:szCs w:val="25"/>
                <w:color w:val="auto"/>
                <w:vertAlign w:val="superscript"/>
              </w:rPr>
              <w:t>(13)</w:t>
            </w:r>
          </w:p>
        </w:tc>
        <w:tc>
          <w:tcPr>
            <w:tcW w:w="2580" w:type="dxa"/>
            <w:vAlign w:val="bottom"/>
          </w:tcPr>
          <w:p>
            <w:pPr>
              <w:ind w:left="240"/>
              <w:spacing w:after="0"/>
              <w:rPr>
                <w:sz w:val="20"/>
                <w:szCs w:val="20"/>
                <w:color w:val="auto"/>
              </w:rPr>
            </w:pPr>
            <w:r>
              <w:rPr>
                <w:rFonts w:ascii="Arial" w:cs="Arial" w:eastAsia="Arial" w:hAnsi="Arial"/>
                <w:sz w:val="16"/>
                <w:szCs w:val="16"/>
                <w:color w:val="auto"/>
              </w:rPr>
              <w:t>Class A Units (1,262 units)</w:t>
            </w:r>
          </w:p>
        </w:tc>
        <w:tc>
          <w:tcPr>
            <w:tcW w:w="3320" w:type="dxa"/>
            <w:vAlign w:val="bottom"/>
          </w:tcPr>
          <w:p>
            <w:pPr>
              <w:jc w:val="right"/>
              <w:ind w:right="2399"/>
              <w:spacing w:after="0"/>
              <w:rPr>
                <w:sz w:val="20"/>
                <w:szCs w:val="20"/>
                <w:color w:val="auto"/>
              </w:rPr>
            </w:pPr>
            <w:r>
              <w:rPr>
                <w:rFonts w:ascii="Arial" w:cs="Arial" w:eastAsia="Arial" w:hAnsi="Arial"/>
                <w:sz w:val="16"/>
                <w:szCs w:val="16"/>
                <w:color w:val="auto"/>
              </w:rPr>
              <w:t>1/17/2018</w:t>
            </w:r>
          </w:p>
        </w:tc>
        <w:tc>
          <w:tcPr>
            <w:tcW w:w="760" w:type="dxa"/>
            <w:vAlign w:val="bottom"/>
          </w:tcPr>
          <w:p>
            <w:pPr>
              <w:jc w:val="right"/>
              <w:spacing w:after="0"/>
              <w:rPr>
                <w:sz w:val="20"/>
                <w:szCs w:val="20"/>
                <w:color w:val="auto"/>
              </w:rPr>
            </w:pPr>
            <w:r>
              <w:rPr>
                <w:rFonts w:ascii="Arial" w:cs="Arial" w:eastAsia="Arial" w:hAnsi="Arial"/>
                <w:sz w:val="16"/>
                <w:szCs w:val="16"/>
                <w:color w:val="auto"/>
              </w:rPr>
              <w:t>1,262</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2,738</w:t>
            </w:r>
          </w:p>
        </w:tc>
        <w:tc>
          <w:tcPr>
            <w:tcW w:w="2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0.2%</w:t>
            </w:r>
          </w:p>
        </w:tc>
      </w:tr>
      <w:tr>
        <w:trPr>
          <w:trHeight w:val="216"/>
        </w:trPr>
        <w:tc>
          <w:tcPr>
            <w:tcW w:w="2420" w:type="dxa"/>
            <w:vAlign w:val="bottom"/>
            <w:shd w:val="clear" w:color="auto" w:fill="CFF0FC"/>
          </w:tcPr>
          <w:p>
            <w:pPr>
              <w:spacing w:after="0"/>
              <w:rPr>
                <w:sz w:val="18"/>
                <w:szCs w:val="18"/>
                <w:color w:val="auto"/>
              </w:rPr>
            </w:pPr>
          </w:p>
        </w:tc>
        <w:tc>
          <w:tcPr>
            <w:tcW w:w="25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Class B Units (517,020 units)</w:t>
            </w:r>
          </w:p>
        </w:tc>
        <w:tc>
          <w:tcPr>
            <w:tcW w:w="3320" w:type="dxa"/>
            <w:vAlign w:val="bottom"/>
            <w:shd w:val="clear" w:color="auto" w:fill="CFF0FC"/>
          </w:tcPr>
          <w:p>
            <w:pPr>
              <w:jc w:val="right"/>
              <w:ind w:right="2399"/>
              <w:spacing w:after="0"/>
              <w:rPr>
                <w:sz w:val="20"/>
                <w:szCs w:val="20"/>
                <w:color w:val="auto"/>
              </w:rPr>
            </w:pPr>
            <w:r>
              <w:rPr>
                <w:rFonts w:ascii="Arial" w:cs="Arial" w:eastAsia="Arial" w:hAnsi="Arial"/>
                <w:sz w:val="16"/>
                <w:szCs w:val="16"/>
                <w:color w:val="auto"/>
              </w:rPr>
              <w:t>1/17/2018</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0.0%</w:t>
            </w:r>
          </w:p>
        </w:tc>
      </w:tr>
      <w:tr>
        <w:trPr>
          <w:trHeight w:val="216"/>
        </w:trPr>
        <w:tc>
          <w:tcPr>
            <w:tcW w:w="2420" w:type="dxa"/>
            <w:vAlign w:val="bottom"/>
          </w:tcPr>
          <w:p>
            <w:pPr>
              <w:spacing w:after="0" w:line="216" w:lineRule="exact"/>
              <w:rPr>
                <w:sz w:val="20"/>
                <w:szCs w:val="20"/>
                <w:color w:val="auto"/>
              </w:rPr>
            </w:pPr>
            <w:r>
              <w:rPr>
                <w:rFonts w:ascii="Arial" w:cs="Arial" w:eastAsia="Arial" w:hAnsi="Arial"/>
                <w:sz w:val="15"/>
                <w:szCs w:val="15"/>
                <w:color w:val="auto"/>
              </w:rPr>
              <w:t xml:space="preserve">Nintex Global, Ltd. </w:t>
            </w:r>
            <w:r>
              <w:rPr>
                <w:rFonts w:ascii="Arial" w:cs="Arial" w:eastAsia="Arial" w:hAnsi="Arial"/>
                <w:sz w:val="25"/>
                <w:szCs w:val="25"/>
                <w:color w:val="auto"/>
                <w:vertAlign w:val="superscript"/>
              </w:rPr>
              <w:t>(13)</w:t>
            </w:r>
          </w:p>
        </w:tc>
        <w:tc>
          <w:tcPr>
            <w:tcW w:w="2580" w:type="dxa"/>
            <w:vAlign w:val="bottom"/>
          </w:tcPr>
          <w:p>
            <w:pPr>
              <w:ind w:left="240"/>
              <w:spacing w:after="0"/>
              <w:rPr>
                <w:sz w:val="20"/>
                <w:szCs w:val="20"/>
                <w:color w:val="auto"/>
              </w:rPr>
            </w:pPr>
            <w:r>
              <w:rPr>
                <w:rFonts w:ascii="Arial" w:cs="Arial" w:eastAsia="Arial" w:hAnsi="Arial"/>
                <w:sz w:val="16"/>
                <w:szCs w:val="16"/>
                <w:color w:val="auto"/>
              </w:rPr>
              <w:t>Class A Shares (1,197 shares)</w:t>
            </w:r>
          </w:p>
        </w:tc>
        <w:tc>
          <w:tcPr>
            <w:tcW w:w="3320" w:type="dxa"/>
            <w:vAlign w:val="bottom"/>
          </w:tcPr>
          <w:p>
            <w:pPr>
              <w:jc w:val="right"/>
              <w:ind w:right="2399"/>
              <w:spacing w:after="0"/>
              <w:rPr>
                <w:sz w:val="20"/>
                <w:szCs w:val="20"/>
                <w:color w:val="auto"/>
              </w:rPr>
            </w:pPr>
            <w:r>
              <w:rPr>
                <w:rFonts w:ascii="Arial" w:cs="Arial" w:eastAsia="Arial" w:hAnsi="Arial"/>
                <w:sz w:val="16"/>
                <w:szCs w:val="16"/>
                <w:color w:val="auto"/>
              </w:rPr>
              <w:t>3/30/2018</w:t>
            </w:r>
          </w:p>
        </w:tc>
        <w:tc>
          <w:tcPr>
            <w:tcW w:w="760" w:type="dxa"/>
            <w:vAlign w:val="bottom"/>
          </w:tcPr>
          <w:p>
            <w:pPr>
              <w:jc w:val="right"/>
              <w:spacing w:after="0"/>
              <w:rPr>
                <w:sz w:val="20"/>
                <w:szCs w:val="20"/>
                <w:color w:val="auto"/>
              </w:rPr>
            </w:pPr>
            <w:r>
              <w:rPr>
                <w:rFonts w:ascii="Arial" w:cs="Arial" w:eastAsia="Arial" w:hAnsi="Arial"/>
                <w:sz w:val="16"/>
                <w:szCs w:val="16"/>
                <w:color w:val="auto"/>
              </w:rPr>
              <w:t>1,197</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1,939</w:t>
            </w:r>
          </w:p>
        </w:tc>
        <w:tc>
          <w:tcPr>
            <w:tcW w:w="2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0.2%</w:t>
            </w:r>
          </w:p>
        </w:tc>
      </w:tr>
      <w:tr>
        <w:trPr>
          <w:trHeight w:val="213"/>
        </w:trPr>
        <w:tc>
          <w:tcPr>
            <w:tcW w:w="2420" w:type="dxa"/>
            <w:vAlign w:val="bottom"/>
            <w:shd w:val="clear" w:color="auto" w:fill="CFF0FC"/>
          </w:tcPr>
          <w:p>
            <w:pPr>
              <w:spacing w:after="0"/>
              <w:rPr>
                <w:sz w:val="18"/>
                <w:szCs w:val="18"/>
                <w:color w:val="auto"/>
              </w:rPr>
            </w:pPr>
          </w:p>
        </w:tc>
        <w:tc>
          <w:tcPr>
            <w:tcW w:w="2580" w:type="dxa"/>
            <w:vAlign w:val="bottom"/>
            <w:shd w:val="clear" w:color="auto" w:fill="CFF0FC"/>
          </w:tcPr>
          <w:p>
            <w:pPr>
              <w:ind w:left="240"/>
              <w:spacing w:after="0"/>
              <w:rPr>
                <w:sz w:val="20"/>
                <w:szCs w:val="20"/>
                <w:color w:val="auto"/>
              </w:rPr>
            </w:pPr>
            <w:r>
              <w:rPr>
                <w:rFonts w:ascii="Arial" w:cs="Arial" w:eastAsia="Arial" w:hAnsi="Arial"/>
                <w:sz w:val="16"/>
                <w:szCs w:val="16"/>
                <w:color w:val="auto"/>
                <w:w w:val="98"/>
              </w:rPr>
              <w:t>Class B Shares (398,557 shares)</w:t>
            </w:r>
          </w:p>
        </w:tc>
        <w:tc>
          <w:tcPr>
            <w:tcW w:w="3320" w:type="dxa"/>
            <w:vAlign w:val="bottom"/>
            <w:shd w:val="clear" w:color="auto" w:fill="CFF0FC"/>
          </w:tcPr>
          <w:p>
            <w:pPr>
              <w:jc w:val="right"/>
              <w:ind w:right="2399"/>
              <w:spacing w:after="0"/>
              <w:rPr>
                <w:sz w:val="20"/>
                <w:szCs w:val="20"/>
                <w:color w:val="auto"/>
              </w:rPr>
            </w:pPr>
            <w:r>
              <w:rPr>
                <w:rFonts w:ascii="Arial" w:cs="Arial" w:eastAsia="Arial" w:hAnsi="Arial"/>
                <w:sz w:val="16"/>
                <w:szCs w:val="16"/>
                <w:color w:val="auto"/>
              </w:rPr>
              <w:t>3/30/2018</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0.0%</w:t>
            </w:r>
          </w:p>
        </w:tc>
      </w:tr>
      <w:tr>
        <w:trPr>
          <w:trHeight w:val="20"/>
        </w:trPr>
        <w:tc>
          <w:tcPr>
            <w:tcW w:w="24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24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2,471</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4,697</w:t>
            </w:r>
          </w:p>
        </w:tc>
        <w:tc>
          <w:tcPr>
            <w:tcW w:w="2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0.4%</w:t>
            </w:r>
          </w:p>
        </w:tc>
      </w:tr>
      <w:tr>
        <w:trPr>
          <w:trHeight w:val="212"/>
        </w:trPr>
        <w:tc>
          <w:tcPr>
            <w:tcW w:w="2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Chemicals</w:t>
            </w:r>
          </w:p>
        </w:tc>
        <w:tc>
          <w:tcPr>
            <w:tcW w:w="2580" w:type="dxa"/>
            <w:vAlign w:val="bottom"/>
            <w:tcBorders>
              <w:top w:val="single" w:sz="8" w:color="CFF0FC"/>
            </w:tcBorders>
            <w:shd w:val="clear" w:color="auto" w:fill="CFF0FC"/>
          </w:tcPr>
          <w:p>
            <w:pPr>
              <w:spacing w:after="0"/>
              <w:rPr>
                <w:sz w:val="18"/>
                <w:szCs w:val="18"/>
                <w:color w:val="auto"/>
              </w:rPr>
            </w:pPr>
          </w:p>
        </w:tc>
        <w:tc>
          <w:tcPr>
            <w:tcW w:w="332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16"/>
        </w:trPr>
        <w:tc>
          <w:tcPr>
            <w:tcW w:w="2420" w:type="dxa"/>
            <w:vAlign w:val="bottom"/>
          </w:tcPr>
          <w:p>
            <w:pPr>
              <w:spacing w:after="0" w:line="216" w:lineRule="exact"/>
              <w:rPr>
                <w:sz w:val="20"/>
                <w:szCs w:val="20"/>
                <w:color w:val="auto"/>
              </w:rPr>
            </w:pPr>
            <w:r>
              <w:rPr>
                <w:rFonts w:ascii="Arial" w:cs="Arial" w:eastAsia="Arial" w:hAnsi="Arial"/>
                <w:sz w:val="15"/>
                <w:szCs w:val="15"/>
                <w:color w:val="auto"/>
              </w:rPr>
              <w:t xml:space="preserve">Vertellus Specialties, Inc. </w:t>
            </w:r>
            <w:r>
              <w:rPr>
                <w:rFonts w:ascii="Arial" w:cs="Arial" w:eastAsia="Arial" w:hAnsi="Arial"/>
                <w:sz w:val="25"/>
                <w:szCs w:val="25"/>
                <w:color w:val="auto"/>
                <w:vertAlign w:val="superscript"/>
              </w:rPr>
              <w:t>(13)(14)</w:t>
            </w:r>
          </w:p>
        </w:tc>
        <w:tc>
          <w:tcPr>
            <w:tcW w:w="2580" w:type="dxa"/>
            <w:vAlign w:val="bottom"/>
          </w:tcPr>
          <w:p>
            <w:pPr>
              <w:ind w:left="240"/>
              <w:spacing w:after="0"/>
              <w:rPr>
                <w:sz w:val="20"/>
                <w:szCs w:val="20"/>
                <w:color w:val="auto"/>
              </w:rPr>
            </w:pPr>
            <w:r>
              <w:rPr>
                <w:rFonts w:ascii="Arial" w:cs="Arial" w:eastAsia="Arial" w:hAnsi="Arial"/>
                <w:sz w:val="16"/>
                <w:szCs w:val="16"/>
                <w:color w:val="auto"/>
              </w:rPr>
              <w:t>Common Units (3,386,630 units)</w:t>
            </w:r>
          </w:p>
        </w:tc>
        <w:tc>
          <w:tcPr>
            <w:tcW w:w="3320" w:type="dxa"/>
            <w:vAlign w:val="bottom"/>
          </w:tcPr>
          <w:p>
            <w:pPr>
              <w:jc w:val="right"/>
              <w:ind w:right="2399"/>
              <w:spacing w:after="0"/>
              <w:rPr>
                <w:sz w:val="20"/>
                <w:szCs w:val="20"/>
                <w:color w:val="auto"/>
              </w:rPr>
            </w:pPr>
            <w:r>
              <w:rPr>
                <w:rFonts w:ascii="Arial" w:cs="Arial" w:eastAsia="Arial" w:hAnsi="Arial"/>
                <w:sz w:val="16"/>
                <w:szCs w:val="16"/>
                <w:color w:val="auto"/>
              </w:rPr>
              <w:t>10/31/2016</w:t>
            </w:r>
          </w:p>
        </w:tc>
        <w:tc>
          <w:tcPr>
            <w:tcW w:w="760" w:type="dxa"/>
            <w:vAlign w:val="bottom"/>
          </w:tcPr>
          <w:p>
            <w:pPr>
              <w:jc w:val="right"/>
              <w:spacing w:after="0"/>
              <w:rPr>
                <w:sz w:val="20"/>
                <w:szCs w:val="20"/>
                <w:color w:val="auto"/>
              </w:rPr>
            </w:pPr>
            <w:r>
              <w:rPr>
                <w:rFonts w:ascii="Arial" w:cs="Arial" w:eastAsia="Arial" w:hAnsi="Arial"/>
                <w:sz w:val="16"/>
                <w:szCs w:val="16"/>
                <w:color w:val="auto"/>
              </w:rPr>
              <w:t>4,575</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3,614</w:t>
            </w:r>
          </w:p>
        </w:tc>
        <w:tc>
          <w:tcPr>
            <w:tcW w:w="2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0.3%</w:t>
            </w:r>
          </w:p>
        </w:tc>
      </w:tr>
      <w:tr>
        <w:trPr>
          <w:trHeight w:val="216"/>
        </w:trPr>
        <w:tc>
          <w:tcPr>
            <w:tcW w:w="2420" w:type="dxa"/>
            <w:vAlign w:val="bottom"/>
            <w:shd w:val="clear" w:color="auto" w:fill="CFF0FC"/>
          </w:tcPr>
          <w:p>
            <w:pPr>
              <w:spacing w:after="0"/>
              <w:rPr>
                <w:sz w:val="18"/>
                <w:szCs w:val="18"/>
                <w:color w:val="auto"/>
              </w:rPr>
            </w:pPr>
          </w:p>
        </w:tc>
        <w:tc>
          <w:tcPr>
            <w:tcW w:w="2580" w:type="dxa"/>
            <w:vAlign w:val="bottom"/>
            <w:shd w:val="clear" w:color="auto" w:fill="CFF0FC"/>
          </w:tcPr>
          <w:p>
            <w:pPr>
              <w:spacing w:after="0"/>
              <w:rPr>
                <w:sz w:val="18"/>
                <w:szCs w:val="18"/>
                <w:color w:val="auto"/>
              </w:rPr>
            </w:pPr>
          </w:p>
        </w:tc>
        <w:tc>
          <w:tcPr>
            <w:tcW w:w="3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3"/>
        </w:trPr>
        <w:tc>
          <w:tcPr>
            <w:tcW w:w="2420" w:type="dxa"/>
            <w:vAlign w:val="bottom"/>
          </w:tcPr>
          <w:p>
            <w:pPr>
              <w:spacing w:after="0"/>
              <w:rPr>
                <w:sz w:val="20"/>
                <w:szCs w:val="20"/>
                <w:color w:val="auto"/>
              </w:rPr>
            </w:pPr>
            <w:r>
              <w:rPr>
                <w:rFonts w:ascii="Arial" w:cs="Arial" w:eastAsia="Arial" w:hAnsi="Arial"/>
                <w:sz w:val="16"/>
                <w:szCs w:val="16"/>
                <w:b w:val="1"/>
                <w:bCs w:val="1"/>
                <w:color w:val="auto"/>
              </w:rPr>
              <w:t>Financial services</w:t>
            </w:r>
          </w:p>
        </w:tc>
        <w:tc>
          <w:tcPr>
            <w:tcW w:w="25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2420" w:type="dxa"/>
            <w:vAlign w:val="bottom"/>
            <w:shd w:val="clear" w:color="auto" w:fill="CFF0FC"/>
          </w:tcPr>
          <w:p>
            <w:pPr>
              <w:spacing w:after="0" w:line="218" w:lineRule="exact"/>
              <w:rPr>
                <w:sz w:val="20"/>
                <w:szCs w:val="20"/>
                <w:color w:val="auto"/>
              </w:rPr>
            </w:pPr>
            <w:r>
              <w:rPr>
                <w:rFonts w:ascii="Arial" w:cs="Arial" w:eastAsia="Arial" w:hAnsi="Arial"/>
                <w:sz w:val="15"/>
                <w:szCs w:val="15"/>
                <w:color w:val="auto"/>
              </w:rPr>
              <w:t xml:space="preserve">AvidXchange, Inc. </w:t>
            </w:r>
            <w:r>
              <w:rPr>
                <w:rFonts w:ascii="Arial" w:cs="Arial" w:eastAsia="Arial" w:hAnsi="Arial"/>
                <w:sz w:val="25"/>
                <w:szCs w:val="25"/>
                <w:color w:val="auto"/>
                <w:vertAlign w:val="superscript"/>
              </w:rPr>
              <w:t>(14)</w:t>
            </w:r>
          </w:p>
        </w:tc>
        <w:tc>
          <w:tcPr>
            <w:tcW w:w="2580" w:type="dxa"/>
            <w:vAlign w:val="bottom"/>
            <w:shd w:val="clear" w:color="auto" w:fill="CFF0FC"/>
          </w:tcPr>
          <w:p>
            <w:pPr>
              <w:ind w:left="240"/>
              <w:spacing w:after="0"/>
              <w:rPr>
                <w:sz w:val="20"/>
                <w:szCs w:val="20"/>
                <w:color w:val="auto"/>
              </w:rPr>
            </w:pPr>
            <w:r>
              <w:rPr>
                <w:rFonts w:ascii="Arial" w:cs="Arial" w:eastAsia="Arial" w:hAnsi="Arial"/>
                <w:sz w:val="16"/>
                <w:szCs w:val="16"/>
                <w:color w:val="auto"/>
                <w:w w:val="93"/>
              </w:rPr>
              <w:t>Preferred Shares (293,232 shares)</w:t>
            </w:r>
          </w:p>
        </w:tc>
        <w:tc>
          <w:tcPr>
            <w:tcW w:w="3320" w:type="dxa"/>
            <w:vAlign w:val="bottom"/>
            <w:shd w:val="clear" w:color="auto" w:fill="CFF0FC"/>
          </w:tcPr>
          <w:p>
            <w:pPr>
              <w:jc w:val="right"/>
              <w:ind w:right="2399"/>
              <w:spacing w:after="0"/>
              <w:rPr>
                <w:sz w:val="20"/>
                <w:szCs w:val="20"/>
                <w:color w:val="auto"/>
              </w:rPr>
            </w:pPr>
            <w:r>
              <w:rPr>
                <w:rFonts w:ascii="Arial" w:cs="Arial" w:eastAsia="Arial" w:hAnsi="Arial"/>
                <w:sz w:val="16"/>
                <w:szCs w:val="16"/>
                <w:color w:val="auto"/>
              </w:rPr>
              <w:t>10/1/2019</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14,423</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14,423</w:t>
            </w: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1.3%</w:t>
            </w:r>
          </w:p>
        </w:tc>
      </w:tr>
      <w:tr>
        <w:trPr>
          <w:trHeight w:val="203"/>
        </w:trPr>
        <w:tc>
          <w:tcPr>
            <w:tcW w:w="2420" w:type="dxa"/>
            <w:vAlign w:val="bottom"/>
          </w:tcPr>
          <w:p>
            <w:pPr>
              <w:spacing w:after="0"/>
              <w:rPr>
                <w:sz w:val="20"/>
                <w:szCs w:val="20"/>
                <w:color w:val="auto"/>
              </w:rPr>
            </w:pPr>
            <w:r>
              <w:rPr>
                <w:rFonts w:ascii="Arial" w:cs="Arial" w:eastAsia="Arial" w:hAnsi="Arial"/>
                <w:sz w:val="16"/>
                <w:szCs w:val="16"/>
                <w:color w:val="auto"/>
              </w:rPr>
              <w:t>Oxford Square Capital</w:t>
            </w:r>
          </w:p>
        </w:tc>
        <w:tc>
          <w:tcPr>
            <w:tcW w:w="2580" w:type="dxa"/>
            <w:vAlign w:val="bottom"/>
          </w:tcPr>
          <w:p>
            <w:pPr>
              <w:ind w:left="240"/>
              <w:spacing w:after="0"/>
              <w:rPr>
                <w:sz w:val="20"/>
                <w:szCs w:val="20"/>
                <w:color w:val="auto"/>
              </w:rPr>
            </w:pPr>
            <w:r>
              <w:rPr>
                <w:rFonts w:ascii="Arial" w:cs="Arial" w:eastAsia="Arial" w:hAnsi="Arial"/>
                <w:sz w:val="16"/>
                <w:szCs w:val="16"/>
                <w:color w:val="auto"/>
              </w:rPr>
              <w:t>Common Shares (1,059 shares)</w:t>
            </w:r>
          </w:p>
        </w:tc>
        <w:tc>
          <w:tcPr>
            <w:tcW w:w="3320" w:type="dxa"/>
            <w:vAlign w:val="bottom"/>
          </w:tcPr>
          <w:p>
            <w:pPr>
              <w:jc w:val="right"/>
              <w:ind w:right="2399"/>
              <w:spacing w:after="0"/>
              <w:rPr>
                <w:sz w:val="20"/>
                <w:szCs w:val="20"/>
                <w:color w:val="auto"/>
              </w:rPr>
            </w:pPr>
            <w:r>
              <w:rPr>
                <w:rFonts w:ascii="Arial" w:cs="Arial" w:eastAsia="Arial" w:hAnsi="Arial"/>
                <w:sz w:val="16"/>
                <w:szCs w:val="16"/>
                <w:color w:val="auto"/>
              </w:rPr>
              <w:t>8/5/2015</w:t>
            </w:r>
          </w:p>
        </w:tc>
        <w:tc>
          <w:tcPr>
            <w:tcW w:w="76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0.0%</w:t>
            </w:r>
          </w:p>
        </w:tc>
      </w:tr>
      <w:tr>
        <w:trPr>
          <w:trHeight w:val="213"/>
        </w:trPr>
        <w:tc>
          <w:tcPr>
            <w:tcW w:w="2420" w:type="dxa"/>
            <w:vAlign w:val="bottom"/>
          </w:tcPr>
          <w:p>
            <w:pPr>
              <w:ind w:left="120"/>
              <w:spacing w:after="0"/>
              <w:rPr>
                <w:sz w:val="20"/>
                <w:szCs w:val="20"/>
                <w:color w:val="auto"/>
              </w:rPr>
            </w:pPr>
            <w:r>
              <w:rPr>
                <w:rFonts w:ascii="Arial" w:cs="Arial" w:eastAsia="Arial" w:hAnsi="Arial"/>
                <w:sz w:val="16"/>
                <w:szCs w:val="16"/>
                <w:color w:val="auto"/>
              </w:rPr>
              <w:t xml:space="preserve">Corp. </w:t>
            </w:r>
            <w:r>
              <w:rPr>
                <w:rFonts w:ascii="Arial" w:cs="Arial" w:eastAsia="Arial" w:hAnsi="Arial"/>
                <w:sz w:val="13"/>
                <w:szCs w:val="13"/>
                <w:color w:val="auto"/>
              </w:rPr>
              <w:t>(4)(12)</w:t>
            </w:r>
          </w:p>
        </w:tc>
        <w:tc>
          <w:tcPr>
            <w:tcW w:w="25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2420" w:type="dxa"/>
            <w:vAlign w:val="bottom"/>
            <w:shd w:val="clear" w:color="auto" w:fill="CFF0FC"/>
          </w:tcPr>
          <w:p>
            <w:pPr>
              <w:spacing w:after="0" w:line="218" w:lineRule="exact"/>
              <w:rPr>
                <w:sz w:val="20"/>
                <w:szCs w:val="20"/>
                <w:color w:val="auto"/>
              </w:rPr>
            </w:pPr>
            <w:r>
              <w:rPr>
                <w:rFonts w:ascii="Arial" w:cs="Arial" w:eastAsia="Arial" w:hAnsi="Arial"/>
                <w:sz w:val="15"/>
                <w:szCs w:val="15"/>
                <w:color w:val="auto"/>
              </w:rPr>
              <w:t xml:space="preserve">Swift Gift, Ltd. </w:t>
            </w:r>
            <w:r>
              <w:rPr>
                <w:rFonts w:ascii="Arial" w:cs="Arial" w:eastAsia="Arial" w:hAnsi="Arial"/>
                <w:sz w:val="25"/>
                <w:szCs w:val="25"/>
                <w:color w:val="auto"/>
                <w:vertAlign w:val="superscript"/>
              </w:rPr>
              <w:t>(13)</w:t>
            </w:r>
          </w:p>
        </w:tc>
        <w:tc>
          <w:tcPr>
            <w:tcW w:w="2580" w:type="dxa"/>
            <w:vAlign w:val="bottom"/>
            <w:shd w:val="clear" w:color="auto" w:fill="CFF0FC"/>
          </w:tcPr>
          <w:p>
            <w:pPr>
              <w:ind w:left="240"/>
              <w:spacing w:after="0"/>
              <w:rPr>
                <w:sz w:val="20"/>
                <w:szCs w:val="20"/>
                <w:color w:val="auto"/>
              </w:rPr>
            </w:pPr>
            <w:r>
              <w:rPr>
                <w:rFonts w:ascii="Arial" w:cs="Arial" w:eastAsia="Arial" w:hAnsi="Arial"/>
                <w:sz w:val="16"/>
                <w:szCs w:val="16"/>
                <w:color w:val="auto"/>
                <w:w w:val="98"/>
              </w:rPr>
              <w:t>Common Shares (35,000 shares)</w:t>
            </w:r>
          </w:p>
        </w:tc>
        <w:tc>
          <w:tcPr>
            <w:tcW w:w="3320" w:type="dxa"/>
            <w:vAlign w:val="bottom"/>
            <w:shd w:val="clear" w:color="auto" w:fill="CFF0FC"/>
          </w:tcPr>
          <w:p>
            <w:pPr>
              <w:jc w:val="right"/>
              <w:ind w:right="2399"/>
              <w:spacing w:after="0"/>
              <w:rPr>
                <w:sz w:val="20"/>
                <w:szCs w:val="20"/>
                <w:color w:val="auto"/>
              </w:rPr>
            </w:pPr>
            <w:r>
              <w:rPr>
                <w:rFonts w:ascii="Arial" w:cs="Arial" w:eastAsia="Arial" w:hAnsi="Arial"/>
                <w:sz w:val="16"/>
                <w:szCs w:val="16"/>
                <w:color w:val="auto"/>
              </w:rPr>
              <w:t>7/31/2017</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3,500</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10,255</w:t>
            </w: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0.9%</w:t>
            </w:r>
          </w:p>
        </w:tc>
      </w:tr>
      <w:tr>
        <w:trPr>
          <w:trHeight w:val="20"/>
        </w:trPr>
        <w:tc>
          <w:tcPr>
            <w:tcW w:w="24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7"/>
        </w:trPr>
        <w:tc>
          <w:tcPr>
            <w:tcW w:w="24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17,930</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24,684</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2.2%</w:t>
            </w:r>
          </w:p>
        </w:tc>
      </w:tr>
      <w:tr>
        <w:trPr>
          <w:trHeight w:val="212"/>
        </w:trPr>
        <w:tc>
          <w:tcPr>
            <w:tcW w:w="2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Healthcare</w:t>
            </w:r>
          </w:p>
        </w:tc>
        <w:tc>
          <w:tcPr>
            <w:tcW w:w="2580" w:type="dxa"/>
            <w:vAlign w:val="bottom"/>
            <w:tcBorders>
              <w:top w:val="single" w:sz="8" w:color="CFF0FC"/>
            </w:tcBorders>
            <w:shd w:val="clear" w:color="auto" w:fill="CFF0FC"/>
          </w:tcPr>
          <w:p>
            <w:pPr>
              <w:spacing w:after="0"/>
              <w:rPr>
                <w:sz w:val="18"/>
                <w:szCs w:val="18"/>
                <w:color w:val="auto"/>
              </w:rPr>
            </w:pPr>
          </w:p>
        </w:tc>
        <w:tc>
          <w:tcPr>
            <w:tcW w:w="332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16"/>
        </w:trPr>
        <w:tc>
          <w:tcPr>
            <w:tcW w:w="2420" w:type="dxa"/>
            <w:vAlign w:val="bottom"/>
          </w:tcPr>
          <w:p>
            <w:pPr>
              <w:spacing w:after="0" w:line="216" w:lineRule="exact"/>
              <w:rPr>
                <w:sz w:val="20"/>
                <w:szCs w:val="20"/>
                <w:color w:val="auto"/>
              </w:rPr>
            </w:pPr>
            <w:r>
              <w:rPr>
                <w:rFonts w:ascii="Arial" w:cs="Arial" w:eastAsia="Arial" w:hAnsi="Arial"/>
                <w:sz w:val="15"/>
                <w:szCs w:val="15"/>
                <w:color w:val="auto"/>
              </w:rPr>
              <w:t xml:space="preserve">Caris Life Sciences, Ltd. </w:t>
            </w:r>
            <w:r>
              <w:rPr>
                <w:rFonts w:ascii="Arial" w:cs="Arial" w:eastAsia="Arial" w:hAnsi="Arial"/>
                <w:sz w:val="25"/>
                <w:szCs w:val="25"/>
                <w:color w:val="auto"/>
                <w:vertAlign w:val="superscript"/>
              </w:rPr>
              <w:t>(13)</w:t>
            </w:r>
          </w:p>
        </w:tc>
        <w:tc>
          <w:tcPr>
            <w:tcW w:w="2580" w:type="dxa"/>
            <w:vAlign w:val="bottom"/>
          </w:tcPr>
          <w:p>
            <w:pPr>
              <w:ind w:left="240"/>
              <w:spacing w:after="0"/>
              <w:rPr>
                <w:sz w:val="20"/>
                <w:szCs w:val="20"/>
                <w:color w:val="auto"/>
              </w:rPr>
            </w:pPr>
            <w:r>
              <w:rPr>
                <w:rFonts w:ascii="Arial" w:cs="Arial" w:eastAsia="Arial" w:hAnsi="Arial"/>
                <w:sz w:val="16"/>
                <w:szCs w:val="16"/>
                <w:color w:val="auto"/>
              </w:rPr>
              <w:t>633,376 Warrants</w:t>
            </w:r>
          </w:p>
        </w:tc>
        <w:tc>
          <w:tcPr>
            <w:tcW w:w="3320" w:type="dxa"/>
            <w:vAlign w:val="bottom"/>
          </w:tcPr>
          <w:p>
            <w:pPr>
              <w:jc w:val="right"/>
              <w:ind w:right="2399"/>
              <w:spacing w:after="0"/>
              <w:rPr>
                <w:sz w:val="20"/>
                <w:szCs w:val="20"/>
                <w:color w:val="auto"/>
              </w:rPr>
            </w:pPr>
            <w:r>
              <w:rPr>
                <w:rFonts w:ascii="Arial" w:cs="Arial" w:eastAsia="Arial" w:hAnsi="Arial"/>
                <w:sz w:val="16"/>
                <w:szCs w:val="16"/>
                <w:color w:val="auto"/>
              </w:rPr>
              <w:t>9/21/2018</w:t>
            </w:r>
          </w:p>
        </w:tc>
        <w:tc>
          <w:tcPr>
            <w:tcW w:w="760" w:type="dxa"/>
            <w:vAlign w:val="bottom"/>
          </w:tcPr>
          <w:p>
            <w:pPr>
              <w:jc w:val="right"/>
              <w:spacing w:after="0"/>
              <w:rPr>
                <w:sz w:val="20"/>
                <w:szCs w:val="20"/>
                <w:color w:val="auto"/>
              </w:rPr>
            </w:pPr>
            <w:r>
              <w:rPr>
                <w:rFonts w:ascii="Arial" w:cs="Arial" w:eastAsia="Arial" w:hAnsi="Arial"/>
                <w:sz w:val="16"/>
                <w:szCs w:val="16"/>
                <w:color w:val="auto"/>
              </w:rPr>
              <w:t>192</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192</w:t>
            </w:r>
          </w:p>
        </w:tc>
        <w:tc>
          <w:tcPr>
            <w:tcW w:w="2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0.0%</w:t>
            </w:r>
          </w:p>
        </w:tc>
      </w:tr>
      <w:tr>
        <w:trPr>
          <w:trHeight w:val="216"/>
        </w:trPr>
        <w:tc>
          <w:tcPr>
            <w:tcW w:w="2420" w:type="dxa"/>
            <w:vAlign w:val="bottom"/>
            <w:shd w:val="clear" w:color="auto" w:fill="CFF0FC"/>
          </w:tcPr>
          <w:p>
            <w:pPr>
              <w:spacing w:after="0" w:line="216" w:lineRule="exact"/>
              <w:rPr>
                <w:sz w:val="20"/>
                <w:szCs w:val="20"/>
                <w:color w:val="auto"/>
              </w:rPr>
            </w:pPr>
            <w:r>
              <w:rPr>
                <w:rFonts w:ascii="Arial" w:cs="Arial" w:eastAsia="Arial" w:hAnsi="Arial"/>
                <w:sz w:val="15"/>
                <w:szCs w:val="15"/>
                <w:color w:val="auto"/>
              </w:rPr>
              <w:t xml:space="preserve">Quantros, Inc. </w:t>
            </w:r>
            <w:r>
              <w:rPr>
                <w:rFonts w:ascii="Arial" w:cs="Arial" w:eastAsia="Arial" w:hAnsi="Arial"/>
                <w:sz w:val="25"/>
                <w:szCs w:val="25"/>
                <w:color w:val="auto"/>
                <w:vertAlign w:val="superscript"/>
              </w:rPr>
              <w:t>(13)(14)</w:t>
            </w:r>
          </w:p>
        </w:tc>
        <w:tc>
          <w:tcPr>
            <w:tcW w:w="25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4,685,068 Warrants</w:t>
            </w:r>
          </w:p>
        </w:tc>
        <w:tc>
          <w:tcPr>
            <w:tcW w:w="3320" w:type="dxa"/>
            <w:vAlign w:val="bottom"/>
            <w:shd w:val="clear" w:color="auto" w:fill="CFF0FC"/>
          </w:tcPr>
          <w:p>
            <w:pPr>
              <w:jc w:val="right"/>
              <w:ind w:right="2399"/>
              <w:spacing w:after="0"/>
              <w:rPr>
                <w:sz w:val="20"/>
                <w:szCs w:val="20"/>
                <w:color w:val="auto"/>
              </w:rPr>
            </w:pPr>
            <w:r>
              <w:rPr>
                <w:rFonts w:ascii="Arial" w:cs="Arial" w:eastAsia="Arial" w:hAnsi="Arial"/>
                <w:sz w:val="16"/>
                <w:szCs w:val="16"/>
                <w:color w:val="auto"/>
              </w:rPr>
              <w:t>10/7/2019</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0.0%</w:t>
            </w:r>
          </w:p>
        </w:tc>
      </w:tr>
      <w:tr>
        <w:trPr>
          <w:trHeight w:val="203"/>
        </w:trPr>
        <w:tc>
          <w:tcPr>
            <w:tcW w:w="2420" w:type="dxa"/>
            <w:vAlign w:val="bottom"/>
          </w:tcPr>
          <w:p>
            <w:pPr>
              <w:spacing w:after="0"/>
              <w:rPr>
                <w:sz w:val="20"/>
                <w:szCs w:val="20"/>
                <w:color w:val="auto"/>
              </w:rPr>
            </w:pPr>
            <w:r>
              <w:rPr>
                <w:rFonts w:ascii="Arial" w:cs="Arial" w:eastAsia="Arial" w:hAnsi="Arial"/>
                <w:sz w:val="16"/>
                <w:szCs w:val="16"/>
                <w:color w:val="auto"/>
              </w:rPr>
              <w:t>Valant Medical Solutions,</w:t>
            </w:r>
          </w:p>
        </w:tc>
        <w:tc>
          <w:tcPr>
            <w:tcW w:w="2580" w:type="dxa"/>
            <w:vAlign w:val="bottom"/>
          </w:tcPr>
          <w:p>
            <w:pPr>
              <w:ind w:left="240"/>
              <w:spacing w:after="0"/>
              <w:rPr>
                <w:sz w:val="20"/>
                <w:szCs w:val="20"/>
                <w:color w:val="auto"/>
              </w:rPr>
            </w:pPr>
            <w:r>
              <w:rPr>
                <w:rFonts w:ascii="Arial" w:cs="Arial" w:eastAsia="Arial" w:hAnsi="Arial"/>
                <w:sz w:val="16"/>
                <w:szCs w:val="16"/>
                <w:color w:val="auto"/>
              </w:rPr>
              <w:t>954,478 Warrants</w:t>
            </w:r>
          </w:p>
        </w:tc>
        <w:tc>
          <w:tcPr>
            <w:tcW w:w="3320" w:type="dxa"/>
            <w:vAlign w:val="bottom"/>
          </w:tcPr>
          <w:p>
            <w:pPr>
              <w:jc w:val="right"/>
              <w:ind w:right="2399"/>
              <w:spacing w:after="0"/>
              <w:rPr>
                <w:sz w:val="20"/>
                <w:szCs w:val="20"/>
                <w:color w:val="auto"/>
              </w:rPr>
            </w:pPr>
            <w:r>
              <w:rPr>
                <w:rFonts w:ascii="Arial" w:cs="Arial" w:eastAsia="Arial" w:hAnsi="Arial"/>
                <w:sz w:val="16"/>
                <w:szCs w:val="16"/>
                <w:color w:val="auto"/>
              </w:rPr>
              <w:t>4/8/2019</w:t>
            </w:r>
          </w:p>
        </w:tc>
        <w:tc>
          <w:tcPr>
            <w:tcW w:w="760" w:type="dxa"/>
            <w:vAlign w:val="bottom"/>
          </w:tcPr>
          <w:p>
            <w:pPr>
              <w:jc w:val="right"/>
              <w:spacing w:after="0"/>
              <w:rPr>
                <w:sz w:val="20"/>
                <w:szCs w:val="20"/>
                <w:color w:val="auto"/>
              </w:rPr>
            </w:pPr>
            <w:r>
              <w:rPr>
                <w:rFonts w:ascii="Arial" w:cs="Arial" w:eastAsia="Arial" w:hAnsi="Arial"/>
                <w:sz w:val="16"/>
                <w:szCs w:val="16"/>
                <w:color w:val="auto"/>
              </w:rPr>
              <w:t>281</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281</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0.0%</w:t>
            </w:r>
          </w:p>
        </w:tc>
      </w:tr>
      <w:tr>
        <w:trPr>
          <w:trHeight w:val="213"/>
        </w:trPr>
        <w:tc>
          <w:tcPr>
            <w:tcW w:w="2420" w:type="dxa"/>
            <w:vAlign w:val="bottom"/>
          </w:tcPr>
          <w:p>
            <w:pPr>
              <w:ind w:left="120"/>
              <w:spacing w:after="0"/>
              <w:rPr>
                <w:sz w:val="20"/>
                <w:szCs w:val="20"/>
                <w:color w:val="auto"/>
              </w:rPr>
            </w:pPr>
            <w:r>
              <w:rPr>
                <w:rFonts w:ascii="Arial" w:cs="Arial" w:eastAsia="Arial" w:hAnsi="Arial"/>
                <w:sz w:val="16"/>
                <w:szCs w:val="16"/>
                <w:color w:val="auto"/>
              </w:rPr>
              <w:t xml:space="preserve">Inc. </w:t>
            </w:r>
            <w:r>
              <w:rPr>
                <w:rFonts w:ascii="Arial" w:cs="Arial" w:eastAsia="Arial" w:hAnsi="Arial"/>
                <w:sz w:val="13"/>
                <w:szCs w:val="13"/>
                <w:color w:val="auto"/>
              </w:rPr>
              <w:t>(13)(14)(15)</w:t>
            </w:r>
          </w:p>
        </w:tc>
        <w:tc>
          <w:tcPr>
            <w:tcW w:w="25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2420" w:type="dxa"/>
            <w:vAlign w:val="bottom"/>
            <w:shd w:val="clear" w:color="auto" w:fill="CFF0FC"/>
          </w:tcPr>
          <w:p>
            <w:pPr>
              <w:spacing w:after="0" w:line="218" w:lineRule="exact"/>
              <w:rPr>
                <w:sz w:val="20"/>
                <w:szCs w:val="20"/>
                <w:color w:val="auto"/>
              </w:rPr>
            </w:pPr>
            <w:r>
              <w:rPr>
                <w:rFonts w:ascii="Arial" w:cs="Arial" w:eastAsia="Arial" w:hAnsi="Arial"/>
                <w:sz w:val="15"/>
                <w:szCs w:val="15"/>
                <w:color w:val="auto"/>
              </w:rPr>
              <w:t xml:space="preserve">Vita Topco, Inc. </w:t>
            </w:r>
            <w:r>
              <w:rPr>
                <w:rFonts w:ascii="Arial" w:cs="Arial" w:eastAsia="Arial" w:hAnsi="Arial"/>
                <w:sz w:val="25"/>
                <w:szCs w:val="25"/>
                <w:color w:val="auto"/>
                <w:vertAlign w:val="superscript"/>
              </w:rPr>
              <w:t>(13)(14)(15)</w:t>
            </w:r>
          </w:p>
        </w:tc>
        <w:tc>
          <w:tcPr>
            <w:tcW w:w="25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Common Shares (1,000 shares)</w:t>
            </w:r>
          </w:p>
        </w:tc>
        <w:tc>
          <w:tcPr>
            <w:tcW w:w="3320" w:type="dxa"/>
            <w:vAlign w:val="bottom"/>
            <w:shd w:val="clear" w:color="auto" w:fill="CFF0FC"/>
          </w:tcPr>
          <w:p>
            <w:pPr>
              <w:jc w:val="right"/>
              <w:ind w:right="2399"/>
              <w:spacing w:after="0"/>
              <w:rPr>
                <w:sz w:val="20"/>
                <w:szCs w:val="20"/>
                <w:color w:val="auto"/>
              </w:rPr>
            </w:pPr>
            <w:r>
              <w:rPr>
                <w:rFonts w:ascii="Arial" w:cs="Arial" w:eastAsia="Arial" w:hAnsi="Arial"/>
                <w:sz w:val="16"/>
                <w:szCs w:val="16"/>
                <w:color w:val="auto"/>
              </w:rPr>
              <w:t>2/11/2019</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1,000</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1,442</w:t>
            </w: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0.1%</w:t>
            </w:r>
          </w:p>
        </w:tc>
      </w:tr>
      <w:tr>
        <w:trPr>
          <w:trHeight w:val="20"/>
        </w:trPr>
        <w:tc>
          <w:tcPr>
            <w:tcW w:w="24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6"/>
        </w:trPr>
        <w:tc>
          <w:tcPr>
            <w:tcW w:w="24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1,612</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2,054</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0.1%</w:t>
            </w:r>
          </w:p>
        </w:tc>
      </w:tr>
      <w:tr>
        <w:trPr>
          <w:trHeight w:val="213"/>
        </w:trPr>
        <w:tc>
          <w:tcPr>
            <w:tcW w:w="2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Hotel, gaming, and leisure</w:t>
            </w:r>
          </w:p>
        </w:tc>
        <w:tc>
          <w:tcPr>
            <w:tcW w:w="2580" w:type="dxa"/>
            <w:vAlign w:val="bottom"/>
            <w:tcBorders>
              <w:top w:val="single" w:sz="8" w:color="CFF0FC"/>
            </w:tcBorders>
            <w:shd w:val="clear" w:color="auto" w:fill="CFF0FC"/>
          </w:tcPr>
          <w:p>
            <w:pPr>
              <w:spacing w:after="0"/>
              <w:rPr>
                <w:sz w:val="18"/>
                <w:szCs w:val="18"/>
                <w:color w:val="auto"/>
              </w:rPr>
            </w:pPr>
          </w:p>
        </w:tc>
        <w:tc>
          <w:tcPr>
            <w:tcW w:w="332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03"/>
        </w:trPr>
        <w:tc>
          <w:tcPr>
            <w:tcW w:w="2420" w:type="dxa"/>
            <w:vAlign w:val="bottom"/>
          </w:tcPr>
          <w:p>
            <w:pPr>
              <w:spacing w:after="0" w:line="203" w:lineRule="exact"/>
              <w:rPr>
                <w:sz w:val="20"/>
                <w:szCs w:val="20"/>
                <w:color w:val="auto"/>
              </w:rPr>
            </w:pPr>
            <w:r>
              <w:rPr>
                <w:rFonts w:ascii="Arial" w:cs="Arial" w:eastAsia="Arial" w:hAnsi="Arial"/>
                <w:sz w:val="14"/>
                <w:szCs w:val="14"/>
                <w:color w:val="auto"/>
              </w:rPr>
              <w:t xml:space="preserve">IRGSE Holding Corp. </w:t>
            </w:r>
            <w:r>
              <w:rPr>
                <w:rFonts w:ascii="Arial" w:cs="Arial" w:eastAsia="Arial" w:hAnsi="Arial"/>
                <w:sz w:val="23"/>
                <w:szCs w:val="23"/>
                <w:color w:val="auto"/>
                <w:vertAlign w:val="superscript"/>
              </w:rPr>
              <w:t>(7)(13)</w:t>
            </w:r>
          </w:p>
        </w:tc>
        <w:tc>
          <w:tcPr>
            <w:tcW w:w="2580" w:type="dxa"/>
            <w:vAlign w:val="bottom"/>
          </w:tcPr>
          <w:p>
            <w:pPr>
              <w:ind w:left="240"/>
              <w:spacing w:after="0"/>
              <w:rPr>
                <w:sz w:val="20"/>
                <w:szCs w:val="20"/>
                <w:color w:val="auto"/>
              </w:rPr>
            </w:pPr>
            <w:r>
              <w:rPr>
                <w:rFonts w:ascii="Arial" w:cs="Arial" w:eastAsia="Arial" w:hAnsi="Arial"/>
                <w:sz w:val="16"/>
                <w:szCs w:val="16"/>
                <w:color w:val="auto"/>
              </w:rPr>
              <w:t>Class A Units (29,440,171 units)</w:t>
            </w:r>
          </w:p>
        </w:tc>
        <w:tc>
          <w:tcPr>
            <w:tcW w:w="3320" w:type="dxa"/>
            <w:vAlign w:val="bottom"/>
          </w:tcPr>
          <w:p>
            <w:pPr>
              <w:jc w:val="right"/>
              <w:ind w:right="2399"/>
              <w:spacing w:after="0"/>
              <w:rPr>
                <w:sz w:val="20"/>
                <w:szCs w:val="20"/>
                <w:color w:val="auto"/>
              </w:rPr>
            </w:pPr>
            <w:r>
              <w:rPr>
                <w:rFonts w:ascii="Arial" w:cs="Arial" w:eastAsia="Arial" w:hAnsi="Arial"/>
                <w:sz w:val="16"/>
                <w:szCs w:val="16"/>
                <w:color w:val="auto"/>
              </w:rPr>
              <w:t>12/21/2018</w:t>
            </w:r>
          </w:p>
        </w:tc>
        <w:tc>
          <w:tcPr>
            <w:tcW w:w="760" w:type="dxa"/>
            <w:vAlign w:val="bottom"/>
          </w:tcPr>
          <w:p>
            <w:pPr>
              <w:jc w:val="right"/>
              <w:spacing w:after="0"/>
              <w:rPr>
                <w:sz w:val="20"/>
                <w:szCs w:val="20"/>
                <w:color w:val="auto"/>
              </w:rPr>
            </w:pPr>
            <w:r>
              <w:rPr>
                <w:rFonts w:ascii="Arial" w:cs="Arial" w:eastAsia="Arial" w:hAnsi="Arial"/>
                <w:sz w:val="16"/>
                <w:szCs w:val="16"/>
                <w:color w:val="auto"/>
              </w:rPr>
              <w:t>21,813</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589</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0.1%</w:t>
            </w:r>
          </w:p>
        </w:tc>
      </w:tr>
      <w:tr>
        <w:trPr>
          <w:trHeight w:val="175"/>
        </w:trPr>
        <w:tc>
          <w:tcPr>
            <w:tcW w:w="2420" w:type="dxa"/>
            <w:vAlign w:val="bottom"/>
          </w:tcPr>
          <w:p>
            <w:pPr>
              <w:spacing w:after="0"/>
              <w:rPr>
                <w:sz w:val="15"/>
                <w:szCs w:val="15"/>
                <w:color w:val="auto"/>
              </w:rPr>
            </w:pPr>
          </w:p>
        </w:tc>
        <w:tc>
          <w:tcPr>
            <w:tcW w:w="2580" w:type="dxa"/>
            <w:vAlign w:val="bottom"/>
          </w:tcPr>
          <w:p>
            <w:pPr>
              <w:ind w:left="240"/>
              <w:spacing w:after="0"/>
              <w:rPr>
                <w:sz w:val="20"/>
                <w:szCs w:val="20"/>
                <w:color w:val="auto"/>
              </w:rPr>
            </w:pPr>
            <w:r>
              <w:rPr>
                <w:rFonts w:ascii="Arial" w:cs="Arial" w:eastAsia="Arial" w:hAnsi="Arial"/>
                <w:sz w:val="14"/>
                <w:szCs w:val="14"/>
                <w:color w:val="auto"/>
              </w:rPr>
              <w:t>(14)</w:t>
            </w:r>
          </w:p>
        </w:tc>
        <w:tc>
          <w:tcPr>
            <w:tcW w:w="3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13"/>
        </w:trPr>
        <w:tc>
          <w:tcPr>
            <w:tcW w:w="2420" w:type="dxa"/>
            <w:vAlign w:val="bottom"/>
            <w:shd w:val="clear" w:color="auto" w:fill="CFF0FC"/>
          </w:tcPr>
          <w:p>
            <w:pPr>
              <w:spacing w:after="0"/>
              <w:rPr>
                <w:sz w:val="18"/>
                <w:szCs w:val="18"/>
                <w:color w:val="auto"/>
              </w:rPr>
            </w:pPr>
          </w:p>
        </w:tc>
        <w:tc>
          <w:tcPr>
            <w:tcW w:w="2580" w:type="dxa"/>
            <w:vAlign w:val="bottom"/>
            <w:shd w:val="clear" w:color="auto" w:fill="CFF0FC"/>
          </w:tcPr>
          <w:p>
            <w:pPr>
              <w:ind w:left="240"/>
              <w:spacing w:after="0"/>
              <w:rPr>
                <w:sz w:val="20"/>
                <w:szCs w:val="20"/>
                <w:color w:val="auto"/>
              </w:rPr>
            </w:pPr>
            <w:r>
              <w:rPr>
                <w:rFonts w:ascii="Arial" w:cs="Arial" w:eastAsia="Arial" w:hAnsi="Arial"/>
                <w:sz w:val="16"/>
                <w:szCs w:val="16"/>
                <w:color w:val="auto"/>
                <w:w w:val="98"/>
              </w:rPr>
              <w:t>Class C-1 Units (8,800,000 units)</w:t>
            </w:r>
          </w:p>
        </w:tc>
        <w:tc>
          <w:tcPr>
            <w:tcW w:w="3320" w:type="dxa"/>
            <w:vAlign w:val="bottom"/>
            <w:shd w:val="clear" w:color="auto" w:fill="CFF0FC"/>
          </w:tcPr>
          <w:p>
            <w:pPr>
              <w:jc w:val="right"/>
              <w:ind w:right="2399"/>
              <w:spacing w:after="0"/>
              <w:rPr>
                <w:sz w:val="20"/>
                <w:szCs w:val="20"/>
                <w:color w:val="auto"/>
              </w:rPr>
            </w:pPr>
            <w:r>
              <w:rPr>
                <w:rFonts w:ascii="Arial" w:cs="Arial" w:eastAsia="Arial" w:hAnsi="Arial"/>
                <w:sz w:val="16"/>
                <w:szCs w:val="16"/>
                <w:color w:val="auto"/>
              </w:rPr>
              <w:t>12/21/2018</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0.0%</w:t>
            </w:r>
          </w:p>
        </w:tc>
      </w:tr>
      <w:tr>
        <w:trPr>
          <w:trHeight w:val="20"/>
        </w:trPr>
        <w:tc>
          <w:tcPr>
            <w:tcW w:w="24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24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21,913</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637</w:t>
            </w:r>
          </w:p>
        </w:tc>
        <w:tc>
          <w:tcPr>
            <w:tcW w:w="2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0.1%</w:t>
            </w:r>
          </w:p>
        </w:tc>
      </w:tr>
      <w:tr>
        <w:trPr>
          <w:trHeight w:val="199"/>
        </w:trPr>
        <w:tc>
          <w:tcPr>
            <w:tcW w:w="2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Human resource support</w:t>
            </w:r>
          </w:p>
        </w:tc>
        <w:tc>
          <w:tcPr>
            <w:tcW w:w="2580" w:type="dxa"/>
            <w:vAlign w:val="bottom"/>
            <w:tcBorders>
              <w:top w:val="single" w:sz="8" w:color="CFF0FC"/>
            </w:tcBorders>
            <w:shd w:val="clear" w:color="auto" w:fill="CFF0FC"/>
          </w:tcPr>
          <w:p>
            <w:pPr>
              <w:spacing w:after="0"/>
              <w:rPr>
                <w:sz w:val="17"/>
                <w:szCs w:val="17"/>
                <w:color w:val="auto"/>
              </w:rPr>
            </w:pPr>
          </w:p>
        </w:tc>
        <w:tc>
          <w:tcPr>
            <w:tcW w:w="332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r>
      <w:tr>
        <w:trPr>
          <w:trHeight w:val="216"/>
        </w:trPr>
        <w:tc>
          <w:tcPr>
            <w:tcW w:w="2420" w:type="dxa"/>
            <w:vAlign w:val="bottom"/>
            <w:shd w:val="clear" w:color="auto" w:fill="CFF0FC"/>
          </w:tcPr>
          <w:p>
            <w:pPr>
              <w:ind w:left="120"/>
              <w:spacing w:after="0"/>
              <w:rPr>
                <w:sz w:val="20"/>
                <w:szCs w:val="20"/>
                <w:color w:val="auto"/>
              </w:rPr>
            </w:pPr>
            <w:r>
              <w:rPr>
                <w:rFonts w:ascii="Arial" w:cs="Arial" w:eastAsia="Arial" w:hAnsi="Arial"/>
                <w:sz w:val="16"/>
                <w:szCs w:val="16"/>
                <w:b w:val="1"/>
                <w:bCs w:val="1"/>
                <w:color w:val="auto"/>
              </w:rPr>
              <w:t>services</w:t>
            </w:r>
          </w:p>
        </w:tc>
        <w:tc>
          <w:tcPr>
            <w:tcW w:w="2580" w:type="dxa"/>
            <w:vAlign w:val="bottom"/>
            <w:shd w:val="clear" w:color="auto" w:fill="CFF0FC"/>
          </w:tcPr>
          <w:p>
            <w:pPr>
              <w:spacing w:after="0"/>
              <w:rPr>
                <w:sz w:val="18"/>
                <w:szCs w:val="18"/>
                <w:color w:val="auto"/>
              </w:rPr>
            </w:pPr>
          </w:p>
        </w:tc>
        <w:tc>
          <w:tcPr>
            <w:tcW w:w="3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6"/>
        </w:trPr>
        <w:tc>
          <w:tcPr>
            <w:tcW w:w="2420" w:type="dxa"/>
            <w:vAlign w:val="bottom"/>
          </w:tcPr>
          <w:p>
            <w:pPr>
              <w:spacing w:after="0" w:line="216" w:lineRule="exact"/>
              <w:rPr>
                <w:sz w:val="20"/>
                <w:szCs w:val="20"/>
                <w:color w:val="auto"/>
              </w:rPr>
            </w:pPr>
            <w:r>
              <w:rPr>
                <w:rFonts w:ascii="Arial" w:cs="Arial" w:eastAsia="Arial" w:hAnsi="Arial"/>
                <w:sz w:val="15"/>
                <w:szCs w:val="15"/>
                <w:color w:val="auto"/>
              </w:rPr>
              <w:t xml:space="preserve">ClearCompany, LLC </w:t>
            </w:r>
            <w:r>
              <w:rPr>
                <w:rFonts w:ascii="Arial" w:cs="Arial" w:eastAsia="Arial" w:hAnsi="Arial"/>
                <w:sz w:val="25"/>
                <w:szCs w:val="25"/>
                <w:color w:val="auto"/>
                <w:vertAlign w:val="superscript"/>
              </w:rPr>
              <w:t>(13)(15)</w:t>
            </w:r>
          </w:p>
        </w:tc>
        <w:tc>
          <w:tcPr>
            <w:tcW w:w="2580" w:type="dxa"/>
            <w:vAlign w:val="bottom"/>
          </w:tcPr>
          <w:p>
            <w:pPr>
              <w:ind w:left="240"/>
              <w:spacing w:after="0"/>
              <w:rPr>
                <w:sz w:val="20"/>
                <w:szCs w:val="20"/>
                <w:color w:val="auto"/>
              </w:rPr>
            </w:pPr>
            <w:r>
              <w:rPr>
                <w:rFonts w:ascii="Arial" w:cs="Arial" w:eastAsia="Arial" w:hAnsi="Arial"/>
                <w:sz w:val="16"/>
                <w:szCs w:val="16"/>
                <w:color w:val="auto"/>
              </w:rPr>
              <w:t>Class A Units (44,944 units)</w:t>
            </w:r>
          </w:p>
        </w:tc>
        <w:tc>
          <w:tcPr>
            <w:tcW w:w="3320" w:type="dxa"/>
            <w:vAlign w:val="bottom"/>
          </w:tcPr>
          <w:p>
            <w:pPr>
              <w:jc w:val="right"/>
              <w:ind w:right="2399"/>
              <w:spacing w:after="0"/>
              <w:rPr>
                <w:sz w:val="20"/>
                <w:szCs w:val="20"/>
                <w:color w:val="auto"/>
              </w:rPr>
            </w:pPr>
            <w:r>
              <w:rPr>
                <w:rFonts w:ascii="Arial" w:cs="Arial" w:eastAsia="Arial" w:hAnsi="Arial"/>
                <w:sz w:val="16"/>
                <w:szCs w:val="16"/>
                <w:color w:val="auto"/>
              </w:rPr>
              <w:t>8/24/2018</w:t>
            </w:r>
          </w:p>
        </w:tc>
        <w:tc>
          <w:tcPr>
            <w:tcW w:w="760" w:type="dxa"/>
            <w:vAlign w:val="bottom"/>
          </w:tcPr>
          <w:p>
            <w:pPr>
              <w:jc w:val="right"/>
              <w:spacing w:after="0"/>
              <w:rPr>
                <w:sz w:val="20"/>
                <w:szCs w:val="20"/>
                <w:color w:val="auto"/>
              </w:rPr>
            </w:pPr>
            <w:r>
              <w:rPr>
                <w:rFonts w:ascii="Arial" w:cs="Arial" w:eastAsia="Arial" w:hAnsi="Arial"/>
                <w:sz w:val="16"/>
                <w:szCs w:val="16"/>
                <w:color w:val="auto"/>
              </w:rPr>
              <w:t>2,014</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2,255</w:t>
            </w:r>
          </w:p>
        </w:tc>
        <w:tc>
          <w:tcPr>
            <w:tcW w:w="2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0.2%</w:t>
            </w:r>
          </w:p>
        </w:tc>
      </w:tr>
      <w:tr>
        <w:trPr>
          <w:trHeight w:val="203"/>
        </w:trPr>
        <w:tc>
          <w:tcPr>
            <w:tcW w:w="2420" w:type="dxa"/>
            <w:vAlign w:val="bottom"/>
            <w:shd w:val="clear" w:color="auto" w:fill="CFF0FC"/>
          </w:tcPr>
          <w:p>
            <w:pPr>
              <w:spacing w:after="0"/>
              <w:rPr>
                <w:sz w:val="20"/>
                <w:szCs w:val="20"/>
                <w:color w:val="auto"/>
              </w:rPr>
            </w:pPr>
            <w:r>
              <w:rPr>
                <w:rFonts w:ascii="Arial" w:cs="Arial" w:eastAsia="Arial" w:hAnsi="Arial"/>
                <w:sz w:val="16"/>
                <w:szCs w:val="16"/>
                <w:color w:val="auto"/>
              </w:rPr>
              <w:t>DaySmart Holdings,</w:t>
            </w:r>
          </w:p>
        </w:tc>
        <w:tc>
          <w:tcPr>
            <w:tcW w:w="25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Class A Units (125,810 units)</w:t>
            </w:r>
          </w:p>
        </w:tc>
        <w:tc>
          <w:tcPr>
            <w:tcW w:w="3320" w:type="dxa"/>
            <w:vAlign w:val="bottom"/>
            <w:shd w:val="clear" w:color="auto" w:fill="CFF0FC"/>
          </w:tcPr>
          <w:p>
            <w:pPr>
              <w:jc w:val="right"/>
              <w:ind w:right="2399"/>
              <w:spacing w:after="0"/>
              <w:rPr>
                <w:sz w:val="20"/>
                <w:szCs w:val="20"/>
                <w:color w:val="auto"/>
              </w:rPr>
            </w:pPr>
            <w:r>
              <w:rPr>
                <w:rFonts w:ascii="Arial" w:cs="Arial" w:eastAsia="Arial" w:hAnsi="Arial"/>
                <w:sz w:val="16"/>
                <w:szCs w:val="16"/>
                <w:color w:val="auto"/>
              </w:rPr>
              <w:t>10/1/2019</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1,000</w:t>
            </w: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1,000</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0.1%</w:t>
            </w:r>
          </w:p>
        </w:tc>
      </w:tr>
      <w:tr>
        <w:trPr>
          <w:trHeight w:val="213"/>
        </w:trPr>
        <w:tc>
          <w:tcPr>
            <w:tcW w:w="24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 xml:space="preserve">LLC </w:t>
            </w:r>
            <w:r>
              <w:rPr>
                <w:rFonts w:ascii="Arial" w:cs="Arial" w:eastAsia="Arial" w:hAnsi="Arial"/>
                <w:sz w:val="13"/>
                <w:szCs w:val="13"/>
                <w:color w:val="auto"/>
              </w:rPr>
              <w:t>(13)(14)(15)</w:t>
            </w:r>
          </w:p>
        </w:tc>
        <w:tc>
          <w:tcPr>
            <w:tcW w:w="2580" w:type="dxa"/>
            <w:vAlign w:val="bottom"/>
            <w:shd w:val="clear" w:color="auto" w:fill="CFF0FC"/>
          </w:tcPr>
          <w:p>
            <w:pPr>
              <w:spacing w:after="0"/>
              <w:rPr>
                <w:sz w:val="18"/>
                <w:szCs w:val="18"/>
                <w:color w:val="auto"/>
              </w:rPr>
            </w:pPr>
          </w:p>
        </w:tc>
        <w:tc>
          <w:tcPr>
            <w:tcW w:w="332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9"/>
        </w:trPr>
        <w:tc>
          <w:tcPr>
            <w:tcW w:w="24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3,014</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3,255</w:t>
            </w:r>
          </w:p>
        </w:tc>
        <w:tc>
          <w:tcPr>
            <w:tcW w:w="2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0.3%</w:t>
            </w:r>
          </w:p>
        </w:tc>
      </w:tr>
      <w:tr>
        <w:trPr>
          <w:trHeight w:val="213"/>
        </w:trPr>
        <w:tc>
          <w:tcPr>
            <w:tcW w:w="2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Insurance</w:t>
            </w:r>
          </w:p>
        </w:tc>
        <w:tc>
          <w:tcPr>
            <w:tcW w:w="2580" w:type="dxa"/>
            <w:vAlign w:val="bottom"/>
            <w:tcBorders>
              <w:top w:val="single" w:sz="8" w:color="CFF0FC"/>
            </w:tcBorders>
            <w:shd w:val="clear" w:color="auto" w:fill="CFF0FC"/>
          </w:tcPr>
          <w:p>
            <w:pPr>
              <w:spacing w:after="0"/>
              <w:rPr>
                <w:sz w:val="18"/>
                <w:szCs w:val="18"/>
                <w:color w:val="auto"/>
              </w:rPr>
            </w:pPr>
          </w:p>
        </w:tc>
        <w:tc>
          <w:tcPr>
            <w:tcW w:w="332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06"/>
        </w:trPr>
        <w:tc>
          <w:tcPr>
            <w:tcW w:w="2420" w:type="dxa"/>
            <w:vAlign w:val="bottom"/>
          </w:tcPr>
          <w:p>
            <w:pPr>
              <w:spacing w:after="0" w:line="207" w:lineRule="exact"/>
              <w:rPr>
                <w:sz w:val="20"/>
                <w:szCs w:val="20"/>
                <w:color w:val="auto"/>
              </w:rPr>
            </w:pPr>
            <w:r>
              <w:rPr>
                <w:rFonts w:ascii="Arial" w:cs="Arial" w:eastAsia="Arial" w:hAnsi="Arial"/>
                <w:sz w:val="14"/>
                <w:szCs w:val="14"/>
                <w:color w:val="auto"/>
              </w:rPr>
              <w:t xml:space="preserve">Riskonnect, Inc. </w:t>
            </w:r>
            <w:r>
              <w:rPr>
                <w:rFonts w:ascii="Arial" w:cs="Arial" w:eastAsia="Arial" w:hAnsi="Arial"/>
                <w:sz w:val="23"/>
                <w:szCs w:val="23"/>
                <w:color w:val="auto"/>
                <w:vertAlign w:val="superscript"/>
              </w:rPr>
              <w:t>(13)</w:t>
            </w:r>
          </w:p>
        </w:tc>
        <w:tc>
          <w:tcPr>
            <w:tcW w:w="2580" w:type="dxa"/>
            <w:vAlign w:val="bottom"/>
          </w:tcPr>
          <w:p>
            <w:pPr>
              <w:ind w:left="240"/>
              <w:spacing w:after="0"/>
              <w:rPr>
                <w:sz w:val="20"/>
                <w:szCs w:val="20"/>
                <w:color w:val="auto"/>
              </w:rPr>
            </w:pPr>
            <w:r>
              <w:rPr>
                <w:rFonts w:ascii="Arial" w:cs="Arial" w:eastAsia="Arial" w:hAnsi="Arial"/>
                <w:sz w:val="16"/>
                <w:szCs w:val="16"/>
                <w:color w:val="auto"/>
              </w:rPr>
              <w:t>Common Shares Class A (1,020</w:t>
            </w:r>
          </w:p>
        </w:tc>
        <w:tc>
          <w:tcPr>
            <w:tcW w:w="3320" w:type="dxa"/>
            <w:vAlign w:val="bottom"/>
          </w:tcPr>
          <w:p>
            <w:pPr>
              <w:jc w:val="right"/>
              <w:ind w:right="2399"/>
              <w:spacing w:after="0"/>
              <w:rPr>
                <w:sz w:val="20"/>
                <w:szCs w:val="20"/>
                <w:color w:val="auto"/>
              </w:rPr>
            </w:pPr>
            <w:r>
              <w:rPr>
                <w:rFonts w:ascii="Arial" w:cs="Arial" w:eastAsia="Arial" w:hAnsi="Arial"/>
                <w:sz w:val="16"/>
                <w:szCs w:val="16"/>
                <w:color w:val="auto"/>
              </w:rPr>
              <w:t>6/30/2017</w:t>
            </w:r>
          </w:p>
        </w:tc>
        <w:tc>
          <w:tcPr>
            <w:tcW w:w="760" w:type="dxa"/>
            <w:vAlign w:val="bottom"/>
          </w:tcPr>
          <w:p>
            <w:pPr>
              <w:jc w:val="right"/>
              <w:spacing w:after="0"/>
              <w:rPr>
                <w:sz w:val="20"/>
                <w:szCs w:val="20"/>
                <w:color w:val="auto"/>
              </w:rPr>
            </w:pPr>
            <w:r>
              <w:rPr>
                <w:rFonts w:ascii="Arial" w:cs="Arial" w:eastAsia="Arial" w:hAnsi="Arial"/>
                <w:sz w:val="16"/>
                <w:szCs w:val="16"/>
                <w:color w:val="auto"/>
              </w:rPr>
              <w:t>1,020</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1,412</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0.1%</w:t>
            </w:r>
          </w:p>
        </w:tc>
      </w:tr>
      <w:tr>
        <w:trPr>
          <w:trHeight w:val="209"/>
        </w:trPr>
        <w:tc>
          <w:tcPr>
            <w:tcW w:w="2420" w:type="dxa"/>
            <w:vAlign w:val="bottom"/>
          </w:tcPr>
          <w:p>
            <w:pPr>
              <w:spacing w:after="0"/>
              <w:rPr>
                <w:sz w:val="18"/>
                <w:szCs w:val="18"/>
                <w:color w:val="auto"/>
              </w:rPr>
            </w:pPr>
          </w:p>
        </w:tc>
        <w:tc>
          <w:tcPr>
            <w:tcW w:w="2580" w:type="dxa"/>
            <w:vAlign w:val="bottom"/>
          </w:tcPr>
          <w:p>
            <w:pPr>
              <w:ind w:left="240"/>
              <w:spacing w:after="0"/>
              <w:rPr>
                <w:sz w:val="20"/>
                <w:szCs w:val="20"/>
                <w:color w:val="auto"/>
              </w:rPr>
            </w:pPr>
            <w:r>
              <w:rPr>
                <w:rFonts w:ascii="Arial" w:cs="Arial" w:eastAsia="Arial" w:hAnsi="Arial"/>
                <w:sz w:val="16"/>
                <w:szCs w:val="16"/>
                <w:color w:val="auto"/>
              </w:rPr>
              <w:t>units)</w:t>
            </w:r>
          </w:p>
        </w:tc>
        <w:tc>
          <w:tcPr>
            <w:tcW w:w="3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420" w:type="dxa"/>
            <w:vAlign w:val="bottom"/>
            <w:shd w:val="clear" w:color="auto" w:fill="CFF0FC"/>
          </w:tcPr>
          <w:p>
            <w:pPr>
              <w:spacing w:after="0"/>
              <w:rPr>
                <w:sz w:val="18"/>
                <w:szCs w:val="18"/>
                <w:color w:val="auto"/>
              </w:rPr>
            </w:pPr>
          </w:p>
        </w:tc>
        <w:tc>
          <w:tcPr>
            <w:tcW w:w="2580" w:type="dxa"/>
            <w:vAlign w:val="bottom"/>
            <w:shd w:val="clear" w:color="auto" w:fill="CFF0FC"/>
          </w:tcPr>
          <w:p>
            <w:pPr>
              <w:ind w:left="240"/>
              <w:spacing w:after="0"/>
              <w:rPr>
                <w:sz w:val="20"/>
                <w:szCs w:val="20"/>
                <w:color w:val="auto"/>
              </w:rPr>
            </w:pPr>
            <w:r>
              <w:rPr>
                <w:rFonts w:ascii="Arial" w:cs="Arial" w:eastAsia="Arial" w:hAnsi="Arial"/>
                <w:sz w:val="16"/>
                <w:szCs w:val="16"/>
                <w:color w:val="auto"/>
                <w:w w:val="93"/>
              </w:rPr>
              <w:t>Common Shares Class B (987,929</w:t>
            </w:r>
          </w:p>
        </w:tc>
        <w:tc>
          <w:tcPr>
            <w:tcW w:w="3320" w:type="dxa"/>
            <w:vAlign w:val="bottom"/>
            <w:shd w:val="clear" w:color="auto" w:fill="CFF0FC"/>
          </w:tcPr>
          <w:p>
            <w:pPr>
              <w:jc w:val="right"/>
              <w:ind w:right="2399"/>
              <w:spacing w:after="0"/>
              <w:rPr>
                <w:sz w:val="20"/>
                <w:szCs w:val="20"/>
                <w:color w:val="auto"/>
              </w:rPr>
            </w:pPr>
            <w:r>
              <w:rPr>
                <w:rFonts w:ascii="Arial" w:cs="Arial" w:eastAsia="Arial" w:hAnsi="Arial"/>
                <w:sz w:val="16"/>
                <w:szCs w:val="16"/>
                <w:color w:val="auto"/>
              </w:rPr>
              <w:t>6/30/2017</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0.0%</w:t>
            </w:r>
          </w:p>
        </w:tc>
      </w:tr>
      <w:tr>
        <w:trPr>
          <w:trHeight w:val="209"/>
        </w:trPr>
        <w:tc>
          <w:tcPr>
            <w:tcW w:w="2420" w:type="dxa"/>
            <w:vAlign w:val="bottom"/>
            <w:shd w:val="clear" w:color="auto" w:fill="CFF0FC"/>
          </w:tcPr>
          <w:p>
            <w:pPr>
              <w:spacing w:after="0"/>
              <w:rPr>
                <w:sz w:val="18"/>
                <w:szCs w:val="18"/>
                <w:color w:val="auto"/>
              </w:rPr>
            </w:pPr>
          </w:p>
        </w:tc>
        <w:tc>
          <w:tcPr>
            <w:tcW w:w="25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units)</w:t>
            </w:r>
          </w:p>
        </w:tc>
        <w:tc>
          <w:tcPr>
            <w:tcW w:w="332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9"/>
        </w:trPr>
        <w:tc>
          <w:tcPr>
            <w:tcW w:w="24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1,030</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1,426</w:t>
            </w:r>
          </w:p>
        </w:tc>
        <w:tc>
          <w:tcPr>
            <w:tcW w:w="2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0.1%</w:t>
            </w:r>
          </w:p>
        </w:tc>
      </w:tr>
      <w:tr>
        <w:trPr>
          <w:trHeight w:val="213"/>
        </w:trPr>
        <w:tc>
          <w:tcPr>
            <w:tcW w:w="2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Internet Services</w:t>
            </w:r>
          </w:p>
        </w:tc>
        <w:tc>
          <w:tcPr>
            <w:tcW w:w="2580" w:type="dxa"/>
            <w:vAlign w:val="bottom"/>
            <w:tcBorders>
              <w:top w:val="single" w:sz="8" w:color="CFF0FC"/>
            </w:tcBorders>
            <w:shd w:val="clear" w:color="auto" w:fill="CFF0FC"/>
          </w:tcPr>
          <w:p>
            <w:pPr>
              <w:spacing w:after="0"/>
              <w:rPr>
                <w:sz w:val="18"/>
                <w:szCs w:val="18"/>
                <w:color w:val="auto"/>
              </w:rPr>
            </w:pPr>
          </w:p>
        </w:tc>
        <w:tc>
          <w:tcPr>
            <w:tcW w:w="332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06"/>
        </w:trPr>
        <w:tc>
          <w:tcPr>
            <w:tcW w:w="2420" w:type="dxa"/>
            <w:vAlign w:val="bottom"/>
          </w:tcPr>
          <w:p>
            <w:pPr>
              <w:spacing w:after="0" w:line="207" w:lineRule="exact"/>
              <w:rPr>
                <w:sz w:val="20"/>
                <w:szCs w:val="20"/>
                <w:color w:val="auto"/>
              </w:rPr>
            </w:pPr>
            <w:r>
              <w:rPr>
                <w:rFonts w:ascii="Arial" w:cs="Arial" w:eastAsia="Arial" w:hAnsi="Arial"/>
                <w:sz w:val="14"/>
                <w:szCs w:val="14"/>
                <w:color w:val="auto"/>
              </w:rPr>
              <w:t xml:space="preserve">Lucidworks, Inc. </w:t>
            </w:r>
            <w:r>
              <w:rPr>
                <w:rFonts w:ascii="Arial" w:cs="Arial" w:eastAsia="Arial" w:hAnsi="Arial"/>
                <w:sz w:val="23"/>
                <w:szCs w:val="23"/>
                <w:color w:val="auto"/>
                <w:vertAlign w:val="superscript"/>
              </w:rPr>
              <w:t>(13)(14)</w:t>
            </w:r>
          </w:p>
        </w:tc>
        <w:tc>
          <w:tcPr>
            <w:tcW w:w="2580" w:type="dxa"/>
            <w:vAlign w:val="bottom"/>
          </w:tcPr>
          <w:p>
            <w:pPr>
              <w:ind w:left="240"/>
              <w:spacing w:after="0"/>
              <w:rPr>
                <w:sz w:val="20"/>
                <w:szCs w:val="20"/>
                <w:color w:val="auto"/>
              </w:rPr>
            </w:pPr>
            <w:r>
              <w:rPr>
                <w:rFonts w:ascii="Arial" w:cs="Arial" w:eastAsia="Arial" w:hAnsi="Arial"/>
                <w:sz w:val="16"/>
                <w:szCs w:val="16"/>
                <w:color w:val="auto"/>
              </w:rPr>
              <w:t>Series F Preferred Shares</w:t>
            </w:r>
          </w:p>
        </w:tc>
        <w:tc>
          <w:tcPr>
            <w:tcW w:w="3320" w:type="dxa"/>
            <w:vAlign w:val="bottom"/>
          </w:tcPr>
          <w:p>
            <w:pPr>
              <w:jc w:val="right"/>
              <w:ind w:right="2399"/>
              <w:spacing w:after="0"/>
              <w:rPr>
                <w:sz w:val="20"/>
                <w:szCs w:val="20"/>
                <w:color w:val="auto"/>
              </w:rPr>
            </w:pPr>
            <w:r>
              <w:rPr>
                <w:rFonts w:ascii="Arial" w:cs="Arial" w:eastAsia="Arial" w:hAnsi="Arial"/>
                <w:sz w:val="16"/>
                <w:szCs w:val="16"/>
                <w:color w:val="auto"/>
              </w:rPr>
              <w:t>8/2/2019</w:t>
            </w:r>
          </w:p>
        </w:tc>
        <w:tc>
          <w:tcPr>
            <w:tcW w:w="760" w:type="dxa"/>
            <w:vAlign w:val="bottom"/>
          </w:tcPr>
          <w:p>
            <w:pPr>
              <w:jc w:val="right"/>
              <w:spacing w:after="0"/>
              <w:rPr>
                <w:sz w:val="20"/>
                <w:szCs w:val="20"/>
                <w:color w:val="auto"/>
              </w:rPr>
            </w:pPr>
            <w:r>
              <w:rPr>
                <w:rFonts w:ascii="Arial" w:cs="Arial" w:eastAsia="Arial" w:hAnsi="Arial"/>
                <w:sz w:val="16"/>
                <w:szCs w:val="16"/>
                <w:color w:val="auto"/>
              </w:rPr>
              <w:t>800</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800</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0.1%</w:t>
            </w:r>
          </w:p>
        </w:tc>
      </w:tr>
      <w:tr>
        <w:trPr>
          <w:trHeight w:val="209"/>
        </w:trPr>
        <w:tc>
          <w:tcPr>
            <w:tcW w:w="2420" w:type="dxa"/>
            <w:vAlign w:val="bottom"/>
          </w:tcPr>
          <w:p>
            <w:pPr>
              <w:spacing w:after="0"/>
              <w:rPr>
                <w:sz w:val="18"/>
                <w:szCs w:val="18"/>
                <w:color w:val="auto"/>
              </w:rPr>
            </w:pPr>
          </w:p>
        </w:tc>
        <w:tc>
          <w:tcPr>
            <w:tcW w:w="2580" w:type="dxa"/>
            <w:vAlign w:val="bottom"/>
          </w:tcPr>
          <w:p>
            <w:pPr>
              <w:ind w:left="240"/>
              <w:spacing w:after="0"/>
              <w:rPr>
                <w:sz w:val="20"/>
                <w:szCs w:val="20"/>
                <w:color w:val="auto"/>
              </w:rPr>
            </w:pPr>
            <w:r>
              <w:rPr>
                <w:rFonts w:ascii="Arial" w:cs="Arial" w:eastAsia="Arial" w:hAnsi="Arial"/>
                <w:sz w:val="16"/>
                <w:szCs w:val="16"/>
                <w:color w:val="auto"/>
              </w:rPr>
              <w:t>(199,054 shares)</w:t>
            </w:r>
          </w:p>
        </w:tc>
        <w:tc>
          <w:tcPr>
            <w:tcW w:w="3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2420" w:type="dxa"/>
            <w:vAlign w:val="bottom"/>
            <w:shd w:val="clear" w:color="auto" w:fill="CFF0FC"/>
          </w:tcPr>
          <w:p>
            <w:pPr>
              <w:spacing w:after="0"/>
              <w:rPr>
                <w:sz w:val="19"/>
                <w:szCs w:val="19"/>
                <w:color w:val="auto"/>
              </w:rPr>
            </w:pPr>
          </w:p>
        </w:tc>
        <w:tc>
          <w:tcPr>
            <w:tcW w:w="2580" w:type="dxa"/>
            <w:vAlign w:val="bottom"/>
            <w:shd w:val="clear" w:color="auto" w:fill="CFF0FC"/>
          </w:tcPr>
          <w:p>
            <w:pPr>
              <w:spacing w:after="0"/>
              <w:rPr>
                <w:sz w:val="19"/>
                <w:szCs w:val="19"/>
                <w:color w:val="auto"/>
              </w:rPr>
            </w:pPr>
          </w:p>
        </w:tc>
        <w:tc>
          <w:tcPr>
            <w:tcW w:w="3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13"/>
        </w:trPr>
        <w:tc>
          <w:tcPr>
            <w:tcW w:w="2420" w:type="dxa"/>
            <w:vAlign w:val="bottom"/>
          </w:tcPr>
          <w:p>
            <w:pPr>
              <w:spacing w:after="0"/>
              <w:rPr>
                <w:sz w:val="20"/>
                <w:szCs w:val="20"/>
                <w:color w:val="auto"/>
              </w:rPr>
            </w:pPr>
            <w:r>
              <w:rPr>
                <w:rFonts w:ascii="Arial" w:cs="Arial" w:eastAsia="Arial" w:hAnsi="Arial"/>
                <w:sz w:val="16"/>
                <w:szCs w:val="16"/>
                <w:b w:val="1"/>
                <w:bCs w:val="1"/>
                <w:color w:val="auto"/>
              </w:rPr>
              <w:t>Marketing services</w:t>
            </w:r>
          </w:p>
        </w:tc>
        <w:tc>
          <w:tcPr>
            <w:tcW w:w="25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42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Validity, Inc. </w:t>
            </w:r>
            <w:r>
              <w:rPr>
                <w:rFonts w:ascii="Arial" w:cs="Arial" w:eastAsia="Arial" w:hAnsi="Arial"/>
                <w:sz w:val="24"/>
                <w:szCs w:val="24"/>
                <w:color w:val="auto"/>
                <w:vertAlign w:val="superscript"/>
              </w:rPr>
              <w:t>(13)</w:t>
            </w:r>
          </w:p>
        </w:tc>
        <w:tc>
          <w:tcPr>
            <w:tcW w:w="25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Series A Preferred Shares</w:t>
            </w:r>
          </w:p>
        </w:tc>
        <w:tc>
          <w:tcPr>
            <w:tcW w:w="3320" w:type="dxa"/>
            <w:vAlign w:val="bottom"/>
            <w:shd w:val="clear" w:color="auto" w:fill="CFF0FC"/>
          </w:tcPr>
          <w:p>
            <w:pPr>
              <w:jc w:val="right"/>
              <w:ind w:right="2399"/>
              <w:spacing w:after="0"/>
              <w:rPr>
                <w:sz w:val="20"/>
                <w:szCs w:val="20"/>
                <w:color w:val="auto"/>
              </w:rPr>
            </w:pPr>
            <w:r>
              <w:rPr>
                <w:rFonts w:ascii="Arial" w:cs="Arial" w:eastAsia="Arial" w:hAnsi="Arial"/>
                <w:sz w:val="16"/>
                <w:szCs w:val="16"/>
                <w:color w:val="auto"/>
              </w:rPr>
              <w:t>5/31/2018</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3,840</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12,379</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1.1%</w:t>
            </w:r>
          </w:p>
        </w:tc>
      </w:tr>
      <w:tr>
        <w:trPr>
          <w:trHeight w:val="212"/>
        </w:trPr>
        <w:tc>
          <w:tcPr>
            <w:tcW w:w="2420" w:type="dxa"/>
            <w:vAlign w:val="bottom"/>
            <w:shd w:val="clear" w:color="auto" w:fill="CFF0FC"/>
          </w:tcPr>
          <w:p>
            <w:pPr>
              <w:spacing w:after="0"/>
              <w:rPr>
                <w:sz w:val="18"/>
                <w:szCs w:val="18"/>
                <w:color w:val="auto"/>
              </w:rPr>
            </w:pPr>
          </w:p>
        </w:tc>
        <w:tc>
          <w:tcPr>
            <w:tcW w:w="25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(3,840,000 shares)</w:t>
            </w:r>
          </w:p>
        </w:tc>
        <w:tc>
          <w:tcPr>
            <w:tcW w:w="3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3"/>
        </w:trPr>
        <w:tc>
          <w:tcPr>
            <w:tcW w:w="2420" w:type="dxa"/>
            <w:vAlign w:val="bottom"/>
          </w:tcPr>
          <w:p>
            <w:pPr>
              <w:spacing w:after="0"/>
              <w:rPr>
                <w:sz w:val="20"/>
                <w:szCs w:val="20"/>
                <w:color w:val="auto"/>
              </w:rPr>
            </w:pPr>
            <w:r>
              <w:rPr>
                <w:rFonts w:ascii="Arial" w:cs="Arial" w:eastAsia="Arial" w:hAnsi="Arial"/>
                <w:sz w:val="16"/>
                <w:szCs w:val="16"/>
                <w:b w:val="1"/>
                <w:bCs w:val="1"/>
                <w:color w:val="auto"/>
              </w:rPr>
              <w:t>Oil, gas and consumable fuels</w:t>
            </w:r>
          </w:p>
        </w:tc>
        <w:tc>
          <w:tcPr>
            <w:tcW w:w="25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6"/>
        </w:trPr>
        <w:tc>
          <w:tcPr>
            <w:tcW w:w="2420" w:type="dxa"/>
            <w:vAlign w:val="bottom"/>
            <w:shd w:val="clear" w:color="auto" w:fill="CFF0FC"/>
          </w:tcPr>
          <w:p>
            <w:pPr>
              <w:spacing w:after="0"/>
              <w:rPr>
                <w:sz w:val="20"/>
                <w:szCs w:val="20"/>
                <w:color w:val="auto"/>
              </w:rPr>
            </w:pPr>
            <w:r>
              <w:rPr>
                <w:rFonts w:ascii="Arial" w:cs="Arial" w:eastAsia="Arial" w:hAnsi="Arial"/>
                <w:sz w:val="16"/>
                <w:szCs w:val="16"/>
                <w:color w:val="auto"/>
              </w:rPr>
              <w:t>Mississippi Resources,</w:t>
            </w:r>
          </w:p>
        </w:tc>
        <w:tc>
          <w:tcPr>
            <w:tcW w:w="25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Class A-0 Member Units (1,000</w:t>
            </w:r>
          </w:p>
        </w:tc>
        <w:tc>
          <w:tcPr>
            <w:tcW w:w="3320" w:type="dxa"/>
            <w:vAlign w:val="bottom"/>
            <w:shd w:val="clear" w:color="auto" w:fill="CFF0FC"/>
          </w:tcPr>
          <w:p>
            <w:pPr>
              <w:jc w:val="right"/>
              <w:ind w:right="2399"/>
              <w:spacing w:after="0"/>
              <w:rPr>
                <w:sz w:val="20"/>
                <w:szCs w:val="20"/>
                <w:color w:val="auto"/>
              </w:rPr>
            </w:pPr>
            <w:r>
              <w:rPr>
                <w:rFonts w:ascii="Arial" w:cs="Arial" w:eastAsia="Arial" w:hAnsi="Arial"/>
                <w:sz w:val="16"/>
                <w:szCs w:val="16"/>
                <w:color w:val="auto"/>
              </w:rPr>
              <w:t>12/12/2019</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6,693</w:t>
            </w: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5,104</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0.5%</w:t>
            </w:r>
          </w:p>
        </w:tc>
      </w:tr>
      <w:tr>
        <w:trPr>
          <w:trHeight w:val="216"/>
        </w:trPr>
        <w:tc>
          <w:tcPr>
            <w:tcW w:w="24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 xml:space="preserve">LLC </w:t>
            </w:r>
            <w:r>
              <w:rPr>
                <w:rFonts w:ascii="Arial" w:cs="Arial" w:eastAsia="Arial" w:hAnsi="Arial"/>
                <w:sz w:val="13"/>
                <w:szCs w:val="13"/>
                <w:color w:val="auto"/>
              </w:rPr>
              <w:t>(7)(13)</w:t>
            </w:r>
          </w:p>
        </w:tc>
        <w:tc>
          <w:tcPr>
            <w:tcW w:w="2580" w:type="dxa"/>
            <w:vAlign w:val="bottom"/>
            <w:shd w:val="clear" w:color="auto" w:fill="CFF0FC"/>
          </w:tcPr>
          <w:p>
            <w:pPr>
              <w:ind w:left="240"/>
              <w:spacing w:after="0" w:line="216" w:lineRule="exact"/>
              <w:rPr>
                <w:sz w:val="20"/>
                <w:szCs w:val="20"/>
                <w:color w:val="auto"/>
              </w:rPr>
            </w:pPr>
            <w:r>
              <w:rPr>
                <w:rFonts w:ascii="Arial" w:cs="Arial" w:eastAsia="Arial" w:hAnsi="Arial"/>
                <w:sz w:val="15"/>
                <w:szCs w:val="15"/>
                <w:color w:val="auto"/>
              </w:rPr>
              <w:t xml:space="preserve">units) </w:t>
            </w:r>
            <w:r>
              <w:rPr>
                <w:rFonts w:ascii="Arial" w:cs="Arial" w:eastAsia="Arial" w:hAnsi="Arial"/>
                <w:sz w:val="25"/>
                <w:szCs w:val="25"/>
                <w:color w:val="auto"/>
                <w:vertAlign w:val="superscript"/>
              </w:rPr>
              <w:t>(14)</w:t>
            </w:r>
          </w:p>
        </w:tc>
        <w:tc>
          <w:tcPr>
            <w:tcW w:w="3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420" w:type="dxa"/>
            <w:vAlign w:val="bottom"/>
          </w:tcPr>
          <w:p>
            <w:pPr>
              <w:spacing w:after="0"/>
              <w:rPr>
                <w:sz w:val="17"/>
                <w:szCs w:val="17"/>
                <w:color w:val="auto"/>
              </w:rPr>
            </w:pPr>
          </w:p>
        </w:tc>
        <w:tc>
          <w:tcPr>
            <w:tcW w:w="2580" w:type="dxa"/>
            <w:vAlign w:val="bottom"/>
          </w:tcPr>
          <w:p>
            <w:pPr>
              <w:ind w:left="240"/>
              <w:spacing w:after="0"/>
              <w:rPr>
                <w:sz w:val="20"/>
                <w:szCs w:val="20"/>
                <w:color w:val="auto"/>
              </w:rPr>
            </w:pPr>
            <w:r>
              <w:rPr>
                <w:rFonts w:ascii="Arial" w:cs="Arial" w:eastAsia="Arial" w:hAnsi="Arial"/>
                <w:sz w:val="16"/>
                <w:szCs w:val="16"/>
                <w:color w:val="auto"/>
              </w:rPr>
              <w:t>Class A-1 Member Units (1,360</w:t>
            </w:r>
          </w:p>
        </w:tc>
        <w:tc>
          <w:tcPr>
            <w:tcW w:w="3320" w:type="dxa"/>
            <w:vAlign w:val="bottom"/>
          </w:tcPr>
          <w:p>
            <w:pPr>
              <w:jc w:val="right"/>
              <w:ind w:right="2399"/>
              <w:spacing w:after="0"/>
              <w:rPr>
                <w:sz w:val="20"/>
                <w:szCs w:val="20"/>
                <w:color w:val="auto"/>
              </w:rPr>
            </w:pPr>
            <w:r>
              <w:rPr>
                <w:rFonts w:ascii="Arial" w:cs="Arial" w:eastAsia="Arial" w:hAnsi="Arial"/>
                <w:sz w:val="16"/>
                <w:szCs w:val="16"/>
                <w:color w:val="auto"/>
              </w:rPr>
              <w:t>5/3/2017</w:t>
            </w:r>
          </w:p>
        </w:tc>
        <w:tc>
          <w:tcPr>
            <w:tcW w:w="760" w:type="dxa"/>
            <w:vAlign w:val="bottom"/>
          </w:tcPr>
          <w:p>
            <w:pPr>
              <w:jc w:val="right"/>
              <w:spacing w:after="0"/>
              <w:rPr>
                <w:sz w:val="20"/>
                <w:szCs w:val="20"/>
                <w:color w:val="auto"/>
              </w:rPr>
            </w:pPr>
            <w:r>
              <w:rPr>
                <w:rFonts w:ascii="Arial" w:cs="Arial" w:eastAsia="Arial" w:hAnsi="Arial"/>
                <w:sz w:val="16"/>
                <w:szCs w:val="16"/>
                <w:color w:val="auto"/>
              </w:rPr>
              <w:t>10,366</w:t>
            </w:r>
          </w:p>
        </w:tc>
        <w:tc>
          <w:tcPr>
            <w:tcW w:w="22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0.0%</w:t>
            </w:r>
          </w:p>
        </w:tc>
      </w:tr>
      <w:tr>
        <w:trPr>
          <w:trHeight w:val="209"/>
        </w:trPr>
        <w:tc>
          <w:tcPr>
            <w:tcW w:w="2420" w:type="dxa"/>
            <w:vAlign w:val="bottom"/>
          </w:tcPr>
          <w:p>
            <w:pPr>
              <w:spacing w:after="0"/>
              <w:rPr>
                <w:sz w:val="18"/>
                <w:szCs w:val="18"/>
                <w:color w:val="auto"/>
              </w:rPr>
            </w:pPr>
          </w:p>
        </w:tc>
        <w:tc>
          <w:tcPr>
            <w:tcW w:w="2580" w:type="dxa"/>
            <w:vAlign w:val="bottom"/>
          </w:tcPr>
          <w:p>
            <w:pPr>
              <w:ind w:left="240"/>
              <w:spacing w:after="0"/>
              <w:rPr>
                <w:sz w:val="20"/>
                <w:szCs w:val="20"/>
                <w:color w:val="auto"/>
              </w:rPr>
            </w:pPr>
            <w:r>
              <w:rPr>
                <w:rFonts w:ascii="Arial" w:cs="Arial" w:eastAsia="Arial" w:hAnsi="Arial"/>
                <w:sz w:val="16"/>
                <w:szCs w:val="16"/>
                <w:color w:val="auto"/>
              </w:rPr>
              <w:t>units)</w:t>
            </w:r>
          </w:p>
        </w:tc>
        <w:tc>
          <w:tcPr>
            <w:tcW w:w="3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420" w:type="dxa"/>
            <w:vAlign w:val="bottom"/>
            <w:shd w:val="clear" w:color="auto" w:fill="CFF0FC"/>
          </w:tcPr>
          <w:p>
            <w:pPr>
              <w:spacing w:after="0"/>
              <w:rPr>
                <w:sz w:val="18"/>
                <w:szCs w:val="18"/>
                <w:color w:val="auto"/>
              </w:rPr>
            </w:pPr>
          </w:p>
        </w:tc>
        <w:tc>
          <w:tcPr>
            <w:tcW w:w="25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Class A-2 Member Units (933</w:t>
            </w:r>
          </w:p>
        </w:tc>
        <w:tc>
          <w:tcPr>
            <w:tcW w:w="3320" w:type="dxa"/>
            <w:vAlign w:val="bottom"/>
            <w:shd w:val="clear" w:color="auto" w:fill="CFF0FC"/>
          </w:tcPr>
          <w:p>
            <w:pPr>
              <w:jc w:val="right"/>
              <w:ind w:right="2399"/>
              <w:spacing w:after="0"/>
              <w:rPr>
                <w:sz w:val="20"/>
                <w:szCs w:val="20"/>
                <w:color w:val="auto"/>
              </w:rPr>
            </w:pPr>
            <w:r>
              <w:rPr>
                <w:rFonts w:ascii="Arial" w:cs="Arial" w:eastAsia="Arial" w:hAnsi="Arial"/>
                <w:sz w:val="16"/>
                <w:szCs w:val="16"/>
                <w:color w:val="auto"/>
              </w:rPr>
              <w:t>6/4/2014</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8,874</w:t>
            </w: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0.0%</w:t>
            </w:r>
          </w:p>
        </w:tc>
      </w:tr>
      <w:tr>
        <w:trPr>
          <w:trHeight w:val="212"/>
        </w:trPr>
        <w:tc>
          <w:tcPr>
            <w:tcW w:w="2420" w:type="dxa"/>
            <w:vAlign w:val="bottom"/>
            <w:shd w:val="clear" w:color="auto" w:fill="CFF0FC"/>
          </w:tcPr>
          <w:p>
            <w:pPr>
              <w:spacing w:after="0"/>
              <w:rPr>
                <w:sz w:val="18"/>
                <w:szCs w:val="18"/>
                <w:color w:val="auto"/>
              </w:rPr>
            </w:pPr>
          </w:p>
        </w:tc>
        <w:tc>
          <w:tcPr>
            <w:tcW w:w="25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units)</w:t>
            </w:r>
          </w:p>
        </w:tc>
        <w:tc>
          <w:tcPr>
            <w:tcW w:w="332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6"/>
        </w:trPr>
        <w:tc>
          <w:tcPr>
            <w:tcW w:w="24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25,933</w:t>
            </w:r>
          </w:p>
        </w:tc>
        <w:tc>
          <w:tcPr>
            <w:tcW w:w="22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5,104</w:t>
            </w:r>
          </w:p>
        </w:tc>
        <w:tc>
          <w:tcPr>
            <w:tcW w:w="200" w:type="dxa"/>
            <w:vAlign w:val="bottom"/>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140" w:type="dxa"/>
            <w:vAlign w:val="bottom"/>
          </w:tcPr>
          <w:p>
            <w:pPr>
              <w:jc w:val="right"/>
              <w:spacing w:after="0"/>
              <w:rPr>
                <w:sz w:val="20"/>
                <w:szCs w:val="20"/>
                <w:color w:val="auto"/>
              </w:rPr>
            </w:pPr>
            <w:r>
              <w:rPr>
                <w:rFonts w:ascii="Arial" w:cs="Arial" w:eastAsia="Arial" w:hAnsi="Arial"/>
                <w:sz w:val="15"/>
                <w:szCs w:val="15"/>
                <w:color w:val="auto"/>
                <w:w w:val="74"/>
              </w:rPr>
              <w: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
        </w:trPr>
        <w:tc>
          <w:tcPr>
            <w:tcW w:w="2120" w:type="dxa"/>
            <w:vAlign w:val="bottom"/>
            <w:vMerge w:val="restart"/>
            <w:shd w:val="clear" w:color="auto" w:fill="CFF0FC"/>
          </w:tcPr>
          <w:p>
            <w:pPr>
              <w:spacing w:after="0"/>
              <w:rPr>
                <w:sz w:val="20"/>
                <w:szCs w:val="20"/>
                <w:color w:val="auto"/>
              </w:rPr>
            </w:pPr>
            <w:r>
              <w:rPr>
                <w:rFonts w:ascii="Arial" w:cs="Arial" w:eastAsia="Arial" w:hAnsi="Arial"/>
                <w:sz w:val="16"/>
                <w:szCs w:val="16"/>
                <w:b w:val="1"/>
                <w:bCs w:val="1"/>
                <w:color w:val="auto"/>
              </w:rPr>
              <w:t>Total Equity and Other</w:t>
            </w:r>
          </w:p>
        </w:tc>
        <w:tc>
          <w:tcPr>
            <w:tcW w:w="10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120" w:type="dxa"/>
            <w:vAlign w:val="bottom"/>
            <w:vMerge w:val="continue"/>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00" w:type="dxa"/>
            <w:vAlign w:val="bottom"/>
            <w:gridSpan w:val="2"/>
            <w:shd w:val="clear" w:color="auto" w:fill="CFF0FC"/>
          </w:tcPr>
          <w:p>
            <w:pPr>
              <w:jc w:val="right"/>
              <w:spacing w:after="0" w:line="182" w:lineRule="exact"/>
              <w:rPr>
                <w:sz w:val="20"/>
                <w:szCs w:val="20"/>
                <w:color w:val="auto"/>
              </w:rPr>
            </w:pPr>
            <w:r>
              <w:rPr>
                <w:rFonts w:ascii="Arial" w:cs="Arial" w:eastAsia="Arial" w:hAnsi="Arial"/>
                <w:sz w:val="16"/>
                <w:szCs w:val="16"/>
                <w:color w:val="auto"/>
                <w:w w:val="93"/>
              </w:rPr>
              <w:t>87,559</w:t>
            </w:r>
          </w:p>
        </w:tc>
        <w:tc>
          <w:tcPr>
            <w:tcW w:w="2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580" w:type="dxa"/>
            <w:vAlign w:val="bottom"/>
            <w:gridSpan w:val="3"/>
            <w:shd w:val="clear" w:color="auto" w:fill="CFF0FC"/>
          </w:tcPr>
          <w:p>
            <w:pPr>
              <w:jc w:val="right"/>
              <w:spacing w:after="0" w:line="182" w:lineRule="exact"/>
              <w:rPr>
                <w:sz w:val="20"/>
                <w:szCs w:val="20"/>
                <w:color w:val="auto"/>
              </w:rPr>
            </w:pPr>
            <w:r>
              <w:rPr>
                <w:rFonts w:ascii="Arial" w:cs="Arial" w:eastAsia="Arial" w:hAnsi="Arial"/>
                <w:sz w:val="16"/>
                <w:szCs w:val="16"/>
                <w:color w:val="auto"/>
              </w:rPr>
              <w:t>63,113</w:t>
            </w:r>
          </w:p>
        </w:tc>
        <w:tc>
          <w:tcPr>
            <w:tcW w:w="220" w:type="dxa"/>
            <w:vAlign w:val="bottom"/>
            <w:shd w:val="clear" w:color="auto" w:fill="CFF0FC"/>
          </w:tcPr>
          <w:p>
            <w:pPr>
              <w:spacing w:after="0"/>
              <w:rPr>
                <w:sz w:val="15"/>
                <w:szCs w:val="15"/>
                <w:color w:val="auto"/>
              </w:rPr>
            </w:pPr>
          </w:p>
        </w:tc>
        <w:tc>
          <w:tcPr>
            <w:tcW w:w="880" w:type="dxa"/>
            <w:vAlign w:val="bottom"/>
            <w:gridSpan w:val="3"/>
            <w:shd w:val="clear" w:color="auto" w:fill="CFF0FC"/>
          </w:tcPr>
          <w:p>
            <w:pPr>
              <w:jc w:val="right"/>
              <w:ind w:right="40"/>
              <w:spacing w:after="0" w:line="182" w:lineRule="exact"/>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16"/>
        </w:trPr>
        <w:tc>
          <w:tcPr>
            <w:tcW w:w="2120" w:type="dxa"/>
            <w:vAlign w:val="bottom"/>
            <w:shd w:val="clear" w:color="auto" w:fill="CFF0FC"/>
          </w:tcPr>
          <w:p>
            <w:pPr>
              <w:ind w:left="120"/>
              <w:spacing w:after="0"/>
              <w:rPr>
                <w:sz w:val="20"/>
                <w:szCs w:val="20"/>
                <w:color w:val="auto"/>
              </w:rPr>
            </w:pPr>
            <w:r>
              <w:rPr>
                <w:rFonts w:ascii="Arial" w:cs="Arial" w:eastAsia="Arial" w:hAnsi="Arial"/>
                <w:sz w:val="16"/>
                <w:szCs w:val="16"/>
                <w:b w:val="1"/>
                <w:bCs w:val="1"/>
                <w:color w:val="auto"/>
              </w:rPr>
              <w:t>Investments</w:t>
            </w: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120" w:type="dxa"/>
            <w:vAlign w:val="bottom"/>
          </w:tcPr>
          <w:p>
            <w:pPr>
              <w:spacing w:after="0"/>
              <w:rPr>
                <w:sz w:val="20"/>
                <w:szCs w:val="20"/>
                <w:color w:val="auto"/>
              </w:rPr>
            </w:pPr>
            <w:r>
              <w:rPr>
                <w:rFonts w:ascii="Arial" w:cs="Arial" w:eastAsia="Arial" w:hAnsi="Arial"/>
                <w:sz w:val="16"/>
                <w:szCs w:val="16"/>
                <w:b w:val="1"/>
                <w:bCs w:val="1"/>
                <w:color w:val="auto"/>
              </w:rPr>
              <w:t>Total Investments</w:t>
            </w: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w w:val="87"/>
              </w:rPr>
              <w:t>$ 2,238,037</w:t>
            </w:r>
          </w:p>
        </w:tc>
        <w:tc>
          <w:tcPr>
            <w:tcW w:w="200" w:type="dxa"/>
            <w:vAlign w:val="bottom"/>
          </w:tcPr>
          <w:p>
            <w:pPr>
              <w:spacing w:after="0"/>
              <w:rPr>
                <w:sz w:val="17"/>
                <w:szCs w:val="17"/>
                <w:color w:val="auto"/>
              </w:rPr>
            </w:pPr>
          </w:p>
        </w:tc>
        <w:tc>
          <w:tcPr>
            <w:tcW w:w="8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w w:val="96"/>
              </w:rPr>
              <w:t>$  2,245,928</w:t>
            </w:r>
          </w:p>
        </w:tc>
        <w:tc>
          <w:tcPr>
            <w:tcW w:w="220" w:type="dxa"/>
            <w:vAlign w:val="bottom"/>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200.6</w:t>
            </w:r>
          </w:p>
        </w:tc>
        <w:tc>
          <w:tcPr>
            <w:tcW w:w="1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w w:val="98"/>
              </w:rPr>
              <w:t>%</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2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20" w:type="dxa"/>
            <w:vAlign w:val="bottom"/>
            <w:gridSpan w:val="9"/>
          </w:tcPr>
          <w:p>
            <w:pPr>
              <w:jc w:val="center"/>
              <w:ind w:right="80"/>
              <w:spacing w:after="0"/>
              <w:rPr>
                <w:sz w:val="20"/>
                <w:szCs w:val="20"/>
                <w:color w:val="auto"/>
              </w:rPr>
            </w:pPr>
            <w:r>
              <w:rPr>
                <w:rFonts w:ascii="Arial" w:cs="Arial" w:eastAsia="Arial" w:hAnsi="Arial"/>
                <w:sz w:val="14"/>
                <w:szCs w:val="14"/>
                <w:b w:val="1"/>
                <w:bCs w:val="1"/>
                <w:color w:val="auto"/>
                <w:w w:val="91"/>
              </w:rPr>
              <w:t>Interest Rate Swaps as of December 31, 2019</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3"/>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gridSpan w:val="4"/>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120" w:type="dxa"/>
            <w:vAlign w:val="bottom"/>
          </w:tcPr>
          <w:p>
            <w:pPr>
              <w:spacing w:after="0"/>
              <w:rPr>
                <w:sz w:val="11"/>
                <w:szCs w:val="11"/>
                <w:color w:val="auto"/>
              </w:rPr>
            </w:pPr>
          </w:p>
        </w:tc>
        <w:tc>
          <w:tcPr>
            <w:tcW w:w="1300" w:type="dxa"/>
            <w:vAlign w:val="bottom"/>
            <w:tcBorders>
              <w:top w:val="single" w:sz="8" w:color="auto"/>
            </w:tcBorders>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Company</w:t>
            </w:r>
          </w:p>
        </w:tc>
        <w:tc>
          <w:tcPr>
            <w:tcW w:w="1320" w:type="dxa"/>
            <w:vAlign w:val="bottom"/>
            <w:tcBorders>
              <w:top w:val="single" w:sz="8" w:color="auto"/>
            </w:tcBorders>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Company</w:t>
            </w:r>
          </w:p>
        </w:tc>
        <w:tc>
          <w:tcPr>
            <w:tcW w:w="12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2"/>
              </w:rPr>
              <w:t>Notional</w:t>
            </w:r>
          </w:p>
        </w:tc>
        <w:tc>
          <w:tcPr>
            <w:tcW w:w="2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3"/>
          </w:tcPr>
          <w:p>
            <w:pPr>
              <w:jc w:val="center"/>
              <w:ind w:right="300"/>
              <w:spacing w:after="0" w:line="133" w:lineRule="exact"/>
              <w:rPr>
                <w:sz w:val="20"/>
                <w:szCs w:val="20"/>
                <w:color w:val="auto"/>
              </w:rPr>
            </w:pPr>
            <w:r>
              <w:rPr>
                <w:rFonts w:ascii="Arial" w:cs="Arial" w:eastAsia="Arial" w:hAnsi="Arial"/>
                <w:sz w:val="14"/>
                <w:szCs w:val="14"/>
                <w:b w:val="1"/>
                <w:bCs w:val="1"/>
                <w:color w:val="auto"/>
              </w:rPr>
              <w:t>Fair</w:t>
            </w: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gridSpan w:val="3"/>
          </w:tcPr>
          <w:p>
            <w:pPr>
              <w:jc w:val="center"/>
              <w:ind w:left="141"/>
              <w:spacing w:after="0" w:line="133" w:lineRule="exact"/>
              <w:rPr>
                <w:sz w:val="20"/>
                <w:szCs w:val="20"/>
                <w:color w:val="auto"/>
              </w:rPr>
            </w:pPr>
            <w:r>
              <w:rPr>
                <w:rFonts w:ascii="Arial" w:cs="Arial" w:eastAsia="Arial" w:hAnsi="Arial"/>
                <w:sz w:val="14"/>
                <w:szCs w:val="14"/>
                <w:b w:val="1"/>
                <w:bCs w:val="1"/>
                <w:color w:val="auto"/>
                <w:w w:val="94"/>
              </w:rPr>
              <w:t>Upfront</w:t>
            </w:r>
          </w:p>
        </w:tc>
        <w:tc>
          <w:tcPr>
            <w:tcW w:w="2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3"/>
          </w:tcPr>
          <w:p>
            <w:pPr>
              <w:jc w:val="center"/>
              <w:ind w:right="59"/>
              <w:spacing w:after="0" w:line="133" w:lineRule="exact"/>
              <w:rPr>
                <w:sz w:val="20"/>
                <w:szCs w:val="20"/>
                <w:color w:val="auto"/>
              </w:rPr>
            </w:pPr>
            <w:r>
              <w:rPr>
                <w:rFonts w:ascii="Arial" w:cs="Arial" w:eastAsia="Arial" w:hAnsi="Arial"/>
                <w:sz w:val="14"/>
                <w:szCs w:val="14"/>
                <w:b w:val="1"/>
                <w:bCs w:val="1"/>
                <w:color w:val="auto"/>
                <w:w w:val="91"/>
              </w:rPr>
              <w:t>Change in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500" w:type="dxa"/>
            <w:vAlign w:val="bottom"/>
            <w:gridSpan w:val="3"/>
            <w:vMerge w:val="restart"/>
          </w:tcPr>
          <w:p>
            <w:pPr>
              <w:jc w:val="right"/>
              <w:ind w:right="370"/>
              <w:spacing w:after="0"/>
              <w:rPr>
                <w:sz w:val="20"/>
                <w:szCs w:val="20"/>
                <w:color w:val="auto"/>
              </w:rPr>
            </w:pPr>
            <w:r>
              <w:rPr>
                <w:rFonts w:ascii="Arial" w:cs="Arial" w:eastAsia="Arial" w:hAnsi="Arial"/>
                <w:sz w:val="14"/>
                <w:szCs w:val="14"/>
                <w:b w:val="1"/>
                <w:bCs w:val="1"/>
                <w:color w:val="auto"/>
              </w:rPr>
              <w:t>Maturity Date</w:t>
            </w:r>
          </w:p>
        </w:tc>
        <w:tc>
          <w:tcPr>
            <w:tcW w:w="11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rPr>
              <w:t>Market</w:t>
            </w:r>
          </w:p>
        </w:tc>
        <w:tc>
          <w:tcPr>
            <w:tcW w:w="140" w:type="dxa"/>
            <w:vAlign w:val="bottom"/>
          </w:tcPr>
          <w:p>
            <w:pPr>
              <w:spacing w:after="0"/>
              <w:rPr>
                <w:sz w:val="12"/>
                <w:szCs w:val="12"/>
                <w:color w:val="auto"/>
              </w:rPr>
            </w:pPr>
          </w:p>
        </w:tc>
        <w:tc>
          <w:tcPr>
            <w:tcW w:w="1320" w:type="dxa"/>
            <w:vAlign w:val="bottom"/>
            <w:gridSpan w:val="5"/>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(Payments) /</w:t>
            </w:r>
          </w:p>
        </w:tc>
        <w:tc>
          <w:tcPr>
            <w:tcW w:w="120" w:type="dxa"/>
            <w:vAlign w:val="bottom"/>
          </w:tcPr>
          <w:p>
            <w:pPr>
              <w:spacing w:after="0"/>
              <w:rPr>
                <w:sz w:val="12"/>
                <w:szCs w:val="12"/>
                <w:color w:val="auto"/>
              </w:rPr>
            </w:pPr>
          </w:p>
        </w:tc>
        <w:tc>
          <w:tcPr>
            <w:tcW w:w="110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71"/>
        </w:trPr>
        <w:tc>
          <w:tcPr>
            <w:tcW w:w="212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Receives</w:t>
            </w: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Pays</w:t>
            </w:r>
          </w:p>
        </w:tc>
        <w:tc>
          <w:tcPr>
            <w:tcW w:w="1500" w:type="dxa"/>
            <w:vAlign w:val="bottom"/>
            <w:gridSpan w:val="3"/>
            <w:vMerge w:val="continue"/>
          </w:tcPr>
          <w:p>
            <w:pPr>
              <w:spacing w:after="0"/>
              <w:rPr>
                <w:sz w:val="14"/>
                <w:szCs w:val="14"/>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4"/>
                <w:szCs w:val="14"/>
                <w:color w:val="auto"/>
              </w:rPr>
            </w:pPr>
          </w:p>
        </w:tc>
        <w:tc>
          <w:tcPr>
            <w:tcW w:w="9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6"/>
              </w:rPr>
              <w:t>Value</w:t>
            </w:r>
          </w:p>
        </w:tc>
        <w:tc>
          <w:tcPr>
            <w:tcW w:w="140" w:type="dxa"/>
            <w:vAlign w:val="bottom"/>
          </w:tcPr>
          <w:p>
            <w:pPr>
              <w:spacing w:after="0"/>
              <w:rPr>
                <w:sz w:val="14"/>
                <w:szCs w:val="14"/>
                <w:color w:val="auto"/>
              </w:rPr>
            </w:pPr>
          </w:p>
        </w:tc>
        <w:tc>
          <w:tcPr>
            <w:tcW w:w="860" w:type="dxa"/>
            <w:vAlign w:val="bottom"/>
            <w:gridSpan w:val="3"/>
          </w:tcPr>
          <w:p>
            <w:pPr>
              <w:jc w:val="center"/>
              <w:ind w:left="141"/>
              <w:spacing w:after="0"/>
              <w:rPr>
                <w:sz w:val="20"/>
                <w:szCs w:val="20"/>
                <w:color w:val="auto"/>
              </w:rPr>
            </w:pPr>
            <w:r>
              <w:rPr>
                <w:rFonts w:ascii="Arial" w:cs="Arial" w:eastAsia="Arial" w:hAnsi="Arial"/>
                <w:sz w:val="14"/>
                <w:szCs w:val="14"/>
                <w:b w:val="1"/>
                <w:bCs w:val="1"/>
                <w:color w:val="auto"/>
                <w:w w:val="89"/>
              </w:rPr>
              <w:t>Receipts</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0"/>
              </w:rPr>
              <w:t>Gains / (Losses)</w:t>
            </w:r>
          </w:p>
        </w:tc>
        <w:tc>
          <w:tcPr>
            <w:tcW w:w="0" w:type="dxa"/>
            <w:vAlign w:val="bottom"/>
          </w:tcPr>
          <w:p>
            <w:pPr>
              <w:spacing w:after="0"/>
              <w:rPr>
                <w:sz w:val="1"/>
                <w:szCs w:val="1"/>
                <w:color w:val="auto"/>
              </w:rPr>
            </w:pPr>
          </w:p>
        </w:tc>
      </w:tr>
      <w:tr>
        <w:trPr>
          <w:trHeight w:val="223"/>
        </w:trPr>
        <w:tc>
          <w:tcPr>
            <w:tcW w:w="2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0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L</w:t>
            </w:r>
          </w:p>
        </w:tc>
        <w:tc>
          <w:tcPr>
            <w:tcW w:w="22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1.97%</w:t>
            </w:r>
          </w:p>
        </w:tc>
        <w:tc>
          <w:tcPr>
            <w:tcW w:w="24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6/25/2020</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91,500</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81"/>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20" w:type="dxa"/>
            <w:vAlign w:val="bottom"/>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L</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1.47%</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7/30/2021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11,700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300" w:type="dxa"/>
            <w:vAlign w:val="bottom"/>
            <w:gridSpan w:val="2"/>
            <w:shd w:val="clear" w:color="auto" w:fill="CFF0FC"/>
          </w:tcPr>
          <w:p>
            <w:pPr>
              <w:jc w:val="center"/>
              <w:ind w:right="240"/>
              <w:spacing w:after="0"/>
              <w:rPr>
                <w:sz w:val="20"/>
                <w:szCs w:val="20"/>
                <w:color w:val="auto"/>
              </w:rPr>
            </w:pPr>
            <w:r>
              <w:rPr>
                <w:rFonts w:ascii="Arial" w:cs="Arial" w:eastAsia="Arial" w:hAnsi="Arial"/>
                <w:sz w:val="18"/>
                <w:szCs w:val="18"/>
                <w:color w:val="auto"/>
                <w:w w:val="99"/>
              </w:rPr>
              <w:t>L</w:t>
            </w: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1.36%</w:t>
            </w: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7/29/2022</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20" w:type="dxa"/>
            <w:vAlign w:val="bottom"/>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4.50%</w:t>
            </w:r>
          </w:p>
        </w:tc>
        <w:tc>
          <w:tcPr>
            <w:tcW w:w="220" w:type="dxa"/>
            <w:vAlign w:val="bottom"/>
          </w:tcPr>
          <w:p>
            <w:pPr>
              <w:spacing w:after="0"/>
              <w:rPr>
                <w:sz w:val="19"/>
                <w:szCs w:val="19"/>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L + 2.37%</w:t>
            </w:r>
          </w:p>
        </w:tc>
        <w:tc>
          <w:tcPr>
            <w:tcW w:w="1200" w:type="dxa"/>
            <w:vAlign w:val="bottom"/>
          </w:tcPr>
          <w:p>
            <w:pPr>
              <w:jc w:val="right"/>
              <w:spacing w:after="0"/>
              <w:rPr>
                <w:sz w:val="20"/>
                <w:szCs w:val="20"/>
                <w:color w:val="auto"/>
              </w:rPr>
            </w:pPr>
            <w:r>
              <w:rPr>
                <w:rFonts w:ascii="Arial" w:cs="Arial" w:eastAsia="Arial" w:hAnsi="Arial"/>
                <w:sz w:val="18"/>
                <w:szCs w:val="18"/>
                <w:color w:val="auto"/>
              </w:rPr>
              <w:t>8/1/2022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115,000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1,221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3,098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4.50%</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center"/>
              <w:ind w:right="240"/>
              <w:spacing w:after="0"/>
              <w:rPr>
                <w:sz w:val="20"/>
                <w:szCs w:val="20"/>
                <w:color w:val="auto"/>
              </w:rPr>
            </w:pPr>
            <w:r>
              <w:rPr>
                <w:rFonts w:ascii="Arial" w:cs="Arial" w:eastAsia="Arial" w:hAnsi="Arial"/>
                <w:sz w:val="18"/>
                <w:szCs w:val="18"/>
                <w:color w:val="auto"/>
                <w:w w:val="93"/>
              </w:rPr>
              <w:t>L + 1.59%</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8/1/2022</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1,533</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994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20" w:type="dxa"/>
            <w:vAlign w:val="bottom"/>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4.50%</w:t>
            </w:r>
          </w:p>
        </w:tc>
        <w:tc>
          <w:tcPr>
            <w:tcW w:w="220" w:type="dxa"/>
            <w:vAlign w:val="bottom"/>
          </w:tcPr>
          <w:p>
            <w:pPr>
              <w:spacing w:after="0"/>
              <w:rPr>
                <w:sz w:val="19"/>
                <w:szCs w:val="19"/>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L + 1.60%</w:t>
            </w:r>
          </w:p>
        </w:tc>
        <w:tc>
          <w:tcPr>
            <w:tcW w:w="1200" w:type="dxa"/>
            <w:vAlign w:val="bottom"/>
          </w:tcPr>
          <w:p>
            <w:pPr>
              <w:jc w:val="right"/>
              <w:spacing w:after="0"/>
              <w:rPr>
                <w:sz w:val="20"/>
                <w:szCs w:val="20"/>
                <w:color w:val="auto"/>
              </w:rPr>
            </w:pPr>
            <w:r>
              <w:rPr>
                <w:rFonts w:ascii="Arial" w:cs="Arial" w:eastAsia="Arial" w:hAnsi="Arial"/>
                <w:sz w:val="18"/>
                <w:szCs w:val="18"/>
                <w:color w:val="auto"/>
              </w:rPr>
              <w:t>8/1/2022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7,500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228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4.50%</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center"/>
              <w:ind w:right="240"/>
              <w:spacing w:after="0"/>
              <w:rPr>
                <w:sz w:val="20"/>
                <w:szCs w:val="20"/>
                <w:color w:val="auto"/>
              </w:rPr>
            </w:pPr>
            <w:r>
              <w:rPr>
                <w:rFonts w:ascii="Arial" w:cs="Arial" w:eastAsia="Arial" w:hAnsi="Arial"/>
                <w:sz w:val="18"/>
                <w:szCs w:val="18"/>
                <w:color w:val="auto"/>
                <w:w w:val="93"/>
              </w:rPr>
              <w:t>L + 1.99%</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1/22/2023</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3,562</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4,100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20" w:type="dxa"/>
            <w:vAlign w:val="bottom"/>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(a)(b)</w:t>
            </w: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L</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1.72%</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1/10/2020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gridSpan w:val="4"/>
          </w:tcPr>
          <w:p>
            <w:pPr>
              <w:jc w:val="right"/>
              <w:ind w:right="4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30"/>
        </w:trPr>
        <w:tc>
          <w:tcPr>
            <w:tcW w:w="21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(a)(b)</w:t>
            </w: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4.50%</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center"/>
              <w:ind w:right="240"/>
              <w:spacing w:after="0"/>
              <w:rPr>
                <w:sz w:val="20"/>
                <w:szCs w:val="20"/>
                <w:color w:val="auto"/>
              </w:rPr>
            </w:pPr>
            <w:r>
              <w:rPr>
                <w:rFonts w:ascii="Arial" w:cs="Arial" w:eastAsia="Arial" w:hAnsi="Arial"/>
                <w:sz w:val="18"/>
                <w:szCs w:val="18"/>
                <w:color w:val="auto"/>
                <w:w w:val="93"/>
              </w:rPr>
              <w:t>L + 2.86%</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12/15/2019</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1,285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20" w:type="dxa"/>
            <w:vAlign w:val="bottom"/>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(a)(b)</w:t>
            </w: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L</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2.66%</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6/27/2019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gridSpan w:val="4"/>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3"/>
        </w:trPr>
        <w:tc>
          <w:tcPr>
            <w:tcW w:w="2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428,900</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6,531</w:t>
            </w: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9,194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3"/>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(a)(c)</w:t>
            </w: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3.875%</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center"/>
              <w:ind w:right="240"/>
              <w:spacing w:after="0"/>
              <w:rPr>
                <w:sz w:val="20"/>
                <w:szCs w:val="20"/>
                <w:color w:val="auto"/>
              </w:rPr>
            </w:pPr>
            <w:r>
              <w:rPr>
                <w:rFonts w:ascii="Arial" w:cs="Arial" w:eastAsia="Arial" w:hAnsi="Arial"/>
                <w:sz w:val="18"/>
                <w:szCs w:val="18"/>
                <w:color w:val="auto"/>
                <w:w w:val="93"/>
              </w:rPr>
              <w:t>L + 2.25%</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11/1/2024</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(1,787)</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0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(1,787)</w:t>
            </w:r>
          </w:p>
        </w:tc>
        <w:tc>
          <w:tcPr>
            <w:tcW w:w="0" w:type="dxa"/>
            <w:vAlign w:val="bottom"/>
          </w:tcPr>
          <w:p>
            <w:pPr>
              <w:spacing w:after="0"/>
              <w:rPr>
                <w:sz w:val="1"/>
                <w:szCs w:val="1"/>
                <w:color w:val="auto"/>
              </w:rPr>
            </w:pPr>
          </w:p>
        </w:tc>
      </w:tr>
      <w:tr>
        <w:trPr>
          <w:trHeight w:val="223"/>
        </w:trPr>
        <w:tc>
          <w:tcPr>
            <w:tcW w:w="2120" w:type="dxa"/>
            <w:vAlign w:val="bottom"/>
          </w:tcPr>
          <w:p>
            <w:pPr>
              <w:spacing w:after="0"/>
              <w:rPr>
                <w:sz w:val="20"/>
                <w:szCs w:val="20"/>
                <w:color w:val="auto"/>
              </w:rPr>
            </w:pPr>
            <w:r>
              <w:rPr>
                <w:rFonts w:ascii="Arial" w:cs="Arial" w:eastAsia="Arial" w:hAnsi="Arial"/>
                <w:sz w:val="18"/>
                <w:szCs w:val="18"/>
                <w:color w:val="auto"/>
              </w:rPr>
              <w:t>Total</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300,000</w:t>
            </w: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(1,787)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(1,787)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20" w:type="dxa"/>
            <w:vAlign w:val="bottom"/>
            <w:shd w:val="clear" w:color="auto" w:fill="CFF0FC"/>
          </w:tcPr>
          <w:p>
            <w:pPr>
              <w:spacing w:after="0"/>
              <w:rPr>
                <w:sz w:val="20"/>
                <w:szCs w:val="20"/>
                <w:color w:val="auto"/>
              </w:rPr>
            </w:pPr>
            <w:r>
              <w:rPr>
                <w:rFonts w:ascii="Arial" w:cs="Arial" w:eastAsia="Arial" w:hAnsi="Arial"/>
                <w:sz w:val="18"/>
                <w:szCs w:val="18"/>
                <w:color w:val="auto"/>
              </w:rPr>
              <w:t>Cash collateral</w:t>
            </w: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(3,737)</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120" w:type="dxa"/>
            <w:vAlign w:val="bottom"/>
          </w:tcPr>
          <w:p>
            <w:pPr>
              <w:ind w:left="260"/>
              <w:spacing w:after="0"/>
              <w:rPr>
                <w:sz w:val="20"/>
                <w:szCs w:val="20"/>
                <w:color w:val="auto"/>
              </w:rPr>
            </w:pPr>
            <w:r>
              <w:rPr>
                <w:rFonts w:ascii="Arial" w:cs="Arial" w:eastAsia="Arial" w:hAnsi="Arial"/>
                <w:sz w:val="18"/>
                <w:szCs w:val="18"/>
                <w:b w:val="1"/>
                <w:bCs w:val="1"/>
                <w:color w:val="auto"/>
              </w:rPr>
              <w:t>Total derivatives</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728,900</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1,007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81"/>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7,407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1000" w:hanging="493"/>
        <w:spacing w:after="0"/>
        <w:tabs>
          <w:tab w:leader="none" w:pos="10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Contains a variable rate structure. Bears interest at a rate determined by three-month LIBOR.</w:t>
      </w:r>
    </w:p>
    <w:p>
      <w:pPr>
        <w:spacing w:after="0" w:line="23" w:lineRule="exact"/>
        <w:rPr>
          <w:rFonts w:ascii="Arial" w:cs="Arial" w:eastAsia="Arial" w:hAnsi="Arial"/>
          <w:sz w:val="18"/>
          <w:szCs w:val="18"/>
          <w:color w:val="auto"/>
        </w:rPr>
      </w:pPr>
    </w:p>
    <w:p>
      <w:pPr>
        <w:ind w:left="1000" w:hanging="493"/>
        <w:spacing w:after="0"/>
        <w:tabs>
          <w:tab w:leader="none" w:pos="10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Interest rate swap was terminated or matured in 2019.</w:t>
      </w:r>
    </w:p>
    <w:p>
      <w:pPr>
        <w:spacing w:after="0" w:line="9" w:lineRule="exact"/>
        <w:rPr>
          <w:rFonts w:ascii="Arial" w:cs="Arial" w:eastAsia="Arial" w:hAnsi="Arial"/>
          <w:sz w:val="18"/>
          <w:szCs w:val="18"/>
          <w:color w:val="auto"/>
        </w:rPr>
      </w:pPr>
    </w:p>
    <w:p>
      <w:pPr>
        <w:ind w:left="1000" w:right="200" w:hanging="493"/>
        <w:spacing w:after="0" w:line="260" w:lineRule="auto"/>
        <w:tabs>
          <w:tab w:leader="none" w:pos="10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Instrument is used in a hedge accounting relationship. The associated change in fair value is recorded along with the change in fair value of the hedged item within interest expense.</w:t>
      </w:r>
    </w:p>
    <w:p>
      <w:pPr>
        <w:spacing w:after="0" w:line="90" w:lineRule="exact"/>
        <w:rPr>
          <w:rFonts w:ascii="Arial" w:cs="Arial" w:eastAsia="Arial" w:hAnsi="Arial"/>
          <w:sz w:val="18"/>
          <w:szCs w:val="18"/>
          <w:color w:val="auto"/>
        </w:rPr>
      </w:pPr>
    </w:p>
    <w:p>
      <w:pPr>
        <w:ind w:left="500" w:hanging="49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Certain portfolio company investments are subject to contractual restrictions on sales.</w:t>
      </w:r>
    </w:p>
    <w:p>
      <w:pPr>
        <w:spacing w:after="0" w:line="23" w:lineRule="exact"/>
        <w:rPr>
          <w:rFonts w:ascii="Arial" w:cs="Arial" w:eastAsia="Arial" w:hAnsi="Arial"/>
          <w:sz w:val="18"/>
          <w:szCs w:val="18"/>
          <w:color w:val="auto"/>
        </w:rPr>
      </w:pPr>
    </w:p>
    <w:p>
      <w:pPr>
        <w:ind w:left="500" w:right="20" w:hanging="492"/>
        <w:spacing w:after="0" w:line="250"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ind w:left="500" w:right="20" w:hanging="492"/>
        <w:spacing w:after="0" w:line="281" w:lineRule="auto"/>
        <w:tabs>
          <w:tab w:leader="none" w:pos="5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Investment contains a variable rate structure, subject to an interest rate floor. Variable rate investments bear interest at a rate that may be determined by reference to either London Interbank Offered Rate (“LIBOR” or “L”) (which can include one-, two-, three- or six-month LIBOR), Euro Interbank Offer Rate (“Euribor” or “E”) (which can include one-, two-, three-, or six-month Euribor), Canadian Dollar Offered Rate (“CDOR” or “C”), Bank Bill Swap Bid Rate (“BBSY” or “B”) or an alternate base rate (which can include the Federal Funds Effective Rate, the Toronto-Dominion Bank rate, or the Prime Rate or “P”), at the borrower’s option, which reset periodically based on the terms of the credit agreement. For investments with multiple interest rate contracts, the interest rate shown is the weighted average interest rate in effect at December 31, 2019.</w:t>
      </w:r>
    </w:p>
    <w:p>
      <w:pPr>
        <w:spacing w:after="0" w:line="3" w:lineRule="exact"/>
        <w:rPr>
          <w:rFonts w:ascii="Arial" w:cs="Arial" w:eastAsia="Arial" w:hAnsi="Arial"/>
          <w:sz w:val="16"/>
          <w:szCs w:val="16"/>
          <w:color w:val="auto"/>
        </w:rPr>
      </w:pPr>
    </w:p>
    <w:p>
      <w:pPr>
        <w:ind w:left="500" w:right="20" w:hanging="492"/>
        <w:spacing w:after="0" w:line="265" w:lineRule="auto"/>
        <w:tabs>
          <w:tab w:leader="none" w:pos="5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This portfolio company is not a qualifying asset under Section 55(a) of the Investment Company Act of 1940, as amended (the “1940 Act”). Under the 1940 Act, the Company may not acquire any non-qualifying asset unless, at the time such acquisition is made, qualifying assets represent at least 70% of total assets. Non-qualifying assets represented 18.5% of total assets as of December 31, 2019.</w:t>
      </w:r>
    </w:p>
    <w:p>
      <w:pPr>
        <w:ind w:left="500" w:right="60" w:hanging="492"/>
        <w:spacing w:after="0" w:line="265" w:lineRule="auto"/>
        <w:tabs>
          <w:tab w:leader="none" w:pos="5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holds the “last out” tranche.</w:t>
      </w:r>
    </w:p>
    <w:p>
      <w:pPr>
        <w:ind w:left="500" w:right="220" w:hanging="492"/>
        <w:spacing w:after="0" w:line="255"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Under the 1940 Act, the Company is deemed to be an “Affiliated Person” of, as defined in the 1940 Act, this portfolio company, as the Company owns more than 5% of the portfolio company’s outstanding voting securities. Transactions during the year ended December 31, 2019 in which the Company was an Affiliated Person of the portfolio company are as follows: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u w:val="single" w:color="auto"/>
          <w:color w:val="auto"/>
        </w:rPr>
        <w:t>Non-controlled, Affiliated Investments during the year ended December 31, 2019</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39"/>
              <w:spacing w:after="0"/>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Net Change</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center"/>
              <w:ind w:right="59"/>
              <w:spacing w:after="0"/>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3"/>
              </w:rPr>
              <w:t>Value at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w w:val="98"/>
              </w:rPr>
              <w:t>Gross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jc w:val="right"/>
              <w:ind w:right="421"/>
              <w:spacing w:after="0"/>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w w:val="94"/>
              </w:rPr>
              <w:t>Realized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6"/>
              </w:rPr>
              <w:t>Value at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6"/>
              </w:rPr>
              <w:t>Other</w:t>
            </w:r>
          </w:p>
        </w:tc>
        <w:tc>
          <w:tcPr>
            <w:tcW w:w="6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48"/>
        </w:trPr>
        <w:tc>
          <w:tcPr>
            <w:tcW w:w="220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Company</w:t>
            </w:r>
          </w:p>
        </w:tc>
        <w:tc>
          <w:tcPr>
            <w:tcW w:w="12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December</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In Unrealized</w:t>
            </w:r>
          </w:p>
        </w:tc>
        <w:tc>
          <w:tcPr>
            <w:tcW w:w="1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right"/>
              <w:ind w:right="181"/>
              <w:spacing w:after="0"/>
              <w:rPr>
                <w:sz w:val="20"/>
                <w:szCs w:val="20"/>
                <w:color w:val="auto"/>
              </w:rPr>
            </w:pPr>
            <w:r>
              <w:rPr>
                <w:rFonts w:ascii="Arial" w:cs="Arial" w:eastAsia="Arial" w:hAnsi="Arial"/>
                <w:sz w:val="14"/>
                <w:szCs w:val="14"/>
                <w:b w:val="1"/>
                <w:bCs w:val="1"/>
                <w:color w:val="auto"/>
                <w:w w:val="87"/>
              </w:rPr>
              <w:t>Transfers</w:t>
            </w:r>
          </w:p>
        </w:tc>
        <w:tc>
          <w:tcPr>
            <w:tcW w:w="9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39"/>
              <w:spacing w:after="0"/>
              <w:rPr>
                <w:sz w:val="20"/>
                <w:szCs w:val="20"/>
                <w:color w:val="auto"/>
              </w:rPr>
            </w:pPr>
            <w:r>
              <w:rPr>
                <w:rFonts w:ascii="Arial" w:cs="Arial" w:eastAsia="Arial" w:hAnsi="Arial"/>
                <w:sz w:val="14"/>
                <w:szCs w:val="14"/>
                <w:b w:val="1"/>
                <w:bCs w:val="1"/>
                <w:color w:val="auto"/>
                <w:w w:val="95"/>
              </w:rPr>
              <w:t>31, 2018</w:t>
            </w:r>
          </w:p>
        </w:tc>
        <w:tc>
          <w:tcPr>
            <w:tcW w:w="1020" w:type="dxa"/>
            <w:vAlign w:val="bottom"/>
            <w:gridSpan w:val="3"/>
          </w:tcPr>
          <w:p>
            <w:pPr>
              <w:jc w:val="right"/>
              <w:spacing w:after="0"/>
              <w:rPr>
                <w:sz w:val="20"/>
                <w:szCs w:val="20"/>
                <w:color w:val="auto"/>
              </w:rPr>
            </w:pPr>
            <w:r>
              <w:rPr>
                <w:rFonts w:ascii="Arial" w:cs="Arial" w:eastAsia="Arial" w:hAnsi="Arial"/>
                <w:sz w:val="14"/>
                <w:szCs w:val="14"/>
                <w:b w:val="1"/>
                <w:bCs w:val="1"/>
                <w:color w:val="auto"/>
              </w:rPr>
              <w:t>Additions (a)</w:t>
            </w:r>
          </w:p>
        </w:tc>
        <w:tc>
          <w:tcPr>
            <w:tcW w:w="1340" w:type="dxa"/>
            <w:vAlign w:val="bottom"/>
            <w:gridSpan w:val="4"/>
          </w:tcPr>
          <w:p>
            <w:pPr>
              <w:ind w:left="220"/>
              <w:spacing w:after="0"/>
              <w:rPr>
                <w:sz w:val="20"/>
                <w:szCs w:val="20"/>
                <w:color w:val="auto"/>
              </w:rPr>
            </w:pPr>
            <w:r>
              <w:rPr>
                <w:rFonts w:ascii="Arial" w:cs="Arial" w:eastAsia="Arial" w:hAnsi="Arial"/>
                <w:sz w:val="14"/>
                <w:szCs w:val="14"/>
                <w:b w:val="1"/>
                <w:bCs w:val="1"/>
                <w:color w:val="auto"/>
              </w:rPr>
              <w:t>Reductions (b)</w:t>
            </w:r>
          </w:p>
        </w:tc>
        <w:tc>
          <w:tcPr>
            <w:tcW w:w="10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Gain/(Loss)</w:t>
            </w: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Gain/(Losses)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center"/>
              <w:ind w:right="59"/>
              <w:spacing w:after="0"/>
              <w:rPr>
                <w:sz w:val="20"/>
                <w:szCs w:val="20"/>
                <w:color w:val="auto"/>
              </w:rPr>
            </w:pPr>
            <w:r>
              <w:rPr>
                <w:rFonts w:ascii="Arial" w:cs="Arial" w:eastAsia="Arial" w:hAnsi="Arial"/>
                <w:sz w:val="14"/>
                <w:szCs w:val="14"/>
                <w:b w:val="1"/>
                <w:bCs w:val="1"/>
                <w:color w:val="auto"/>
                <w:w w:val="89"/>
              </w:rPr>
              <w:t>2019</w:t>
            </w:r>
          </w:p>
        </w:tc>
        <w:tc>
          <w:tcPr>
            <w:tcW w:w="220" w:type="dxa"/>
            <w:vAlign w:val="bottom"/>
          </w:tcPr>
          <w:p>
            <w:pPr>
              <w:spacing w:after="0"/>
              <w:rPr>
                <w:sz w:val="14"/>
                <w:szCs w:val="14"/>
                <w:color w:val="auto"/>
              </w:rPr>
            </w:pPr>
          </w:p>
        </w:tc>
        <w:tc>
          <w:tcPr>
            <w:tcW w:w="8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Income</w:t>
            </w:r>
          </w:p>
        </w:tc>
        <w:tc>
          <w:tcPr>
            <w:tcW w:w="680" w:type="dxa"/>
            <w:vAlign w:val="bottom"/>
            <w:gridSpan w:val="3"/>
          </w:tcPr>
          <w:p>
            <w:pPr>
              <w:ind w:left="8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23"/>
        </w:trPr>
        <w:tc>
          <w:tcPr>
            <w:tcW w:w="2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AFS Technologies, Inc.</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45,342</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4,845</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(1,175)</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1,124</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50,136</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5,207</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00" w:type="dxa"/>
            <w:vAlign w:val="bottom"/>
          </w:tcPr>
          <w:p>
            <w:pPr>
              <w:spacing w:after="0"/>
              <w:rPr>
                <w:sz w:val="20"/>
                <w:szCs w:val="20"/>
                <w:color w:val="auto"/>
              </w:rPr>
            </w:pPr>
            <w:r>
              <w:rPr>
                <w:rFonts w:ascii="Arial" w:cs="Arial" w:eastAsia="Arial" w:hAnsi="Arial"/>
                <w:sz w:val="18"/>
                <w:szCs w:val="18"/>
                <w:color w:val="auto"/>
              </w:rPr>
              <w:t>Validity, Inc.</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38,590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1,489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81"/>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
              <w:spacing w:after="0"/>
              <w:rPr>
                <w:sz w:val="20"/>
                <w:szCs w:val="20"/>
                <w:color w:val="auto"/>
              </w:rPr>
            </w:pPr>
            <w:r>
              <w:rPr>
                <w:rFonts w:ascii="Arial" w:cs="Arial" w:eastAsia="Arial" w:hAnsi="Arial"/>
                <w:sz w:val="18"/>
                <w:szCs w:val="18"/>
                <w:color w:val="auto"/>
              </w:rPr>
              <w:t>(39,993)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1,163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83,932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6,334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(1,409</w:t>
            </w:r>
          </w:p>
        </w:tc>
        <w:tc>
          <w:tcPr>
            <w:tcW w:w="220" w:type="dxa"/>
            <w:vAlign w:val="bottom"/>
            <w:tcBorders>
              <w:top w:val="single" w:sz="8" w:color="CFF0FC"/>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1,272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(39,993</w:t>
            </w:r>
          </w:p>
        </w:tc>
        <w:tc>
          <w:tcPr>
            <w:tcW w:w="140" w:type="dxa"/>
            <w:vAlign w:val="bottom"/>
            <w:tcBorders>
              <w:top w:val="single" w:sz="8" w:color="CFF0FC"/>
              <w:bottom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50,136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6,370</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000" w:right="100" w:hanging="493"/>
        <w:spacing w:after="0" w:line="258" w:lineRule="auto"/>
        <w:tabs>
          <w:tab w:leader="none" w:pos="10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1" w:lineRule="exact"/>
        <w:rPr>
          <w:rFonts w:ascii="Arial" w:cs="Arial" w:eastAsia="Arial" w:hAnsi="Arial"/>
          <w:sz w:val="18"/>
          <w:szCs w:val="18"/>
          <w:color w:val="auto"/>
        </w:rPr>
      </w:pPr>
    </w:p>
    <w:p>
      <w:pPr>
        <w:ind w:left="1000" w:hanging="493"/>
        <w:spacing w:after="0" w:line="255" w:lineRule="auto"/>
        <w:tabs>
          <w:tab w:leader="none" w:pos="10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may be applied to the outstanding principal balance.</w:t>
      </w:r>
    </w:p>
    <w:p>
      <w:pPr>
        <w:spacing w:after="0" w:line="81" w:lineRule="exact"/>
        <w:rPr>
          <w:rFonts w:ascii="Arial" w:cs="Arial" w:eastAsia="Arial" w:hAnsi="Arial"/>
          <w:sz w:val="18"/>
          <w:szCs w:val="18"/>
          <w:color w:val="auto"/>
        </w:rPr>
      </w:pPr>
    </w:p>
    <w:p>
      <w:pPr>
        <w:ind w:left="500" w:right="200" w:hanging="492"/>
        <w:spacing w:after="0" w:line="301" w:lineRule="auto"/>
        <w:tabs>
          <w:tab w:leader="none" w:pos="5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year ended December 31, 2019 in which the Company was an Affiliated Person of and was deemed to Control a portfolio company are as follows: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Controlled, Affiliated Investments during the year ended December 31, 2019</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38"/>
              <w:spacing w:after="0"/>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restart"/>
          </w:tcPr>
          <w:p>
            <w:pPr>
              <w:jc w:val="right"/>
              <w:ind w:right="261"/>
              <w:spacing w:after="0"/>
              <w:rPr>
                <w:sz w:val="20"/>
                <w:szCs w:val="20"/>
                <w:color w:val="auto"/>
              </w:rPr>
            </w:pPr>
            <w:r>
              <w:rPr>
                <w:rFonts w:ascii="Arial" w:cs="Arial" w:eastAsia="Arial" w:hAnsi="Arial"/>
                <w:sz w:val="14"/>
                <w:szCs w:val="14"/>
                <w:b w:val="1"/>
                <w:bCs w:val="1"/>
                <w:color w:val="auto"/>
                <w:w w:val="89"/>
              </w:rPr>
              <w:t>Net Change</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center"/>
              <w:ind w:right="58"/>
              <w:spacing w:after="0"/>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3"/>
              </w:rPr>
              <w:t>Value at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w w:val="98"/>
              </w:rPr>
              <w:t>Gross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jc w:val="right"/>
              <w:ind w:right="421"/>
              <w:spacing w:after="0"/>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right"/>
              <w:ind w:right="241"/>
              <w:spacing w:after="0"/>
              <w:rPr>
                <w:sz w:val="20"/>
                <w:szCs w:val="20"/>
                <w:color w:val="auto"/>
              </w:rPr>
            </w:pPr>
            <w:r>
              <w:rPr>
                <w:rFonts w:ascii="Arial" w:cs="Arial" w:eastAsia="Arial" w:hAnsi="Arial"/>
                <w:sz w:val="14"/>
                <w:szCs w:val="14"/>
                <w:b w:val="1"/>
                <w:bCs w:val="1"/>
                <w:color w:val="auto"/>
                <w:w w:val="94"/>
              </w:rPr>
              <w:t>Realized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6"/>
              </w:rPr>
              <w:t>Value at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6"/>
              </w:rPr>
              <w:t>Other</w:t>
            </w:r>
          </w:p>
        </w:tc>
        <w:tc>
          <w:tcPr>
            <w:tcW w:w="6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48"/>
        </w:trPr>
        <w:tc>
          <w:tcPr>
            <w:tcW w:w="220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Company</w:t>
            </w:r>
          </w:p>
        </w:tc>
        <w:tc>
          <w:tcPr>
            <w:tcW w:w="12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December</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60" w:type="dxa"/>
            <w:vAlign w:val="bottom"/>
            <w:gridSpan w:val="3"/>
          </w:tcPr>
          <w:p>
            <w:pPr>
              <w:jc w:val="right"/>
              <w:ind w:right="201"/>
              <w:spacing w:after="0" w:line="149" w:lineRule="exact"/>
              <w:rPr>
                <w:sz w:val="20"/>
                <w:szCs w:val="20"/>
                <w:color w:val="auto"/>
              </w:rPr>
            </w:pPr>
            <w:r>
              <w:rPr>
                <w:rFonts w:ascii="Arial" w:cs="Arial" w:eastAsia="Arial" w:hAnsi="Arial"/>
                <w:sz w:val="14"/>
                <w:szCs w:val="14"/>
                <w:b w:val="1"/>
                <w:bCs w:val="1"/>
                <w:color w:val="auto"/>
                <w:w w:val="98"/>
              </w:rPr>
              <w:t>In Unrealized</w:t>
            </w: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rPr>
              <w:t>Transfers</w:t>
            </w:r>
          </w:p>
        </w:tc>
        <w:tc>
          <w:tcPr>
            <w:tcW w:w="1040" w:type="dxa"/>
            <w:vAlign w:val="bottom"/>
            <w:gridSpan w:val="3"/>
          </w:tcPr>
          <w:p>
            <w:pPr>
              <w:jc w:val="center"/>
              <w:ind w:left="128"/>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38"/>
              <w:spacing w:after="0"/>
              <w:rPr>
                <w:sz w:val="20"/>
                <w:szCs w:val="20"/>
                <w:color w:val="auto"/>
              </w:rPr>
            </w:pPr>
            <w:r>
              <w:rPr>
                <w:rFonts w:ascii="Arial" w:cs="Arial" w:eastAsia="Arial" w:hAnsi="Arial"/>
                <w:sz w:val="14"/>
                <w:szCs w:val="14"/>
                <w:b w:val="1"/>
                <w:bCs w:val="1"/>
                <w:color w:val="auto"/>
                <w:w w:val="95"/>
              </w:rPr>
              <w:t>31, 2018</w:t>
            </w:r>
          </w:p>
        </w:tc>
        <w:tc>
          <w:tcPr>
            <w:tcW w:w="1020" w:type="dxa"/>
            <w:vAlign w:val="bottom"/>
            <w:gridSpan w:val="3"/>
          </w:tcPr>
          <w:p>
            <w:pPr>
              <w:ind w:left="220"/>
              <w:spacing w:after="0"/>
              <w:rPr>
                <w:sz w:val="20"/>
                <w:szCs w:val="20"/>
                <w:color w:val="auto"/>
              </w:rPr>
            </w:pPr>
            <w:r>
              <w:rPr>
                <w:rFonts w:ascii="Arial" w:cs="Arial" w:eastAsia="Arial" w:hAnsi="Arial"/>
                <w:sz w:val="14"/>
                <w:szCs w:val="14"/>
                <w:b w:val="1"/>
                <w:bCs w:val="1"/>
                <w:color w:val="auto"/>
                <w:w w:val="91"/>
              </w:rPr>
              <w:t>Additions (a)</w:t>
            </w:r>
          </w:p>
        </w:tc>
        <w:tc>
          <w:tcPr>
            <w:tcW w:w="1340" w:type="dxa"/>
            <w:vAlign w:val="bottom"/>
            <w:gridSpan w:val="4"/>
          </w:tcPr>
          <w:p>
            <w:pPr>
              <w:ind w:left="220"/>
              <w:spacing w:after="0"/>
              <w:rPr>
                <w:sz w:val="20"/>
                <w:szCs w:val="20"/>
                <w:color w:val="auto"/>
              </w:rPr>
            </w:pPr>
            <w:r>
              <w:rPr>
                <w:rFonts w:ascii="Arial" w:cs="Arial" w:eastAsia="Arial" w:hAnsi="Arial"/>
                <w:sz w:val="14"/>
                <w:szCs w:val="14"/>
                <w:b w:val="1"/>
                <w:bCs w:val="1"/>
                <w:color w:val="auto"/>
              </w:rPr>
              <w:t>Reductions (b)</w:t>
            </w:r>
          </w:p>
        </w:tc>
        <w:tc>
          <w:tcPr>
            <w:tcW w:w="100" w:type="dxa"/>
            <w:vAlign w:val="bottom"/>
          </w:tcPr>
          <w:p>
            <w:pPr>
              <w:spacing w:after="0"/>
              <w:rPr>
                <w:sz w:val="14"/>
                <w:szCs w:val="14"/>
                <w:color w:val="auto"/>
              </w:rPr>
            </w:pPr>
          </w:p>
        </w:tc>
        <w:tc>
          <w:tcPr>
            <w:tcW w:w="1060" w:type="dxa"/>
            <w:vAlign w:val="bottom"/>
            <w:gridSpan w:val="2"/>
          </w:tcPr>
          <w:p>
            <w:pPr>
              <w:jc w:val="right"/>
              <w:ind w:right="261"/>
              <w:spacing w:after="0"/>
              <w:rPr>
                <w:sz w:val="20"/>
                <w:szCs w:val="20"/>
                <w:color w:val="auto"/>
              </w:rPr>
            </w:pPr>
            <w:r>
              <w:rPr>
                <w:rFonts w:ascii="Arial" w:cs="Arial" w:eastAsia="Arial" w:hAnsi="Arial"/>
                <w:sz w:val="14"/>
                <w:szCs w:val="14"/>
                <w:b w:val="1"/>
                <w:bCs w:val="1"/>
                <w:color w:val="auto"/>
                <w:w w:val="90"/>
              </w:rPr>
              <w:t>Gain/(Loss)</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Gain/(Losses)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center"/>
              <w:ind w:right="58"/>
              <w:spacing w:after="0"/>
              <w:rPr>
                <w:sz w:val="20"/>
                <w:szCs w:val="20"/>
                <w:color w:val="auto"/>
              </w:rPr>
            </w:pPr>
            <w:r>
              <w:rPr>
                <w:rFonts w:ascii="Arial" w:cs="Arial" w:eastAsia="Arial" w:hAnsi="Arial"/>
                <w:sz w:val="14"/>
                <w:szCs w:val="14"/>
                <w:b w:val="1"/>
                <w:bCs w:val="1"/>
                <w:color w:val="auto"/>
                <w:w w:val="89"/>
              </w:rPr>
              <w:t>2019</w:t>
            </w:r>
          </w:p>
        </w:tc>
        <w:tc>
          <w:tcPr>
            <w:tcW w:w="220" w:type="dxa"/>
            <w:vAlign w:val="bottom"/>
          </w:tcPr>
          <w:p>
            <w:pPr>
              <w:spacing w:after="0"/>
              <w:rPr>
                <w:sz w:val="14"/>
                <w:szCs w:val="14"/>
                <w:color w:val="auto"/>
              </w:rPr>
            </w:pPr>
          </w:p>
        </w:tc>
        <w:tc>
          <w:tcPr>
            <w:tcW w:w="8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Income</w:t>
            </w:r>
          </w:p>
        </w:tc>
        <w:tc>
          <w:tcPr>
            <w:tcW w:w="680" w:type="dxa"/>
            <w:vAlign w:val="bottom"/>
            <w:gridSpan w:val="3"/>
          </w:tcPr>
          <w:p>
            <w:pPr>
              <w:ind w:left="8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23"/>
        </w:trPr>
        <w:tc>
          <w:tcPr>
            <w:tcW w:w="2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AFS Technologies, Inc.</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570</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ind w:left="50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00" w:type="dxa"/>
            <w:vAlign w:val="bottom"/>
          </w:tcPr>
          <w:p>
            <w:pPr>
              <w:spacing w:after="0"/>
              <w:rPr>
                <w:sz w:val="20"/>
                <w:szCs w:val="20"/>
                <w:color w:val="auto"/>
              </w:rPr>
            </w:pPr>
            <w:r>
              <w:rPr>
                <w:rFonts w:ascii="Arial" w:cs="Arial" w:eastAsia="Arial" w:hAnsi="Arial"/>
                <w:sz w:val="18"/>
                <w:szCs w:val="18"/>
                <w:color w:val="auto"/>
              </w:rPr>
              <w:t>IRGSE Holding Corp.</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34,527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8,279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81"/>
              <w:spacing w:after="0"/>
              <w:rPr>
                <w:sz w:val="20"/>
                <w:szCs w:val="20"/>
                <w:color w:val="auto"/>
              </w:rPr>
            </w:pPr>
            <w:r>
              <w:rPr>
                <w:rFonts w:ascii="Arial" w:cs="Arial" w:eastAsia="Arial" w:hAnsi="Arial"/>
                <w:sz w:val="18"/>
                <w:szCs w:val="18"/>
                <w:color w:val="auto"/>
              </w:rPr>
              <w:t>(1,750)</w:t>
            </w:r>
          </w:p>
        </w:tc>
        <w:tc>
          <w:tcPr>
            <w:tcW w:w="100" w:type="dxa"/>
            <w:vAlign w:val="bottom"/>
          </w:tcPr>
          <w:p>
            <w:pPr>
              <w:spacing w:after="0"/>
              <w:rPr>
                <w:sz w:val="19"/>
                <w:szCs w:val="19"/>
                <w:color w:val="auto"/>
              </w:rPr>
            </w:pPr>
          </w:p>
        </w:tc>
        <w:tc>
          <w:tcPr>
            <w:tcW w:w="1060" w:type="dxa"/>
            <w:vAlign w:val="bottom"/>
            <w:gridSpan w:val="2"/>
          </w:tcPr>
          <w:p>
            <w:pPr>
              <w:jc w:val="right"/>
              <w:ind w:right="81"/>
              <w:spacing w:after="0"/>
              <w:rPr>
                <w:sz w:val="20"/>
                <w:szCs w:val="20"/>
                <w:color w:val="auto"/>
              </w:rPr>
            </w:pPr>
            <w:r>
              <w:rPr>
                <w:rFonts w:ascii="Arial" w:cs="Arial" w:eastAsia="Arial" w:hAnsi="Arial"/>
                <w:sz w:val="18"/>
                <w:szCs w:val="18"/>
                <w:color w:val="auto"/>
              </w:rPr>
              <w:t>(6,244)</w:t>
            </w:r>
          </w:p>
        </w:tc>
        <w:tc>
          <w:tcPr>
            <w:tcW w:w="120" w:type="dxa"/>
            <w:vAlign w:val="bottom"/>
          </w:tcPr>
          <w:p>
            <w:pPr>
              <w:spacing w:after="0"/>
              <w:rPr>
                <w:sz w:val="19"/>
                <w:szCs w:val="19"/>
                <w:color w:val="auto"/>
              </w:rPr>
            </w:pPr>
          </w:p>
        </w:tc>
        <w:tc>
          <w:tcPr>
            <w:tcW w:w="8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ind w:left="50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34,812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3,963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200" w:type="dxa"/>
            <w:vAlign w:val="bottom"/>
            <w:shd w:val="clear" w:color="auto" w:fill="CFF0FC"/>
          </w:tcPr>
          <w:p>
            <w:pPr>
              <w:spacing w:after="0"/>
              <w:rPr>
                <w:sz w:val="20"/>
                <w:szCs w:val="20"/>
                <w:color w:val="auto"/>
              </w:rPr>
            </w:pPr>
            <w:r>
              <w:rPr>
                <w:rFonts w:ascii="Arial" w:cs="Arial" w:eastAsia="Arial" w:hAnsi="Arial"/>
                <w:sz w:val="18"/>
                <w:szCs w:val="18"/>
                <w:color w:val="auto"/>
              </w:rPr>
              <w:t>Mississippi Resources,</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LLC</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21,978</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1,427</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(6,137)</w:t>
            </w:r>
          </w:p>
        </w:tc>
        <w:tc>
          <w:tcPr>
            <w:tcW w:w="1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rPr>
              <w:t>(4,164)</w:t>
            </w: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00" w:type="dxa"/>
            <w:vAlign w:val="bottom"/>
            <w:shd w:val="clear" w:color="auto" w:fill="CFF0FC"/>
          </w:tcPr>
          <w:p>
            <w:pPr>
              <w:ind w:left="50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13,104</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1,995</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56,505</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9,706</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(1,750</w:t>
            </w:r>
          </w:p>
        </w:tc>
        <w:tc>
          <w:tcPr>
            <w:tcW w:w="220" w:type="dxa"/>
            <w:vAlign w:val="bottom"/>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(12,381</w:t>
            </w:r>
          </w:p>
        </w:tc>
        <w:tc>
          <w:tcPr>
            <w:tcW w:w="220" w:type="dxa"/>
            <w:vAlign w:val="bottom"/>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(3,594</w:t>
            </w:r>
          </w:p>
        </w:tc>
        <w:tc>
          <w:tcPr>
            <w:tcW w:w="140" w:type="dxa"/>
            <w:vAlign w:val="bottom"/>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b w:val="1"/>
                <w:bCs w:val="1"/>
                <w:color w:val="auto"/>
                <w:w w:val="99"/>
              </w:rPr>
              <w:t>—</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47,916</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5,958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000" w:right="100" w:hanging="493"/>
        <w:spacing w:after="0" w:line="258" w:lineRule="auto"/>
        <w:tabs>
          <w:tab w:leader="none" w:pos="10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1" w:lineRule="exact"/>
        <w:rPr>
          <w:rFonts w:ascii="Arial" w:cs="Arial" w:eastAsia="Arial" w:hAnsi="Arial"/>
          <w:sz w:val="18"/>
          <w:szCs w:val="18"/>
          <w:color w:val="auto"/>
        </w:rPr>
      </w:pPr>
    </w:p>
    <w:p>
      <w:pPr>
        <w:ind w:left="1000" w:hanging="493"/>
        <w:spacing w:after="0" w:line="255" w:lineRule="auto"/>
        <w:tabs>
          <w:tab w:leader="none" w:pos="10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may be applied to the outstanding principal balance.</w:t>
      </w:r>
    </w:p>
    <w:p>
      <w:pPr>
        <w:spacing w:after="0" w:line="95" w:lineRule="exact"/>
        <w:rPr>
          <w:rFonts w:ascii="Arial" w:cs="Arial" w:eastAsia="Arial" w:hAnsi="Arial"/>
          <w:sz w:val="18"/>
          <w:szCs w:val="18"/>
          <w:color w:val="auto"/>
        </w:rPr>
      </w:pPr>
    </w:p>
    <w:p>
      <w:pPr>
        <w:ind w:left="500" w:right="640" w:hanging="492"/>
        <w:spacing w:after="0" w:line="258"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of December 31, 2019, the estimated cost basis of investments for U.S. federal tax purposes was $2,230,116, resulting in estimated gross unrealized gains and losses of $87,386 and $78,478, respectively.</w:t>
      </w:r>
    </w:p>
    <w:p>
      <w:pPr>
        <w:spacing w:after="0" w:line="1" w:lineRule="exact"/>
        <w:rPr>
          <w:rFonts w:ascii="Arial" w:cs="Arial" w:eastAsia="Arial" w:hAnsi="Arial"/>
          <w:sz w:val="18"/>
          <w:szCs w:val="18"/>
          <w:color w:val="auto"/>
        </w:rPr>
      </w:pPr>
    </w:p>
    <w:p>
      <w:pPr>
        <w:ind w:left="500" w:right="80" w:hanging="492"/>
        <w:spacing w:after="0" w:line="250"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These investments contain a fixed rate structure. The Company entered into an interest rate swap agreement to swap to a floating rate. Refer to Note 5 for further information related to the Company’s interest rate swaps on investments.</w:t>
      </w:r>
    </w:p>
    <w:p>
      <w:pPr>
        <w:ind w:left="500" w:right="80" w:hanging="492"/>
        <w:spacing w:after="0" w:line="250"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In accordance with Financial Accounting Standards Board Accounting Standards Codification Topic 820,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(“Topic ASC 820”), unless otherwise indicated, the fair values of all investments were determined using significant unobservable inputs and are considered Level 3 investments. See Note 6 for further information related to investments at fair value.</w:t>
      </w:r>
    </w:p>
    <w:p>
      <w:pPr>
        <w:spacing w:after="0" w:line="1" w:lineRule="exact"/>
        <w:rPr>
          <w:rFonts w:ascii="Arial" w:cs="Arial" w:eastAsia="Arial" w:hAnsi="Arial"/>
          <w:sz w:val="18"/>
          <w:szCs w:val="18"/>
          <w:color w:val="auto"/>
        </w:rPr>
      </w:pPr>
    </w:p>
    <w:p>
      <w:pPr>
        <w:ind w:left="500" w:right="120" w:hanging="492"/>
        <w:spacing w:after="0" w:line="250"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This investment is valued using observable inputs and is considered a Level 2 investment. See Note 6 for further information related to investments at fair value.</w:t>
      </w:r>
    </w:p>
    <w:p>
      <w:pPr>
        <w:ind w:left="500" w:right="120" w:hanging="492"/>
        <w:spacing w:after="0" w:line="250"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This investment is valued using observable inputs and is considered a Level 1 investment. See Note 6 for further information related to investments at fair value.</w:t>
      </w:r>
    </w:p>
    <w:p>
      <w:pPr>
        <w:ind w:left="500" w:hanging="49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This equity investment is non-income producing.</w:t>
      </w:r>
    </w:p>
    <w:p>
      <w:pPr>
        <w:spacing w:after="0" w:line="9" w:lineRule="exact"/>
        <w:rPr>
          <w:rFonts w:ascii="Arial" w:cs="Arial" w:eastAsia="Arial" w:hAnsi="Arial"/>
          <w:sz w:val="18"/>
          <w:szCs w:val="18"/>
          <w:color w:val="auto"/>
        </w:rPr>
      </w:pPr>
    </w:p>
    <w:p>
      <w:pPr>
        <w:ind w:left="500" w:right="360" w:hanging="492"/>
        <w:spacing w:after="0" w:line="250"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or a portion of this security was acquired in transaction exempt from registration under the Securities Act of 1933, and may be deemed to be “restricted securities” under the Securities Act. As of December 31, 2019, the aggregate fair value of these securities is $23,986, or 2.1% of the Company’s net assets.</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Ownership of equity investments may occur through a holding company or partnership.</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Sixth Street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520" w:type="dxa"/>
            <w:vAlign w:val="bottom"/>
            <w:tcBorders>
              <w:bottom w:val="single" w:sz="8" w:color="auto"/>
            </w:tcBorders>
            <w:gridSpan w:val="5"/>
          </w:tcPr>
          <w:p>
            <w:pPr>
              <w:jc w:val="right"/>
              <w:ind w:right="224"/>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4"/>
                <w:szCs w:val="14"/>
                <w:color w:val="auto"/>
              </w:rPr>
            </w:pPr>
          </w:p>
        </w:tc>
        <w:tc>
          <w:tcPr>
            <w:tcW w:w="1360" w:type="dxa"/>
            <w:vAlign w:val="bottom"/>
            <w:tcBorders>
              <w:bottom w:val="single" w:sz="8" w:color="auto"/>
            </w:tcBorders>
            <w:gridSpan w:val="3"/>
          </w:tcPr>
          <w:p>
            <w:pPr>
              <w:jc w:val="right"/>
              <w:ind w:right="144"/>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Paid in Capital in</w:t>
            </w:r>
          </w:p>
        </w:tc>
        <w:tc>
          <w:tcPr>
            <w:tcW w:w="104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Distributable</w:t>
            </w:r>
          </w:p>
        </w:tc>
        <w:tc>
          <w:tcPr>
            <w:tcW w:w="60" w:type="dxa"/>
            <w:vAlign w:val="bottom"/>
          </w:tcPr>
          <w:p>
            <w:pPr>
              <w:spacing w:after="0"/>
              <w:rPr>
                <w:sz w:val="14"/>
                <w:szCs w:val="14"/>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Total Net</w:t>
            </w:r>
          </w:p>
        </w:tc>
        <w:tc>
          <w:tcPr>
            <w:tcW w:w="0" w:type="dxa"/>
            <w:vAlign w:val="bottom"/>
          </w:tcPr>
          <w:p>
            <w:pPr>
              <w:spacing w:after="0"/>
              <w:rPr>
                <w:sz w:val="1"/>
                <w:szCs w:val="1"/>
                <w:color w:val="auto"/>
              </w:rPr>
            </w:pPr>
          </w:p>
        </w:tc>
      </w:tr>
      <w:tr>
        <w:trPr>
          <w:trHeight w:val="133"/>
        </w:trPr>
        <w:tc>
          <w:tcPr>
            <w:tcW w:w="24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800" w:type="dxa"/>
            <w:vAlign w:val="bottom"/>
            <w:vMerge w:val="restart"/>
          </w:tcPr>
          <w:p>
            <w:pPr>
              <w:jc w:val="right"/>
              <w:ind w:right="124"/>
              <w:spacing w:after="0"/>
              <w:rPr>
                <w:sz w:val="20"/>
                <w:szCs w:val="20"/>
                <w:color w:val="auto"/>
              </w:rPr>
            </w:pPr>
            <w:r>
              <w:rPr>
                <w:rFonts w:ascii="Arial" w:cs="Arial" w:eastAsia="Arial" w:hAnsi="Arial"/>
                <w:sz w:val="14"/>
                <w:szCs w:val="14"/>
                <w:b w:val="1"/>
                <w:bCs w:val="1"/>
                <w:color w:val="auto"/>
              </w:rPr>
              <w:t>Shares</w:t>
            </w:r>
          </w:p>
        </w:tc>
        <w:tc>
          <w:tcPr>
            <w:tcW w:w="140" w:type="dxa"/>
            <w:vAlign w:val="bottom"/>
            <w:vMerge w:val="restart"/>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jc w:val="right"/>
              <w:ind w:right="84"/>
              <w:spacing w:after="0" w:line="133" w:lineRule="exact"/>
              <w:rPr>
                <w:sz w:val="20"/>
                <w:szCs w:val="20"/>
                <w:color w:val="auto"/>
              </w:rPr>
            </w:pPr>
            <w:r>
              <w:rPr>
                <w:rFonts w:ascii="Arial" w:cs="Arial" w:eastAsia="Arial" w:hAnsi="Arial"/>
                <w:sz w:val="14"/>
                <w:szCs w:val="14"/>
                <w:b w:val="1"/>
                <w:bCs w:val="1"/>
                <w:color w:val="auto"/>
                <w:w w:val="97"/>
              </w:rPr>
              <w:t>Par</w:t>
            </w:r>
          </w:p>
        </w:tc>
        <w:tc>
          <w:tcPr>
            <w:tcW w:w="200" w:type="dxa"/>
            <w:vAlign w:val="bottom"/>
          </w:tcPr>
          <w:p>
            <w:pPr>
              <w:spacing w:after="0"/>
              <w:rPr>
                <w:sz w:val="11"/>
                <w:szCs w:val="11"/>
                <w:color w:val="auto"/>
              </w:rPr>
            </w:pPr>
          </w:p>
        </w:tc>
        <w:tc>
          <w:tcPr>
            <w:tcW w:w="620" w:type="dxa"/>
            <w:vAlign w:val="bottom"/>
            <w:vMerge w:val="restart"/>
          </w:tcPr>
          <w:p>
            <w:pPr>
              <w:jc w:val="right"/>
              <w:ind w:right="24"/>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1"/>
                <w:szCs w:val="11"/>
                <w:color w:val="auto"/>
              </w:rPr>
            </w:pPr>
          </w:p>
        </w:tc>
        <w:tc>
          <w:tcPr>
            <w:tcW w:w="540" w:type="dxa"/>
            <w:vAlign w:val="bottom"/>
            <w:vMerge w:val="restart"/>
          </w:tcPr>
          <w:p>
            <w:pPr>
              <w:jc w:val="right"/>
              <w:ind w:right="64"/>
              <w:spacing w:after="0"/>
              <w:rPr>
                <w:sz w:val="20"/>
                <w:szCs w:val="20"/>
                <w:color w:val="auto"/>
              </w:rPr>
            </w:pPr>
            <w:r>
              <w:rPr>
                <w:rFonts w:ascii="Arial" w:cs="Arial" w:eastAsia="Arial" w:hAnsi="Arial"/>
                <w:sz w:val="14"/>
                <w:szCs w:val="14"/>
                <w:b w:val="1"/>
                <w:bCs w:val="1"/>
                <w:color w:val="auto"/>
              </w:rPr>
              <w:t>Cost</w:t>
            </w:r>
          </w:p>
        </w:tc>
        <w:tc>
          <w:tcPr>
            <w:tcW w:w="12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1040" w:type="dxa"/>
            <w:vAlign w:val="bottom"/>
            <w:gridSpan w:val="4"/>
            <w:vMerge w:val="continue"/>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40" w:type="dxa"/>
            <w:vAlign w:val="bottom"/>
            <w:tcBorders>
              <w:bottom w:val="single" w:sz="8" w:color="CFF0FC"/>
            </w:tcBorders>
          </w:tcPr>
          <w:p>
            <w:pPr>
              <w:spacing w:after="0"/>
              <w:rPr>
                <w:sz w:val="14"/>
                <w:szCs w:val="14"/>
                <w:color w:val="auto"/>
              </w:rPr>
            </w:pPr>
          </w:p>
        </w:tc>
        <w:tc>
          <w:tcPr>
            <w:tcW w:w="4120" w:type="dxa"/>
            <w:vAlign w:val="bottom"/>
            <w:tcBorders>
              <w:bottom w:val="single" w:sz="8" w:color="CFF0FC"/>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FF0FC"/>
            </w:tcBorders>
            <w:vMerge w:val="continue"/>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5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Borders>
              <w:bottom w:val="single" w:sz="8" w:color="CFF0FC"/>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FF0FC"/>
            </w:tcBorders>
            <w:vMerge w:val="continue"/>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Excess of Par</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w w:val="93"/>
              </w:rPr>
              <w:t>Earnings</w:t>
            </w:r>
          </w:p>
        </w:tc>
        <w:tc>
          <w:tcPr>
            <w:tcW w:w="14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760" w:type="dxa"/>
            <w:vAlign w:val="bottom"/>
            <w:tcBorders>
              <w:bottom w:val="single" w:sz="8" w:color="auto"/>
            </w:tcBorders>
          </w:tcPr>
          <w:p>
            <w:pPr>
              <w:jc w:val="right"/>
              <w:ind w:right="125"/>
              <w:spacing w:after="0"/>
              <w:rPr>
                <w:sz w:val="20"/>
                <w:szCs w:val="20"/>
                <w:color w:val="auto"/>
              </w:rPr>
            </w:pPr>
            <w:r>
              <w:rPr>
                <w:rFonts w:ascii="Arial" w:cs="Arial" w:eastAsia="Arial" w:hAnsi="Arial"/>
                <w:sz w:val="14"/>
                <w:szCs w:val="14"/>
                <w:b w:val="1"/>
                <w:bCs w:val="1"/>
                <w:color w:val="auto"/>
              </w:rPr>
              <w:t>Assets</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360" w:type="dxa"/>
            <w:vAlign w:val="bottom"/>
            <w:gridSpan w:val="2"/>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Balance at December 31, 2019</w:t>
            </w:r>
          </w:p>
        </w:tc>
        <w:tc>
          <w:tcPr>
            <w:tcW w:w="8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66,524,591</w:t>
            </w:r>
          </w:p>
        </w:tc>
        <w:tc>
          <w:tcPr>
            <w:tcW w:w="140" w:type="dxa"/>
            <w:vAlign w:val="bottom"/>
            <w:shd w:val="clear" w:color="auto" w:fill="CFF0FC"/>
          </w:tcPr>
          <w:p>
            <w:pPr>
              <w:spacing w:after="0"/>
              <w:rPr>
                <w:sz w:val="14"/>
                <w:szCs w:val="14"/>
                <w:color w:val="auto"/>
              </w:rPr>
            </w:pPr>
          </w:p>
        </w:tc>
        <w:tc>
          <w:tcPr>
            <w:tcW w:w="180" w:type="dxa"/>
            <w:vAlign w:val="bottom"/>
            <w:gridSpan w:val="2"/>
            <w:shd w:val="clear" w:color="auto" w:fill="CFF0FC"/>
          </w:tcPr>
          <w:p>
            <w:pPr>
              <w:ind w:left="60"/>
              <w:spacing w:after="0" w:line="169" w:lineRule="exact"/>
              <w:rPr>
                <w:sz w:val="20"/>
                <w:szCs w:val="20"/>
                <w:color w:val="auto"/>
              </w:rPr>
            </w:pPr>
            <w:r>
              <w:rPr>
                <w:rFonts w:ascii="Arial" w:cs="Arial" w:eastAsia="Arial" w:hAnsi="Arial"/>
                <w:sz w:val="15"/>
                <w:szCs w:val="15"/>
                <w:color w:val="auto"/>
              </w:rPr>
              <w:t>$</w:t>
            </w:r>
          </w:p>
        </w:tc>
        <w:tc>
          <w:tcPr>
            <w:tcW w:w="4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666</w:t>
            </w:r>
          </w:p>
        </w:tc>
        <w:tc>
          <w:tcPr>
            <w:tcW w:w="2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89,080</w:t>
            </w:r>
          </w:p>
        </w:tc>
        <w:tc>
          <w:tcPr>
            <w:tcW w:w="860" w:type="dxa"/>
            <w:vAlign w:val="bottom"/>
            <w:gridSpan w:val="3"/>
            <w:shd w:val="clear" w:color="auto" w:fill="CFF0FC"/>
          </w:tcPr>
          <w:p>
            <w:pPr>
              <w:jc w:val="right"/>
              <w:ind w:right="42"/>
              <w:spacing w:after="0" w:line="169" w:lineRule="exact"/>
              <w:rPr>
                <w:sz w:val="20"/>
                <w:szCs w:val="20"/>
                <w:color w:val="auto"/>
              </w:rPr>
            </w:pPr>
            <w:r>
              <w:rPr>
                <w:rFonts w:ascii="Arial" w:cs="Arial" w:eastAsia="Arial" w:hAnsi="Arial"/>
                <w:sz w:val="15"/>
                <w:szCs w:val="15"/>
                <w:color w:val="auto"/>
              </w:rPr>
              <w:t>$ (1,359)</w:t>
            </w:r>
          </w:p>
        </w:tc>
        <w:tc>
          <w:tcPr>
            <w:tcW w:w="22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5"/>
                <w:szCs w:val="15"/>
                <w:color w:val="auto"/>
              </w:rPr>
              <w:t>$</w:t>
            </w:r>
          </w:p>
        </w:tc>
        <w:tc>
          <w:tcPr>
            <w:tcW w:w="13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1,009,270</w:t>
            </w:r>
          </w:p>
        </w:tc>
        <w:tc>
          <w:tcPr>
            <w:tcW w:w="120" w:type="dxa"/>
            <w:vAlign w:val="bottom"/>
            <w:shd w:val="clear" w:color="auto" w:fill="CFF0FC"/>
          </w:tcPr>
          <w:p>
            <w:pPr>
              <w:spacing w:after="0"/>
              <w:rPr>
                <w:sz w:val="14"/>
                <w:szCs w:val="14"/>
                <w:color w:val="auto"/>
              </w:rPr>
            </w:pPr>
          </w:p>
        </w:tc>
        <w:tc>
          <w:tcPr>
            <w:tcW w:w="180" w:type="dxa"/>
            <w:vAlign w:val="bottom"/>
            <w:gridSpan w:val="2"/>
            <w:shd w:val="clear" w:color="auto" w:fill="CFF0FC"/>
          </w:tcPr>
          <w:p>
            <w:pPr>
              <w:ind w:left="80"/>
              <w:spacing w:after="0" w:line="169" w:lineRule="exact"/>
              <w:rPr>
                <w:sz w:val="20"/>
                <w:szCs w:val="20"/>
                <w:color w:val="auto"/>
              </w:rPr>
            </w:pPr>
            <w:r>
              <w:rPr>
                <w:rFonts w:ascii="Arial" w:cs="Arial" w:eastAsia="Arial" w:hAnsi="Arial"/>
                <w:sz w:val="15"/>
                <w:szCs w:val="15"/>
                <w:color w:val="auto"/>
                <w:w w:val="95"/>
              </w:rPr>
              <w:t>$</w:t>
            </w:r>
          </w:p>
        </w:tc>
        <w:tc>
          <w:tcPr>
            <w:tcW w:w="7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110,720</w:t>
            </w:r>
          </w:p>
        </w:tc>
        <w:tc>
          <w:tcPr>
            <w:tcW w:w="1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5"/>
                <w:szCs w:val="15"/>
                <w:color w:val="auto"/>
                <w:w w:val="98"/>
              </w:rPr>
              <w:t>$ 1,119,297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360" w:type="dxa"/>
            <w:vAlign w:val="bottom"/>
            <w:gridSpan w:val="2"/>
          </w:tcPr>
          <w:p>
            <w:pPr>
              <w:ind w:left="140"/>
              <w:spacing w:after="0"/>
              <w:rPr>
                <w:sz w:val="20"/>
                <w:szCs w:val="20"/>
                <w:color w:val="auto"/>
              </w:rPr>
            </w:pPr>
            <w:r>
              <w:rPr>
                <w:rFonts w:ascii="Arial" w:cs="Arial" w:eastAsia="Arial" w:hAnsi="Arial"/>
                <w:sz w:val="15"/>
                <w:szCs w:val="15"/>
                <w:color w:val="auto"/>
              </w:rPr>
              <w:t>Net decrease in net assets resulting from operations:</w:t>
            </w: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0" w:type="dxa"/>
            <w:vAlign w:val="bottom"/>
            <w:shd w:val="clear" w:color="auto" w:fill="CFF0FC"/>
          </w:tcPr>
          <w:p>
            <w:pPr>
              <w:spacing w:after="0"/>
              <w:rPr>
                <w:sz w:val="15"/>
                <w:szCs w:val="15"/>
                <w:color w:val="auto"/>
              </w:rPr>
            </w:pPr>
          </w:p>
        </w:tc>
        <w:tc>
          <w:tcPr>
            <w:tcW w:w="4120" w:type="dxa"/>
            <w:vAlign w:val="bottom"/>
            <w:shd w:val="clear" w:color="auto" w:fill="CFF0FC"/>
          </w:tcPr>
          <w:p>
            <w:pPr>
              <w:ind w:left="20"/>
              <w:spacing w:after="0"/>
              <w:rPr>
                <w:sz w:val="20"/>
                <w:szCs w:val="20"/>
                <w:color w:val="auto"/>
              </w:rPr>
            </w:pPr>
            <w:r>
              <w:rPr>
                <w:rFonts w:ascii="Arial" w:cs="Arial" w:eastAsia="Arial" w:hAnsi="Arial"/>
                <w:sz w:val="15"/>
                <w:szCs w:val="15"/>
                <w:color w:val="auto"/>
              </w:rPr>
              <w:t>Net investment income</w:t>
            </w: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102"/>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33,662</w:t>
            </w:r>
          </w:p>
        </w:tc>
        <w:tc>
          <w:tcPr>
            <w:tcW w:w="1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33,662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4120" w:type="dxa"/>
            <w:vAlign w:val="bottom"/>
          </w:tcPr>
          <w:p>
            <w:pPr>
              <w:ind w:left="20"/>
              <w:spacing w:after="0" w:line="162" w:lineRule="exact"/>
              <w:rPr>
                <w:sz w:val="20"/>
                <w:szCs w:val="20"/>
                <w:color w:val="auto"/>
              </w:rPr>
            </w:pPr>
            <w:r>
              <w:rPr>
                <w:rFonts w:ascii="Arial" w:cs="Arial" w:eastAsia="Arial" w:hAnsi="Arial"/>
                <w:sz w:val="15"/>
                <w:szCs w:val="15"/>
                <w:color w:val="auto"/>
              </w:rPr>
              <w:t>Net change in unrealized gains (losses) on investments and</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40" w:type="dxa"/>
            <w:vAlign w:val="bottom"/>
          </w:tcPr>
          <w:p>
            <w:pPr>
              <w:spacing w:after="0"/>
              <w:rPr>
                <w:sz w:val="15"/>
                <w:szCs w:val="15"/>
                <w:color w:val="auto"/>
              </w:rPr>
            </w:pPr>
          </w:p>
        </w:tc>
        <w:tc>
          <w:tcPr>
            <w:tcW w:w="4120" w:type="dxa"/>
            <w:vAlign w:val="bottom"/>
          </w:tcPr>
          <w:p>
            <w:pPr>
              <w:ind w:left="120"/>
              <w:spacing w:after="0"/>
              <w:rPr>
                <w:sz w:val="20"/>
                <w:szCs w:val="20"/>
                <w:color w:val="auto"/>
              </w:rPr>
            </w:pPr>
            <w:r>
              <w:rPr>
                <w:rFonts w:ascii="Arial" w:cs="Arial" w:eastAsia="Arial" w:hAnsi="Arial"/>
                <w:sz w:val="15"/>
                <w:szCs w:val="15"/>
                <w:color w:val="auto"/>
              </w:rPr>
              <w:t>foreign currency translation</w:t>
            </w: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660" w:type="dxa"/>
            <w:vAlign w:val="bottom"/>
            <w:gridSpan w:val="2"/>
          </w:tcPr>
          <w:p>
            <w:pPr>
              <w:jc w:val="right"/>
              <w:ind w:right="102"/>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5"/>
                <w:szCs w:val="15"/>
                <w:color w:val="auto"/>
              </w:rPr>
              <w:t>(84,680)</w:t>
            </w:r>
          </w:p>
        </w:tc>
        <w:tc>
          <w:tcPr>
            <w:tcW w:w="920" w:type="dxa"/>
            <w:vAlign w:val="bottom"/>
            <w:gridSpan w:val="3"/>
          </w:tcPr>
          <w:p>
            <w:pPr>
              <w:jc w:val="right"/>
              <w:ind w:right="60"/>
              <w:spacing w:after="0"/>
              <w:rPr>
                <w:sz w:val="20"/>
                <w:szCs w:val="20"/>
                <w:color w:val="auto"/>
              </w:rPr>
            </w:pPr>
            <w:r>
              <w:rPr>
                <w:rFonts w:ascii="Arial" w:cs="Arial" w:eastAsia="Arial" w:hAnsi="Arial"/>
                <w:sz w:val="15"/>
                <w:szCs w:val="15"/>
                <w:color w:val="auto"/>
              </w:rPr>
              <w:t>(84,680)</w:t>
            </w:r>
          </w:p>
        </w:tc>
        <w:tc>
          <w:tcPr>
            <w:tcW w:w="0" w:type="dxa"/>
            <w:vAlign w:val="bottom"/>
          </w:tcPr>
          <w:p>
            <w:pPr>
              <w:spacing w:after="0"/>
              <w:rPr>
                <w:sz w:val="1"/>
                <w:szCs w:val="1"/>
                <w:color w:val="auto"/>
              </w:rPr>
            </w:pPr>
          </w:p>
        </w:tc>
      </w:tr>
      <w:tr>
        <w:trPr>
          <w:trHeight w:val="162"/>
        </w:trPr>
        <w:tc>
          <w:tcPr>
            <w:tcW w:w="240" w:type="dxa"/>
            <w:vAlign w:val="bottom"/>
            <w:shd w:val="clear" w:color="auto" w:fill="CFF0FC"/>
          </w:tcPr>
          <w:p>
            <w:pPr>
              <w:spacing w:after="0"/>
              <w:rPr>
                <w:sz w:val="14"/>
                <w:szCs w:val="14"/>
                <w:color w:val="auto"/>
              </w:rPr>
            </w:pPr>
          </w:p>
        </w:tc>
        <w:tc>
          <w:tcPr>
            <w:tcW w:w="4120" w:type="dxa"/>
            <w:vAlign w:val="bottom"/>
            <w:shd w:val="clear" w:color="auto" w:fill="CFF0FC"/>
          </w:tcPr>
          <w:p>
            <w:pPr>
              <w:ind w:left="20"/>
              <w:spacing w:after="0" w:line="162" w:lineRule="exact"/>
              <w:rPr>
                <w:sz w:val="20"/>
                <w:szCs w:val="20"/>
                <w:color w:val="auto"/>
              </w:rPr>
            </w:pPr>
            <w:r>
              <w:rPr>
                <w:rFonts w:ascii="Arial" w:cs="Arial" w:eastAsia="Arial" w:hAnsi="Arial"/>
                <w:sz w:val="15"/>
                <w:szCs w:val="15"/>
                <w:color w:val="auto"/>
              </w:rPr>
              <w:t>Net realized gains (losses) on investments and foreign</w:t>
            </w:r>
          </w:p>
        </w:tc>
        <w:tc>
          <w:tcPr>
            <w:tcW w:w="8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40" w:type="dxa"/>
            <w:vAlign w:val="bottom"/>
            <w:shd w:val="clear" w:color="auto" w:fill="CFF0FC"/>
          </w:tcPr>
          <w:p>
            <w:pPr>
              <w:spacing w:after="0"/>
              <w:rPr>
                <w:sz w:val="15"/>
                <w:szCs w:val="15"/>
                <w:color w:val="auto"/>
              </w:rPr>
            </w:pPr>
          </w:p>
        </w:tc>
        <w:tc>
          <w:tcPr>
            <w:tcW w:w="4120" w:type="dxa"/>
            <w:vAlign w:val="bottom"/>
            <w:shd w:val="clear" w:color="auto" w:fill="CFF0FC"/>
          </w:tcPr>
          <w:p>
            <w:pPr>
              <w:ind w:left="120"/>
              <w:spacing w:after="0"/>
              <w:rPr>
                <w:sz w:val="20"/>
                <w:szCs w:val="20"/>
                <w:color w:val="auto"/>
              </w:rPr>
            </w:pPr>
            <w:r>
              <w:rPr>
                <w:rFonts w:ascii="Arial" w:cs="Arial" w:eastAsia="Arial" w:hAnsi="Arial"/>
                <w:sz w:val="15"/>
                <w:szCs w:val="15"/>
                <w:color w:val="auto"/>
              </w:rPr>
              <w:t>currency transactions</w:t>
            </w: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102"/>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(2,081)</w:t>
            </w:r>
          </w:p>
        </w:tc>
        <w:tc>
          <w:tcPr>
            <w:tcW w:w="920" w:type="dxa"/>
            <w:vAlign w:val="bottom"/>
            <w:gridSpan w:val="3"/>
            <w:shd w:val="clear" w:color="auto" w:fill="CFF0FC"/>
          </w:tcPr>
          <w:p>
            <w:pPr>
              <w:jc w:val="right"/>
              <w:ind w:right="60"/>
              <w:spacing w:after="0"/>
              <w:rPr>
                <w:sz w:val="20"/>
                <w:szCs w:val="20"/>
                <w:color w:val="auto"/>
              </w:rPr>
            </w:pPr>
            <w:r>
              <w:rPr>
                <w:rFonts w:ascii="Arial" w:cs="Arial" w:eastAsia="Arial" w:hAnsi="Arial"/>
                <w:sz w:val="15"/>
                <w:szCs w:val="15"/>
                <w:color w:val="auto"/>
              </w:rPr>
              <w:t>(2,081)</w:t>
            </w:r>
          </w:p>
        </w:tc>
        <w:tc>
          <w:tcPr>
            <w:tcW w:w="0" w:type="dxa"/>
            <w:vAlign w:val="bottom"/>
          </w:tcPr>
          <w:p>
            <w:pPr>
              <w:spacing w:after="0"/>
              <w:rPr>
                <w:sz w:val="1"/>
                <w:szCs w:val="1"/>
                <w:color w:val="auto"/>
              </w:rPr>
            </w:pPr>
          </w:p>
        </w:tc>
      </w:tr>
      <w:tr>
        <w:trPr>
          <w:trHeight w:val="162"/>
        </w:trPr>
        <w:tc>
          <w:tcPr>
            <w:tcW w:w="4360" w:type="dxa"/>
            <w:vAlign w:val="bottom"/>
            <w:gridSpan w:val="2"/>
          </w:tcPr>
          <w:p>
            <w:pPr>
              <w:ind w:left="140"/>
              <w:spacing w:after="0" w:line="162" w:lineRule="exact"/>
              <w:rPr>
                <w:sz w:val="20"/>
                <w:szCs w:val="20"/>
                <w:color w:val="auto"/>
              </w:rPr>
            </w:pPr>
            <w:r>
              <w:rPr>
                <w:rFonts w:ascii="Arial" w:cs="Arial" w:eastAsia="Arial" w:hAnsi="Arial"/>
                <w:sz w:val="15"/>
                <w:szCs w:val="15"/>
                <w:color w:val="auto"/>
              </w:rPr>
              <w:t>Decrease in Net Assets Resulting from Capital Share</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40" w:type="dxa"/>
            <w:vAlign w:val="bottom"/>
          </w:tcPr>
          <w:p>
            <w:pPr>
              <w:spacing w:after="0"/>
              <w:rPr>
                <w:sz w:val="15"/>
                <w:szCs w:val="15"/>
                <w:color w:val="auto"/>
              </w:rPr>
            </w:pPr>
          </w:p>
        </w:tc>
        <w:tc>
          <w:tcPr>
            <w:tcW w:w="4120" w:type="dxa"/>
            <w:vAlign w:val="bottom"/>
          </w:tcPr>
          <w:p>
            <w:pPr>
              <w:spacing w:after="0"/>
              <w:rPr>
                <w:sz w:val="20"/>
                <w:szCs w:val="20"/>
                <w:color w:val="auto"/>
              </w:rPr>
            </w:pPr>
            <w:r>
              <w:rPr>
                <w:rFonts w:ascii="Arial" w:cs="Arial" w:eastAsia="Arial" w:hAnsi="Arial"/>
                <w:sz w:val="15"/>
                <w:szCs w:val="15"/>
                <w:color w:val="auto"/>
              </w:rPr>
              <w:t>Transactions:</w:t>
            </w: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0" w:type="dxa"/>
            <w:vAlign w:val="bottom"/>
            <w:shd w:val="clear" w:color="auto" w:fill="CFF0FC"/>
          </w:tcPr>
          <w:p>
            <w:pPr>
              <w:spacing w:after="0"/>
              <w:rPr>
                <w:sz w:val="15"/>
                <w:szCs w:val="15"/>
                <w:color w:val="auto"/>
              </w:rPr>
            </w:pPr>
          </w:p>
        </w:tc>
        <w:tc>
          <w:tcPr>
            <w:tcW w:w="4120" w:type="dxa"/>
            <w:vAlign w:val="bottom"/>
            <w:shd w:val="clear" w:color="auto" w:fill="CFF0FC"/>
          </w:tcPr>
          <w:p>
            <w:pPr>
              <w:ind w:left="20"/>
              <w:spacing w:after="0"/>
              <w:rPr>
                <w:sz w:val="20"/>
                <w:szCs w:val="20"/>
                <w:color w:val="auto"/>
              </w:rPr>
            </w:pPr>
            <w:r>
              <w:rPr>
                <w:rFonts w:ascii="Arial" w:cs="Arial" w:eastAsia="Arial" w:hAnsi="Arial"/>
                <w:sz w:val="15"/>
                <w:szCs w:val="15"/>
                <w:color w:val="auto"/>
              </w:rPr>
              <w:t>Purchases of Treasury Stock</w:t>
            </w: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(206,964)</w:t>
            </w: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206,964</w:t>
            </w:r>
          </w:p>
        </w:tc>
        <w:tc>
          <w:tcPr>
            <w:tcW w:w="860" w:type="dxa"/>
            <w:vAlign w:val="bottom"/>
            <w:gridSpan w:val="3"/>
            <w:shd w:val="clear" w:color="auto" w:fill="CFF0FC"/>
          </w:tcPr>
          <w:p>
            <w:pPr>
              <w:jc w:val="right"/>
              <w:ind w:right="42"/>
              <w:spacing w:after="0"/>
              <w:rPr>
                <w:sz w:val="20"/>
                <w:szCs w:val="20"/>
                <w:color w:val="auto"/>
              </w:rPr>
            </w:pPr>
            <w:r>
              <w:rPr>
                <w:rFonts w:ascii="Arial" w:cs="Arial" w:eastAsia="Arial" w:hAnsi="Arial"/>
                <w:sz w:val="15"/>
                <w:szCs w:val="15"/>
                <w:color w:val="auto"/>
              </w:rPr>
              <w:t>(2,932)</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gridSpan w:val="3"/>
            <w:shd w:val="clear" w:color="auto" w:fill="CFF0FC"/>
          </w:tcPr>
          <w:p>
            <w:pPr>
              <w:jc w:val="right"/>
              <w:ind w:right="60"/>
              <w:spacing w:after="0"/>
              <w:rPr>
                <w:sz w:val="20"/>
                <w:szCs w:val="20"/>
                <w:color w:val="auto"/>
              </w:rPr>
            </w:pPr>
            <w:r>
              <w:rPr>
                <w:rFonts w:ascii="Arial" w:cs="Arial" w:eastAsia="Arial" w:hAnsi="Arial"/>
                <w:sz w:val="15"/>
                <w:szCs w:val="15"/>
                <w:color w:val="auto"/>
              </w:rPr>
              <w:t>(2,932)</w:t>
            </w:r>
          </w:p>
        </w:tc>
        <w:tc>
          <w:tcPr>
            <w:tcW w:w="0" w:type="dxa"/>
            <w:vAlign w:val="bottom"/>
          </w:tcPr>
          <w:p>
            <w:pPr>
              <w:spacing w:after="0"/>
              <w:rPr>
                <w:sz w:val="1"/>
                <w:szCs w:val="1"/>
                <w:color w:val="auto"/>
              </w:rPr>
            </w:pPr>
          </w:p>
        </w:tc>
      </w:tr>
      <w:tr>
        <w:trPr>
          <w:trHeight w:val="175"/>
        </w:trPr>
        <w:tc>
          <w:tcPr>
            <w:tcW w:w="4360" w:type="dxa"/>
            <w:vAlign w:val="bottom"/>
            <w:gridSpan w:val="2"/>
          </w:tcPr>
          <w:p>
            <w:pPr>
              <w:ind w:left="140"/>
              <w:spacing w:after="0"/>
              <w:rPr>
                <w:sz w:val="20"/>
                <w:szCs w:val="20"/>
                <w:color w:val="auto"/>
              </w:rPr>
            </w:pPr>
            <w:r>
              <w:rPr>
                <w:rFonts w:ascii="Arial" w:cs="Arial" w:eastAsia="Arial" w:hAnsi="Arial"/>
                <w:sz w:val="15"/>
                <w:szCs w:val="15"/>
                <w:color w:val="auto"/>
              </w:rPr>
              <w:t>Dividends to stockholders:</w:t>
            </w: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0" w:type="dxa"/>
            <w:vAlign w:val="bottom"/>
            <w:shd w:val="clear" w:color="auto" w:fill="CFF0FC"/>
          </w:tcPr>
          <w:p>
            <w:pPr>
              <w:spacing w:after="0"/>
              <w:rPr>
                <w:sz w:val="15"/>
                <w:szCs w:val="15"/>
                <w:color w:val="auto"/>
              </w:rPr>
            </w:pPr>
          </w:p>
        </w:tc>
        <w:tc>
          <w:tcPr>
            <w:tcW w:w="4120" w:type="dxa"/>
            <w:vAlign w:val="bottom"/>
            <w:shd w:val="clear" w:color="auto" w:fill="CFF0FC"/>
          </w:tcPr>
          <w:p>
            <w:pPr>
              <w:ind w:left="20"/>
              <w:spacing w:after="0"/>
              <w:rPr>
                <w:sz w:val="20"/>
                <w:szCs w:val="20"/>
                <w:color w:val="auto"/>
              </w:rPr>
            </w:pPr>
            <w:r>
              <w:rPr>
                <w:rFonts w:ascii="Arial" w:cs="Arial" w:eastAsia="Arial" w:hAnsi="Arial"/>
                <w:sz w:val="15"/>
                <w:szCs w:val="15"/>
                <w:color w:val="auto"/>
              </w:rPr>
              <w:t>Stock issued in connection with dividend reinvestment plan</w:t>
            </w: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252,144</w:t>
            </w:r>
          </w:p>
        </w:tc>
        <w:tc>
          <w:tcPr>
            <w:tcW w:w="1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w:t>
            </w:r>
          </w:p>
        </w:tc>
        <w:tc>
          <w:tcPr>
            <w:tcW w:w="2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102"/>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4,825</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4,828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0" w:type="dxa"/>
            <w:vAlign w:val="bottom"/>
          </w:tcPr>
          <w:p>
            <w:pPr>
              <w:spacing w:after="0"/>
              <w:rPr>
                <w:sz w:val="15"/>
                <w:szCs w:val="15"/>
                <w:color w:val="auto"/>
              </w:rPr>
            </w:pPr>
          </w:p>
        </w:tc>
        <w:tc>
          <w:tcPr>
            <w:tcW w:w="4120" w:type="dxa"/>
            <w:vAlign w:val="bottom"/>
          </w:tcPr>
          <w:p>
            <w:pPr>
              <w:ind w:left="20"/>
              <w:spacing w:after="0"/>
              <w:rPr>
                <w:sz w:val="20"/>
                <w:szCs w:val="20"/>
                <w:color w:val="auto"/>
              </w:rPr>
            </w:pPr>
            <w:r>
              <w:rPr>
                <w:rFonts w:ascii="Arial" w:cs="Arial" w:eastAsia="Arial" w:hAnsi="Arial"/>
                <w:sz w:val="15"/>
                <w:szCs w:val="15"/>
                <w:color w:val="auto"/>
              </w:rPr>
              <w:t>Dividends declared from net investment income</w:t>
            </w: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660" w:type="dxa"/>
            <w:vAlign w:val="bottom"/>
            <w:gridSpan w:val="2"/>
          </w:tcPr>
          <w:p>
            <w:pPr>
              <w:jc w:val="right"/>
              <w:ind w:right="102"/>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5"/>
                <w:szCs w:val="15"/>
                <w:color w:val="auto"/>
              </w:rPr>
              <w:t>(31,358)</w:t>
            </w:r>
          </w:p>
        </w:tc>
        <w:tc>
          <w:tcPr>
            <w:tcW w:w="920" w:type="dxa"/>
            <w:vAlign w:val="bottom"/>
            <w:gridSpan w:val="3"/>
          </w:tcPr>
          <w:p>
            <w:pPr>
              <w:jc w:val="right"/>
              <w:ind w:right="60"/>
              <w:spacing w:after="0"/>
              <w:rPr>
                <w:sz w:val="20"/>
                <w:szCs w:val="20"/>
                <w:color w:val="auto"/>
              </w:rPr>
            </w:pPr>
            <w:r>
              <w:rPr>
                <w:rFonts w:ascii="Arial" w:cs="Arial" w:eastAsia="Arial" w:hAnsi="Arial"/>
                <w:sz w:val="15"/>
                <w:szCs w:val="15"/>
                <w:color w:val="auto"/>
              </w:rPr>
              <w:t>(31,358)</w:t>
            </w:r>
          </w:p>
        </w:tc>
        <w:tc>
          <w:tcPr>
            <w:tcW w:w="0" w:type="dxa"/>
            <w:vAlign w:val="bottom"/>
          </w:tcPr>
          <w:p>
            <w:pPr>
              <w:spacing w:after="0"/>
              <w:rPr>
                <w:sz w:val="1"/>
                <w:szCs w:val="1"/>
                <w:color w:val="auto"/>
              </w:rPr>
            </w:pPr>
          </w:p>
        </w:tc>
      </w:tr>
      <w:tr>
        <w:trPr>
          <w:trHeight w:val="162"/>
        </w:trPr>
        <w:tc>
          <w:tcPr>
            <w:tcW w:w="4360" w:type="dxa"/>
            <w:vAlign w:val="bottom"/>
            <w:gridSpan w:val="2"/>
            <w:shd w:val="clear" w:color="auto" w:fill="CFF0FC"/>
          </w:tcPr>
          <w:p>
            <w:pPr>
              <w:ind w:left="140"/>
              <w:spacing w:after="0" w:line="162" w:lineRule="exact"/>
              <w:rPr>
                <w:sz w:val="20"/>
                <w:szCs w:val="20"/>
                <w:color w:val="auto"/>
              </w:rPr>
            </w:pPr>
            <w:r>
              <w:rPr>
                <w:rFonts w:ascii="Arial" w:cs="Arial" w:eastAsia="Arial" w:hAnsi="Arial"/>
                <w:sz w:val="15"/>
                <w:szCs w:val="15"/>
                <w:color w:val="auto"/>
              </w:rPr>
              <w:t>Tax reclassification of stockholders' equity in accordance with</w:t>
            </w:r>
          </w:p>
        </w:tc>
        <w:tc>
          <w:tcPr>
            <w:tcW w:w="8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40" w:type="dxa"/>
            <w:vAlign w:val="bottom"/>
            <w:shd w:val="clear" w:color="auto" w:fill="CFF0FC"/>
          </w:tcPr>
          <w:p>
            <w:pPr>
              <w:spacing w:after="0"/>
              <w:rPr>
                <w:sz w:val="15"/>
                <w:szCs w:val="15"/>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5"/>
                <w:szCs w:val="15"/>
                <w:color w:val="auto"/>
              </w:rPr>
              <w:t xml:space="preserve">GAAP </w:t>
            </w:r>
            <w:r>
              <w:rPr>
                <w:rFonts w:ascii="Arial" w:cs="Arial" w:eastAsia="Arial" w:hAnsi="Arial"/>
                <w:sz w:val="13"/>
                <w:szCs w:val="13"/>
                <w:color w:val="auto"/>
              </w:rPr>
              <w:t>(1)</w:t>
            </w: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102"/>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(1,016)</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1,016</w:t>
            </w:r>
          </w:p>
        </w:tc>
        <w:tc>
          <w:tcPr>
            <w:tcW w:w="1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4360" w:type="dxa"/>
            <w:vAlign w:val="bottom"/>
            <w:tcBorders>
              <w:bottom w:val="single" w:sz="8" w:color="CFF0FC"/>
            </w:tcBorders>
            <w:gridSpan w:val="2"/>
          </w:tcPr>
          <w:p>
            <w:pPr>
              <w:spacing w:after="0" w:line="169" w:lineRule="exact"/>
              <w:rPr>
                <w:sz w:val="20"/>
                <w:szCs w:val="20"/>
                <w:color w:val="auto"/>
              </w:rPr>
            </w:pPr>
            <w:r>
              <w:rPr>
                <w:rFonts w:ascii="Arial" w:cs="Arial" w:eastAsia="Arial" w:hAnsi="Arial"/>
                <w:sz w:val="15"/>
                <w:szCs w:val="15"/>
                <w:b w:val="1"/>
                <w:bCs w:val="1"/>
                <w:color w:val="auto"/>
              </w:rPr>
              <w:t>Balance at March 31, 2020</w:t>
            </w:r>
          </w:p>
        </w:tc>
        <w:tc>
          <w:tcPr>
            <w:tcW w:w="8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66,569,771</w:t>
            </w:r>
          </w:p>
        </w:tc>
        <w:tc>
          <w:tcPr>
            <w:tcW w:w="14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line="169" w:lineRule="exact"/>
              <w:rPr>
                <w:sz w:val="20"/>
                <w:szCs w:val="20"/>
                <w:color w:val="auto"/>
              </w:rPr>
            </w:pPr>
            <w:r>
              <w:rPr>
                <w:rFonts w:ascii="Arial" w:cs="Arial" w:eastAsia="Arial" w:hAnsi="Arial"/>
                <w:sz w:val="15"/>
                <w:szCs w:val="15"/>
                <w:b w:val="1"/>
                <w:bCs w:val="1"/>
                <w:color w:val="auto"/>
              </w:rPr>
              <w:t>$</w:t>
            </w:r>
          </w:p>
        </w:tc>
        <w:tc>
          <w:tcPr>
            <w:tcW w:w="4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669</w:t>
            </w:r>
          </w:p>
        </w:tc>
        <w:tc>
          <w:tcPr>
            <w:tcW w:w="200" w:type="dxa"/>
            <w:vAlign w:val="bottom"/>
            <w:tcBorders>
              <w:bottom w:val="single" w:sz="8" w:color="CFF0FC"/>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296,044</w:t>
            </w:r>
          </w:p>
        </w:tc>
        <w:tc>
          <w:tcPr>
            <w:tcW w:w="200" w:type="dxa"/>
            <w:vAlign w:val="bottom"/>
            <w:tcBorders>
              <w:bottom w:val="single" w:sz="8" w:color="CFF0FC"/>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w w:val="90"/>
              </w:rPr>
              <w:t>$ (4,291</w:t>
            </w:r>
          </w:p>
        </w:tc>
        <w:tc>
          <w:tcPr>
            <w:tcW w:w="120" w:type="dxa"/>
            <w:vAlign w:val="bottom"/>
            <w:tcBorders>
              <w:bottom w:val="single" w:sz="8" w:color="CFF0FC"/>
            </w:tcBorders>
          </w:tcPr>
          <w:p>
            <w:pPr>
              <w:jc w:val="right"/>
              <w:ind w:right="42"/>
              <w:spacing w:after="0"/>
              <w:rPr>
                <w:sz w:val="20"/>
                <w:szCs w:val="20"/>
                <w:color w:val="auto"/>
              </w:rPr>
            </w:pPr>
            <w:r>
              <w:rPr>
                <w:rFonts w:ascii="Arial" w:cs="Arial" w:eastAsia="Arial" w:hAnsi="Arial"/>
                <w:sz w:val="8"/>
                <w:szCs w:val="8"/>
                <w:b w:val="1"/>
                <w:bCs w:val="1"/>
                <w:color w:val="auto"/>
                <w:w w:val="73"/>
              </w:rPr>
              <w:t>)</w:t>
            </w:r>
          </w:p>
        </w:tc>
        <w:tc>
          <w:tcPr>
            <w:tcW w:w="8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w w:val="71"/>
              </w:rPr>
              <w:t>$</w:t>
            </w:r>
          </w:p>
        </w:tc>
        <w:tc>
          <w:tcPr>
            <w:tcW w:w="13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1,013,079</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line="169" w:lineRule="exact"/>
              <w:rPr>
                <w:sz w:val="20"/>
                <w:szCs w:val="20"/>
                <w:color w:val="auto"/>
              </w:rPr>
            </w:pPr>
            <w:r>
              <w:rPr>
                <w:rFonts w:ascii="Arial" w:cs="Arial" w:eastAsia="Arial" w:hAnsi="Arial"/>
                <w:sz w:val="15"/>
                <w:szCs w:val="15"/>
                <w:b w:val="1"/>
                <w:bCs w:val="1"/>
                <w:color w:val="auto"/>
                <w:w w:val="95"/>
              </w:rPr>
              <w:t>$</w:t>
            </w:r>
          </w:p>
        </w:tc>
        <w:tc>
          <w:tcPr>
            <w:tcW w:w="7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27,279</w:t>
            </w:r>
          </w:p>
        </w:tc>
        <w:tc>
          <w:tcPr>
            <w:tcW w:w="14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w w:val="90"/>
              </w:rPr>
              <w:t>$ 1,036,736</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360" w:type="dxa"/>
            <w:vAlign w:val="bottom"/>
            <w:gridSpan w:val="2"/>
            <w:shd w:val="clear" w:color="auto" w:fill="CFF0FC"/>
          </w:tcPr>
          <w:p>
            <w:pPr>
              <w:ind w:left="140"/>
              <w:spacing w:after="0" w:line="156" w:lineRule="exact"/>
              <w:rPr>
                <w:sz w:val="20"/>
                <w:szCs w:val="20"/>
                <w:color w:val="auto"/>
              </w:rPr>
            </w:pPr>
            <w:r>
              <w:rPr>
                <w:rFonts w:ascii="Arial" w:cs="Arial" w:eastAsia="Arial" w:hAnsi="Arial"/>
                <w:sz w:val="15"/>
                <w:szCs w:val="15"/>
                <w:color w:val="auto"/>
              </w:rPr>
              <w:t>Net increase in net assets resulting from operations:</w:t>
            </w:r>
          </w:p>
        </w:tc>
        <w:tc>
          <w:tcPr>
            <w:tcW w:w="8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40" w:type="dxa"/>
            <w:vAlign w:val="bottom"/>
          </w:tcPr>
          <w:p>
            <w:pPr>
              <w:spacing w:after="0"/>
              <w:rPr>
                <w:sz w:val="15"/>
                <w:szCs w:val="15"/>
                <w:color w:val="auto"/>
              </w:rPr>
            </w:pPr>
          </w:p>
        </w:tc>
        <w:tc>
          <w:tcPr>
            <w:tcW w:w="4120" w:type="dxa"/>
            <w:vAlign w:val="bottom"/>
          </w:tcPr>
          <w:p>
            <w:pPr>
              <w:ind w:left="20"/>
              <w:spacing w:after="0"/>
              <w:rPr>
                <w:sz w:val="20"/>
                <w:szCs w:val="20"/>
                <w:color w:val="auto"/>
              </w:rPr>
            </w:pPr>
            <w:r>
              <w:rPr>
                <w:rFonts w:ascii="Arial" w:cs="Arial" w:eastAsia="Arial" w:hAnsi="Arial"/>
                <w:sz w:val="15"/>
                <w:szCs w:val="15"/>
                <w:color w:val="auto"/>
              </w:rPr>
              <w:t>Net investment income</w:t>
            </w: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660" w:type="dxa"/>
            <w:vAlign w:val="bottom"/>
            <w:gridSpan w:val="2"/>
          </w:tcPr>
          <w:p>
            <w:pPr>
              <w:jc w:val="right"/>
              <w:ind w:right="102"/>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39,469</w:t>
            </w:r>
          </w:p>
        </w:tc>
        <w:tc>
          <w:tcPr>
            <w:tcW w:w="14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Arial" w:cs="Arial" w:eastAsia="Arial" w:hAnsi="Arial"/>
                <w:sz w:val="15"/>
                <w:szCs w:val="15"/>
                <w:color w:val="auto"/>
              </w:rPr>
              <w:t>39,469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40" w:type="dxa"/>
            <w:vAlign w:val="bottom"/>
            <w:shd w:val="clear" w:color="auto" w:fill="CFF0FC"/>
          </w:tcPr>
          <w:p>
            <w:pPr>
              <w:spacing w:after="0"/>
              <w:rPr>
                <w:sz w:val="14"/>
                <w:szCs w:val="14"/>
                <w:color w:val="auto"/>
              </w:rPr>
            </w:pPr>
          </w:p>
        </w:tc>
        <w:tc>
          <w:tcPr>
            <w:tcW w:w="4120" w:type="dxa"/>
            <w:vAlign w:val="bottom"/>
            <w:shd w:val="clear" w:color="auto" w:fill="CFF0FC"/>
          </w:tcPr>
          <w:p>
            <w:pPr>
              <w:ind w:left="20"/>
              <w:spacing w:after="0" w:line="162" w:lineRule="exact"/>
              <w:rPr>
                <w:sz w:val="20"/>
                <w:szCs w:val="20"/>
                <w:color w:val="auto"/>
              </w:rPr>
            </w:pPr>
            <w:r>
              <w:rPr>
                <w:rFonts w:ascii="Arial" w:cs="Arial" w:eastAsia="Arial" w:hAnsi="Arial"/>
                <w:sz w:val="15"/>
                <w:szCs w:val="15"/>
                <w:color w:val="auto"/>
              </w:rPr>
              <w:t>Net change in unrealized gains (losses) on investments and</w:t>
            </w:r>
          </w:p>
        </w:tc>
        <w:tc>
          <w:tcPr>
            <w:tcW w:w="8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40" w:type="dxa"/>
            <w:vAlign w:val="bottom"/>
            <w:shd w:val="clear" w:color="auto" w:fill="CFF0FC"/>
          </w:tcPr>
          <w:p>
            <w:pPr>
              <w:spacing w:after="0"/>
              <w:rPr>
                <w:sz w:val="15"/>
                <w:szCs w:val="15"/>
                <w:color w:val="auto"/>
              </w:rPr>
            </w:pPr>
          </w:p>
        </w:tc>
        <w:tc>
          <w:tcPr>
            <w:tcW w:w="4120" w:type="dxa"/>
            <w:vAlign w:val="bottom"/>
            <w:shd w:val="clear" w:color="auto" w:fill="CFF0FC"/>
          </w:tcPr>
          <w:p>
            <w:pPr>
              <w:ind w:left="120"/>
              <w:spacing w:after="0"/>
              <w:rPr>
                <w:sz w:val="20"/>
                <w:szCs w:val="20"/>
                <w:color w:val="auto"/>
              </w:rPr>
            </w:pPr>
            <w:r>
              <w:rPr>
                <w:rFonts w:ascii="Arial" w:cs="Arial" w:eastAsia="Arial" w:hAnsi="Arial"/>
                <w:sz w:val="15"/>
                <w:szCs w:val="15"/>
                <w:color w:val="auto"/>
              </w:rPr>
              <w:t>foreign currency translation</w:t>
            </w: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102"/>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57,234</w:t>
            </w:r>
          </w:p>
        </w:tc>
        <w:tc>
          <w:tcPr>
            <w:tcW w:w="1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57,234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4120" w:type="dxa"/>
            <w:vAlign w:val="bottom"/>
          </w:tcPr>
          <w:p>
            <w:pPr>
              <w:ind w:left="20"/>
              <w:spacing w:after="0" w:line="162" w:lineRule="exact"/>
              <w:rPr>
                <w:sz w:val="20"/>
                <w:szCs w:val="20"/>
                <w:color w:val="auto"/>
              </w:rPr>
            </w:pPr>
            <w:r>
              <w:rPr>
                <w:rFonts w:ascii="Arial" w:cs="Arial" w:eastAsia="Arial" w:hAnsi="Arial"/>
                <w:sz w:val="15"/>
                <w:szCs w:val="15"/>
                <w:color w:val="auto"/>
              </w:rPr>
              <w:t>Net realized gains (losses) on investments, foreign</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40" w:type="dxa"/>
            <w:vAlign w:val="bottom"/>
          </w:tcPr>
          <w:p>
            <w:pPr>
              <w:spacing w:after="0"/>
              <w:rPr>
                <w:sz w:val="15"/>
                <w:szCs w:val="15"/>
                <w:color w:val="auto"/>
              </w:rPr>
            </w:pPr>
          </w:p>
        </w:tc>
        <w:tc>
          <w:tcPr>
            <w:tcW w:w="4120" w:type="dxa"/>
            <w:vAlign w:val="bottom"/>
          </w:tcPr>
          <w:p>
            <w:pPr>
              <w:ind w:left="120"/>
              <w:spacing w:after="0"/>
              <w:rPr>
                <w:sz w:val="20"/>
                <w:szCs w:val="20"/>
                <w:color w:val="auto"/>
              </w:rPr>
            </w:pPr>
            <w:r>
              <w:rPr>
                <w:rFonts w:ascii="Arial" w:cs="Arial" w:eastAsia="Arial" w:hAnsi="Arial"/>
                <w:sz w:val="15"/>
                <w:szCs w:val="15"/>
                <w:color w:val="auto"/>
              </w:rPr>
              <w:t>currency transactions, and extinguishment of debt</w:t>
            </w: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660" w:type="dxa"/>
            <w:vAlign w:val="bottom"/>
            <w:gridSpan w:val="2"/>
          </w:tcPr>
          <w:p>
            <w:pPr>
              <w:jc w:val="right"/>
              <w:ind w:right="102"/>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5"/>
                <w:szCs w:val="15"/>
                <w:color w:val="auto"/>
              </w:rPr>
              <w:t>(833)</w:t>
            </w:r>
          </w:p>
        </w:tc>
        <w:tc>
          <w:tcPr>
            <w:tcW w:w="920" w:type="dxa"/>
            <w:vAlign w:val="bottom"/>
            <w:gridSpan w:val="3"/>
          </w:tcPr>
          <w:p>
            <w:pPr>
              <w:jc w:val="right"/>
              <w:ind w:right="60"/>
              <w:spacing w:after="0"/>
              <w:rPr>
                <w:sz w:val="20"/>
                <w:szCs w:val="20"/>
                <w:color w:val="auto"/>
              </w:rPr>
            </w:pPr>
            <w:r>
              <w:rPr>
                <w:rFonts w:ascii="Arial" w:cs="Arial" w:eastAsia="Arial" w:hAnsi="Arial"/>
                <w:sz w:val="15"/>
                <w:szCs w:val="15"/>
                <w:color w:val="auto"/>
              </w:rPr>
              <w:t>(833)</w:t>
            </w:r>
          </w:p>
        </w:tc>
        <w:tc>
          <w:tcPr>
            <w:tcW w:w="0" w:type="dxa"/>
            <w:vAlign w:val="bottom"/>
          </w:tcPr>
          <w:p>
            <w:pPr>
              <w:spacing w:after="0"/>
              <w:rPr>
                <w:sz w:val="1"/>
                <w:szCs w:val="1"/>
                <w:color w:val="auto"/>
              </w:rPr>
            </w:pPr>
          </w:p>
        </w:tc>
      </w:tr>
      <w:tr>
        <w:trPr>
          <w:trHeight w:val="162"/>
        </w:trPr>
        <w:tc>
          <w:tcPr>
            <w:tcW w:w="4360" w:type="dxa"/>
            <w:vAlign w:val="bottom"/>
            <w:gridSpan w:val="2"/>
            <w:shd w:val="clear" w:color="auto" w:fill="CFF0FC"/>
          </w:tcPr>
          <w:p>
            <w:pPr>
              <w:ind w:left="140"/>
              <w:spacing w:after="0" w:line="162" w:lineRule="exact"/>
              <w:rPr>
                <w:sz w:val="20"/>
                <w:szCs w:val="20"/>
                <w:color w:val="auto"/>
              </w:rPr>
            </w:pPr>
            <w:r>
              <w:rPr>
                <w:rFonts w:ascii="Arial" w:cs="Arial" w:eastAsia="Arial" w:hAnsi="Arial"/>
                <w:sz w:val="15"/>
                <w:szCs w:val="15"/>
                <w:color w:val="auto"/>
              </w:rPr>
              <w:t>Decrease in Net Assets Resulting from Capital Share</w:t>
            </w:r>
          </w:p>
        </w:tc>
        <w:tc>
          <w:tcPr>
            <w:tcW w:w="8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40" w:type="dxa"/>
            <w:vAlign w:val="bottom"/>
            <w:shd w:val="clear" w:color="auto" w:fill="CFF0FC"/>
          </w:tcPr>
          <w:p>
            <w:pPr>
              <w:spacing w:after="0"/>
              <w:rPr>
                <w:sz w:val="15"/>
                <w:szCs w:val="15"/>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5"/>
                <w:szCs w:val="15"/>
                <w:color w:val="auto"/>
              </w:rPr>
              <w:t>Transactions:</w:t>
            </w:r>
          </w:p>
        </w:tc>
        <w:tc>
          <w:tcPr>
            <w:tcW w:w="8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0" w:type="dxa"/>
            <w:vAlign w:val="bottom"/>
          </w:tcPr>
          <w:p>
            <w:pPr>
              <w:spacing w:after="0"/>
              <w:rPr>
                <w:sz w:val="15"/>
                <w:szCs w:val="15"/>
                <w:color w:val="auto"/>
              </w:rPr>
            </w:pPr>
          </w:p>
        </w:tc>
        <w:tc>
          <w:tcPr>
            <w:tcW w:w="4120" w:type="dxa"/>
            <w:vAlign w:val="bottom"/>
          </w:tcPr>
          <w:p>
            <w:pPr>
              <w:ind w:left="20"/>
              <w:spacing w:after="0"/>
              <w:rPr>
                <w:sz w:val="20"/>
                <w:szCs w:val="20"/>
                <w:color w:val="auto"/>
              </w:rPr>
            </w:pPr>
            <w:r>
              <w:rPr>
                <w:rFonts w:ascii="Arial" w:cs="Arial" w:eastAsia="Arial" w:hAnsi="Arial"/>
                <w:sz w:val="15"/>
                <w:szCs w:val="15"/>
                <w:color w:val="auto"/>
              </w:rPr>
              <w:t>Repurchase of convertible notes</w:t>
            </w: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660" w:type="dxa"/>
            <w:vAlign w:val="bottom"/>
            <w:gridSpan w:val="2"/>
          </w:tcPr>
          <w:p>
            <w:pPr>
              <w:jc w:val="right"/>
              <w:ind w:right="102"/>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5"/>
                <w:szCs w:val="15"/>
                <w:color w:val="auto"/>
              </w:rPr>
              <w:t>(910)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gridSpan w:val="3"/>
          </w:tcPr>
          <w:p>
            <w:pPr>
              <w:jc w:val="right"/>
              <w:ind w:right="60"/>
              <w:spacing w:after="0"/>
              <w:rPr>
                <w:sz w:val="20"/>
                <w:szCs w:val="20"/>
                <w:color w:val="auto"/>
              </w:rPr>
            </w:pPr>
            <w:r>
              <w:rPr>
                <w:rFonts w:ascii="Arial" w:cs="Arial" w:eastAsia="Arial" w:hAnsi="Arial"/>
                <w:sz w:val="15"/>
                <w:szCs w:val="15"/>
                <w:color w:val="auto"/>
              </w:rPr>
              <w:t>(910)</w:t>
            </w:r>
          </w:p>
        </w:tc>
        <w:tc>
          <w:tcPr>
            <w:tcW w:w="0" w:type="dxa"/>
            <w:vAlign w:val="bottom"/>
          </w:tcPr>
          <w:p>
            <w:pPr>
              <w:spacing w:after="0"/>
              <w:rPr>
                <w:sz w:val="1"/>
                <w:szCs w:val="1"/>
                <w:color w:val="auto"/>
              </w:rPr>
            </w:pPr>
          </w:p>
        </w:tc>
      </w:tr>
      <w:tr>
        <w:trPr>
          <w:trHeight w:val="176"/>
        </w:trPr>
        <w:tc>
          <w:tcPr>
            <w:tcW w:w="4360" w:type="dxa"/>
            <w:vAlign w:val="bottom"/>
            <w:gridSpan w:val="2"/>
            <w:shd w:val="clear" w:color="auto" w:fill="CFF0FC"/>
          </w:tcPr>
          <w:p>
            <w:pPr>
              <w:ind w:left="140"/>
              <w:spacing w:after="0"/>
              <w:rPr>
                <w:sz w:val="20"/>
                <w:szCs w:val="20"/>
                <w:color w:val="auto"/>
              </w:rPr>
            </w:pPr>
            <w:r>
              <w:rPr>
                <w:rFonts w:ascii="Arial" w:cs="Arial" w:eastAsia="Arial" w:hAnsi="Arial"/>
                <w:sz w:val="15"/>
                <w:szCs w:val="15"/>
                <w:color w:val="auto"/>
              </w:rPr>
              <w:t>Dividends to stockholders:</w:t>
            </w:r>
          </w:p>
        </w:tc>
        <w:tc>
          <w:tcPr>
            <w:tcW w:w="8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0" w:type="dxa"/>
            <w:vAlign w:val="bottom"/>
          </w:tcPr>
          <w:p>
            <w:pPr>
              <w:spacing w:after="0"/>
              <w:rPr>
                <w:sz w:val="15"/>
                <w:szCs w:val="15"/>
                <w:color w:val="auto"/>
              </w:rPr>
            </w:pPr>
          </w:p>
        </w:tc>
        <w:tc>
          <w:tcPr>
            <w:tcW w:w="4120" w:type="dxa"/>
            <w:vAlign w:val="bottom"/>
          </w:tcPr>
          <w:p>
            <w:pPr>
              <w:ind w:left="20"/>
              <w:spacing w:after="0"/>
              <w:rPr>
                <w:sz w:val="20"/>
                <w:szCs w:val="20"/>
                <w:color w:val="auto"/>
              </w:rPr>
            </w:pPr>
            <w:r>
              <w:rPr>
                <w:rFonts w:ascii="Arial" w:cs="Arial" w:eastAsia="Arial" w:hAnsi="Arial"/>
                <w:sz w:val="15"/>
                <w:szCs w:val="15"/>
                <w:color w:val="auto"/>
              </w:rPr>
              <w:t>Stock issued in connection with dividend reinvestment plan</w:t>
            </w:r>
          </w:p>
        </w:tc>
        <w:tc>
          <w:tcPr>
            <w:tcW w:w="800" w:type="dxa"/>
            <w:vAlign w:val="bottom"/>
          </w:tcPr>
          <w:p>
            <w:pPr>
              <w:jc w:val="right"/>
              <w:spacing w:after="0"/>
              <w:rPr>
                <w:sz w:val="20"/>
                <w:szCs w:val="20"/>
                <w:color w:val="auto"/>
              </w:rPr>
            </w:pPr>
            <w:r>
              <w:rPr>
                <w:rFonts w:ascii="Arial" w:cs="Arial" w:eastAsia="Arial" w:hAnsi="Arial"/>
                <w:sz w:val="15"/>
                <w:szCs w:val="15"/>
                <w:color w:val="auto"/>
              </w:rPr>
              <w:t>772,642</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7</w:t>
            </w:r>
          </w:p>
        </w:tc>
        <w:tc>
          <w:tcPr>
            <w:tcW w:w="2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660" w:type="dxa"/>
            <w:vAlign w:val="bottom"/>
            <w:gridSpan w:val="2"/>
          </w:tcPr>
          <w:p>
            <w:pPr>
              <w:jc w:val="right"/>
              <w:ind w:right="102"/>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11,876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spacing w:after="0"/>
              <w:rPr>
                <w:sz w:val="20"/>
                <w:szCs w:val="20"/>
                <w:color w:val="auto"/>
              </w:rPr>
            </w:pPr>
            <w:r>
              <w:rPr>
                <w:rFonts w:ascii="Arial" w:cs="Arial" w:eastAsia="Arial" w:hAnsi="Arial"/>
                <w:sz w:val="15"/>
                <w:szCs w:val="15"/>
                <w:color w:val="auto"/>
              </w:rPr>
              <w:t>11,883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0" w:type="dxa"/>
            <w:vAlign w:val="bottom"/>
            <w:shd w:val="clear" w:color="auto" w:fill="CFF0FC"/>
          </w:tcPr>
          <w:p>
            <w:pPr>
              <w:spacing w:after="0"/>
              <w:rPr>
                <w:sz w:val="15"/>
                <w:szCs w:val="15"/>
                <w:color w:val="auto"/>
              </w:rPr>
            </w:pPr>
          </w:p>
        </w:tc>
        <w:tc>
          <w:tcPr>
            <w:tcW w:w="4120" w:type="dxa"/>
            <w:vAlign w:val="bottom"/>
            <w:shd w:val="clear" w:color="auto" w:fill="CFF0FC"/>
          </w:tcPr>
          <w:p>
            <w:pPr>
              <w:ind w:left="20"/>
              <w:spacing w:after="0"/>
              <w:rPr>
                <w:sz w:val="20"/>
                <w:szCs w:val="20"/>
                <w:color w:val="auto"/>
              </w:rPr>
            </w:pPr>
            <w:r>
              <w:rPr>
                <w:rFonts w:ascii="Arial" w:cs="Arial" w:eastAsia="Arial" w:hAnsi="Arial"/>
                <w:sz w:val="15"/>
                <w:szCs w:val="15"/>
                <w:color w:val="auto"/>
              </w:rPr>
              <w:t>Dividends declared from net investment income</w:t>
            </w: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102"/>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(60,978)</w:t>
            </w:r>
          </w:p>
        </w:tc>
        <w:tc>
          <w:tcPr>
            <w:tcW w:w="920" w:type="dxa"/>
            <w:vAlign w:val="bottom"/>
            <w:gridSpan w:val="3"/>
            <w:shd w:val="clear" w:color="auto" w:fill="CFF0FC"/>
          </w:tcPr>
          <w:p>
            <w:pPr>
              <w:jc w:val="right"/>
              <w:ind w:right="60"/>
              <w:spacing w:after="0"/>
              <w:rPr>
                <w:sz w:val="20"/>
                <w:szCs w:val="20"/>
                <w:color w:val="auto"/>
              </w:rPr>
            </w:pPr>
            <w:r>
              <w:rPr>
                <w:rFonts w:ascii="Arial" w:cs="Arial" w:eastAsia="Arial" w:hAnsi="Arial"/>
                <w:sz w:val="15"/>
                <w:szCs w:val="15"/>
                <w:color w:val="auto"/>
              </w:rPr>
              <w:t>(60,978)</w:t>
            </w:r>
          </w:p>
        </w:tc>
        <w:tc>
          <w:tcPr>
            <w:tcW w:w="0" w:type="dxa"/>
            <w:vAlign w:val="bottom"/>
          </w:tcPr>
          <w:p>
            <w:pPr>
              <w:spacing w:after="0"/>
              <w:rPr>
                <w:sz w:val="1"/>
                <w:szCs w:val="1"/>
                <w:color w:val="auto"/>
              </w:rPr>
            </w:pPr>
          </w:p>
        </w:tc>
      </w:tr>
      <w:tr>
        <w:trPr>
          <w:trHeight w:val="209"/>
        </w:trPr>
        <w:tc>
          <w:tcPr>
            <w:tcW w:w="4360" w:type="dxa"/>
            <w:vAlign w:val="bottom"/>
            <w:tcBorders>
              <w:bottom w:val="single" w:sz="8" w:color="CFF0FC"/>
            </w:tcBorders>
            <w:gridSpan w:val="2"/>
          </w:tcPr>
          <w:p>
            <w:pPr>
              <w:spacing w:after="0" w:line="169" w:lineRule="exact"/>
              <w:rPr>
                <w:sz w:val="20"/>
                <w:szCs w:val="20"/>
                <w:color w:val="auto"/>
              </w:rPr>
            </w:pPr>
            <w:r>
              <w:rPr>
                <w:rFonts w:ascii="Arial" w:cs="Arial" w:eastAsia="Arial" w:hAnsi="Arial"/>
                <w:sz w:val="15"/>
                <w:szCs w:val="15"/>
                <w:b w:val="1"/>
                <w:bCs w:val="1"/>
                <w:color w:val="auto"/>
              </w:rPr>
              <w:t>Balance at June 30, 2020</w:t>
            </w:r>
          </w:p>
        </w:tc>
        <w:tc>
          <w:tcPr>
            <w:tcW w:w="8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67,342,413</w:t>
            </w:r>
          </w:p>
        </w:tc>
        <w:tc>
          <w:tcPr>
            <w:tcW w:w="14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line="169" w:lineRule="exact"/>
              <w:rPr>
                <w:sz w:val="20"/>
                <w:szCs w:val="20"/>
                <w:color w:val="auto"/>
              </w:rPr>
            </w:pPr>
            <w:r>
              <w:rPr>
                <w:rFonts w:ascii="Arial" w:cs="Arial" w:eastAsia="Arial" w:hAnsi="Arial"/>
                <w:sz w:val="15"/>
                <w:szCs w:val="15"/>
                <w:b w:val="1"/>
                <w:bCs w:val="1"/>
                <w:color w:val="auto"/>
              </w:rPr>
              <w:t>$</w:t>
            </w:r>
          </w:p>
        </w:tc>
        <w:tc>
          <w:tcPr>
            <w:tcW w:w="4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676</w:t>
            </w:r>
          </w:p>
        </w:tc>
        <w:tc>
          <w:tcPr>
            <w:tcW w:w="200" w:type="dxa"/>
            <w:vAlign w:val="bottom"/>
            <w:tcBorders>
              <w:bottom w:val="single" w:sz="8" w:color="CFF0FC"/>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296,044</w:t>
            </w:r>
          </w:p>
        </w:tc>
        <w:tc>
          <w:tcPr>
            <w:tcW w:w="200" w:type="dxa"/>
            <w:vAlign w:val="bottom"/>
            <w:tcBorders>
              <w:bottom w:val="single" w:sz="8" w:color="CFF0FC"/>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w w:val="90"/>
              </w:rPr>
              <w:t>$ (4,291</w:t>
            </w:r>
          </w:p>
        </w:tc>
        <w:tc>
          <w:tcPr>
            <w:tcW w:w="120" w:type="dxa"/>
            <w:vAlign w:val="bottom"/>
            <w:tcBorders>
              <w:bottom w:val="single" w:sz="8" w:color="CFF0FC"/>
            </w:tcBorders>
          </w:tcPr>
          <w:p>
            <w:pPr>
              <w:jc w:val="right"/>
              <w:ind w:right="42"/>
              <w:spacing w:after="0"/>
              <w:rPr>
                <w:sz w:val="20"/>
                <w:szCs w:val="20"/>
                <w:color w:val="auto"/>
              </w:rPr>
            </w:pPr>
            <w:r>
              <w:rPr>
                <w:rFonts w:ascii="Arial" w:cs="Arial" w:eastAsia="Arial" w:hAnsi="Arial"/>
                <w:sz w:val="8"/>
                <w:szCs w:val="8"/>
                <w:b w:val="1"/>
                <w:bCs w:val="1"/>
                <w:color w:val="auto"/>
                <w:w w:val="73"/>
              </w:rPr>
              <w:t>)</w:t>
            </w:r>
          </w:p>
        </w:tc>
        <w:tc>
          <w:tcPr>
            <w:tcW w:w="8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w w:val="71"/>
              </w:rPr>
              <w:t>$</w:t>
            </w:r>
          </w:p>
        </w:tc>
        <w:tc>
          <w:tcPr>
            <w:tcW w:w="13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1,024,045</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line="169" w:lineRule="exact"/>
              <w:rPr>
                <w:sz w:val="20"/>
                <w:szCs w:val="20"/>
                <w:color w:val="auto"/>
              </w:rPr>
            </w:pPr>
            <w:r>
              <w:rPr>
                <w:rFonts w:ascii="Arial" w:cs="Arial" w:eastAsia="Arial" w:hAnsi="Arial"/>
                <w:sz w:val="15"/>
                <w:szCs w:val="15"/>
                <w:b w:val="1"/>
                <w:bCs w:val="1"/>
                <w:color w:val="auto"/>
                <w:w w:val="95"/>
              </w:rPr>
              <w:t>$</w:t>
            </w:r>
          </w:p>
        </w:tc>
        <w:tc>
          <w:tcPr>
            <w:tcW w:w="7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62,171</w:t>
            </w:r>
          </w:p>
        </w:tc>
        <w:tc>
          <w:tcPr>
            <w:tcW w:w="14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w w:val="90"/>
              </w:rPr>
              <w:t>$ 1,082,601</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360" w:type="dxa"/>
            <w:vAlign w:val="bottom"/>
            <w:gridSpan w:val="2"/>
            <w:shd w:val="clear" w:color="auto" w:fill="CFF0FC"/>
          </w:tcPr>
          <w:p>
            <w:pPr>
              <w:ind w:left="140"/>
              <w:spacing w:after="0" w:line="156" w:lineRule="exact"/>
              <w:rPr>
                <w:sz w:val="20"/>
                <w:szCs w:val="20"/>
                <w:color w:val="auto"/>
              </w:rPr>
            </w:pPr>
            <w:r>
              <w:rPr>
                <w:rFonts w:ascii="Arial" w:cs="Arial" w:eastAsia="Arial" w:hAnsi="Arial"/>
                <w:sz w:val="15"/>
                <w:szCs w:val="15"/>
                <w:color w:val="auto"/>
              </w:rPr>
              <w:t>Net increase in net assets resulting from operations:</w:t>
            </w:r>
          </w:p>
        </w:tc>
        <w:tc>
          <w:tcPr>
            <w:tcW w:w="8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40" w:type="dxa"/>
            <w:vAlign w:val="bottom"/>
          </w:tcPr>
          <w:p>
            <w:pPr>
              <w:spacing w:after="0"/>
              <w:rPr>
                <w:sz w:val="15"/>
                <w:szCs w:val="15"/>
                <w:color w:val="auto"/>
              </w:rPr>
            </w:pPr>
          </w:p>
        </w:tc>
        <w:tc>
          <w:tcPr>
            <w:tcW w:w="4120" w:type="dxa"/>
            <w:vAlign w:val="bottom"/>
          </w:tcPr>
          <w:p>
            <w:pPr>
              <w:ind w:left="20"/>
              <w:spacing w:after="0"/>
              <w:rPr>
                <w:sz w:val="20"/>
                <w:szCs w:val="20"/>
                <w:color w:val="auto"/>
              </w:rPr>
            </w:pPr>
            <w:r>
              <w:rPr>
                <w:rFonts w:ascii="Arial" w:cs="Arial" w:eastAsia="Arial" w:hAnsi="Arial"/>
                <w:sz w:val="15"/>
                <w:szCs w:val="15"/>
                <w:color w:val="auto"/>
              </w:rPr>
              <w:t>Net investment income</w:t>
            </w: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660" w:type="dxa"/>
            <w:vAlign w:val="bottom"/>
            <w:gridSpan w:val="2"/>
          </w:tcPr>
          <w:p>
            <w:pPr>
              <w:jc w:val="right"/>
              <w:ind w:right="102"/>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41,104</w:t>
            </w:r>
          </w:p>
        </w:tc>
        <w:tc>
          <w:tcPr>
            <w:tcW w:w="14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Arial" w:cs="Arial" w:eastAsia="Arial" w:hAnsi="Arial"/>
                <w:sz w:val="15"/>
                <w:szCs w:val="15"/>
                <w:color w:val="auto"/>
              </w:rPr>
              <w:t>41,104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40" w:type="dxa"/>
            <w:vAlign w:val="bottom"/>
            <w:shd w:val="clear" w:color="auto" w:fill="CFF0FC"/>
          </w:tcPr>
          <w:p>
            <w:pPr>
              <w:spacing w:after="0"/>
              <w:rPr>
                <w:sz w:val="14"/>
                <w:szCs w:val="14"/>
                <w:color w:val="auto"/>
              </w:rPr>
            </w:pPr>
          </w:p>
        </w:tc>
        <w:tc>
          <w:tcPr>
            <w:tcW w:w="4120" w:type="dxa"/>
            <w:vAlign w:val="bottom"/>
            <w:shd w:val="clear" w:color="auto" w:fill="CFF0FC"/>
          </w:tcPr>
          <w:p>
            <w:pPr>
              <w:ind w:left="20"/>
              <w:spacing w:after="0" w:line="162" w:lineRule="exact"/>
              <w:rPr>
                <w:sz w:val="20"/>
                <w:szCs w:val="20"/>
                <w:color w:val="auto"/>
              </w:rPr>
            </w:pPr>
            <w:r>
              <w:rPr>
                <w:rFonts w:ascii="Arial" w:cs="Arial" w:eastAsia="Arial" w:hAnsi="Arial"/>
                <w:sz w:val="15"/>
                <w:szCs w:val="15"/>
                <w:color w:val="auto"/>
              </w:rPr>
              <w:t>Net change in unrealized gains (losses) on investments and</w:t>
            </w:r>
          </w:p>
        </w:tc>
        <w:tc>
          <w:tcPr>
            <w:tcW w:w="8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40" w:type="dxa"/>
            <w:vAlign w:val="bottom"/>
            <w:shd w:val="clear" w:color="auto" w:fill="CFF0FC"/>
          </w:tcPr>
          <w:p>
            <w:pPr>
              <w:spacing w:after="0"/>
              <w:rPr>
                <w:sz w:val="15"/>
                <w:szCs w:val="15"/>
                <w:color w:val="auto"/>
              </w:rPr>
            </w:pPr>
          </w:p>
        </w:tc>
        <w:tc>
          <w:tcPr>
            <w:tcW w:w="4120" w:type="dxa"/>
            <w:vAlign w:val="bottom"/>
            <w:shd w:val="clear" w:color="auto" w:fill="CFF0FC"/>
          </w:tcPr>
          <w:p>
            <w:pPr>
              <w:ind w:left="120"/>
              <w:spacing w:after="0"/>
              <w:rPr>
                <w:sz w:val="20"/>
                <w:szCs w:val="20"/>
                <w:color w:val="auto"/>
              </w:rPr>
            </w:pPr>
            <w:r>
              <w:rPr>
                <w:rFonts w:ascii="Arial" w:cs="Arial" w:eastAsia="Arial" w:hAnsi="Arial"/>
                <w:sz w:val="15"/>
                <w:szCs w:val="15"/>
                <w:color w:val="auto"/>
              </w:rPr>
              <w:t>foreign currency translation</w:t>
            </w: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102"/>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29,775</w:t>
            </w:r>
          </w:p>
        </w:tc>
        <w:tc>
          <w:tcPr>
            <w:tcW w:w="1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29,775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4120" w:type="dxa"/>
            <w:vAlign w:val="bottom"/>
          </w:tcPr>
          <w:p>
            <w:pPr>
              <w:ind w:left="20"/>
              <w:spacing w:after="0" w:line="162" w:lineRule="exact"/>
              <w:rPr>
                <w:sz w:val="20"/>
                <w:szCs w:val="20"/>
                <w:color w:val="auto"/>
              </w:rPr>
            </w:pPr>
            <w:r>
              <w:rPr>
                <w:rFonts w:ascii="Arial" w:cs="Arial" w:eastAsia="Arial" w:hAnsi="Arial"/>
                <w:sz w:val="15"/>
                <w:szCs w:val="15"/>
                <w:color w:val="auto"/>
              </w:rPr>
              <w:t>Net realized gains (losses) on investments and foreign</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40" w:type="dxa"/>
            <w:vAlign w:val="bottom"/>
          </w:tcPr>
          <w:p>
            <w:pPr>
              <w:spacing w:after="0"/>
              <w:rPr>
                <w:sz w:val="15"/>
                <w:szCs w:val="15"/>
                <w:color w:val="auto"/>
              </w:rPr>
            </w:pPr>
          </w:p>
        </w:tc>
        <w:tc>
          <w:tcPr>
            <w:tcW w:w="4120" w:type="dxa"/>
            <w:vAlign w:val="bottom"/>
          </w:tcPr>
          <w:p>
            <w:pPr>
              <w:ind w:left="120"/>
              <w:spacing w:after="0"/>
              <w:rPr>
                <w:sz w:val="20"/>
                <w:szCs w:val="20"/>
                <w:color w:val="auto"/>
              </w:rPr>
            </w:pPr>
            <w:r>
              <w:rPr>
                <w:rFonts w:ascii="Arial" w:cs="Arial" w:eastAsia="Arial" w:hAnsi="Arial"/>
                <w:sz w:val="15"/>
                <w:szCs w:val="15"/>
                <w:color w:val="auto"/>
              </w:rPr>
              <w:t>currency transactions</w:t>
            </w: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660" w:type="dxa"/>
            <w:vAlign w:val="bottom"/>
            <w:gridSpan w:val="2"/>
          </w:tcPr>
          <w:p>
            <w:pPr>
              <w:jc w:val="right"/>
              <w:ind w:right="102"/>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10,978</w:t>
            </w:r>
          </w:p>
        </w:tc>
        <w:tc>
          <w:tcPr>
            <w:tcW w:w="14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Arial" w:cs="Arial" w:eastAsia="Arial" w:hAnsi="Arial"/>
                <w:sz w:val="15"/>
                <w:szCs w:val="15"/>
                <w:color w:val="auto"/>
              </w:rPr>
              <w:t>10,978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360" w:type="dxa"/>
            <w:vAlign w:val="bottom"/>
            <w:gridSpan w:val="2"/>
            <w:shd w:val="clear" w:color="auto" w:fill="CFF0FC"/>
          </w:tcPr>
          <w:p>
            <w:pPr>
              <w:ind w:left="140"/>
              <w:spacing w:after="0"/>
              <w:rPr>
                <w:sz w:val="20"/>
                <w:szCs w:val="20"/>
                <w:color w:val="auto"/>
              </w:rPr>
            </w:pPr>
            <w:r>
              <w:rPr>
                <w:rFonts w:ascii="Arial" w:cs="Arial" w:eastAsia="Arial" w:hAnsi="Arial"/>
                <w:sz w:val="15"/>
                <w:szCs w:val="15"/>
                <w:color w:val="auto"/>
              </w:rPr>
              <w:t>Dividends to stockholders:</w:t>
            </w:r>
          </w:p>
        </w:tc>
        <w:tc>
          <w:tcPr>
            <w:tcW w:w="8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0" w:type="dxa"/>
            <w:vAlign w:val="bottom"/>
          </w:tcPr>
          <w:p>
            <w:pPr>
              <w:spacing w:after="0"/>
              <w:rPr>
                <w:sz w:val="15"/>
                <w:szCs w:val="15"/>
                <w:color w:val="auto"/>
              </w:rPr>
            </w:pPr>
          </w:p>
        </w:tc>
        <w:tc>
          <w:tcPr>
            <w:tcW w:w="4120" w:type="dxa"/>
            <w:vAlign w:val="bottom"/>
          </w:tcPr>
          <w:p>
            <w:pPr>
              <w:ind w:left="20"/>
              <w:spacing w:after="0"/>
              <w:rPr>
                <w:sz w:val="20"/>
                <w:szCs w:val="20"/>
                <w:color w:val="auto"/>
              </w:rPr>
            </w:pPr>
            <w:r>
              <w:rPr>
                <w:rFonts w:ascii="Arial" w:cs="Arial" w:eastAsia="Arial" w:hAnsi="Arial"/>
                <w:sz w:val="15"/>
                <w:szCs w:val="15"/>
                <w:color w:val="auto"/>
              </w:rPr>
              <w:t>Stock issued in connection with dividend reinvestment plan</w:t>
            </w:r>
          </w:p>
        </w:tc>
        <w:tc>
          <w:tcPr>
            <w:tcW w:w="800" w:type="dxa"/>
            <w:vAlign w:val="bottom"/>
          </w:tcPr>
          <w:p>
            <w:pPr>
              <w:jc w:val="right"/>
              <w:spacing w:after="0"/>
              <w:rPr>
                <w:sz w:val="20"/>
                <w:szCs w:val="20"/>
                <w:color w:val="auto"/>
              </w:rPr>
            </w:pPr>
            <w:r>
              <w:rPr>
                <w:rFonts w:ascii="Arial" w:cs="Arial" w:eastAsia="Arial" w:hAnsi="Arial"/>
                <w:sz w:val="15"/>
                <w:szCs w:val="15"/>
                <w:color w:val="auto"/>
              </w:rPr>
              <w:t>285,727</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3</w:t>
            </w:r>
          </w:p>
        </w:tc>
        <w:tc>
          <w:tcPr>
            <w:tcW w:w="2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660" w:type="dxa"/>
            <w:vAlign w:val="bottom"/>
            <w:gridSpan w:val="2"/>
          </w:tcPr>
          <w:p>
            <w:pPr>
              <w:jc w:val="right"/>
              <w:ind w:right="102"/>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4,487</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spacing w:after="0"/>
              <w:rPr>
                <w:sz w:val="20"/>
                <w:szCs w:val="20"/>
                <w:color w:val="auto"/>
              </w:rPr>
            </w:pPr>
            <w:r>
              <w:rPr>
                <w:rFonts w:ascii="Arial" w:cs="Arial" w:eastAsia="Arial" w:hAnsi="Arial"/>
                <w:sz w:val="15"/>
                <w:szCs w:val="15"/>
                <w:color w:val="auto"/>
              </w:rPr>
              <w:t>4,490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0" w:type="dxa"/>
            <w:vAlign w:val="bottom"/>
            <w:shd w:val="clear" w:color="auto" w:fill="CFF0FC"/>
          </w:tcPr>
          <w:p>
            <w:pPr>
              <w:spacing w:after="0"/>
              <w:rPr>
                <w:sz w:val="15"/>
                <w:szCs w:val="15"/>
                <w:color w:val="auto"/>
              </w:rPr>
            </w:pPr>
          </w:p>
        </w:tc>
        <w:tc>
          <w:tcPr>
            <w:tcW w:w="4120" w:type="dxa"/>
            <w:vAlign w:val="bottom"/>
            <w:shd w:val="clear" w:color="auto" w:fill="CFF0FC"/>
          </w:tcPr>
          <w:p>
            <w:pPr>
              <w:ind w:left="20"/>
              <w:spacing w:after="0"/>
              <w:rPr>
                <w:sz w:val="20"/>
                <w:szCs w:val="20"/>
                <w:color w:val="auto"/>
              </w:rPr>
            </w:pPr>
            <w:r>
              <w:rPr>
                <w:rFonts w:ascii="Arial" w:cs="Arial" w:eastAsia="Arial" w:hAnsi="Arial"/>
                <w:sz w:val="15"/>
                <w:szCs w:val="15"/>
                <w:color w:val="auto"/>
              </w:rPr>
              <w:t>Dividends declared from net investment income</w:t>
            </w: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102"/>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(27,728)</w:t>
            </w:r>
          </w:p>
        </w:tc>
        <w:tc>
          <w:tcPr>
            <w:tcW w:w="920" w:type="dxa"/>
            <w:vAlign w:val="bottom"/>
            <w:gridSpan w:val="3"/>
            <w:shd w:val="clear" w:color="auto" w:fill="CFF0FC"/>
          </w:tcPr>
          <w:p>
            <w:pPr>
              <w:jc w:val="right"/>
              <w:ind w:right="60"/>
              <w:spacing w:after="0"/>
              <w:rPr>
                <w:sz w:val="20"/>
                <w:szCs w:val="20"/>
                <w:color w:val="auto"/>
              </w:rPr>
            </w:pPr>
            <w:r>
              <w:rPr>
                <w:rFonts w:ascii="Arial" w:cs="Arial" w:eastAsia="Arial" w:hAnsi="Arial"/>
                <w:sz w:val="15"/>
                <w:szCs w:val="15"/>
                <w:color w:val="auto"/>
              </w:rPr>
              <w:t>(27,728)</w:t>
            </w:r>
          </w:p>
        </w:tc>
        <w:tc>
          <w:tcPr>
            <w:tcW w:w="0" w:type="dxa"/>
            <w:vAlign w:val="bottom"/>
          </w:tcPr>
          <w:p>
            <w:pPr>
              <w:spacing w:after="0"/>
              <w:rPr>
                <w:sz w:val="1"/>
                <w:szCs w:val="1"/>
                <w:color w:val="auto"/>
              </w:rPr>
            </w:pPr>
          </w:p>
        </w:tc>
      </w:tr>
      <w:tr>
        <w:trPr>
          <w:trHeight w:val="169"/>
        </w:trPr>
        <w:tc>
          <w:tcPr>
            <w:tcW w:w="4360" w:type="dxa"/>
            <w:vAlign w:val="bottom"/>
            <w:gridSpan w:val="2"/>
          </w:tcPr>
          <w:p>
            <w:pPr>
              <w:spacing w:after="0" w:line="169" w:lineRule="exact"/>
              <w:rPr>
                <w:sz w:val="20"/>
                <w:szCs w:val="20"/>
                <w:color w:val="auto"/>
              </w:rPr>
            </w:pPr>
            <w:r>
              <w:rPr>
                <w:rFonts w:ascii="Arial" w:cs="Arial" w:eastAsia="Arial" w:hAnsi="Arial"/>
                <w:sz w:val="15"/>
                <w:szCs w:val="15"/>
                <w:b w:val="1"/>
                <w:bCs w:val="1"/>
                <w:color w:val="auto"/>
              </w:rPr>
              <w:t>Balance at September 30, 2020</w:t>
            </w:r>
          </w:p>
        </w:tc>
        <w:tc>
          <w:tcPr>
            <w:tcW w:w="8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67,628,140</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line="169" w:lineRule="exact"/>
              <w:rPr>
                <w:sz w:val="20"/>
                <w:szCs w:val="20"/>
                <w:color w:val="auto"/>
              </w:rPr>
            </w:pPr>
            <w:r>
              <w:rPr>
                <w:rFonts w:ascii="Arial" w:cs="Arial" w:eastAsia="Arial" w:hAnsi="Arial"/>
                <w:sz w:val="15"/>
                <w:szCs w:val="15"/>
                <w:b w:val="1"/>
                <w:bCs w:val="1"/>
                <w:color w:val="auto"/>
              </w:rPr>
              <w:t>$</w:t>
            </w:r>
          </w:p>
        </w:tc>
        <w:tc>
          <w:tcPr>
            <w:tcW w:w="4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679</w:t>
            </w:r>
          </w:p>
        </w:tc>
        <w:tc>
          <w:tcPr>
            <w:tcW w:w="200" w:type="dxa"/>
            <w:vAlign w:val="bottom"/>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296,044</w:t>
            </w:r>
          </w:p>
        </w:tc>
        <w:tc>
          <w:tcPr>
            <w:tcW w:w="200" w:type="dxa"/>
            <w:vAlign w:val="bottom"/>
          </w:tcPr>
          <w:p>
            <w:pPr>
              <w:spacing w:after="0"/>
              <w:rPr>
                <w:sz w:val="14"/>
                <w:szCs w:val="14"/>
                <w:color w:val="auto"/>
              </w:rPr>
            </w:pPr>
          </w:p>
        </w:tc>
        <w:tc>
          <w:tcPr>
            <w:tcW w:w="5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w w:val="90"/>
              </w:rPr>
              <w:t>$ (4,291</w:t>
            </w:r>
          </w:p>
        </w:tc>
        <w:tc>
          <w:tcPr>
            <w:tcW w:w="120" w:type="dxa"/>
            <w:vAlign w:val="bottom"/>
          </w:tcPr>
          <w:p>
            <w:pPr>
              <w:jc w:val="right"/>
              <w:ind w:right="42"/>
              <w:spacing w:after="0"/>
              <w:rPr>
                <w:sz w:val="20"/>
                <w:szCs w:val="20"/>
                <w:color w:val="auto"/>
              </w:rPr>
            </w:pPr>
            <w:r>
              <w:rPr>
                <w:rFonts w:ascii="Arial" w:cs="Arial" w:eastAsia="Arial" w:hAnsi="Arial"/>
                <w:sz w:val="8"/>
                <w:szCs w:val="8"/>
                <w:b w:val="1"/>
                <w:bCs w:val="1"/>
                <w:color w:val="auto"/>
                <w:w w:val="73"/>
              </w:rPr>
              <w:t>)</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w w:val="71"/>
              </w:rPr>
              <w:t>$</w:t>
            </w:r>
          </w:p>
        </w:tc>
        <w:tc>
          <w:tcPr>
            <w:tcW w:w="13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1,028,532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line="169" w:lineRule="exact"/>
              <w:rPr>
                <w:sz w:val="20"/>
                <w:szCs w:val="20"/>
                <w:color w:val="auto"/>
              </w:rPr>
            </w:pPr>
            <w:r>
              <w:rPr>
                <w:rFonts w:ascii="Arial" w:cs="Arial" w:eastAsia="Arial" w:hAnsi="Arial"/>
                <w:sz w:val="15"/>
                <w:szCs w:val="15"/>
                <w:b w:val="1"/>
                <w:bCs w:val="1"/>
                <w:color w:val="auto"/>
                <w:w w:val="95"/>
              </w:rPr>
              <w:t>$</w:t>
            </w:r>
          </w:p>
        </w:tc>
        <w:tc>
          <w:tcPr>
            <w:tcW w:w="7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116,300</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w w:val="90"/>
              </w:rPr>
              <w:t>$ 1,141,220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0" w:type="dxa"/>
            <w:vAlign w:val="bottom"/>
            <w:vMerge w:val="restart"/>
          </w:tcPr>
          <w:p>
            <w:pPr>
              <w:spacing w:after="0"/>
              <w:rPr>
                <w:sz w:val="20"/>
                <w:szCs w:val="20"/>
                <w:color w:val="auto"/>
              </w:rPr>
            </w:pPr>
            <w:r>
              <w:rPr>
                <w:rFonts w:ascii="Arial" w:cs="Arial" w:eastAsia="Arial" w:hAnsi="Arial"/>
                <w:sz w:val="18"/>
                <w:szCs w:val="18"/>
                <w:color w:val="auto"/>
                <w:w w:val="99"/>
              </w:rPr>
              <w:t>(1)</w:t>
            </w:r>
          </w:p>
        </w:tc>
        <w:tc>
          <w:tcPr>
            <w:tcW w:w="4120" w:type="dxa"/>
            <w:vAlign w:val="bottom"/>
            <w:vMerge w:val="restart"/>
          </w:tcPr>
          <w:p>
            <w:pPr>
              <w:ind w:left="260"/>
              <w:spacing w:after="0"/>
              <w:rPr>
                <w:sz w:val="20"/>
                <w:szCs w:val="20"/>
                <w:color w:val="auto"/>
              </w:rPr>
            </w:pPr>
            <w:r>
              <w:rPr>
                <w:rFonts w:ascii="Arial" w:cs="Arial" w:eastAsia="Arial" w:hAnsi="Arial"/>
                <w:sz w:val="18"/>
                <w:szCs w:val="18"/>
                <w:color w:val="auto"/>
              </w:rPr>
              <w:t>The Company’s tax year end is March 31</w:t>
            </w:r>
            <w:r>
              <w:rPr>
                <w:rFonts w:ascii="Arial" w:cs="Arial" w:eastAsia="Arial" w:hAnsi="Arial"/>
                <w:sz w:val="15"/>
                <w:szCs w:val="15"/>
                <w:color w:val="auto"/>
              </w:rPr>
              <w:t>st</w:t>
            </w:r>
            <w:r>
              <w:rPr>
                <w:rFonts w:ascii="Arial" w:cs="Arial" w:eastAsia="Arial" w:hAnsi="Arial"/>
                <w:sz w:val="18"/>
                <w:szCs w:val="18"/>
                <w:color w:val="auto"/>
              </w:rPr>
              <w:t>.</w:t>
            </w: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40" w:type="dxa"/>
            <w:vAlign w:val="bottom"/>
            <w:vMerge w:val="continue"/>
          </w:tcPr>
          <w:p>
            <w:pPr>
              <w:spacing w:after="0"/>
              <w:rPr>
                <w:sz w:val="24"/>
                <w:szCs w:val="24"/>
                <w:color w:val="auto"/>
              </w:rPr>
            </w:pPr>
          </w:p>
        </w:tc>
        <w:tc>
          <w:tcPr>
            <w:tcW w:w="412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Sixth Street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540" w:type="dxa"/>
            <w:vAlign w:val="bottom"/>
            <w:tcBorders>
              <w:bottom w:val="single" w:sz="8" w:color="auto"/>
            </w:tcBorders>
            <w:gridSpan w:val="4"/>
          </w:tcPr>
          <w:p>
            <w:pPr>
              <w:jc w:val="right"/>
              <w:ind w:right="224"/>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4"/>
                <w:szCs w:val="14"/>
                <w:color w:val="auto"/>
              </w:rPr>
            </w:pPr>
          </w:p>
        </w:tc>
        <w:tc>
          <w:tcPr>
            <w:tcW w:w="1300" w:type="dxa"/>
            <w:vAlign w:val="bottom"/>
            <w:tcBorders>
              <w:bottom w:val="single" w:sz="8" w:color="auto"/>
            </w:tcBorders>
            <w:gridSpan w:val="3"/>
          </w:tcPr>
          <w:p>
            <w:pPr>
              <w:jc w:val="right"/>
              <w:ind w:right="124"/>
              <w:spacing w:after="0"/>
              <w:rPr>
                <w:sz w:val="20"/>
                <w:szCs w:val="20"/>
                <w:color w:val="auto"/>
              </w:rPr>
            </w:pPr>
            <w:r>
              <w:rPr>
                <w:rFonts w:ascii="Arial" w:cs="Arial" w:eastAsia="Arial" w:hAnsi="Arial"/>
                <w:sz w:val="14"/>
                <w:szCs w:val="14"/>
                <w:b w:val="1"/>
                <w:bCs w:val="1"/>
                <w:color w:val="auto"/>
              </w:rPr>
              <w:t>Treasury Stock</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9"/>
              </w:rPr>
              <w:t>Paid in Capital in</w:t>
            </w:r>
          </w:p>
        </w:tc>
        <w:tc>
          <w:tcPr>
            <w:tcW w:w="1120" w:type="dxa"/>
            <w:vAlign w:val="bottom"/>
            <w:gridSpan w:val="4"/>
            <w:vMerge w:val="restart"/>
          </w:tcPr>
          <w:p>
            <w:pPr>
              <w:jc w:val="right"/>
              <w:ind w:right="220"/>
              <w:spacing w:after="0"/>
              <w:rPr>
                <w:sz w:val="20"/>
                <w:szCs w:val="20"/>
                <w:color w:val="auto"/>
              </w:rPr>
            </w:pPr>
            <w:r>
              <w:rPr>
                <w:rFonts w:ascii="Arial" w:cs="Arial" w:eastAsia="Arial" w:hAnsi="Arial"/>
                <w:sz w:val="14"/>
                <w:szCs w:val="14"/>
                <w:b w:val="1"/>
                <w:bCs w:val="1"/>
                <w:color w:val="auto"/>
              </w:rPr>
              <w:t>Distributable</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Total Net</w:t>
            </w:r>
          </w:p>
        </w:tc>
        <w:tc>
          <w:tcPr>
            <w:tcW w:w="0" w:type="dxa"/>
            <w:vAlign w:val="bottom"/>
          </w:tcPr>
          <w:p>
            <w:pPr>
              <w:spacing w:after="0"/>
              <w:rPr>
                <w:sz w:val="1"/>
                <w:szCs w:val="1"/>
                <w:color w:val="auto"/>
              </w:rPr>
            </w:pPr>
          </w:p>
        </w:tc>
      </w:tr>
      <w:tr>
        <w:trPr>
          <w:trHeight w:val="133"/>
        </w:trPr>
        <w:tc>
          <w:tcPr>
            <w:tcW w:w="24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820" w:type="dxa"/>
            <w:vAlign w:val="bottom"/>
            <w:vMerge w:val="restart"/>
          </w:tcPr>
          <w:p>
            <w:pPr>
              <w:jc w:val="right"/>
              <w:ind w:right="144"/>
              <w:spacing w:after="0"/>
              <w:rPr>
                <w:sz w:val="20"/>
                <w:szCs w:val="20"/>
                <w:color w:val="auto"/>
              </w:rPr>
            </w:pPr>
            <w:r>
              <w:rPr>
                <w:rFonts w:ascii="Arial" w:cs="Arial" w:eastAsia="Arial" w:hAnsi="Arial"/>
                <w:sz w:val="14"/>
                <w:szCs w:val="14"/>
                <w:b w:val="1"/>
                <w:bCs w:val="1"/>
                <w:color w:val="auto"/>
              </w:rPr>
              <w:t>Shares</w:t>
            </w:r>
          </w:p>
        </w:tc>
        <w:tc>
          <w:tcPr>
            <w:tcW w:w="2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jc w:val="right"/>
              <w:ind w:right="84"/>
              <w:spacing w:after="0" w:line="133" w:lineRule="exact"/>
              <w:rPr>
                <w:sz w:val="20"/>
                <w:szCs w:val="20"/>
                <w:color w:val="auto"/>
              </w:rPr>
            </w:pPr>
            <w:r>
              <w:rPr>
                <w:rFonts w:ascii="Arial" w:cs="Arial" w:eastAsia="Arial" w:hAnsi="Arial"/>
                <w:sz w:val="14"/>
                <w:szCs w:val="14"/>
                <w:b w:val="1"/>
                <w:bCs w:val="1"/>
                <w:color w:val="auto"/>
                <w:w w:val="97"/>
              </w:rPr>
              <w:t>Par</w:t>
            </w:r>
          </w:p>
        </w:tc>
        <w:tc>
          <w:tcPr>
            <w:tcW w:w="220" w:type="dxa"/>
            <w:vAlign w:val="bottom"/>
          </w:tcPr>
          <w:p>
            <w:pPr>
              <w:spacing w:after="0"/>
              <w:rPr>
                <w:sz w:val="11"/>
                <w:szCs w:val="11"/>
                <w:color w:val="auto"/>
              </w:rPr>
            </w:pPr>
          </w:p>
        </w:tc>
        <w:tc>
          <w:tcPr>
            <w:tcW w:w="560" w:type="dxa"/>
            <w:vAlign w:val="bottom"/>
            <w:vMerge w:val="restart"/>
          </w:tcPr>
          <w:p>
            <w:pPr>
              <w:jc w:val="right"/>
              <w:ind w:right="4"/>
              <w:spacing w:after="0"/>
              <w:rPr>
                <w:sz w:val="20"/>
                <w:szCs w:val="20"/>
                <w:color w:val="auto"/>
              </w:rPr>
            </w:pPr>
            <w:r>
              <w:rPr>
                <w:rFonts w:ascii="Arial" w:cs="Arial" w:eastAsia="Arial" w:hAnsi="Arial"/>
                <w:sz w:val="14"/>
                <w:szCs w:val="14"/>
                <w:b w:val="1"/>
                <w:bCs w:val="1"/>
                <w:color w:val="auto"/>
                <w:w w:val="98"/>
              </w:rPr>
              <w:t>Shares</w:t>
            </w:r>
          </w:p>
        </w:tc>
        <w:tc>
          <w:tcPr>
            <w:tcW w:w="200" w:type="dxa"/>
            <w:vAlign w:val="bottom"/>
          </w:tcPr>
          <w:p>
            <w:pPr>
              <w:spacing w:after="0"/>
              <w:rPr>
                <w:sz w:val="11"/>
                <w:szCs w:val="11"/>
                <w:color w:val="auto"/>
              </w:rPr>
            </w:pPr>
          </w:p>
        </w:tc>
        <w:tc>
          <w:tcPr>
            <w:tcW w:w="540" w:type="dxa"/>
            <w:vAlign w:val="bottom"/>
            <w:vMerge w:val="restart"/>
          </w:tcPr>
          <w:p>
            <w:pPr>
              <w:jc w:val="right"/>
              <w:ind w:right="64"/>
              <w:spacing w:after="0"/>
              <w:rPr>
                <w:sz w:val="20"/>
                <w:szCs w:val="20"/>
                <w:color w:val="auto"/>
              </w:rPr>
            </w:pPr>
            <w:r>
              <w:rPr>
                <w:rFonts w:ascii="Arial" w:cs="Arial" w:eastAsia="Arial" w:hAnsi="Arial"/>
                <w:sz w:val="14"/>
                <w:szCs w:val="14"/>
                <w:b w:val="1"/>
                <w:bCs w:val="1"/>
                <w:color w:val="auto"/>
              </w:rPr>
              <w:t>Cost</w:t>
            </w:r>
          </w:p>
        </w:tc>
        <w:tc>
          <w:tcPr>
            <w:tcW w:w="20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1120" w:type="dxa"/>
            <w:vAlign w:val="bottom"/>
            <w:gridSpan w:val="4"/>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40" w:type="dxa"/>
            <w:vAlign w:val="bottom"/>
            <w:tcBorders>
              <w:bottom w:val="single" w:sz="8" w:color="CFF0FC"/>
            </w:tcBorders>
          </w:tcPr>
          <w:p>
            <w:pPr>
              <w:spacing w:after="0"/>
              <w:rPr>
                <w:sz w:val="14"/>
                <w:szCs w:val="14"/>
                <w:color w:val="auto"/>
              </w:rPr>
            </w:pPr>
          </w:p>
        </w:tc>
        <w:tc>
          <w:tcPr>
            <w:tcW w:w="4140" w:type="dxa"/>
            <w:vAlign w:val="bottom"/>
            <w:tcBorders>
              <w:bottom w:val="single" w:sz="8" w:color="CFF0FC"/>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FF0FC"/>
            </w:tcBorders>
            <w:vMerge w:val="continue"/>
          </w:tcPr>
          <w:p>
            <w:pPr>
              <w:spacing w:after="0"/>
              <w:rPr>
                <w:sz w:val="14"/>
                <w:szCs w:val="14"/>
                <w:color w:val="auto"/>
              </w:rPr>
            </w:pPr>
          </w:p>
        </w:tc>
        <w:tc>
          <w:tcPr>
            <w:tcW w:w="5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Borders>
              <w:bottom w:val="single" w:sz="8" w:color="CFF0FC"/>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FF0FC"/>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Excess of Par</w:t>
            </w: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w w:val="93"/>
              </w:rPr>
              <w:t>Earnings</w:t>
            </w:r>
          </w:p>
        </w:tc>
        <w:tc>
          <w:tcPr>
            <w:tcW w:w="200" w:type="dxa"/>
            <w:vAlign w:val="bottom"/>
            <w:tcBorders>
              <w:bottom w:val="single" w:sz="8" w:color="CFF0FC"/>
            </w:tcBorders>
          </w:tcPr>
          <w:p>
            <w:pPr>
              <w:spacing w:after="0"/>
              <w:rPr>
                <w:sz w:val="14"/>
                <w:szCs w:val="14"/>
                <w:color w:val="auto"/>
              </w:rPr>
            </w:pPr>
          </w:p>
        </w:tc>
        <w:tc>
          <w:tcPr>
            <w:tcW w:w="76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rPr>
              <w:t>Assets</w:t>
            </w:r>
          </w:p>
        </w:tc>
        <w:tc>
          <w:tcPr>
            <w:tcW w:w="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380" w:type="dxa"/>
            <w:vAlign w:val="bottom"/>
            <w:gridSpan w:val="2"/>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Balance at December 31, 2018</w:t>
            </w:r>
          </w:p>
        </w:tc>
        <w:tc>
          <w:tcPr>
            <w:tcW w:w="8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65,412,817</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w:t>
            </w:r>
          </w:p>
        </w:tc>
        <w:tc>
          <w:tcPr>
            <w:tcW w:w="4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655</w:t>
            </w:r>
          </w:p>
        </w:tc>
        <w:tc>
          <w:tcPr>
            <w:tcW w:w="22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89,080</w:t>
            </w:r>
          </w:p>
        </w:tc>
        <w:tc>
          <w:tcPr>
            <w:tcW w:w="940" w:type="dxa"/>
            <w:vAlign w:val="bottom"/>
            <w:gridSpan w:val="3"/>
            <w:shd w:val="clear" w:color="auto" w:fill="CFF0FC"/>
          </w:tcPr>
          <w:p>
            <w:pPr>
              <w:jc w:val="right"/>
              <w:ind w:right="122"/>
              <w:spacing w:after="0" w:line="169" w:lineRule="exact"/>
              <w:rPr>
                <w:sz w:val="20"/>
                <w:szCs w:val="20"/>
                <w:color w:val="auto"/>
              </w:rPr>
            </w:pPr>
            <w:r>
              <w:rPr>
                <w:rFonts w:ascii="Arial" w:cs="Arial" w:eastAsia="Arial" w:hAnsi="Arial"/>
                <w:sz w:val="15"/>
                <w:szCs w:val="15"/>
                <w:color w:val="auto"/>
              </w:rPr>
              <w:t>$ (1,359)</w:t>
            </w:r>
          </w:p>
        </w:tc>
        <w:tc>
          <w:tcPr>
            <w:tcW w:w="160" w:type="dxa"/>
            <w:vAlign w:val="bottom"/>
            <w:shd w:val="clear" w:color="auto" w:fill="CFF0FC"/>
          </w:tcPr>
          <w:p>
            <w:pPr>
              <w:jc w:val="right"/>
              <w:ind w:right="4"/>
              <w:spacing w:after="0" w:line="169" w:lineRule="exact"/>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991,919</w:t>
            </w:r>
          </w:p>
        </w:tc>
        <w:tc>
          <w:tcPr>
            <w:tcW w:w="120" w:type="dxa"/>
            <w:vAlign w:val="bottom"/>
            <w:shd w:val="clear" w:color="auto" w:fill="CFF0FC"/>
          </w:tcPr>
          <w:p>
            <w:pPr>
              <w:spacing w:after="0"/>
              <w:rPr>
                <w:sz w:val="14"/>
                <w:szCs w:val="14"/>
                <w:color w:val="auto"/>
              </w:rPr>
            </w:pPr>
          </w:p>
        </w:tc>
        <w:tc>
          <w:tcPr>
            <w:tcW w:w="20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5"/>
                <w:szCs w:val="15"/>
                <w:color w:val="auto"/>
              </w:rPr>
              <w:t>$</w:t>
            </w:r>
          </w:p>
        </w:tc>
        <w:tc>
          <w:tcPr>
            <w:tcW w:w="7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71,987</w:t>
            </w: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90"/>
              </w:rPr>
              <w:t>$ 1,063,202</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380" w:type="dxa"/>
            <w:vAlign w:val="bottom"/>
            <w:gridSpan w:val="2"/>
          </w:tcPr>
          <w:p>
            <w:pPr>
              <w:ind w:left="140"/>
              <w:spacing w:after="0"/>
              <w:rPr>
                <w:sz w:val="20"/>
                <w:szCs w:val="20"/>
                <w:color w:val="auto"/>
              </w:rPr>
            </w:pPr>
            <w:r>
              <w:rPr>
                <w:rFonts w:ascii="Arial" w:cs="Arial" w:eastAsia="Arial" w:hAnsi="Arial"/>
                <w:sz w:val="15"/>
                <w:szCs w:val="15"/>
                <w:color w:val="auto"/>
              </w:rPr>
              <w:t>Net increase in net assets resulting from operations:</w:t>
            </w: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0" w:type="dxa"/>
            <w:vAlign w:val="bottom"/>
            <w:shd w:val="clear" w:color="auto" w:fill="CFF0FC"/>
          </w:tcPr>
          <w:p>
            <w:pPr>
              <w:spacing w:after="0"/>
              <w:rPr>
                <w:sz w:val="15"/>
                <w:szCs w:val="15"/>
                <w:color w:val="auto"/>
              </w:rPr>
            </w:pPr>
          </w:p>
        </w:tc>
        <w:tc>
          <w:tcPr>
            <w:tcW w:w="4140" w:type="dxa"/>
            <w:vAlign w:val="bottom"/>
            <w:shd w:val="clear" w:color="auto" w:fill="CFF0FC"/>
          </w:tcPr>
          <w:p>
            <w:pPr>
              <w:ind w:left="20"/>
              <w:spacing w:after="0"/>
              <w:rPr>
                <w:sz w:val="20"/>
                <w:szCs w:val="20"/>
                <w:color w:val="auto"/>
              </w:rPr>
            </w:pPr>
            <w:r>
              <w:rPr>
                <w:rFonts w:ascii="Arial" w:cs="Arial" w:eastAsia="Arial" w:hAnsi="Arial"/>
                <w:sz w:val="15"/>
                <w:szCs w:val="15"/>
                <w:color w:val="auto"/>
              </w:rPr>
              <w:t>Net investment income</w:t>
            </w: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82"/>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26,638</w:t>
            </w: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26,638</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4140" w:type="dxa"/>
            <w:vAlign w:val="bottom"/>
          </w:tcPr>
          <w:p>
            <w:pPr>
              <w:ind w:left="20"/>
              <w:spacing w:after="0" w:line="162" w:lineRule="exact"/>
              <w:rPr>
                <w:sz w:val="20"/>
                <w:szCs w:val="20"/>
                <w:color w:val="auto"/>
              </w:rPr>
            </w:pPr>
            <w:r>
              <w:rPr>
                <w:rFonts w:ascii="Arial" w:cs="Arial" w:eastAsia="Arial" w:hAnsi="Arial"/>
                <w:sz w:val="15"/>
                <w:szCs w:val="15"/>
                <w:color w:val="auto"/>
              </w:rPr>
              <w:t>Net change in unrealized gains (losses) on investments and</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40" w:type="dxa"/>
            <w:vAlign w:val="bottom"/>
          </w:tcPr>
          <w:p>
            <w:pPr>
              <w:spacing w:after="0"/>
              <w:rPr>
                <w:sz w:val="15"/>
                <w:szCs w:val="15"/>
                <w:color w:val="auto"/>
              </w:rPr>
            </w:pPr>
          </w:p>
        </w:tc>
        <w:tc>
          <w:tcPr>
            <w:tcW w:w="4140" w:type="dxa"/>
            <w:vAlign w:val="bottom"/>
          </w:tcPr>
          <w:p>
            <w:pPr>
              <w:ind w:left="120"/>
              <w:spacing w:after="0"/>
              <w:rPr>
                <w:sz w:val="20"/>
                <w:szCs w:val="20"/>
                <w:color w:val="auto"/>
              </w:rPr>
            </w:pPr>
            <w:r>
              <w:rPr>
                <w:rFonts w:ascii="Arial" w:cs="Arial" w:eastAsia="Arial" w:hAnsi="Arial"/>
                <w:sz w:val="15"/>
                <w:szCs w:val="15"/>
                <w:color w:val="auto"/>
              </w:rPr>
              <w:t>foreign currency translation</w:t>
            </w: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740" w:type="dxa"/>
            <w:vAlign w:val="bottom"/>
            <w:gridSpan w:val="2"/>
          </w:tcPr>
          <w:p>
            <w:pPr>
              <w:jc w:val="right"/>
              <w:ind w:right="182"/>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11,460</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11,460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40" w:type="dxa"/>
            <w:vAlign w:val="bottom"/>
            <w:shd w:val="clear" w:color="auto" w:fill="CFF0FC"/>
          </w:tcPr>
          <w:p>
            <w:pPr>
              <w:spacing w:after="0"/>
              <w:rPr>
                <w:sz w:val="14"/>
                <w:szCs w:val="14"/>
                <w:color w:val="auto"/>
              </w:rPr>
            </w:pPr>
          </w:p>
        </w:tc>
        <w:tc>
          <w:tcPr>
            <w:tcW w:w="4140" w:type="dxa"/>
            <w:vAlign w:val="bottom"/>
            <w:shd w:val="clear" w:color="auto" w:fill="CFF0FC"/>
          </w:tcPr>
          <w:p>
            <w:pPr>
              <w:ind w:left="20"/>
              <w:spacing w:after="0" w:line="162" w:lineRule="exact"/>
              <w:rPr>
                <w:sz w:val="20"/>
                <w:szCs w:val="20"/>
                <w:color w:val="auto"/>
              </w:rPr>
            </w:pPr>
            <w:r>
              <w:rPr>
                <w:rFonts w:ascii="Arial" w:cs="Arial" w:eastAsia="Arial" w:hAnsi="Arial"/>
                <w:sz w:val="15"/>
                <w:szCs w:val="15"/>
                <w:color w:val="auto"/>
              </w:rPr>
              <w:t>Net realized gains (losses) on investments and foreign</w:t>
            </w: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40" w:type="dxa"/>
            <w:vAlign w:val="bottom"/>
            <w:shd w:val="clear" w:color="auto" w:fill="CFF0FC"/>
          </w:tcPr>
          <w:p>
            <w:pPr>
              <w:spacing w:after="0"/>
              <w:rPr>
                <w:sz w:val="15"/>
                <w:szCs w:val="15"/>
                <w:color w:val="auto"/>
              </w:rPr>
            </w:pPr>
          </w:p>
        </w:tc>
        <w:tc>
          <w:tcPr>
            <w:tcW w:w="4140" w:type="dxa"/>
            <w:vAlign w:val="bottom"/>
            <w:shd w:val="clear" w:color="auto" w:fill="CFF0FC"/>
          </w:tcPr>
          <w:p>
            <w:pPr>
              <w:ind w:left="120"/>
              <w:spacing w:after="0"/>
              <w:rPr>
                <w:sz w:val="20"/>
                <w:szCs w:val="20"/>
                <w:color w:val="auto"/>
              </w:rPr>
            </w:pPr>
            <w:r>
              <w:rPr>
                <w:rFonts w:ascii="Arial" w:cs="Arial" w:eastAsia="Arial" w:hAnsi="Arial"/>
                <w:sz w:val="15"/>
                <w:szCs w:val="15"/>
                <w:color w:val="auto"/>
              </w:rPr>
              <w:t>currency transactions</w:t>
            </w: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82"/>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647</w:t>
            </w: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647</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380" w:type="dxa"/>
            <w:vAlign w:val="bottom"/>
            <w:gridSpan w:val="2"/>
          </w:tcPr>
          <w:p>
            <w:pPr>
              <w:ind w:left="140"/>
              <w:spacing w:after="0"/>
              <w:rPr>
                <w:sz w:val="20"/>
                <w:szCs w:val="20"/>
                <w:color w:val="auto"/>
              </w:rPr>
            </w:pPr>
            <w:r>
              <w:rPr>
                <w:rFonts w:ascii="Arial" w:cs="Arial" w:eastAsia="Arial" w:hAnsi="Arial"/>
                <w:sz w:val="15"/>
                <w:szCs w:val="15"/>
                <w:color w:val="auto"/>
              </w:rPr>
              <w:t>Dividends to stockholders:</w:t>
            </w: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0" w:type="dxa"/>
            <w:vAlign w:val="bottom"/>
            <w:shd w:val="clear" w:color="auto" w:fill="CFF0FC"/>
          </w:tcPr>
          <w:p>
            <w:pPr>
              <w:spacing w:after="0"/>
              <w:rPr>
                <w:sz w:val="15"/>
                <w:szCs w:val="15"/>
                <w:color w:val="auto"/>
              </w:rPr>
            </w:pPr>
          </w:p>
        </w:tc>
        <w:tc>
          <w:tcPr>
            <w:tcW w:w="4140" w:type="dxa"/>
            <w:vAlign w:val="bottom"/>
            <w:shd w:val="clear" w:color="auto" w:fill="CFF0FC"/>
          </w:tcPr>
          <w:p>
            <w:pPr>
              <w:ind w:left="20"/>
              <w:spacing w:after="0"/>
              <w:rPr>
                <w:sz w:val="20"/>
                <w:szCs w:val="20"/>
                <w:color w:val="auto"/>
              </w:rPr>
            </w:pPr>
            <w:r>
              <w:rPr>
                <w:rFonts w:ascii="Arial" w:cs="Arial" w:eastAsia="Arial" w:hAnsi="Arial"/>
                <w:sz w:val="15"/>
                <w:szCs w:val="15"/>
                <w:color w:val="auto"/>
              </w:rPr>
              <w:t>Stock issued in connection with dividend reinvestment plan</w:t>
            </w: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300,145</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w:t>
            </w:r>
          </w:p>
        </w:tc>
        <w:tc>
          <w:tcPr>
            <w:tcW w:w="2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82"/>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5,583</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5,586</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0" w:type="dxa"/>
            <w:vAlign w:val="bottom"/>
          </w:tcPr>
          <w:p>
            <w:pPr>
              <w:spacing w:after="0"/>
              <w:rPr>
                <w:sz w:val="15"/>
                <w:szCs w:val="15"/>
                <w:color w:val="auto"/>
              </w:rPr>
            </w:pPr>
          </w:p>
        </w:tc>
        <w:tc>
          <w:tcPr>
            <w:tcW w:w="4140" w:type="dxa"/>
            <w:vAlign w:val="bottom"/>
          </w:tcPr>
          <w:p>
            <w:pPr>
              <w:ind w:left="20"/>
              <w:spacing w:after="0"/>
              <w:rPr>
                <w:sz w:val="20"/>
                <w:szCs w:val="20"/>
                <w:color w:val="auto"/>
              </w:rPr>
            </w:pPr>
            <w:r>
              <w:rPr>
                <w:rFonts w:ascii="Arial" w:cs="Arial" w:eastAsia="Arial" w:hAnsi="Arial"/>
                <w:sz w:val="15"/>
                <w:szCs w:val="15"/>
                <w:color w:val="auto"/>
              </w:rPr>
              <w:t>Dividends declared from net investment income</w:t>
            </w: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740" w:type="dxa"/>
            <w:vAlign w:val="bottom"/>
            <w:gridSpan w:val="2"/>
          </w:tcPr>
          <w:p>
            <w:pPr>
              <w:jc w:val="right"/>
              <w:ind w:right="182"/>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5"/>
                <w:szCs w:val="15"/>
                <w:color w:val="auto"/>
              </w:rPr>
              <w:t>(33,469)</w:t>
            </w:r>
          </w:p>
        </w:tc>
        <w:tc>
          <w:tcPr>
            <w:tcW w:w="820" w:type="dxa"/>
            <w:vAlign w:val="bottom"/>
            <w:gridSpan w:val="2"/>
          </w:tcPr>
          <w:p>
            <w:pPr>
              <w:jc w:val="right"/>
              <w:ind w:right="20"/>
              <w:spacing w:after="0"/>
              <w:rPr>
                <w:sz w:val="20"/>
                <w:szCs w:val="20"/>
                <w:color w:val="auto"/>
              </w:rPr>
            </w:pPr>
            <w:r>
              <w:rPr>
                <w:rFonts w:ascii="Arial" w:cs="Arial" w:eastAsia="Arial" w:hAnsi="Arial"/>
                <w:sz w:val="15"/>
                <w:szCs w:val="15"/>
                <w:color w:val="auto"/>
              </w:rPr>
              <w:t>(33,469)</w:t>
            </w:r>
          </w:p>
        </w:tc>
        <w:tc>
          <w:tcPr>
            <w:tcW w:w="0" w:type="dxa"/>
            <w:vAlign w:val="bottom"/>
          </w:tcPr>
          <w:p>
            <w:pPr>
              <w:spacing w:after="0"/>
              <w:rPr>
                <w:sz w:val="1"/>
                <w:szCs w:val="1"/>
                <w:color w:val="auto"/>
              </w:rPr>
            </w:pPr>
          </w:p>
        </w:tc>
      </w:tr>
      <w:tr>
        <w:trPr>
          <w:trHeight w:val="162"/>
        </w:trPr>
        <w:tc>
          <w:tcPr>
            <w:tcW w:w="4380" w:type="dxa"/>
            <w:vAlign w:val="bottom"/>
            <w:gridSpan w:val="2"/>
            <w:shd w:val="clear" w:color="auto" w:fill="CFF0FC"/>
          </w:tcPr>
          <w:p>
            <w:pPr>
              <w:ind w:left="140"/>
              <w:spacing w:after="0" w:line="162" w:lineRule="exact"/>
              <w:rPr>
                <w:sz w:val="20"/>
                <w:szCs w:val="20"/>
                <w:color w:val="auto"/>
              </w:rPr>
            </w:pPr>
            <w:r>
              <w:rPr>
                <w:rFonts w:ascii="Arial" w:cs="Arial" w:eastAsia="Arial" w:hAnsi="Arial"/>
                <w:sz w:val="15"/>
                <w:szCs w:val="15"/>
                <w:color w:val="auto"/>
              </w:rPr>
              <w:t>Tax reclassification of stockholders' equity in accordance with</w:t>
            </w: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40" w:type="dxa"/>
            <w:vAlign w:val="bottom"/>
            <w:shd w:val="clear" w:color="auto" w:fill="CFF0FC"/>
          </w:tcPr>
          <w:p>
            <w:pPr>
              <w:spacing w:after="0"/>
              <w:rPr>
                <w:sz w:val="15"/>
                <w:szCs w:val="15"/>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5"/>
                <w:szCs w:val="15"/>
                <w:color w:val="auto"/>
              </w:rPr>
              <w:t xml:space="preserve">GAAP </w:t>
            </w:r>
            <w:r>
              <w:rPr>
                <w:rFonts w:ascii="Arial" w:cs="Arial" w:eastAsia="Arial" w:hAnsi="Arial"/>
                <w:sz w:val="13"/>
                <w:szCs w:val="13"/>
                <w:color w:val="auto"/>
              </w:rPr>
              <w:t>(1)</w:t>
            </w: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82"/>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(304)</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304</w:t>
            </w:r>
          </w:p>
        </w:tc>
        <w:tc>
          <w:tcPr>
            <w:tcW w:w="2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4380" w:type="dxa"/>
            <w:vAlign w:val="bottom"/>
            <w:tcBorders>
              <w:bottom w:val="single" w:sz="8" w:color="CFF0FC"/>
            </w:tcBorders>
            <w:gridSpan w:val="2"/>
          </w:tcPr>
          <w:p>
            <w:pPr>
              <w:spacing w:after="0" w:line="169" w:lineRule="exact"/>
              <w:rPr>
                <w:sz w:val="20"/>
                <w:szCs w:val="20"/>
                <w:color w:val="auto"/>
              </w:rPr>
            </w:pPr>
            <w:r>
              <w:rPr>
                <w:rFonts w:ascii="Arial" w:cs="Arial" w:eastAsia="Arial" w:hAnsi="Arial"/>
                <w:sz w:val="15"/>
                <w:szCs w:val="15"/>
                <w:b w:val="1"/>
                <w:bCs w:val="1"/>
                <w:color w:val="auto"/>
              </w:rPr>
              <w:t>Balance at March 31, 2019</w:t>
            </w:r>
          </w:p>
        </w:tc>
        <w:tc>
          <w:tcPr>
            <w:tcW w:w="8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65,712,962</w:t>
            </w:r>
          </w:p>
        </w:tc>
        <w:tc>
          <w:tcPr>
            <w:tcW w:w="20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line="169" w:lineRule="exact"/>
              <w:rPr>
                <w:sz w:val="20"/>
                <w:szCs w:val="20"/>
                <w:color w:val="auto"/>
              </w:rPr>
            </w:pPr>
            <w:r>
              <w:rPr>
                <w:rFonts w:ascii="Arial" w:cs="Arial" w:eastAsia="Arial" w:hAnsi="Arial"/>
                <w:sz w:val="15"/>
                <w:szCs w:val="15"/>
                <w:b w:val="1"/>
                <w:bCs w:val="1"/>
                <w:color w:val="auto"/>
              </w:rPr>
              <w:t>$</w:t>
            </w:r>
          </w:p>
        </w:tc>
        <w:tc>
          <w:tcPr>
            <w:tcW w:w="4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658</w:t>
            </w:r>
          </w:p>
        </w:tc>
        <w:tc>
          <w:tcPr>
            <w:tcW w:w="220" w:type="dxa"/>
            <w:vAlign w:val="bottom"/>
            <w:tcBorders>
              <w:bottom w:val="single" w:sz="8" w:color="CFF0FC"/>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89,080</w:t>
            </w:r>
          </w:p>
        </w:tc>
        <w:tc>
          <w:tcPr>
            <w:tcW w:w="200" w:type="dxa"/>
            <w:vAlign w:val="bottom"/>
            <w:tcBorders>
              <w:bottom w:val="single" w:sz="8" w:color="CFF0FC"/>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w w:val="90"/>
              </w:rPr>
              <w:t>$ (1,359</w:t>
            </w:r>
          </w:p>
        </w:tc>
        <w:tc>
          <w:tcPr>
            <w:tcW w:w="200" w:type="dxa"/>
            <w:vAlign w:val="bottom"/>
            <w:tcBorders>
              <w:bottom w:val="single" w:sz="8" w:color="CFF0FC"/>
            </w:tcBorders>
          </w:tcPr>
          <w:p>
            <w:pPr>
              <w:jc w:val="right"/>
              <w:ind w:right="122"/>
              <w:spacing w:after="0"/>
              <w:rPr>
                <w:sz w:val="20"/>
                <w:szCs w:val="20"/>
                <w:color w:val="auto"/>
              </w:rPr>
            </w:pPr>
            <w:r>
              <w:rPr>
                <w:rFonts w:ascii="Arial" w:cs="Arial" w:eastAsia="Arial" w:hAnsi="Arial"/>
                <w:sz w:val="8"/>
                <w:szCs w:val="8"/>
                <w:b w:val="1"/>
                <w:bCs w:val="1"/>
                <w:color w:val="auto"/>
                <w:w w:val="73"/>
              </w:rPr>
              <w:t>)</w:t>
            </w:r>
          </w:p>
        </w:tc>
        <w:tc>
          <w:tcPr>
            <w:tcW w:w="160" w:type="dxa"/>
            <w:vAlign w:val="bottom"/>
            <w:tcBorders>
              <w:top w:val="single" w:sz="8" w:color="auto"/>
              <w:bottom w:val="single" w:sz="8" w:color="auto"/>
            </w:tcBorders>
          </w:tcPr>
          <w:p>
            <w:pPr>
              <w:jc w:val="right"/>
              <w:ind w:right="4"/>
              <w:spacing w:after="0" w:line="169" w:lineRule="exact"/>
              <w:rPr>
                <w:sz w:val="20"/>
                <w:szCs w:val="20"/>
                <w:color w:val="auto"/>
              </w:rPr>
            </w:pPr>
            <w:r>
              <w:rPr>
                <w:rFonts w:ascii="Arial" w:cs="Arial" w:eastAsia="Arial" w:hAnsi="Arial"/>
                <w:sz w:val="15"/>
                <w:szCs w:val="15"/>
                <w:b w:val="1"/>
                <w:bCs w:val="1"/>
                <w:color w:val="auto"/>
                <w:w w:val="71"/>
              </w:rPr>
              <w:t>$</w:t>
            </w:r>
          </w:p>
        </w:tc>
        <w:tc>
          <w:tcPr>
            <w:tcW w:w="13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997,198</w:t>
            </w:r>
          </w:p>
        </w:tc>
        <w:tc>
          <w:tcPr>
            <w:tcW w:w="1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77,567</w:t>
            </w:r>
          </w:p>
        </w:tc>
        <w:tc>
          <w:tcPr>
            <w:tcW w:w="200" w:type="dxa"/>
            <w:vAlign w:val="bottom"/>
            <w:tcBorders>
              <w:bottom w:val="single" w:sz="8" w:color="CFF0FC"/>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w w:val="90"/>
              </w:rPr>
              <w:t>$ 1,074,064</w:t>
            </w:r>
          </w:p>
        </w:tc>
        <w:tc>
          <w:tcPr>
            <w:tcW w:w="6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380" w:type="dxa"/>
            <w:vAlign w:val="bottom"/>
            <w:gridSpan w:val="2"/>
            <w:shd w:val="clear" w:color="auto" w:fill="CFF0FC"/>
          </w:tcPr>
          <w:p>
            <w:pPr>
              <w:ind w:left="140"/>
              <w:spacing w:after="0" w:line="156" w:lineRule="exact"/>
              <w:rPr>
                <w:sz w:val="20"/>
                <w:szCs w:val="20"/>
                <w:color w:val="auto"/>
              </w:rPr>
            </w:pPr>
            <w:r>
              <w:rPr>
                <w:rFonts w:ascii="Arial" w:cs="Arial" w:eastAsia="Arial" w:hAnsi="Arial"/>
                <w:sz w:val="15"/>
                <w:szCs w:val="15"/>
                <w:color w:val="auto"/>
              </w:rPr>
              <w:t>Net increase in net assets resulting from operations:</w:t>
            </w:r>
          </w:p>
        </w:tc>
        <w:tc>
          <w:tcPr>
            <w:tcW w:w="8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3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40" w:type="dxa"/>
            <w:vAlign w:val="bottom"/>
          </w:tcPr>
          <w:p>
            <w:pPr>
              <w:spacing w:after="0"/>
              <w:rPr>
                <w:sz w:val="15"/>
                <w:szCs w:val="15"/>
                <w:color w:val="auto"/>
              </w:rPr>
            </w:pPr>
          </w:p>
        </w:tc>
        <w:tc>
          <w:tcPr>
            <w:tcW w:w="4140" w:type="dxa"/>
            <w:vAlign w:val="bottom"/>
          </w:tcPr>
          <w:p>
            <w:pPr>
              <w:ind w:left="20"/>
              <w:spacing w:after="0"/>
              <w:rPr>
                <w:sz w:val="20"/>
                <w:szCs w:val="20"/>
                <w:color w:val="auto"/>
              </w:rPr>
            </w:pPr>
            <w:r>
              <w:rPr>
                <w:rFonts w:ascii="Arial" w:cs="Arial" w:eastAsia="Arial" w:hAnsi="Arial"/>
                <w:sz w:val="15"/>
                <w:szCs w:val="15"/>
                <w:color w:val="auto"/>
              </w:rPr>
              <w:t>Net investment income</w:t>
            </w: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740" w:type="dxa"/>
            <w:vAlign w:val="bottom"/>
            <w:gridSpan w:val="2"/>
          </w:tcPr>
          <w:p>
            <w:pPr>
              <w:jc w:val="right"/>
              <w:ind w:right="182"/>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31,142</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31,142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40" w:type="dxa"/>
            <w:vAlign w:val="bottom"/>
            <w:shd w:val="clear" w:color="auto" w:fill="CFF0FC"/>
          </w:tcPr>
          <w:p>
            <w:pPr>
              <w:spacing w:after="0"/>
              <w:rPr>
                <w:sz w:val="14"/>
                <w:szCs w:val="14"/>
                <w:color w:val="auto"/>
              </w:rPr>
            </w:pPr>
          </w:p>
        </w:tc>
        <w:tc>
          <w:tcPr>
            <w:tcW w:w="4140" w:type="dxa"/>
            <w:vAlign w:val="bottom"/>
            <w:shd w:val="clear" w:color="auto" w:fill="CFF0FC"/>
          </w:tcPr>
          <w:p>
            <w:pPr>
              <w:ind w:left="20"/>
              <w:spacing w:after="0" w:line="162" w:lineRule="exact"/>
              <w:rPr>
                <w:sz w:val="20"/>
                <w:szCs w:val="20"/>
                <w:color w:val="auto"/>
              </w:rPr>
            </w:pPr>
            <w:r>
              <w:rPr>
                <w:rFonts w:ascii="Arial" w:cs="Arial" w:eastAsia="Arial" w:hAnsi="Arial"/>
                <w:sz w:val="15"/>
                <w:szCs w:val="15"/>
                <w:color w:val="auto"/>
              </w:rPr>
              <w:t>Net change in unrealized gains (losses) on investments and</w:t>
            </w: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40" w:type="dxa"/>
            <w:vAlign w:val="bottom"/>
            <w:shd w:val="clear" w:color="auto" w:fill="CFF0FC"/>
          </w:tcPr>
          <w:p>
            <w:pPr>
              <w:spacing w:after="0"/>
              <w:rPr>
                <w:sz w:val="15"/>
                <w:szCs w:val="15"/>
                <w:color w:val="auto"/>
              </w:rPr>
            </w:pPr>
          </w:p>
        </w:tc>
        <w:tc>
          <w:tcPr>
            <w:tcW w:w="4140" w:type="dxa"/>
            <w:vAlign w:val="bottom"/>
            <w:shd w:val="clear" w:color="auto" w:fill="CFF0FC"/>
          </w:tcPr>
          <w:p>
            <w:pPr>
              <w:ind w:left="120"/>
              <w:spacing w:after="0"/>
              <w:rPr>
                <w:sz w:val="20"/>
                <w:szCs w:val="20"/>
                <w:color w:val="auto"/>
              </w:rPr>
            </w:pPr>
            <w:r>
              <w:rPr>
                <w:rFonts w:ascii="Arial" w:cs="Arial" w:eastAsia="Arial" w:hAnsi="Arial"/>
                <w:sz w:val="15"/>
                <w:szCs w:val="15"/>
                <w:color w:val="auto"/>
              </w:rPr>
              <w:t>foreign currency translation</w:t>
            </w: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82"/>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16,423</w:t>
            </w: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16,423</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4140" w:type="dxa"/>
            <w:vAlign w:val="bottom"/>
          </w:tcPr>
          <w:p>
            <w:pPr>
              <w:ind w:left="20"/>
              <w:spacing w:after="0" w:line="162" w:lineRule="exact"/>
              <w:rPr>
                <w:sz w:val="20"/>
                <w:szCs w:val="20"/>
                <w:color w:val="auto"/>
              </w:rPr>
            </w:pPr>
            <w:r>
              <w:rPr>
                <w:rFonts w:ascii="Arial" w:cs="Arial" w:eastAsia="Arial" w:hAnsi="Arial"/>
                <w:sz w:val="15"/>
                <w:szCs w:val="15"/>
                <w:color w:val="auto"/>
              </w:rPr>
              <w:t>Net realized gains (losses) on investments and foreign</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40" w:type="dxa"/>
            <w:vAlign w:val="bottom"/>
          </w:tcPr>
          <w:p>
            <w:pPr>
              <w:spacing w:after="0"/>
              <w:rPr>
                <w:sz w:val="15"/>
                <w:szCs w:val="15"/>
                <w:color w:val="auto"/>
              </w:rPr>
            </w:pPr>
          </w:p>
        </w:tc>
        <w:tc>
          <w:tcPr>
            <w:tcW w:w="4140" w:type="dxa"/>
            <w:vAlign w:val="bottom"/>
          </w:tcPr>
          <w:p>
            <w:pPr>
              <w:ind w:left="120"/>
              <w:spacing w:after="0"/>
              <w:rPr>
                <w:sz w:val="20"/>
                <w:szCs w:val="20"/>
                <w:color w:val="auto"/>
              </w:rPr>
            </w:pPr>
            <w:r>
              <w:rPr>
                <w:rFonts w:ascii="Arial" w:cs="Arial" w:eastAsia="Arial" w:hAnsi="Arial"/>
                <w:sz w:val="15"/>
                <w:szCs w:val="15"/>
                <w:color w:val="auto"/>
              </w:rPr>
              <w:t>currency transactions</w:t>
            </w: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740" w:type="dxa"/>
            <w:vAlign w:val="bottom"/>
            <w:gridSpan w:val="2"/>
          </w:tcPr>
          <w:p>
            <w:pPr>
              <w:jc w:val="right"/>
              <w:ind w:right="182"/>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230</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230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380" w:type="dxa"/>
            <w:vAlign w:val="bottom"/>
            <w:gridSpan w:val="2"/>
            <w:shd w:val="clear" w:color="auto" w:fill="CFF0FC"/>
          </w:tcPr>
          <w:p>
            <w:pPr>
              <w:ind w:left="140"/>
              <w:spacing w:after="0"/>
              <w:rPr>
                <w:sz w:val="20"/>
                <w:szCs w:val="20"/>
                <w:color w:val="auto"/>
              </w:rPr>
            </w:pPr>
            <w:r>
              <w:rPr>
                <w:rFonts w:ascii="Arial" w:cs="Arial" w:eastAsia="Arial" w:hAnsi="Arial"/>
                <w:sz w:val="15"/>
                <w:szCs w:val="15"/>
                <w:color w:val="auto"/>
              </w:rPr>
              <w:t>Dividends to stockholders:</w:t>
            </w:r>
          </w:p>
        </w:tc>
        <w:tc>
          <w:tcPr>
            <w:tcW w:w="8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0" w:type="dxa"/>
            <w:vAlign w:val="bottom"/>
          </w:tcPr>
          <w:p>
            <w:pPr>
              <w:spacing w:after="0"/>
              <w:rPr>
                <w:sz w:val="15"/>
                <w:szCs w:val="15"/>
                <w:color w:val="auto"/>
              </w:rPr>
            </w:pPr>
          </w:p>
        </w:tc>
        <w:tc>
          <w:tcPr>
            <w:tcW w:w="4140" w:type="dxa"/>
            <w:vAlign w:val="bottom"/>
          </w:tcPr>
          <w:p>
            <w:pPr>
              <w:ind w:left="20"/>
              <w:spacing w:after="0"/>
              <w:rPr>
                <w:sz w:val="20"/>
                <w:szCs w:val="20"/>
                <w:color w:val="auto"/>
              </w:rPr>
            </w:pPr>
            <w:r>
              <w:rPr>
                <w:rFonts w:ascii="Arial" w:cs="Arial" w:eastAsia="Arial" w:hAnsi="Arial"/>
                <w:sz w:val="15"/>
                <w:szCs w:val="15"/>
                <w:color w:val="auto"/>
              </w:rPr>
              <w:t>Stock issued in connection with dividend reinvestment plan</w:t>
            </w:r>
          </w:p>
        </w:tc>
        <w:tc>
          <w:tcPr>
            <w:tcW w:w="820" w:type="dxa"/>
            <w:vAlign w:val="bottom"/>
          </w:tcPr>
          <w:p>
            <w:pPr>
              <w:jc w:val="right"/>
              <w:spacing w:after="0"/>
              <w:rPr>
                <w:sz w:val="20"/>
                <w:szCs w:val="20"/>
                <w:color w:val="auto"/>
              </w:rPr>
            </w:pPr>
            <w:r>
              <w:rPr>
                <w:rFonts w:ascii="Arial" w:cs="Arial" w:eastAsia="Arial" w:hAnsi="Arial"/>
                <w:sz w:val="15"/>
                <w:szCs w:val="15"/>
                <w:color w:val="auto"/>
              </w:rPr>
              <w:t>325,328</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3</w:t>
            </w: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740" w:type="dxa"/>
            <w:vAlign w:val="bottom"/>
            <w:gridSpan w:val="2"/>
          </w:tcPr>
          <w:p>
            <w:pPr>
              <w:jc w:val="right"/>
              <w:ind w:right="182"/>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6,193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6,196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0" w:type="dxa"/>
            <w:vAlign w:val="bottom"/>
            <w:shd w:val="clear" w:color="auto" w:fill="CFF0FC"/>
          </w:tcPr>
          <w:p>
            <w:pPr>
              <w:spacing w:after="0"/>
              <w:rPr>
                <w:sz w:val="15"/>
                <w:szCs w:val="15"/>
                <w:color w:val="auto"/>
              </w:rPr>
            </w:pPr>
          </w:p>
        </w:tc>
        <w:tc>
          <w:tcPr>
            <w:tcW w:w="4140" w:type="dxa"/>
            <w:vAlign w:val="bottom"/>
            <w:shd w:val="clear" w:color="auto" w:fill="CFF0FC"/>
          </w:tcPr>
          <w:p>
            <w:pPr>
              <w:ind w:left="20"/>
              <w:spacing w:after="0"/>
              <w:rPr>
                <w:sz w:val="20"/>
                <w:szCs w:val="20"/>
                <w:color w:val="auto"/>
              </w:rPr>
            </w:pPr>
            <w:r>
              <w:rPr>
                <w:rFonts w:ascii="Arial" w:cs="Arial" w:eastAsia="Arial" w:hAnsi="Arial"/>
                <w:sz w:val="15"/>
                <w:szCs w:val="15"/>
                <w:color w:val="auto"/>
              </w:rPr>
              <w:t>Dividends declared from net investment income</w:t>
            </w: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82"/>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(26,412)</w:t>
            </w: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(26,412)</w:t>
            </w:r>
          </w:p>
        </w:tc>
        <w:tc>
          <w:tcPr>
            <w:tcW w:w="0" w:type="dxa"/>
            <w:vAlign w:val="bottom"/>
          </w:tcPr>
          <w:p>
            <w:pPr>
              <w:spacing w:after="0"/>
              <w:rPr>
                <w:sz w:val="1"/>
                <w:szCs w:val="1"/>
                <w:color w:val="auto"/>
              </w:rPr>
            </w:pPr>
          </w:p>
        </w:tc>
      </w:tr>
      <w:tr>
        <w:trPr>
          <w:trHeight w:val="209"/>
        </w:trPr>
        <w:tc>
          <w:tcPr>
            <w:tcW w:w="4380" w:type="dxa"/>
            <w:vAlign w:val="bottom"/>
            <w:tcBorders>
              <w:bottom w:val="single" w:sz="8" w:color="CFF0FC"/>
            </w:tcBorders>
            <w:gridSpan w:val="2"/>
          </w:tcPr>
          <w:p>
            <w:pPr>
              <w:spacing w:after="0" w:line="169" w:lineRule="exact"/>
              <w:rPr>
                <w:sz w:val="20"/>
                <w:szCs w:val="20"/>
                <w:color w:val="auto"/>
              </w:rPr>
            </w:pPr>
            <w:r>
              <w:rPr>
                <w:rFonts w:ascii="Arial" w:cs="Arial" w:eastAsia="Arial" w:hAnsi="Arial"/>
                <w:sz w:val="15"/>
                <w:szCs w:val="15"/>
                <w:b w:val="1"/>
                <w:bCs w:val="1"/>
                <w:color w:val="auto"/>
              </w:rPr>
              <w:t>Balance at June 30, 2019</w:t>
            </w:r>
          </w:p>
        </w:tc>
        <w:tc>
          <w:tcPr>
            <w:tcW w:w="8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66,038,290</w:t>
            </w:r>
          </w:p>
        </w:tc>
        <w:tc>
          <w:tcPr>
            <w:tcW w:w="20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line="169" w:lineRule="exact"/>
              <w:rPr>
                <w:sz w:val="20"/>
                <w:szCs w:val="20"/>
                <w:color w:val="auto"/>
              </w:rPr>
            </w:pPr>
            <w:r>
              <w:rPr>
                <w:rFonts w:ascii="Arial" w:cs="Arial" w:eastAsia="Arial" w:hAnsi="Arial"/>
                <w:sz w:val="15"/>
                <w:szCs w:val="15"/>
                <w:b w:val="1"/>
                <w:bCs w:val="1"/>
                <w:color w:val="auto"/>
              </w:rPr>
              <w:t>$</w:t>
            </w:r>
          </w:p>
        </w:tc>
        <w:tc>
          <w:tcPr>
            <w:tcW w:w="4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661</w:t>
            </w:r>
          </w:p>
        </w:tc>
        <w:tc>
          <w:tcPr>
            <w:tcW w:w="220" w:type="dxa"/>
            <w:vAlign w:val="bottom"/>
            <w:tcBorders>
              <w:bottom w:val="single" w:sz="8" w:color="CFF0FC"/>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89,080</w:t>
            </w:r>
          </w:p>
        </w:tc>
        <w:tc>
          <w:tcPr>
            <w:tcW w:w="200" w:type="dxa"/>
            <w:vAlign w:val="bottom"/>
            <w:tcBorders>
              <w:bottom w:val="single" w:sz="8" w:color="CFF0FC"/>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w w:val="90"/>
              </w:rPr>
              <w:t>$ (1,359</w:t>
            </w:r>
          </w:p>
        </w:tc>
        <w:tc>
          <w:tcPr>
            <w:tcW w:w="200" w:type="dxa"/>
            <w:vAlign w:val="bottom"/>
            <w:tcBorders>
              <w:bottom w:val="single" w:sz="8" w:color="CFF0FC"/>
            </w:tcBorders>
          </w:tcPr>
          <w:p>
            <w:pPr>
              <w:jc w:val="right"/>
              <w:ind w:right="122"/>
              <w:spacing w:after="0"/>
              <w:rPr>
                <w:sz w:val="20"/>
                <w:szCs w:val="20"/>
                <w:color w:val="auto"/>
              </w:rPr>
            </w:pPr>
            <w:r>
              <w:rPr>
                <w:rFonts w:ascii="Arial" w:cs="Arial" w:eastAsia="Arial" w:hAnsi="Arial"/>
                <w:sz w:val="8"/>
                <w:szCs w:val="8"/>
                <w:b w:val="1"/>
                <w:bCs w:val="1"/>
                <w:color w:val="auto"/>
                <w:w w:val="73"/>
              </w:rPr>
              <w:t>)</w:t>
            </w:r>
          </w:p>
        </w:tc>
        <w:tc>
          <w:tcPr>
            <w:tcW w:w="160" w:type="dxa"/>
            <w:vAlign w:val="bottom"/>
            <w:tcBorders>
              <w:top w:val="single" w:sz="8" w:color="auto"/>
              <w:bottom w:val="single" w:sz="8" w:color="auto"/>
            </w:tcBorders>
          </w:tcPr>
          <w:p>
            <w:pPr>
              <w:jc w:val="right"/>
              <w:ind w:right="4"/>
              <w:spacing w:after="0" w:line="169" w:lineRule="exact"/>
              <w:rPr>
                <w:sz w:val="20"/>
                <w:szCs w:val="20"/>
                <w:color w:val="auto"/>
              </w:rPr>
            </w:pPr>
            <w:r>
              <w:rPr>
                <w:rFonts w:ascii="Arial" w:cs="Arial" w:eastAsia="Arial" w:hAnsi="Arial"/>
                <w:sz w:val="15"/>
                <w:szCs w:val="15"/>
                <w:b w:val="1"/>
                <w:bCs w:val="1"/>
                <w:color w:val="auto"/>
                <w:w w:val="71"/>
              </w:rPr>
              <w:t>$</w:t>
            </w:r>
          </w:p>
        </w:tc>
        <w:tc>
          <w:tcPr>
            <w:tcW w:w="13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1,003,391</w:t>
            </w:r>
          </w:p>
        </w:tc>
        <w:tc>
          <w:tcPr>
            <w:tcW w:w="1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98,950</w:t>
            </w:r>
          </w:p>
        </w:tc>
        <w:tc>
          <w:tcPr>
            <w:tcW w:w="200" w:type="dxa"/>
            <w:vAlign w:val="bottom"/>
            <w:tcBorders>
              <w:bottom w:val="single" w:sz="8" w:color="CFF0FC"/>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w w:val="90"/>
              </w:rPr>
              <w:t>$ 1,101,643</w:t>
            </w:r>
          </w:p>
        </w:tc>
        <w:tc>
          <w:tcPr>
            <w:tcW w:w="6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380" w:type="dxa"/>
            <w:vAlign w:val="bottom"/>
            <w:gridSpan w:val="2"/>
            <w:shd w:val="clear" w:color="auto" w:fill="CFF0FC"/>
          </w:tcPr>
          <w:p>
            <w:pPr>
              <w:ind w:left="140"/>
              <w:spacing w:after="0" w:line="156" w:lineRule="exact"/>
              <w:rPr>
                <w:sz w:val="20"/>
                <w:szCs w:val="20"/>
                <w:color w:val="auto"/>
              </w:rPr>
            </w:pPr>
            <w:r>
              <w:rPr>
                <w:rFonts w:ascii="Arial" w:cs="Arial" w:eastAsia="Arial" w:hAnsi="Arial"/>
                <w:sz w:val="15"/>
                <w:szCs w:val="15"/>
                <w:color w:val="auto"/>
              </w:rPr>
              <w:t>Net increase in net assets resulting from operations:</w:t>
            </w:r>
          </w:p>
        </w:tc>
        <w:tc>
          <w:tcPr>
            <w:tcW w:w="8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3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40" w:type="dxa"/>
            <w:vAlign w:val="bottom"/>
          </w:tcPr>
          <w:p>
            <w:pPr>
              <w:spacing w:after="0"/>
              <w:rPr>
                <w:sz w:val="15"/>
                <w:szCs w:val="15"/>
                <w:color w:val="auto"/>
              </w:rPr>
            </w:pPr>
          </w:p>
        </w:tc>
        <w:tc>
          <w:tcPr>
            <w:tcW w:w="4140" w:type="dxa"/>
            <w:vAlign w:val="bottom"/>
          </w:tcPr>
          <w:p>
            <w:pPr>
              <w:ind w:left="20"/>
              <w:spacing w:after="0"/>
              <w:rPr>
                <w:sz w:val="20"/>
                <w:szCs w:val="20"/>
                <w:color w:val="auto"/>
              </w:rPr>
            </w:pPr>
            <w:r>
              <w:rPr>
                <w:rFonts w:ascii="Arial" w:cs="Arial" w:eastAsia="Arial" w:hAnsi="Arial"/>
                <w:sz w:val="15"/>
                <w:szCs w:val="15"/>
                <w:color w:val="auto"/>
              </w:rPr>
              <w:t>Net investment income</w:t>
            </w: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740" w:type="dxa"/>
            <w:vAlign w:val="bottom"/>
            <w:gridSpan w:val="2"/>
          </w:tcPr>
          <w:p>
            <w:pPr>
              <w:jc w:val="right"/>
              <w:ind w:right="182"/>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36,743</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36,743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40" w:type="dxa"/>
            <w:vAlign w:val="bottom"/>
            <w:shd w:val="clear" w:color="auto" w:fill="CFF0FC"/>
          </w:tcPr>
          <w:p>
            <w:pPr>
              <w:spacing w:after="0"/>
              <w:rPr>
                <w:sz w:val="14"/>
                <w:szCs w:val="14"/>
                <w:color w:val="auto"/>
              </w:rPr>
            </w:pPr>
          </w:p>
        </w:tc>
        <w:tc>
          <w:tcPr>
            <w:tcW w:w="4140" w:type="dxa"/>
            <w:vAlign w:val="bottom"/>
            <w:shd w:val="clear" w:color="auto" w:fill="CFF0FC"/>
          </w:tcPr>
          <w:p>
            <w:pPr>
              <w:ind w:left="20"/>
              <w:spacing w:after="0" w:line="162" w:lineRule="exact"/>
              <w:rPr>
                <w:sz w:val="20"/>
                <w:szCs w:val="20"/>
                <w:color w:val="auto"/>
              </w:rPr>
            </w:pPr>
            <w:r>
              <w:rPr>
                <w:rFonts w:ascii="Arial" w:cs="Arial" w:eastAsia="Arial" w:hAnsi="Arial"/>
                <w:sz w:val="15"/>
                <w:szCs w:val="15"/>
                <w:color w:val="auto"/>
              </w:rPr>
              <w:t>Net change in unrealized gains (losses) on investments and</w:t>
            </w: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40" w:type="dxa"/>
            <w:vAlign w:val="bottom"/>
            <w:shd w:val="clear" w:color="auto" w:fill="CFF0FC"/>
          </w:tcPr>
          <w:p>
            <w:pPr>
              <w:spacing w:after="0"/>
              <w:rPr>
                <w:sz w:val="15"/>
                <w:szCs w:val="15"/>
                <w:color w:val="auto"/>
              </w:rPr>
            </w:pPr>
          </w:p>
        </w:tc>
        <w:tc>
          <w:tcPr>
            <w:tcW w:w="4140" w:type="dxa"/>
            <w:vAlign w:val="bottom"/>
            <w:shd w:val="clear" w:color="auto" w:fill="CFF0FC"/>
          </w:tcPr>
          <w:p>
            <w:pPr>
              <w:ind w:left="120"/>
              <w:spacing w:after="0"/>
              <w:rPr>
                <w:sz w:val="20"/>
                <w:szCs w:val="20"/>
                <w:color w:val="auto"/>
              </w:rPr>
            </w:pPr>
            <w:r>
              <w:rPr>
                <w:rFonts w:ascii="Arial" w:cs="Arial" w:eastAsia="Arial" w:hAnsi="Arial"/>
                <w:sz w:val="15"/>
                <w:szCs w:val="15"/>
                <w:color w:val="auto"/>
              </w:rPr>
              <w:t>foreign currency translation</w:t>
            </w: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82"/>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(11,478)</w:t>
            </w: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(11,478)</w:t>
            </w: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4140" w:type="dxa"/>
            <w:vAlign w:val="bottom"/>
          </w:tcPr>
          <w:p>
            <w:pPr>
              <w:ind w:left="20"/>
              <w:spacing w:after="0" w:line="162" w:lineRule="exact"/>
              <w:rPr>
                <w:sz w:val="20"/>
                <w:szCs w:val="20"/>
                <w:color w:val="auto"/>
              </w:rPr>
            </w:pPr>
            <w:r>
              <w:rPr>
                <w:rFonts w:ascii="Arial" w:cs="Arial" w:eastAsia="Arial" w:hAnsi="Arial"/>
                <w:sz w:val="15"/>
                <w:szCs w:val="15"/>
                <w:color w:val="auto"/>
              </w:rPr>
              <w:t>Net realized gains (losses) on investments and foreign</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40" w:type="dxa"/>
            <w:vAlign w:val="bottom"/>
          </w:tcPr>
          <w:p>
            <w:pPr>
              <w:spacing w:after="0"/>
              <w:rPr>
                <w:sz w:val="15"/>
                <w:szCs w:val="15"/>
                <w:color w:val="auto"/>
              </w:rPr>
            </w:pPr>
          </w:p>
        </w:tc>
        <w:tc>
          <w:tcPr>
            <w:tcW w:w="4140" w:type="dxa"/>
            <w:vAlign w:val="bottom"/>
          </w:tcPr>
          <w:p>
            <w:pPr>
              <w:ind w:left="120"/>
              <w:spacing w:after="0"/>
              <w:rPr>
                <w:sz w:val="20"/>
                <w:szCs w:val="20"/>
                <w:color w:val="auto"/>
              </w:rPr>
            </w:pPr>
            <w:r>
              <w:rPr>
                <w:rFonts w:ascii="Arial" w:cs="Arial" w:eastAsia="Arial" w:hAnsi="Arial"/>
                <w:sz w:val="15"/>
                <w:szCs w:val="15"/>
                <w:color w:val="auto"/>
              </w:rPr>
              <w:t>currency transactions</w:t>
            </w: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740" w:type="dxa"/>
            <w:vAlign w:val="bottom"/>
            <w:gridSpan w:val="2"/>
          </w:tcPr>
          <w:p>
            <w:pPr>
              <w:jc w:val="right"/>
              <w:ind w:right="182"/>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5,076</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5,076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80" w:type="dxa"/>
            <w:vAlign w:val="bottom"/>
            <w:gridSpan w:val="2"/>
            <w:shd w:val="clear" w:color="auto" w:fill="CFF0FC"/>
          </w:tcPr>
          <w:p>
            <w:pPr>
              <w:ind w:left="140"/>
              <w:spacing w:after="0"/>
              <w:rPr>
                <w:sz w:val="20"/>
                <w:szCs w:val="20"/>
                <w:color w:val="auto"/>
              </w:rPr>
            </w:pPr>
            <w:r>
              <w:rPr>
                <w:rFonts w:ascii="Arial" w:cs="Arial" w:eastAsia="Arial" w:hAnsi="Arial"/>
                <w:sz w:val="15"/>
                <w:szCs w:val="15"/>
                <w:color w:val="auto"/>
              </w:rPr>
              <w:t>Dividends to stockholders:</w:t>
            </w:r>
          </w:p>
        </w:tc>
        <w:tc>
          <w:tcPr>
            <w:tcW w:w="8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0" w:type="dxa"/>
            <w:vAlign w:val="bottom"/>
          </w:tcPr>
          <w:p>
            <w:pPr>
              <w:spacing w:after="0"/>
              <w:rPr>
                <w:sz w:val="15"/>
                <w:szCs w:val="15"/>
                <w:color w:val="auto"/>
              </w:rPr>
            </w:pPr>
          </w:p>
        </w:tc>
        <w:tc>
          <w:tcPr>
            <w:tcW w:w="4140" w:type="dxa"/>
            <w:vAlign w:val="bottom"/>
          </w:tcPr>
          <w:p>
            <w:pPr>
              <w:ind w:left="20"/>
              <w:spacing w:after="0"/>
              <w:rPr>
                <w:sz w:val="20"/>
                <w:szCs w:val="20"/>
                <w:color w:val="auto"/>
              </w:rPr>
            </w:pPr>
            <w:r>
              <w:rPr>
                <w:rFonts w:ascii="Arial" w:cs="Arial" w:eastAsia="Arial" w:hAnsi="Arial"/>
                <w:sz w:val="15"/>
                <w:szCs w:val="15"/>
                <w:color w:val="auto"/>
              </w:rPr>
              <w:t>Stock issued in connection with dividend reinvestment plan</w:t>
            </w:r>
          </w:p>
        </w:tc>
        <w:tc>
          <w:tcPr>
            <w:tcW w:w="820" w:type="dxa"/>
            <w:vAlign w:val="bottom"/>
          </w:tcPr>
          <w:p>
            <w:pPr>
              <w:jc w:val="right"/>
              <w:spacing w:after="0"/>
              <w:rPr>
                <w:sz w:val="20"/>
                <w:szCs w:val="20"/>
                <w:color w:val="auto"/>
              </w:rPr>
            </w:pPr>
            <w:r>
              <w:rPr>
                <w:rFonts w:ascii="Arial" w:cs="Arial" w:eastAsia="Arial" w:hAnsi="Arial"/>
                <w:sz w:val="15"/>
                <w:szCs w:val="15"/>
                <w:color w:val="auto"/>
              </w:rPr>
              <w:t>255,083</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3</w:t>
            </w: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740" w:type="dxa"/>
            <w:vAlign w:val="bottom"/>
            <w:gridSpan w:val="2"/>
          </w:tcPr>
          <w:p>
            <w:pPr>
              <w:jc w:val="right"/>
              <w:ind w:right="182"/>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4,768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4,771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0" w:type="dxa"/>
            <w:vAlign w:val="bottom"/>
            <w:shd w:val="clear" w:color="auto" w:fill="CFF0FC"/>
          </w:tcPr>
          <w:p>
            <w:pPr>
              <w:spacing w:after="0"/>
              <w:rPr>
                <w:sz w:val="15"/>
                <w:szCs w:val="15"/>
                <w:color w:val="auto"/>
              </w:rPr>
            </w:pPr>
          </w:p>
        </w:tc>
        <w:tc>
          <w:tcPr>
            <w:tcW w:w="4140" w:type="dxa"/>
            <w:vAlign w:val="bottom"/>
            <w:shd w:val="clear" w:color="auto" w:fill="CFF0FC"/>
          </w:tcPr>
          <w:p>
            <w:pPr>
              <w:ind w:left="20"/>
              <w:spacing w:after="0"/>
              <w:rPr>
                <w:sz w:val="20"/>
                <w:szCs w:val="20"/>
                <w:color w:val="auto"/>
              </w:rPr>
            </w:pPr>
            <w:r>
              <w:rPr>
                <w:rFonts w:ascii="Arial" w:cs="Arial" w:eastAsia="Arial" w:hAnsi="Arial"/>
                <w:sz w:val="15"/>
                <w:szCs w:val="15"/>
                <w:color w:val="auto"/>
              </w:rPr>
              <w:t>Dividends declared from net investment income</w:t>
            </w: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82"/>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(28,497)</w:t>
            </w: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(28,497)</w:t>
            </w:r>
          </w:p>
        </w:tc>
        <w:tc>
          <w:tcPr>
            <w:tcW w:w="0" w:type="dxa"/>
            <w:vAlign w:val="bottom"/>
          </w:tcPr>
          <w:p>
            <w:pPr>
              <w:spacing w:after="0"/>
              <w:rPr>
                <w:sz w:val="1"/>
                <w:szCs w:val="1"/>
                <w:color w:val="auto"/>
              </w:rPr>
            </w:pPr>
          </w:p>
        </w:tc>
      </w:tr>
      <w:tr>
        <w:trPr>
          <w:trHeight w:val="169"/>
        </w:trPr>
        <w:tc>
          <w:tcPr>
            <w:tcW w:w="4380" w:type="dxa"/>
            <w:vAlign w:val="bottom"/>
            <w:gridSpan w:val="2"/>
          </w:tcPr>
          <w:p>
            <w:pPr>
              <w:spacing w:after="0" w:line="169" w:lineRule="exact"/>
              <w:rPr>
                <w:sz w:val="20"/>
                <w:szCs w:val="20"/>
                <w:color w:val="auto"/>
              </w:rPr>
            </w:pPr>
            <w:r>
              <w:rPr>
                <w:rFonts w:ascii="Arial" w:cs="Arial" w:eastAsia="Arial" w:hAnsi="Arial"/>
                <w:sz w:val="15"/>
                <w:szCs w:val="15"/>
                <w:b w:val="1"/>
                <w:bCs w:val="1"/>
                <w:color w:val="auto"/>
              </w:rPr>
              <w:t>Balance at September 30, 2019</w:t>
            </w:r>
          </w:p>
        </w:tc>
        <w:tc>
          <w:tcPr>
            <w:tcW w:w="8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66,293,373</w:t>
            </w:r>
          </w:p>
        </w:tc>
        <w:tc>
          <w:tcPr>
            <w:tcW w:w="2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line="169" w:lineRule="exact"/>
              <w:rPr>
                <w:sz w:val="20"/>
                <w:szCs w:val="20"/>
                <w:color w:val="auto"/>
              </w:rPr>
            </w:pPr>
            <w:r>
              <w:rPr>
                <w:rFonts w:ascii="Arial" w:cs="Arial" w:eastAsia="Arial" w:hAnsi="Arial"/>
                <w:sz w:val="15"/>
                <w:szCs w:val="15"/>
                <w:b w:val="1"/>
                <w:bCs w:val="1"/>
                <w:color w:val="auto"/>
              </w:rPr>
              <w:t>$</w:t>
            </w:r>
          </w:p>
        </w:tc>
        <w:tc>
          <w:tcPr>
            <w:tcW w:w="4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664</w:t>
            </w:r>
          </w:p>
        </w:tc>
        <w:tc>
          <w:tcPr>
            <w:tcW w:w="220" w:type="dxa"/>
            <w:vAlign w:val="bottom"/>
          </w:tcPr>
          <w:p>
            <w:pPr>
              <w:spacing w:after="0"/>
              <w:rPr>
                <w:sz w:val="14"/>
                <w:szCs w:val="14"/>
                <w:color w:val="auto"/>
              </w:rPr>
            </w:pPr>
          </w:p>
        </w:tc>
        <w:tc>
          <w:tcPr>
            <w:tcW w:w="5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89,080</w:t>
            </w:r>
          </w:p>
        </w:tc>
        <w:tc>
          <w:tcPr>
            <w:tcW w:w="200" w:type="dxa"/>
            <w:vAlign w:val="bottom"/>
          </w:tcPr>
          <w:p>
            <w:pPr>
              <w:spacing w:after="0"/>
              <w:rPr>
                <w:sz w:val="14"/>
                <w:szCs w:val="14"/>
                <w:color w:val="auto"/>
              </w:rPr>
            </w:pPr>
          </w:p>
        </w:tc>
        <w:tc>
          <w:tcPr>
            <w:tcW w:w="5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w w:val="90"/>
              </w:rPr>
              <w:t>$ (1,359</w:t>
            </w:r>
          </w:p>
        </w:tc>
        <w:tc>
          <w:tcPr>
            <w:tcW w:w="200" w:type="dxa"/>
            <w:vAlign w:val="bottom"/>
          </w:tcPr>
          <w:p>
            <w:pPr>
              <w:jc w:val="right"/>
              <w:ind w:right="122"/>
              <w:spacing w:after="0"/>
              <w:rPr>
                <w:sz w:val="20"/>
                <w:szCs w:val="20"/>
                <w:color w:val="auto"/>
              </w:rPr>
            </w:pPr>
            <w:r>
              <w:rPr>
                <w:rFonts w:ascii="Arial" w:cs="Arial" w:eastAsia="Arial" w:hAnsi="Arial"/>
                <w:sz w:val="8"/>
                <w:szCs w:val="8"/>
                <w:b w:val="1"/>
                <w:bCs w:val="1"/>
                <w:color w:val="auto"/>
                <w:w w:val="73"/>
              </w:rPr>
              <w:t>)</w:t>
            </w:r>
          </w:p>
        </w:tc>
        <w:tc>
          <w:tcPr>
            <w:tcW w:w="160" w:type="dxa"/>
            <w:vAlign w:val="bottom"/>
            <w:tcBorders>
              <w:top w:val="single" w:sz="8" w:color="auto"/>
              <w:bottom w:val="single" w:sz="8" w:color="auto"/>
            </w:tcBorders>
          </w:tcPr>
          <w:p>
            <w:pPr>
              <w:jc w:val="right"/>
              <w:ind w:right="4"/>
              <w:spacing w:after="0" w:line="169" w:lineRule="exact"/>
              <w:rPr>
                <w:sz w:val="20"/>
                <w:szCs w:val="20"/>
                <w:color w:val="auto"/>
              </w:rPr>
            </w:pPr>
            <w:r>
              <w:rPr>
                <w:rFonts w:ascii="Arial" w:cs="Arial" w:eastAsia="Arial" w:hAnsi="Arial"/>
                <w:sz w:val="15"/>
                <w:szCs w:val="15"/>
                <w:b w:val="1"/>
                <w:bCs w:val="1"/>
                <w:color w:val="auto"/>
                <w:w w:val="71"/>
              </w:rPr>
              <w:t>$</w:t>
            </w:r>
          </w:p>
        </w:tc>
        <w:tc>
          <w:tcPr>
            <w:tcW w:w="13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1,008,159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100,794</w:t>
            </w:r>
          </w:p>
        </w:tc>
        <w:tc>
          <w:tcPr>
            <w:tcW w:w="200" w:type="dxa"/>
            <w:vAlign w:val="bottom"/>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w w:val="90"/>
              </w:rPr>
              <w:t>$ 1,108,258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0" w:type="dxa"/>
            <w:vAlign w:val="bottom"/>
            <w:vMerge w:val="restart"/>
          </w:tcPr>
          <w:p>
            <w:pPr>
              <w:spacing w:after="0"/>
              <w:rPr>
                <w:sz w:val="20"/>
                <w:szCs w:val="20"/>
                <w:color w:val="auto"/>
              </w:rPr>
            </w:pPr>
            <w:r>
              <w:rPr>
                <w:rFonts w:ascii="Arial" w:cs="Arial" w:eastAsia="Arial" w:hAnsi="Arial"/>
                <w:sz w:val="18"/>
                <w:szCs w:val="18"/>
                <w:color w:val="auto"/>
                <w:w w:val="99"/>
              </w:rPr>
              <w:t>(1)</w:t>
            </w:r>
          </w:p>
        </w:tc>
        <w:tc>
          <w:tcPr>
            <w:tcW w:w="4140" w:type="dxa"/>
            <w:vAlign w:val="bottom"/>
            <w:vMerge w:val="restart"/>
          </w:tcPr>
          <w:p>
            <w:pPr>
              <w:ind w:left="260"/>
              <w:spacing w:after="0"/>
              <w:rPr>
                <w:sz w:val="20"/>
                <w:szCs w:val="20"/>
                <w:color w:val="auto"/>
              </w:rPr>
            </w:pPr>
            <w:r>
              <w:rPr>
                <w:rFonts w:ascii="Arial" w:cs="Arial" w:eastAsia="Arial" w:hAnsi="Arial"/>
                <w:sz w:val="18"/>
                <w:szCs w:val="18"/>
                <w:color w:val="auto"/>
              </w:rPr>
              <w:t>The Company’s tax year end is March 31</w:t>
            </w:r>
            <w:r>
              <w:rPr>
                <w:rFonts w:ascii="Arial" w:cs="Arial" w:eastAsia="Arial" w:hAnsi="Arial"/>
                <w:sz w:val="15"/>
                <w:szCs w:val="15"/>
                <w:color w:val="auto"/>
              </w:rPr>
              <w:t>st</w:t>
            </w:r>
            <w:r>
              <w:rPr>
                <w:rFonts w:ascii="Arial" w:cs="Arial" w:eastAsia="Arial" w:hAnsi="Arial"/>
                <w:sz w:val="18"/>
                <w:szCs w:val="18"/>
                <w:color w:val="auto"/>
              </w:rPr>
              <w:t>.</w:t>
            </w: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40" w:type="dxa"/>
            <w:vAlign w:val="bottom"/>
            <w:vMerge w:val="continue"/>
          </w:tcPr>
          <w:p>
            <w:pPr>
              <w:spacing w:after="0"/>
              <w:rPr>
                <w:sz w:val="24"/>
                <w:szCs w:val="24"/>
                <w:color w:val="auto"/>
              </w:rPr>
            </w:pPr>
          </w:p>
        </w:tc>
        <w:tc>
          <w:tcPr>
            <w:tcW w:w="414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Sixth Street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9"/>
              </w:rPr>
              <w:t>Nine Months Ended</w:t>
            </w:r>
          </w:p>
        </w:tc>
        <w:tc>
          <w:tcPr>
            <w:tcW w:w="180" w:type="dxa"/>
            <w:vAlign w:val="bottom"/>
          </w:tcPr>
          <w:p>
            <w:pPr>
              <w:spacing w:after="0"/>
              <w:rPr>
                <w:sz w:val="14"/>
                <w:szCs w:val="14"/>
                <w:color w:val="auto"/>
              </w:rPr>
            </w:pPr>
          </w:p>
        </w:tc>
        <w:tc>
          <w:tcPr>
            <w:tcW w:w="17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9"/>
              </w:rPr>
              <w:t>Nine Months Ended</w:t>
            </w:r>
          </w:p>
        </w:tc>
        <w:tc>
          <w:tcPr>
            <w:tcW w:w="0" w:type="dxa"/>
            <w:vAlign w:val="bottom"/>
          </w:tcPr>
          <w:p>
            <w:pPr>
              <w:spacing w:after="0"/>
              <w:rPr>
                <w:sz w:val="1"/>
                <w:szCs w:val="1"/>
                <w:color w:val="auto"/>
              </w:rPr>
            </w:pPr>
          </w:p>
        </w:tc>
      </w:tr>
      <w:tr>
        <w:trPr>
          <w:trHeight w:val="171"/>
        </w:trPr>
        <w:tc>
          <w:tcPr>
            <w:tcW w:w="7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7"/>
              </w:rPr>
              <w:t>September 30, 2020</w:t>
            </w:r>
          </w:p>
        </w:tc>
        <w:tc>
          <w:tcPr>
            <w:tcW w:w="180" w:type="dxa"/>
            <w:vAlign w:val="bottom"/>
          </w:tcPr>
          <w:p>
            <w:pPr>
              <w:spacing w:after="0"/>
              <w:rPr>
                <w:sz w:val="14"/>
                <w:szCs w:val="14"/>
                <w:color w:val="auto"/>
              </w:rPr>
            </w:pPr>
          </w:p>
        </w:tc>
        <w:tc>
          <w:tcPr>
            <w:tcW w:w="17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7"/>
              </w:rPr>
              <w:t>September 30, 2019</w:t>
            </w:r>
          </w:p>
        </w:tc>
        <w:tc>
          <w:tcPr>
            <w:tcW w:w="0" w:type="dxa"/>
            <w:vAlign w:val="bottom"/>
          </w:tcPr>
          <w:p>
            <w:pPr>
              <w:spacing w:after="0"/>
              <w:rPr>
                <w:sz w:val="1"/>
                <w:szCs w:val="1"/>
                <w:color w:val="auto"/>
              </w:rPr>
            </w:pPr>
          </w:p>
        </w:tc>
      </w:tr>
      <w:tr>
        <w:trPr>
          <w:trHeight w:val="223"/>
        </w:trPr>
        <w:tc>
          <w:tcPr>
            <w:tcW w:w="7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tcBorders>
              <w:top w:val="single" w:sz="8" w:color="auto"/>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6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Increase in net assets resulting from operations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124,628</w:t>
            </w:r>
          </w:p>
        </w:tc>
        <w:tc>
          <w:tcPr>
            <w:tcW w:w="2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116,881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increase in net assets resulting from operations</w:t>
            </w:r>
          </w:p>
        </w:tc>
        <w:tc>
          <w:tcPr>
            <w:tcW w:w="18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 net cash provided by (used) in operating activities:</w:t>
            </w:r>
          </w:p>
        </w:tc>
        <w:tc>
          <w:tcPr>
            <w:tcW w:w="180" w:type="dxa"/>
            <w:vAlign w:val="bottom"/>
            <w:shd w:val="clear" w:color="auto" w:fill="CFF0FC"/>
          </w:tcPr>
          <w:p>
            <w:pPr>
              <w:spacing w:after="0"/>
              <w:rPr>
                <w:sz w:val="20"/>
                <w:szCs w:val="20"/>
                <w:color w:val="auto"/>
              </w:rPr>
            </w:pPr>
          </w:p>
        </w:tc>
        <w:tc>
          <w:tcPr>
            <w:tcW w:w="15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500"/>
              <w:spacing w:after="0"/>
              <w:rPr>
                <w:sz w:val="20"/>
                <w:szCs w:val="20"/>
                <w:color w:val="auto"/>
              </w:rPr>
            </w:pPr>
            <w:r>
              <w:rPr>
                <w:rFonts w:ascii="Arial" w:cs="Arial" w:eastAsia="Arial" w:hAnsi="Arial"/>
                <w:sz w:val="18"/>
                <w:szCs w:val="18"/>
                <w:color w:val="auto"/>
              </w:rPr>
              <w:t>Net change in unrealized (gains) losses on investments</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6,734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(4,733)</w:t>
            </w:r>
          </w:p>
        </w:tc>
        <w:tc>
          <w:tcPr>
            <w:tcW w:w="0" w:type="dxa"/>
            <w:vAlign w:val="bottom"/>
          </w:tcPr>
          <w:p>
            <w:pPr>
              <w:spacing w:after="0"/>
              <w:rPr>
                <w:sz w:val="1"/>
                <w:szCs w:val="1"/>
                <w:color w:val="auto"/>
              </w:rPr>
            </w:pPr>
          </w:p>
        </w:tc>
      </w:tr>
      <w:tr>
        <w:trPr>
          <w:trHeight w:val="229"/>
        </w:trPr>
        <w:tc>
          <w:tcPr>
            <w:tcW w:w="7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change in unrealized gains on foreign currency transactions</w:t>
            </w:r>
          </w:p>
        </w:tc>
        <w:tc>
          <w:tcPr>
            <w:tcW w:w="18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(863)</w:t>
            </w:r>
          </w:p>
        </w:tc>
        <w:tc>
          <w:tcPr>
            <w:tcW w:w="18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29"/>
        </w:trPr>
        <w:tc>
          <w:tcPr>
            <w:tcW w:w="7320" w:type="dxa"/>
            <w:vAlign w:val="bottom"/>
          </w:tcPr>
          <w:p>
            <w:pPr>
              <w:ind w:left="500"/>
              <w:spacing w:after="0"/>
              <w:rPr>
                <w:sz w:val="20"/>
                <w:szCs w:val="20"/>
                <w:color w:val="auto"/>
              </w:rPr>
            </w:pPr>
            <w:r>
              <w:rPr>
                <w:rFonts w:ascii="Arial" w:cs="Arial" w:eastAsia="Arial" w:hAnsi="Arial"/>
                <w:sz w:val="18"/>
                <w:szCs w:val="18"/>
                <w:color w:val="auto"/>
              </w:rPr>
              <w:t>Net change in unrealized gains on interest rate swaps</w:t>
            </w:r>
          </w:p>
        </w:tc>
        <w:tc>
          <w:tcPr>
            <w:tcW w:w="180" w:type="dxa"/>
            <w:vAlign w:val="bottom"/>
          </w:tcPr>
          <w:p>
            <w:pPr>
              <w:spacing w:after="0"/>
              <w:rPr>
                <w:sz w:val="19"/>
                <w:szCs w:val="19"/>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(8,200)</w:t>
            </w:r>
          </w:p>
        </w:tc>
        <w:tc>
          <w:tcPr>
            <w:tcW w:w="180" w:type="dxa"/>
            <w:vAlign w:val="bottom"/>
          </w:tcPr>
          <w:p>
            <w:pPr>
              <w:spacing w:after="0"/>
              <w:rPr>
                <w:sz w:val="19"/>
                <w:szCs w:val="19"/>
                <w:color w:val="auto"/>
              </w:rPr>
            </w:pP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(10,908)</w:t>
            </w: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realized gains on investments</w:t>
            </w:r>
          </w:p>
        </w:tc>
        <w:tc>
          <w:tcPr>
            <w:tcW w:w="18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(7,496)</w:t>
            </w:r>
          </w:p>
        </w:tc>
        <w:tc>
          <w:tcPr>
            <w:tcW w:w="18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(5,893)</w:t>
            </w:r>
          </w:p>
        </w:tc>
        <w:tc>
          <w:tcPr>
            <w:tcW w:w="0" w:type="dxa"/>
            <w:vAlign w:val="bottom"/>
          </w:tcPr>
          <w:p>
            <w:pPr>
              <w:spacing w:after="0"/>
              <w:rPr>
                <w:sz w:val="1"/>
                <w:szCs w:val="1"/>
                <w:color w:val="auto"/>
              </w:rPr>
            </w:pPr>
          </w:p>
        </w:tc>
      </w:tr>
      <w:tr>
        <w:trPr>
          <w:trHeight w:val="229"/>
        </w:trPr>
        <w:tc>
          <w:tcPr>
            <w:tcW w:w="7320" w:type="dxa"/>
            <w:vAlign w:val="bottom"/>
          </w:tcPr>
          <w:p>
            <w:pPr>
              <w:ind w:left="500"/>
              <w:spacing w:after="0"/>
              <w:rPr>
                <w:sz w:val="20"/>
                <w:szCs w:val="20"/>
                <w:color w:val="auto"/>
              </w:rPr>
            </w:pPr>
            <w:r>
              <w:rPr>
                <w:rFonts w:ascii="Arial" w:cs="Arial" w:eastAsia="Arial" w:hAnsi="Arial"/>
                <w:sz w:val="18"/>
                <w:szCs w:val="18"/>
                <w:color w:val="auto"/>
              </w:rPr>
              <w:t>Net realized gains on extinguishment of debt</w:t>
            </w:r>
          </w:p>
        </w:tc>
        <w:tc>
          <w:tcPr>
            <w:tcW w:w="180" w:type="dxa"/>
            <w:vAlign w:val="bottom"/>
          </w:tcPr>
          <w:p>
            <w:pPr>
              <w:spacing w:after="0"/>
              <w:rPr>
                <w:sz w:val="19"/>
                <w:szCs w:val="19"/>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(739)</w:t>
            </w:r>
          </w:p>
        </w:tc>
        <w:tc>
          <w:tcPr>
            <w:tcW w:w="180" w:type="dxa"/>
            <w:vAlign w:val="bottom"/>
          </w:tcPr>
          <w:p>
            <w:pPr>
              <w:spacing w:after="0"/>
              <w:rPr>
                <w:sz w:val="19"/>
                <w:szCs w:val="19"/>
                <w:color w:val="auto"/>
              </w:rPr>
            </w:pPr>
          </w:p>
        </w:tc>
        <w:tc>
          <w:tcPr>
            <w:tcW w:w="1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realized losses on foreign currency transactions</w:t>
            </w:r>
          </w:p>
        </w:tc>
        <w:tc>
          <w:tcPr>
            <w:tcW w:w="1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tcPr>
          <w:p>
            <w:pPr>
              <w:ind w:left="500"/>
              <w:spacing w:after="0"/>
              <w:rPr>
                <w:sz w:val="20"/>
                <w:szCs w:val="20"/>
                <w:color w:val="auto"/>
              </w:rPr>
            </w:pPr>
            <w:r>
              <w:rPr>
                <w:rFonts w:ascii="Arial" w:cs="Arial" w:eastAsia="Arial" w:hAnsi="Arial"/>
                <w:sz w:val="18"/>
                <w:szCs w:val="18"/>
                <w:color w:val="auto"/>
              </w:rPr>
              <w:t>Net realized gains on interest rate swaps</w:t>
            </w:r>
          </w:p>
        </w:tc>
        <w:tc>
          <w:tcPr>
            <w:tcW w:w="180" w:type="dxa"/>
            <w:vAlign w:val="bottom"/>
          </w:tcPr>
          <w:p>
            <w:pPr>
              <w:spacing w:after="0"/>
              <w:rPr>
                <w:sz w:val="19"/>
                <w:szCs w:val="19"/>
                <w:color w:val="auto"/>
              </w:rPr>
            </w:pPr>
          </w:p>
        </w:tc>
        <w:tc>
          <w:tcPr>
            <w:tcW w:w="1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9"/>
        </w:trPr>
        <w:tc>
          <w:tcPr>
            <w:tcW w:w="7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amortization of discount on investments</w:t>
            </w:r>
          </w:p>
        </w:tc>
        <w:tc>
          <w:tcPr>
            <w:tcW w:w="18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(20,675)</w:t>
            </w:r>
          </w:p>
        </w:tc>
        <w:tc>
          <w:tcPr>
            <w:tcW w:w="18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(13,011)</w:t>
            </w:r>
          </w:p>
        </w:tc>
        <w:tc>
          <w:tcPr>
            <w:tcW w:w="0" w:type="dxa"/>
            <w:vAlign w:val="bottom"/>
          </w:tcPr>
          <w:p>
            <w:pPr>
              <w:spacing w:after="0"/>
              <w:rPr>
                <w:sz w:val="1"/>
                <w:szCs w:val="1"/>
                <w:color w:val="auto"/>
              </w:rPr>
            </w:pPr>
          </w:p>
        </w:tc>
      </w:tr>
      <w:tr>
        <w:trPr>
          <w:trHeight w:val="230"/>
        </w:trPr>
        <w:tc>
          <w:tcPr>
            <w:tcW w:w="7320" w:type="dxa"/>
            <w:vAlign w:val="bottom"/>
          </w:tcPr>
          <w:p>
            <w:pPr>
              <w:ind w:left="500"/>
              <w:spacing w:after="0"/>
              <w:rPr>
                <w:sz w:val="20"/>
                <w:szCs w:val="20"/>
                <w:color w:val="auto"/>
              </w:rPr>
            </w:pPr>
            <w:r>
              <w:rPr>
                <w:rFonts w:ascii="Arial" w:cs="Arial" w:eastAsia="Arial" w:hAnsi="Arial"/>
                <w:sz w:val="18"/>
                <w:szCs w:val="18"/>
                <w:color w:val="auto"/>
              </w:rPr>
              <w:t>Amortization of deferred financing costs</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3,813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3,474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discount on debt</w:t>
            </w:r>
          </w:p>
        </w:tc>
        <w:tc>
          <w:tcPr>
            <w:tcW w:w="1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tcPr>
          <w:p>
            <w:pPr>
              <w:ind w:left="500"/>
              <w:spacing w:after="0"/>
              <w:rPr>
                <w:sz w:val="20"/>
                <w:szCs w:val="20"/>
                <w:color w:val="auto"/>
              </w:rPr>
            </w:pPr>
            <w:r>
              <w:rPr>
                <w:rFonts w:ascii="Arial" w:cs="Arial" w:eastAsia="Arial" w:hAnsi="Arial"/>
                <w:sz w:val="18"/>
                <w:szCs w:val="18"/>
                <w:color w:val="auto"/>
              </w:rPr>
              <w:t>Purchases and originations of investments, net</w:t>
            </w:r>
          </w:p>
        </w:tc>
        <w:tc>
          <w:tcPr>
            <w:tcW w:w="180" w:type="dxa"/>
            <w:vAlign w:val="bottom"/>
          </w:tcPr>
          <w:p>
            <w:pPr>
              <w:spacing w:after="0"/>
              <w:rPr>
                <w:sz w:val="19"/>
                <w:szCs w:val="19"/>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(549,087)</w:t>
            </w:r>
          </w:p>
        </w:tc>
        <w:tc>
          <w:tcPr>
            <w:tcW w:w="180" w:type="dxa"/>
            <w:vAlign w:val="bottom"/>
          </w:tcPr>
          <w:p>
            <w:pPr>
              <w:spacing w:after="0"/>
              <w:rPr>
                <w:sz w:val="19"/>
                <w:szCs w:val="19"/>
                <w:color w:val="auto"/>
              </w:rPr>
            </w:pP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(817,074)</w:t>
            </w: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Proceeds from investments, net</w:t>
            </w:r>
          </w:p>
        </w:tc>
        <w:tc>
          <w:tcPr>
            <w:tcW w:w="1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21,886</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tcPr>
          <w:p>
            <w:pPr>
              <w:ind w:left="500"/>
              <w:spacing w:after="0"/>
              <w:rPr>
                <w:sz w:val="20"/>
                <w:szCs w:val="20"/>
                <w:color w:val="auto"/>
              </w:rPr>
            </w:pPr>
            <w:r>
              <w:rPr>
                <w:rFonts w:ascii="Arial" w:cs="Arial" w:eastAsia="Arial" w:hAnsi="Arial"/>
                <w:sz w:val="18"/>
                <w:szCs w:val="18"/>
                <w:color w:val="auto"/>
              </w:rPr>
              <w:t>Repayments on investments</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698,809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490,304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Paid-in-kind interest</w:t>
            </w:r>
          </w:p>
        </w:tc>
        <w:tc>
          <w:tcPr>
            <w:tcW w:w="18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(6,104)</w:t>
            </w:r>
          </w:p>
        </w:tc>
        <w:tc>
          <w:tcPr>
            <w:tcW w:w="18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(5,443)</w:t>
            </w:r>
          </w:p>
        </w:tc>
        <w:tc>
          <w:tcPr>
            <w:tcW w:w="0" w:type="dxa"/>
            <w:vAlign w:val="bottom"/>
          </w:tcPr>
          <w:p>
            <w:pPr>
              <w:spacing w:after="0"/>
              <w:rPr>
                <w:sz w:val="1"/>
                <w:szCs w:val="1"/>
                <w:color w:val="auto"/>
              </w:rPr>
            </w:pPr>
          </w:p>
        </w:tc>
      </w:tr>
      <w:tr>
        <w:trPr>
          <w:trHeight w:val="229"/>
        </w:trPr>
        <w:tc>
          <w:tcPr>
            <w:tcW w:w="7320" w:type="dxa"/>
            <w:vAlign w:val="bottom"/>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Interest receivable</w:t>
            </w:r>
          </w:p>
        </w:tc>
        <w:tc>
          <w:tcPr>
            <w:tcW w:w="1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3,283</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(3,642)</w:t>
            </w:r>
          </w:p>
        </w:tc>
        <w:tc>
          <w:tcPr>
            <w:tcW w:w="0" w:type="dxa"/>
            <w:vAlign w:val="bottom"/>
          </w:tcPr>
          <w:p>
            <w:pPr>
              <w:spacing w:after="0"/>
              <w:rPr>
                <w:sz w:val="1"/>
                <w:szCs w:val="1"/>
                <w:color w:val="auto"/>
              </w:rPr>
            </w:pPr>
          </w:p>
        </w:tc>
      </w:tr>
      <w:tr>
        <w:trPr>
          <w:trHeight w:val="229"/>
        </w:trPr>
        <w:tc>
          <w:tcPr>
            <w:tcW w:w="7320" w:type="dxa"/>
            <w:vAlign w:val="bottom"/>
          </w:tcPr>
          <w:p>
            <w:pPr>
              <w:ind w:left="500"/>
              <w:spacing w:after="0"/>
              <w:rPr>
                <w:sz w:val="20"/>
                <w:szCs w:val="20"/>
                <w:color w:val="auto"/>
              </w:rPr>
            </w:pPr>
            <w:r>
              <w:rPr>
                <w:rFonts w:ascii="Arial" w:cs="Arial" w:eastAsia="Arial" w:hAnsi="Arial"/>
                <w:sz w:val="18"/>
                <w:szCs w:val="18"/>
                <w:color w:val="auto"/>
              </w:rPr>
              <w:t>Interest receivable paid-in-kind</w:t>
            </w:r>
          </w:p>
        </w:tc>
        <w:tc>
          <w:tcPr>
            <w:tcW w:w="180" w:type="dxa"/>
            <w:vAlign w:val="bottom"/>
          </w:tcPr>
          <w:p>
            <w:pPr>
              <w:spacing w:after="0"/>
              <w:rPr>
                <w:sz w:val="19"/>
                <w:szCs w:val="19"/>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(180)</w:t>
            </w:r>
          </w:p>
        </w:tc>
        <w:tc>
          <w:tcPr>
            <w:tcW w:w="180" w:type="dxa"/>
            <w:vAlign w:val="bottom"/>
          </w:tcPr>
          <w:p>
            <w:pPr>
              <w:spacing w:after="0"/>
              <w:rPr>
                <w:sz w:val="19"/>
                <w:szCs w:val="19"/>
                <w:color w:val="auto"/>
              </w:rPr>
            </w:pP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Prepaid expenses and other assets</w:t>
            </w:r>
          </w:p>
        </w:tc>
        <w:tc>
          <w:tcPr>
            <w:tcW w:w="18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(3,930)</w:t>
            </w:r>
          </w:p>
        </w:tc>
        <w:tc>
          <w:tcPr>
            <w:tcW w:w="1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500"/>
              <w:spacing w:after="0"/>
              <w:rPr>
                <w:sz w:val="20"/>
                <w:szCs w:val="20"/>
                <w:color w:val="auto"/>
              </w:rPr>
            </w:pPr>
            <w:r>
              <w:rPr>
                <w:rFonts w:ascii="Arial" w:cs="Arial" w:eastAsia="Arial" w:hAnsi="Arial"/>
                <w:sz w:val="18"/>
                <w:szCs w:val="18"/>
                <w:color w:val="auto"/>
              </w:rPr>
              <w:t>Management fees payable to affiliate</w:t>
            </w:r>
          </w:p>
        </w:tc>
        <w:tc>
          <w:tcPr>
            <w:tcW w:w="180" w:type="dxa"/>
            <w:vAlign w:val="bottom"/>
          </w:tcPr>
          <w:p>
            <w:pPr>
              <w:spacing w:after="0"/>
              <w:rPr>
                <w:sz w:val="19"/>
                <w:szCs w:val="19"/>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(395)</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Incentive fees payable to affiliate</w:t>
            </w:r>
          </w:p>
        </w:tc>
        <w:tc>
          <w:tcPr>
            <w:tcW w:w="1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1,558</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(1,562)</w:t>
            </w:r>
          </w:p>
        </w:tc>
        <w:tc>
          <w:tcPr>
            <w:tcW w:w="0" w:type="dxa"/>
            <w:vAlign w:val="bottom"/>
          </w:tcPr>
          <w:p>
            <w:pPr>
              <w:spacing w:after="0"/>
              <w:rPr>
                <w:sz w:val="1"/>
                <w:szCs w:val="1"/>
                <w:color w:val="auto"/>
              </w:rPr>
            </w:pPr>
          </w:p>
        </w:tc>
      </w:tr>
      <w:tr>
        <w:trPr>
          <w:trHeight w:val="229"/>
        </w:trPr>
        <w:tc>
          <w:tcPr>
            <w:tcW w:w="7320" w:type="dxa"/>
            <w:vAlign w:val="bottom"/>
          </w:tcPr>
          <w:p>
            <w:pPr>
              <w:ind w:left="500"/>
              <w:spacing w:after="0"/>
              <w:rPr>
                <w:sz w:val="20"/>
                <w:szCs w:val="20"/>
                <w:color w:val="auto"/>
              </w:rPr>
            </w:pPr>
            <w:r>
              <w:rPr>
                <w:rFonts w:ascii="Arial" w:cs="Arial" w:eastAsia="Arial" w:hAnsi="Arial"/>
                <w:sz w:val="18"/>
                <w:szCs w:val="18"/>
                <w:color w:val="auto"/>
              </w:rPr>
              <w:t>Payable to affiliate</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1,218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24,225</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289,022</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(221,964)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Borrowings on debt</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615,250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963,003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Repayments on debt</w:t>
            </w:r>
          </w:p>
        </w:tc>
        <w:tc>
          <w:tcPr>
            <w:tcW w:w="18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(766,748)</w:t>
            </w:r>
          </w:p>
        </w:tc>
        <w:tc>
          <w:tcPr>
            <w:tcW w:w="18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(668,470)</w:t>
            </w: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Repurchases of debt</w:t>
            </w:r>
          </w:p>
        </w:tc>
        <w:tc>
          <w:tcPr>
            <w:tcW w:w="180" w:type="dxa"/>
            <w:vAlign w:val="bottom"/>
          </w:tcPr>
          <w:p>
            <w:pPr>
              <w:spacing w:after="0"/>
              <w:rPr>
                <w:sz w:val="19"/>
                <w:szCs w:val="19"/>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(31,829)</w:t>
            </w:r>
          </w:p>
        </w:tc>
        <w:tc>
          <w:tcPr>
            <w:tcW w:w="180" w:type="dxa"/>
            <w:vAlign w:val="bottom"/>
          </w:tcPr>
          <w:p>
            <w:pPr>
              <w:spacing w:after="0"/>
              <w:rPr>
                <w:sz w:val="19"/>
                <w:szCs w:val="19"/>
                <w:color w:val="auto"/>
              </w:rPr>
            </w:pPr>
          </w:p>
        </w:tc>
        <w:tc>
          <w:tcPr>
            <w:tcW w:w="1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Deferred financing costs</w:t>
            </w:r>
          </w:p>
        </w:tc>
        <w:tc>
          <w:tcPr>
            <w:tcW w:w="18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(4,182)</w:t>
            </w:r>
          </w:p>
        </w:tc>
        <w:tc>
          <w:tcPr>
            <w:tcW w:w="18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(3,555)</w:t>
            </w: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Purchases of treasury stock</w:t>
            </w:r>
          </w:p>
        </w:tc>
        <w:tc>
          <w:tcPr>
            <w:tcW w:w="180" w:type="dxa"/>
            <w:vAlign w:val="bottom"/>
          </w:tcPr>
          <w:p>
            <w:pPr>
              <w:spacing w:after="0"/>
              <w:rPr>
                <w:sz w:val="19"/>
                <w:szCs w:val="19"/>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(2,932)</w:t>
            </w:r>
          </w:p>
        </w:tc>
        <w:tc>
          <w:tcPr>
            <w:tcW w:w="180" w:type="dxa"/>
            <w:vAlign w:val="bottom"/>
          </w:tcPr>
          <w:p>
            <w:pPr>
              <w:spacing w:after="0"/>
              <w:rPr>
                <w:sz w:val="19"/>
                <w:szCs w:val="19"/>
                <w:color w:val="auto"/>
              </w:rPr>
            </w:pPr>
          </w:p>
        </w:tc>
        <w:tc>
          <w:tcPr>
            <w:tcW w:w="1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Dividends paid to stockholders</w:t>
            </w:r>
          </w:p>
        </w:tc>
        <w:tc>
          <w:tcPr>
            <w:tcW w:w="18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(97,064)</w:t>
            </w:r>
          </w:p>
        </w:tc>
        <w:tc>
          <w:tcPr>
            <w:tcW w:w="18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(71,479)</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8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(287,505)</w:t>
            </w:r>
          </w:p>
        </w:tc>
        <w:tc>
          <w:tcPr>
            <w:tcW w:w="26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219,499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Net Increase (Decrease) in Cash, Cash Equivalents, and Restricted Cash</w:t>
            </w:r>
          </w:p>
        </w:tc>
        <w:tc>
          <w:tcPr>
            <w:tcW w:w="1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1,517</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14,143</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15,660</w:t>
            </w:r>
          </w:p>
        </w:tc>
        <w:tc>
          <w:tcPr>
            <w:tcW w:w="2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8,110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Arial" w:cs="Arial" w:eastAsia="Arial" w:hAnsi="Arial"/>
                <w:sz w:val="18"/>
                <w:szCs w:val="18"/>
                <w:color w:val="auto"/>
              </w:rPr>
              <w:t>Supplemental Information:</w:t>
            </w: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Interest paid during the period</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27,308</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500"/>
              <w:spacing w:after="0"/>
              <w:rPr>
                <w:sz w:val="20"/>
                <w:szCs w:val="20"/>
                <w:color w:val="auto"/>
              </w:rPr>
            </w:pPr>
            <w:r>
              <w:rPr>
                <w:rFonts w:ascii="Arial" w:cs="Arial" w:eastAsia="Arial" w:hAnsi="Arial"/>
                <w:sz w:val="18"/>
                <w:szCs w:val="18"/>
                <w:color w:val="auto"/>
              </w:rPr>
              <w:t>Excise and other taxes paid during the period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3,955</w:t>
            </w:r>
          </w:p>
        </w:tc>
        <w:tc>
          <w:tcPr>
            <w:tcW w:w="2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3,100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Dividends declared during the period</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120,064</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88,378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500"/>
              <w:spacing w:after="0"/>
              <w:rPr>
                <w:sz w:val="20"/>
                <w:szCs w:val="20"/>
                <w:color w:val="auto"/>
              </w:rPr>
            </w:pPr>
            <w:r>
              <w:rPr>
                <w:rFonts w:ascii="Arial" w:cs="Arial" w:eastAsia="Arial" w:hAnsi="Arial"/>
                <w:sz w:val="18"/>
                <w:szCs w:val="18"/>
                <w:color w:val="auto"/>
              </w:rPr>
              <w:t>Reinvestment of dividends during the period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21,201</w:t>
            </w: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16,553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t>Sixth Street Specialty Lending,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unless otherwise indicated)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117" w:lineRule="exact"/>
        <w:rPr>
          <w:sz w:val="20"/>
          <w:szCs w:val="20"/>
          <w:color w:val="auto"/>
        </w:rPr>
      </w:pPr>
    </w:p>
    <w:p>
      <w:pPr>
        <w:ind w:right="20" w:firstLine="255"/>
        <w:spacing w:after="0" w:line="290" w:lineRule="auto"/>
        <w:rPr>
          <w:sz w:val="20"/>
          <w:szCs w:val="20"/>
          <w:color w:val="auto"/>
        </w:rPr>
      </w:pPr>
      <w:r>
        <w:rPr>
          <w:rFonts w:ascii="Arial" w:cs="Arial" w:eastAsia="Arial" w:hAnsi="Arial"/>
          <w:sz w:val="16"/>
          <w:szCs w:val="16"/>
          <w:color w:val="auto"/>
        </w:rPr>
        <w:t>Sixth Street Specialty Lending, Inc. (formerly known as TPG Specialty Lending, Inc.) (the “Company”) is a Delaware corporation formed on July 21, 2010. The Company was formed primarily to lend to, and selectively invest in, middle-market companies in the United States. The Company has elected to be regulated as a business development company (“BDC”) under the 1940 Act. In addition, for tax purposes, the Company has elected to be treated as a regulated investment company (“RIC”) under Subchapter M of the Internal Revenue Code of 1986, as amended (the “Code”). The Company is managed by Sixth Street Specialty Lending Advisers, LLC (formerly known as TSL Advisers, LLC) (the “Adviser”). On June 1, 2011, the Company formed a wholly-owned subsidiary, TC Lending, LLC, a Delaware limited liability company. On March 22, 2012, the Company formed a wholly-owned subsidiary, Sixth Street SL SPV, LLC (formerly known as TPG SL SPV, LLC), a Delaware limited liability company. On May 19, 2014, the Company formed a wholly-owned subsidiary, Sixth Street SL Holding, LLC (formerly known as TSL MR, LLC), a Delaware limited liability company.</w:t>
      </w:r>
    </w:p>
    <w:p>
      <w:pPr>
        <w:spacing w:after="0" w:line="165" w:lineRule="exact"/>
        <w:rPr>
          <w:sz w:val="20"/>
          <w:szCs w:val="20"/>
          <w:color w:val="auto"/>
        </w:rPr>
      </w:pPr>
    </w:p>
    <w:p>
      <w:pPr>
        <w:ind w:right="620" w:firstLine="255"/>
        <w:spacing w:after="0" w:line="277" w:lineRule="auto"/>
        <w:rPr>
          <w:sz w:val="20"/>
          <w:szCs w:val="20"/>
          <w:color w:val="auto"/>
        </w:rPr>
      </w:pPr>
      <w:r>
        <w:rPr>
          <w:rFonts w:ascii="Arial" w:cs="Arial" w:eastAsia="Arial" w:hAnsi="Arial"/>
          <w:sz w:val="18"/>
          <w:szCs w:val="18"/>
          <w:color w:val="auto"/>
        </w:rPr>
        <w:t>On March 21, 2014, the Company completed its initial public offering (“IPO”) and the Company’s shares began trading on the New York Stock Exchange (“NYSE”) under the symbol “TSLX.”</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Effective June 15, 2020, the Company changed its name from TPG Specialty Lending, Inc. to Sixth Street Specialty Lending, Inc.</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200" w:firstLine="255"/>
        <w:spacing w:after="0" w:line="257" w:lineRule="auto"/>
        <w:rPr>
          <w:sz w:val="20"/>
          <w:szCs w:val="20"/>
          <w:color w:val="auto"/>
        </w:rPr>
      </w:pPr>
      <w:r>
        <w:rPr>
          <w:rFonts w:ascii="Arial" w:cs="Arial" w:eastAsia="Arial" w:hAnsi="Arial"/>
          <w:sz w:val="18"/>
          <w:szCs w:val="18"/>
          <w:color w:val="auto"/>
        </w:rPr>
        <w:t>The accompanying consolidated financial statements are prepared in accordance with accounting principles generally accepted in the United States of America (“U.S. GAAP”), and include the accounts of the Company and its subsidiaries. In the opinion of management, all adjustments considered necessary for the fair presentation of the consolidated financial statements for the periods presented have been included. The results of operations for interim periods are not indicative of results to be expected for the full year. All intercompany balances and transactions have been eliminated in consolidation.</w:t>
      </w:r>
    </w:p>
    <w:p>
      <w:pPr>
        <w:spacing w:after="0" w:line="188" w:lineRule="exact"/>
        <w:rPr>
          <w:sz w:val="20"/>
          <w:szCs w:val="20"/>
          <w:color w:val="auto"/>
        </w:rPr>
      </w:pPr>
    </w:p>
    <w:p>
      <w:pPr>
        <w:ind w:firstLine="255"/>
        <w:spacing w:after="0" w:line="257" w:lineRule="auto"/>
        <w:rPr>
          <w:sz w:val="20"/>
          <w:szCs w:val="20"/>
          <w:color w:val="auto"/>
        </w:rPr>
      </w:pPr>
      <w:r>
        <w:rPr>
          <w:rFonts w:ascii="Arial" w:cs="Arial" w:eastAsia="Arial" w:hAnsi="Arial"/>
          <w:sz w:val="18"/>
          <w:szCs w:val="18"/>
          <w:color w:val="auto"/>
        </w:rPr>
        <w:t>Certain financial information that is normally included in annual financial statements, including certain financial statement footnotes, prepared in accordance with U.S. GAAP, is not required for interim reporting purposes and has been condensed or omitted herein. These consolidated financial statements should be read in conjunction with the Company’s consolidated financial statements and notes related thereto included in the Company’s Annual Report on Form 10-K for the year ended December 31, 2019, which was filed with the Securities and Exchange Commission (“SEC”), on February 19, 2020.</w:t>
      </w:r>
    </w:p>
    <w:p>
      <w:pPr>
        <w:spacing w:after="0" w:line="188" w:lineRule="exact"/>
        <w:rPr>
          <w:sz w:val="20"/>
          <w:szCs w:val="20"/>
          <w:color w:val="auto"/>
        </w:rPr>
      </w:pPr>
    </w:p>
    <w:p>
      <w:pPr>
        <w:ind w:right="580" w:firstLine="255"/>
        <w:spacing w:after="0" w:line="277" w:lineRule="auto"/>
        <w:rPr>
          <w:sz w:val="20"/>
          <w:szCs w:val="20"/>
          <w:color w:val="auto"/>
        </w:rPr>
      </w:pPr>
      <w:r>
        <w:rPr>
          <w:rFonts w:ascii="Arial" w:cs="Arial" w:eastAsia="Arial" w:hAnsi="Arial"/>
          <w:sz w:val="18"/>
          <w:szCs w:val="18"/>
          <w:color w:val="auto"/>
        </w:rPr>
        <w:t>Certain prior period information has been reclassified to conform to the current period presentation. These reclassifications have no effect on the Company’s financial position or its results of operations as previously reported.</w:t>
      </w:r>
    </w:p>
    <w:p>
      <w:pPr>
        <w:spacing w:after="0" w:line="170" w:lineRule="exact"/>
        <w:rPr>
          <w:sz w:val="20"/>
          <w:szCs w:val="20"/>
          <w:color w:val="auto"/>
        </w:rPr>
      </w:pPr>
    </w:p>
    <w:p>
      <w:pPr>
        <w:ind w:right="920" w:firstLine="255"/>
        <w:spacing w:after="0" w:line="277" w:lineRule="auto"/>
        <w:rPr>
          <w:sz w:val="20"/>
          <w:szCs w:val="20"/>
          <w:color w:val="auto"/>
        </w:rPr>
      </w:pPr>
      <w:r>
        <w:rPr>
          <w:rFonts w:ascii="Arial" w:cs="Arial" w:eastAsia="Arial" w:hAnsi="Arial"/>
          <w:sz w:val="18"/>
          <w:szCs w:val="18"/>
          <w:color w:val="auto"/>
        </w:rPr>
        <w:t xml:space="preserve">The Company is an investment company and, therefore, applies the specialized accounting and reporting guidance in Accounting Standards Codification (“ASC”) Topic 946, </w:t>
      </w:r>
      <w:r>
        <w:rPr>
          <w:rFonts w:ascii="Arial" w:cs="Arial" w:eastAsia="Arial" w:hAnsi="Arial"/>
          <w:sz w:val="18"/>
          <w:szCs w:val="18"/>
          <w:i w:val="1"/>
          <w:iCs w:val="1"/>
          <w:color w:val="auto"/>
        </w:rPr>
        <w:t>Financial Services – Investment Companies.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End</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Company’s fiscal year ends on December 31.</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jc w:val="both"/>
        <w:ind w:right="20" w:firstLine="255"/>
        <w:spacing w:after="0" w:line="263"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Actual amounts could differ from those estimates and such differences could be material.</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right="80" w:firstLine="255"/>
        <w:spacing w:after="0" w:line="259" w:lineRule="auto"/>
        <w:rPr>
          <w:sz w:val="20"/>
          <w:szCs w:val="20"/>
          <w:color w:val="auto"/>
        </w:rPr>
      </w:pPr>
      <w:r>
        <w:rPr>
          <w:rFonts w:ascii="Arial" w:cs="Arial" w:eastAsia="Arial" w:hAnsi="Arial"/>
          <w:sz w:val="18"/>
          <w:szCs w:val="18"/>
          <w:color w:val="auto"/>
        </w:rPr>
        <w:t>Cash and cash equivalents may consist of demand deposits, highly liquid investments (e.g., money market funds, U.S. Treasury notes, and similar type instruments) with original maturities of three months or less, and restricted cash pledged as collateral. Cash and cash equivalents denominated in U.S. dollars are carried at cost, which approximates fair value. The Company deposits its cash and cash equivalents with highly-rated banking corporations and, at times, cash deposits may exceed the insured limits under applicable law.</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at Fair Value</w:t>
      </w:r>
    </w:p>
    <w:p>
      <w:pPr>
        <w:spacing w:after="0" w:line="117" w:lineRule="exact"/>
        <w:rPr>
          <w:sz w:val="20"/>
          <w:szCs w:val="20"/>
          <w:color w:val="auto"/>
        </w:rPr>
      </w:pPr>
    </w:p>
    <w:p>
      <w:pPr>
        <w:ind w:right="40" w:firstLine="255"/>
        <w:spacing w:after="0" w:line="296" w:lineRule="auto"/>
        <w:rPr>
          <w:sz w:val="20"/>
          <w:szCs w:val="20"/>
          <w:color w:val="auto"/>
        </w:rPr>
      </w:pPr>
      <w:r>
        <w:rPr>
          <w:rFonts w:ascii="Arial" w:cs="Arial" w:eastAsia="Arial" w:hAnsi="Arial"/>
          <w:sz w:val="16"/>
          <w:szCs w:val="16"/>
          <w:color w:val="auto"/>
        </w:rPr>
        <w:t>Loan originations are recorded on the date of the binding commitment, which is generally the funding date. Investment transactions purchased through the secondary markets are recorded on the trade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p>
    <w:p>
      <w:pPr>
        <w:spacing w:after="0" w:line="161" w:lineRule="exact"/>
        <w:rPr>
          <w:sz w:val="20"/>
          <w:szCs w:val="20"/>
          <w:color w:val="auto"/>
        </w:rPr>
      </w:pPr>
    </w:p>
    <w:p>
      <w:pPr>
        <w:ind w:right="320" w:firstLine="255"/>
        <w:spacing w:after="0" w:line="296" w:lineRule="auto"/>
        <w:rPr>
          <w:sz w:val="20"/>
          <w:szCs w:val="20"/>
          <w:color w:val="auto"/>
        </w:rPr>
      </w:pPr>
      <w:r>
        <w:rPr>
          <w:rFonts w:ascii="Arial" w:cs="Arial" w:eastAsia="Arial" w:hAnsi="Arial"/>
          <w:sz w:val="16"/>
          <w:szCs w:val="16"/>
          <w:color w:val="auto"/>
        </w:rPr>
        <w:t>Investments for which market quotations are readily available are typically valued at those market quotations. To validate market quotations, the Company utilizes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the Company’s Board of Directors (the “Board”), based on, among other things, the input of the Adviser, the Company’s Audit Committee and independent third-party valuation firms engaged at the direction of the Board.</w:t>
      </w:r>
    </w:p>
    <w:p>
      <w:pPr>
        <w:spacing w:after="0" w:line="161" w:lineRule="exact"/>
        <w:rPr>
          <w:sz w:val="20"/>
          <w:szCs w:val="20"/>
          <w:color w:val="auto"/>
        </w:rPr>
      </w:pPr>
    </w:p>
    <w:p>
      <w:pPr>
        <w:ind w:firstLine="255"/>
        <w:spacing w:after="0" w:line="254" w:lineRule="auto"/>
        <w:rPr>
          <w:sz w:val="20"/>
          <w:szCs w:val="20"/>
          <w:color w:val="auto"/>
        </w:rPr>
      </w:pPr>
      <w:r>
        <w:rPr>
          <w:rFonts w:ascii="Arial" w:cs="Arial" w:eastAsia="Arial" w:hAnsi="Arial"/>
          <w:sz w:val="18"/>
          <w:szCs w:val="18"/>
          <w:color w:val="auto"/>
        </w:rPr>
        <w:t>As part of the valuation process, the Board takes into account relevant factors in determining the fair value of its investments, including and in combination of: the estimated enterprise value of a portfolio company (that is, the total value of the portfolio company’s net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that may affect the price at which similar investments may be made in the future. When an external event such as a purchase transaction, public offering or subsequent equity sale occurs, the Board considers whether the pricing indicated by the external event corroborates its valuation.</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Board undertakes a multi-step valuation process, which includes, among other procedures, the following:</w:t>
      </w:r>
    </w:p>
    <w:p>
      <w:pPr>
        <w:spacing w:after="0" w:line="117" w:lineRule="exact"/>
        <w:rPr>
          <w:sz w:val="20"/>
          <w:szCs w:val="20"/>
          <w:color w:val="auto"/>
        </w:rPr>
      </w:pPr>
    </w:p>
    <w:p>
      <w:pPr>
        <w:ind w:left="500" w:right="100" w:hanging="249"/>
        <w:spacing w:after="0" w:line="277"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valuation process begins with each investment being initially valued by the investment professionals responsible for the portfolio investment in conjunction with the portfolio management team.</w:t>
      </w:r>
    </w:p>
    <w:p>
      <w:pPr>
        <w:spacing w:after="0" w:line="62" w:lineRule="exact"/>
        <w:rPr>
          <w:rFonts w:ascii="Arial" w:cs="Arial" w:eastAsia="Arial" w:hAnsi="Arial"/>
          <w:sz w:val="18"/>
          <w:szCs w:val="18"/>
          <w:color w:val="auto"/>
        </w:rPr>
      </w:pPr>
    </w:p>
    <w:p>
      <w:pPr>
        <w:ind w:left="500" w:right="440" w:hanging="249"/>
        <w:spacing w:after="0" w:line="277"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Adviser’s management reviews the preliminary valuations with the investment professionals. Agreed upon valuation recommendations are presented to the Audit Committee.</w:t>
      </w:r>
    </w:p>
    <w:p>
      <w:pPr>
        <w:spacing w:after="0" w:line="62" w:lineRule="exact"/>
        <w:rPr>
          <w:rFonts w:ascii="Arial" w:cs="Arial" w:eastAsia="Arial" w:hAnsi="Arial"/>
          <w:sz w:val="18"/>
          <w:szCs w:val="18"/>
          <w:color w:val="auto"/>
        </w:rPr>
      </w:pPr>
    </w:p>
    <w:p>
      <w:pPr>
        <w:ind w:left="500" w:hanging="249"/>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Audit Committee reviews the valuations presented and recommends values for each investment to the Board.</w:t>
      </w:r>
    </w:p>
    <w:p>
      <w:pPr>
        <w:spacing w:after="0" w:line="117" w:lineRule="exact"/>
        <w:rPr>
          <w:rFonts w:ascii="Arial" w:cs="Arial" w:eastAsia="Arial" w:hAnsi="Arial"/>
          <w:sz w:val="18"/>
          <w:szCs w:val="18"/>
          <w:color w:val="auto"/>
        </w:rPr>
      </w:pPr>
    </w:p>
    <w:p>
      <w:pPr>
        <w:ind w:left="500" w:right="120" w:hanging="249"/>
        <w:spacing w:after="0" w:line="263"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 including independent third-party valuation firms engaged at the direction of the Board.</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 conducts this valuation process on a quarterly basis.</w:t>
      </w:r>
    </w:p>
    <w:p>
      <w:pPr>
        <w:spacing w:after="0" w:line="225" w:lineRule="exact"/>
        <w:rPr>
          <w:sz w:val="20"/>
          <w:szCs w:val="20"/>
          <w:color w:val="auto"/>
        </w:rPr>
      </w:pPr>
    </w:p>
    <w:p>
      <w:pPr>
        <w:jc w:val="both"/>
        <w:ind w:right="140" w:firstLine="255"/>
        <w:spacing w:after="0" w:line="279" w:lineRule="auto"/>
        <w:rPr>
          <w:sz w:val="20"/>
          <w:szCs w:val="20"/>
          <w:color w:val="auto"/>
        </w:rPr>
      </w:pPr>
      <w:r>
        <w:rPr>
          <w:rFonts w:ascii="Arial" w:cs="Arial" w:eastAsia="Arial" w:hAnsi="Arial"/>
          <w:sz w:val="17"/>
          <w:szCs w:val="17"/>
          <w:color w:val="auto"/>
        </w:rPr>
        <w:t>The Board has engaged independent third-party valuation firms to perform certain limited procedures that the Board has identified and requested them to perform in connection with the valuation process. At September 30, 2020, the independent third-party valuation firms performed their procedures over substantially all of the Company’s investments. Upon completion of such limited procedures, the third-party valuation firms concluded that the fair value, as determined by the Board, of those investments subjected to their limited procedures, appeared reasonable.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3" w:name="page24"/>
    <w:bookmarkEnd w:id="23"/>
    <w:p>
      <w:pPr>
        <w:ind w:right="60" w:firstLine="255"/>
        <w:spacing w:after="0" w:line="254" w:lineRule="auto"/>
        <w:rPr>
          <w:sz w:val="20"/>
          <w:szCs w:val="20"/>
          <w:color w:val="auto"/>
        </w:rPr>
      </w:pPr>
      <w:r>
        <w:rPr>
          <w:rFonts w:ascii="Arial" w:cs="Arial" w:eastAsia="Arial" w:hAnsi="Arial"/>
          <w:sz w:val="18"/>
          <w:szCs w:val="18"/>
          <w:color w:val="auto"/>
        </w:rPr>
        <w:t xml:space="preserve">The Company applies Financial Accounting Standards Board Accounting Standards Codification Topic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(“ASC Topic 820”), as amended, which establishes a framework for measuring fair value in accordance with U.S. GAAP and required disclosures of fair value measurements. ASC Topic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Topic 820, the Company considers its principal market to be the market that has the greatest volume and level of activity. ASC Topic 820 specifies a fair value hierarchy that prioritizes and ranks the level of observability of inputs used in determination of fair value. In accordance with ASC Topic 820, these levels are summarized below:</w:t>
      </w:r>
    </w:p>
    <w:p>
      <w:pPr>
        <w:spacing w:after="0" w:line="84" w:lineRule="exact"/>
        <w:rPr>
          <w:sz w:val="20"/>
          <w:szCs w:val="20"/>
          <w:color w:val="auto"/>
        </w:rPr>
      </w:pPr>
    </w:p>
    <w:p>
      <w:pPr>
        <w:ind w:left="500" w:hanging="249"/>
        <w:spacing w:after="0"/>
        <w:tabs>
          <w:tab w:leader="none" w:pos="5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Level 1—Valuations based on quoted prices in active markets for identical assets or liabilities that the Company has the ability to access.</w:t>
      </w:r>
    </w:p>
    <w:p>
      <w:pPr>
        <w:spacing w:after="0" w:line="128" w:lineRule="exact"/>
        <w:rPr>
          <w:rFonts w:ascii="Arial" w:cs="Arial" w:eastAsia="Arial" w:hAnsi="Arial"/>
          <w:sz w:val="17"/>
          <w:szCs w:val="17"/>
          <w:color w:val="auto"/>
        </w:rPr>
      </w:pPr>
    </w:p>
    <w:p>
      <w:pPr>
        <w:ind w:left="500" w:right="620" w:hanging="249"/>
        <w:spacing w:after="0" w:line="277"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Level 2—Valuations based on quoted prices in markets that are not active or for which all significant inputs are observable, either directly or indirectly.</w:t>
      </w:r>
    </w:p>
    <w:p>
      <w:pPr>
        <w:spacing w:after="0" w:line="62" w:lineRule="exact"/>
        <w:rPr>
          <w:rFonts w:ascii="Arial" w:cs="Arial" w:eastAsia="Arial" w:hAnsi="Arial"/>
          <w:sz w:val="18"/>
          <w:szCs w:val="18"/>
          <w:color w:val="auto"/>
        </w:rPr>
      </w:pPr>
    </w:p>
    <w:p>
      <w:pPr>
        <w:ind w:left="500" w:hanging="249"/>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225" w:lineRule="exact"/>
        <w:rPr>
          <w:sz w:val="20"/>
          <w:szCs w:val="20"/>
          <w:color w:val="auto"/>
        </w:rPr>
      </w:pPr>
    </w:p>
    <w:p>
      <w:pPr>
        <w:ind w:right="140" w:firstLine="255"/>
        <w:spacing w:after="0" w:line="253" w:lineRule="auto"/>
        <w:rPr>
          <w:sz w:val="20"/>
          <w:szCs w:val="20"/>
          <w:color w:val="auto"/>
        </w:rPr>
      </w:pPr>
      <w:r>
        <w:rPr>
          <w:rFonts w:ascii="Arial" w:cs="Arial" w:eastAsia="Arial" w:hAnsi="Arial"/>
          <w:sz w:val="18"/>
          <w:szCs w:val="18"/>
          <w:color w:val="auto"/>
        </w:rPr>
        <w:t>Transfers between levels, if any, are recognized at the beginning of the quarter in which the transfers occur. In addition to using the above inputs in investment valuations, the Company applies the valuation policy approved by its Board that is consistent with ASC Topic 820. Consistent with the valuation policy, the Company evaluates the source of inputs, including any markets in which its investments are trading (or any markets in which securities with similar attributes are trading), in determining fair value. When a security is valued based on prices provided by reputable dealers or pricing services (that is, broker quotes), the Company subjects those prices to various additional criteria in making the determination as to whether a particular investment would qualify for treatment as a Level 2 or Level 3 investment. For example, the Company reviews pricing provided by dealers or pricing services in order to determine if observable market information is being used, versus unobservable inputs. Some additional factors considered include the number of prices obtained as well as an assessment as to their quality, such as the depth of the relevant market relative to the size of the Company’s position.</w:t>
      </w:r>
    </w:p>
    <w:p>
      <w:pPr>
        <w:spacing w:after="0" w:line="196" w:lineRule="exact"/>
        <w:rPr>
          <w:sz w:val="20"/>
          <w:szCs w:val="20"/>
          <w:color w:val="auto"/>
        </w:rPr>
      </w:pPr>
    </w:p>
    <w:p>
      <w:pPr>
        <w:ind w:right="100" w:firstLine="255"/>
        <w:spacing w:after="0" w:line="255" w:lineRule="auto"/>
        <w:rPr>
          <w:sz w:val="20"/>
          <w:szCs w:val="20"/>
          <w:color w:val="auto"/>
        </w:rPr>
      </w:pPr>
      <w:r>
        <w:rPr>
          <w:rFonts w:ascii="Arial" w:cs="Arial" w:eastAsia="Arial" w:hAnsi="Arial"/>
          <w:sz w:val="18"/>
          <w:szCs w:val="18"/>
          <w:color w:val="auto"/>
        </w:rPr>
        <w:t>Due to the inherent uncertainty of determining the fair value of investments that do not have a readily available market value, the fair value of the Company’s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spacing w:after="0" w:line="192" w:lineRule="exact"/>
        <w:rPr>
          <w:sz w:val="20"/>
          <w:szCs w:val="20"/>
          <w:color w:val="auto"/>
        </w:rPr>
      </w:pPr>
    </w:p>
    <w:p>
      <w:pPr>
        <w:ind w:right="20" w:firstLine="255"/>
        <w:spacing w:after="0" w:line="263" w:lineRule="auto"/>
        <w:rPr>
          <w:sz w:val="20"/>
          <w:szCs w:val="20"/>
          <w:color w:val="auto"/>
        </w:rPr>
      </w:pPr>
      <w:r>
        <w:rPr>
          <w:rFonts w:ascii="Arial" w:cs="Arial" w:eastAsia="Arial" w:hAnsi="Arial"/>
          <w:sz w:val="18"/>
          <w:szCs w:val="18"/>
          <w:color w:val="auto"/>
        </w:rPr>
        <w:t>In addition, changes in the market environment, including the impact of changes in broader market indices and credit spreads, and other events that may occur over the life of the investments may cause the gains or losses ultimately realized on these investments to be different than the unrealized gains or losses reflected herein.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and Derivative Instruments</w:t>
      </w:r>
    </w:p>
    <w:p>
      <w:pPr>
        <w:spacing w:after="0" w:line="117" w:lineRule="exact"/>
        <w:rPr>
          <w:sz w:val="20"/>
          <w:szCs w:val="20"/>
          <w:color w:val="auto"/>
        </w:rPr>
      </w:pPr>
    </w:p>
    <w:p>
      <w:pPr>
        <w:ind w:firstLine="255"/>
        <w:spacing w:after="0" w:line="271" w:lineRule="auto"/>
        <w:rPr>
          <w:sz w:val="20"/>
          <w:szCs w:val="20"/>
          <w:color w:val="auto"/>
        </w:rPr>
      </w:pPr>
      <w:r>
        <w:rPr>
          <w:rFonts w:ascii="Arial" w:cs="Arial" w:eastAsia="Arial" w:hAnsi="Arial"/>
          <w:sz w:val="17"/>
          <w:szCs w:val="17"/>
          <w:color w:val="auto"/>
        </w:rPr>
        <w:t xml:space="preserve">The Company recognizes all derivative instruments as assets or liabilities at fair value in its consolidated financial statements, pursuant to ASC Topic 815 </w:t>
      </w:r>
      <w:r>
        <w:rPr>
          <w:rFonts w:ascii="Arial" w:cs="Arial" w:eastAsia="Arial" w:hAnsi="Arial"/>
          <w:sz w:val="17"/>
          <w:szCs w:val="17"/>
          <w:i w:val="1"/>
          <w:iCs w:val="1"/>
          <w:color w:val="auto"/>
        </w:rPr>
        <w:t>Derivatives and Hedgin</w:t>
      </w:r>
      <w:r>
        <w:rPr>
          <w:rFonts w:ascii="Arial" w:cs="Arial" w:eastAsia="Arial" w:hAnsi="Arial"/>
          <w:sz w:val="17"/>
          <w:szCs w:val="17"/>
          <w:color w:val="auto"/>
        </w:rPr>
        <w:t xml:space="preserve">g, further clarified by the FASB’s issuance of the Accounting Standards Update (“ASU”) No. 2017-12, </w:t>
      </w:r>
      <w:r>
        <w:rPr>
          <w:rFonts w:ascii="Arial" w:cs="Arial" w:eastAsia="Arial" w:hAnsi="Arial"/>
          <w:sz w:val="17"/>
          <w:szCs w:val="17"/>
          <w:i w:val="1"/>
          <w:iCs w:val="1"/>
          <w:color w:val="auto"/>
        </w:rPr>
        <w:t>Derivatives and</w:t>
      </w:r>
      <w:r>
        <w:rPr>
          <w:rFonts w:ascii="Arial" w:cs="Arial" w:eastAsia="Arial" w:hAnsi="Arial"/>
          <w:sz w:val="17"/>
          <w:szCs w:val="17"/>
          <w:color w:val="auto"/>
        </w:rPr>
        <w:t xml:space="preserve"> </w:t>
      </w:r>
      <w:r>
        <w:rPr>
          <w:rFonts w:ascii="Arial" w:cs="Arial" w:eastAsia="Arial" w:hAnsi="Arial"/>
          <w:sz w:val="17"/>
          <w:szCs w:val="17"/>
          <w:i w:val="1"/>
          <w:iCs w:val="1"/>
          <w:color w:val="auto"/>
        </w:rPr>
        <w:t>Hedging</w:t>
      </w:r>
      <w:r>
        <w:rPr>
          <w:rFonts w:ascii="Arial" w:cs="Arial" w:eastAsia="Arial" w:hAnsi="Arial"/>
          <w:sz w:val="17"/>
          <w:szCs w:val="17"/>
          <w:color w:val="auto"/>
        </w:rPr>
        <w:t>, which was adopted in 2019 by the Company. For all derivative instruments designated in a hedge accounting relationship, the entire change in the</w:t>
      </w:r>
      <w:r>
        <w:rPr>
          <w:rFonts w:ascii="Arial" w:cs="Arial" w:eastAsia="Arial" w:hAnsi="Arial"/>
          <w:sz w:val="17"/>
          <w:szCs w:val="17"/>
          <w:i w:val="1"/>
          <w:iCs w:val="1"/>
          <w:color w:val="auto"/>
        </w:rPr>
        <w:t xml:space="preserve"> </w:t>
      </w:r>
      <w:r>
        <w:rPr>
          <w:rFonts w:ascii="Arial" w:cs="Arial" w:eastAsia="Arial" w:hAnsi="Arial"/>
          <w:sz w:val="17"/>
          <w:szCs w:val="17"/>
          <w:color w:val="auto"/>
        </w:rPr>
        <w:t>fair value of the hedging instrument shall be recorded in the same line item of the Consolidated Statements of Operations as the hedged item. The Company uses certain interest rate swaps as derivative instruments to hedge the Company’s fixed rate debt, and therefore both the periodic payment and the change in fair value for the effective hedge, if applicable, will be recognized as components of interest expense in the Consolidated Statements of Operations. For derivative contracts entered into by the Company that are not designated in a hedge accounting relationship the Company presents changes in the fair value through current period earnings.</w:t>
      </w:r>
    </w:p>
    <w:p>
      <w:pPr>
        <w:spacing w:after="0" w:line="178" w:lineRule="exact"/>
        <w:rPr>
          <w:sz w:val="20"/>
          <w:szCs w:val="20"/>
          <w:color w:val="auto"/>
        </w:rPr>
      </w:pPr>
    </w:p>
    <w:p>
      <w:pPr>
        <w:ind w:right="220" w:firstLine="255"/>
        <w:spacing w:after="0" w:line="255" w:lineRule="auto"/>
        <w:rPr>
          <w:sz w:val="20"/>
          <w:szCs w:val="20"/>
          <w:color w:val="auto"/>
        </w:rPr>
      </w:pPr>
      <w:r>
        <w:rPr>
          <w:rFonts w:ascii="Arial" w:cs="Arial" w:eastAsia="Arial" w:hAnsi="Arial"/>
          <w:sz w:val="18"/>
          <w:szCs w:val="18"/>
          <w:color w:val="auto"/>
        </w:rPr>
        <w:t>In the normal course of business, the Company has commitments and risks resulting from its investment transactions, which may include those involving derivative instruments. Derivative instruments are measured in terms of the notional contract amount and derive their value based upon one or more underlying instruments. While the notional amount gives some indication of the Company’s derivative activity, it generally is not exchanged, but is only used as the basis on which interest and other payments are exchanged. Derivative instruments are subject to various risks similar to non-derivative instruments including market, credit, liquidity, and operational risks. The Company manages these risks on an aggregate basis as part of its risk management process.</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Derivatives, including the Company’s interest rate swaps, for which broker quotes are available are typically valued at those broker quotes.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Offsetting Assets and Liabilities</w:t>
      </w:r>
    </w:p>
    <w:p>
      <w:pPr>
        <w:spacing w:after="0" w:line="117" w:lineRule="exact"/>
        <w:rPr>
          <w:sz w:val="20"/>
          <w:szCs w:val="20"/>
          <w:color w:val="auto"/>
        </w:rPr>
      </w:pPr>
    </w:p>
    <w:p>
      <w:pPr>
        <w:ind w:right="40" w:firstLine="255"/>
        <w:spacing w:after="0" w:line="259" w:lineRule="auto"/>
        <w:rPr>
          <w:sz w:val="20"/>
          <w:szCs w:val="20"/>
          <w:color w:val="auto"/>
        </w:rPr>
      </w:pPr>
      <w:r>
        <w:rPr>
          <w:rFonts w:ascii="Arial" w:cs="Arial" w:eastAsia="Arial" w:hAnsi="Arial"/>
          <w:sz w:val="18"/>
          <w:szCs w:val="18"/>
          <w:color w:val="auto"/>
        </w:rPr>
        <w:t>Foreign currency forward contract and interest rate swap receivables or payables pending settlement are offset, and the net amount is included with receivable or payable for foreign currency forward contracts or interest rate swaps in the consolidated balance sheets when, and only when, they are with the same counterparty, the Company has the legal right to offset the recognized amounts, and it intends to either settle on a net basis or realize the asset and settle the liability simultaneously.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Foreign currency amounts are translated into U.S. dollars on the following basis:</w:t>
      </w:r>
    </w:p>
    <w:p>
      <w:pPr>
        <w:spacing w:after="0" w:line="117" w:lineRule="exact"/>
        <w:rPr>
          <w:sz w:val="20"/>
          <w:szCs w:val="20"/>
          <w:color w:val="auto"/>
        </w:rPr>
      </w:pPr>
    </w:p>
    <w:p>
      <w:pPr>
        <w:ind w:left="500" w:right="600" w:hanging="249"/>
        <w:spacing w:after="0" w:line="277"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cash and cash equivalents, market value of investments, outstanding debt on revolving credit facilities, other assets and liabilities: at the spot exchange rate on the last business day of the period; and</w:t>
      </w:r>
    </w:p>
    <w:p>
      <w:pPr>
        <w:spacing w:after="0" w:line="62" w:lineRule="exact"/>
        <w:rPr>
          <w:rFonts w:ascii="Arial" w:cs="Arial" w:eastAsia="Arial" w:hAnsi="Arial"/>
          <w:sz w:val="18"/>
          <w:szCs w:val="18"/>
          <w:color w:val="auto"/>
        </w:rPr>
      </w:pPr>
    </w:p>
    <w:p>
      <w:pPr>
        <w:ind w:left="500" w:right="20" w:hanging="249"/>
        <w:spacing w:after="0" w:line="277"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purchases and sales of investments, borrowings and repayments of such borrowings, income and expenses: at the rates of exchange prevailing on the respective dates of such transactions.</w:t>
      </w:r>
    </w:p>
    <w:p>
      <w:pPr>
        <w:spacing w:after="0" w:line="170" w:lineRule="exact"/>
        <w:rPr>
          <w:sz w:val="20"/>
          <w:szCs w:val="20"/>
          <w:color w:val="auto"/>
        </w:rPr>
      </w:pPr>
    </w:p>
    <w:p>
      <w:pPr>
        <w:ind w:right="100" w:firstLine="255"/>
        <w:spacing w:after="0" w:line="254" w:lineRule="auto"/>
        <w:rPr>
          <w:sz w:val="20"/>
          <w:szCs w:val="20"/>
          <w:color w:val="auto"/>
        </w:rPr>
      </w:pPr>
      <w:r>
        <w:rPr>
          <w:rFonts w:ascii="Arial" w:cs="Arial" w:eastAsia="Arial" w:hAnsi="Arial"/>
          <w:sz w:val="18"/>
          <w:szCs w:val="18"/>
          <w:color w:val="auto"/>
        </w:rPr>
        <w:t>Although net assets and fair values are presented based on the applicable foreign exchange rates described above, the Company does not isolate that portion of the results of operations resulting from changes in foreign exchange rates on investments from the fluctuations arising from changes in fair values of investments held. Such fluctuations are included with the net realized and unrealized gain or loss from investments. The Company’s current approach to hedging the foreign currency exposure in its non-U.S. dollar denominated investments is primarily to borrow the par amount in local currency under the Company’s Revolving Credit Facility to fund these investments. Fluctuations arising from the translation of foreign currency borrowings are included with the net change in unrealized gains (losses) on translation of assets and liabilities in foreign currencies on the Consolidated Statements of Operations.</w:t>
      </w:r>
    </w:p>
    <w:p>
      <w:pPr>
        <w:spacing w:after="0" w:line="195" w:lineRule="exact"/>
        <w:rPr>
          <w:sz w:val="20"/>
          <w:szCs w:val="20"/>
          <w:color w:val="auto"/>
        </w:rPr>
      </w:pPr>
    </w:p>
    <w:p>
      <w:pPr>
        <w:ind w:right="140" w:firstLine="255"/>
        <w:spacing w:after="0" w:line="308" w:lineRule="auto"/>
        <w:rPr>
          <w:sz w:val="20"/>
          <w:szCs w:val="20"/>
          <w:color w:val="auto"/>
        </w:rPr>
      </w:pPr>
      <w:r>
        <w:rPr>
          <w:rFonts w:ascii="Arial" w:cs="Arial" w:eastAsia="Arial" w:hAnsi="Arial"/>
          <w:sz w:val="17"/>
          <w:szCs w:val="17"/>
          <w:color w:val="auto"/>
        </w:rPr>
        <w:t>Investments denominated in foreign currencies and foreign currency transactions may involve certain considerations and risks not typically associated with those of domestic origin, including unanticipated movements in the value of the foreign currency relative to the U.S. dollar.</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Offering Expenses</w:t>
      </w:r>
    </w:p>
    <w:p>
      <w:pPr>
        <w:spacing w:after="0" w:line="117" w:lineRule="exact"/>
        <w:rPr>
          <w:sz w:val="20"/>
          <w:szCs w:val="20"/>
          <w:color w:val="auto"/>
        </w:rPr>
      </w:pPr>
    </w:p>
    <w:p>
      <w:pPr>
        <w:ind w:right="260" w:firstLine="255"/>
        <w:spacing w:after="0" w:line="277" w:lineRule="auto"/>
        <w:rPr>
          <w:sz w:val="20"/>
          <w:szCs w:val="20"/>
          <w:color w:val="auto"/>
        </w:rPr>
      </w:pPr>
      <w:r>
        <w:rPr>
          <w:rFonts w:ascii="Arial" w:cs="Arial" w:eastAsia="Arial" w:hAnsi="Arial"/>
          <w:sz w:val="18"/>
          <w:szCs w:val="18"/>
          <w:color w:val="auto"/>
        </w:rPr>
        <w:t>The Company records expenses related to equity offerings as a reduction of capital upon completion of an offering of registered securities. The costs associated with renewals of the Company’s shelf registration statement are expensed as incurred.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 Costs</w:t>
      </w:r>
    </w:p>
    <w:p>
      <w:pPr>
        <w:spacing w:after="0" w:line="117" w:lineRule="exact"/>
        <w:rPr>
          <w:sz w:val="20"/>
          <w:szCs w:val="20"/>
          <w:color w:val="auto"/>
        </w:rPr>
      </w:pPr>
    </w:p>
    <w:p>
      <w:pPr>
        <w:ind w:right="220" w:firstLine="255"/>
        <w:spacing w:after="0" w:line="263" w:lineRule="auto"/>
        <w:rPr>
          <w:sz w:val="20"/>
          <w:szCs w:val="20"/>
          <w:color w:val="auto"/>
        </w:rPr>
      </w:pPr>
      <w:r>
        <w:rPr>
          <w:rFonts w:ascii="Arial" w:cs="Arial" w:eastAsia="Arial" w:hAnsi="Arial"/>
          <w:sz w:val="18"/>
          <w:szCs w:val="18"/>
          <w:color w:val="auto"/>
        </w:rPr>
        <w:t>The Company records origination and other expenses related to its debt obligations as deferred financing costs, which are presented as a direct deduction from the carrying value of the related debt liability. These expenses are deferred and amortized using the effective interest method, or straight-line method, over the stated maturity of the debt obligation.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Dividend Income Recognition</w:t>
      </w:r>
    </w:p>
    <w:p>
      <w:pPr>
        <w:spacing w:after="0" w:line="117" w:lineRule="exact"/>
        <w:rPr>
          <w:sz w:val="20"/>
          <w:szCs w:val="20"/>
          <w:color w:val="auto"/>
        </w:rPr>
      </w:pPr>
    </w:p>
    <w:p>
      <w:pPr>
        <w:ind w:right="100" w:firstLine="255"/>
        <w:spacing w:after="0" w:line="286" w:lineRule="auto"/>
        <w:rPr>
          <w:sz w:val="20"/>
          <w:szCs w:val="20"/>
          <w:color w:val="auto"/>
        </w:rPr>
      </w:pPr>
      <w:r>
        <w:rPr>
          <w:rFonts w:ascii="Arial" w:cs="Arial" w:eastAsia="Arial" w:hAnsi="Arial"/>
          <w:sz w:val="17"/>
          <w:szCs w:val="17"/>
          <w:color w:val="auto"/>
        </w:rPr>
        <w:t>Interest income is recorded on an accrual basis and includes the amortization of discounts and premiums. Discounts and premiums to par value on securities purchased or originated are amortized into interest income over the contractual life of the respective security using the effective interest method. The amortized cost of investments represents the original cost adjusted for the amortization of discounts and premiums, if any.</w:t>
      </w:r>
    </w:p>
    <w:p>
      <w:pPr>
        <w:spacing w:after="0" w:line="165" w:lineRule="exact"/>
        <w:rPr>
          <w:sz w:val="20"/>
          <w:szCs w:val="20"/>
          <w:color w:val="auto"/>
        </w:rPr>
      </w:pPr>
    </w:p>
    <w:p>
      <w:pPr>
        <w:ind w:right="180" w:firstLine="255"/>
        <w:spacing w:after="0" w:line="277" w:lineRule="auto"/>
        <w:rPr>
          <w:sz w:val="20"/>
          <w:szCs w:val="20"/>
          <w:color w:val="auto"/>
        </w:rPr>
      </w:pPr>
      <w:r>
        <w:rPr>
          <w:rFonts w:ascii="Arial" w:cs="Arial" w:eastAsia="Arial" w:hAnsi="Arial"/>
          <w:sz w:val="18"/>
          <w:szCs w:val="18"/>
          <w:color w:val="auto"/>
        </w:rPr>
        <w:t>Unless providing services in connection with an investment, such as syndication, structuring or diligence, all or a portion of any loan fees received by the Company will be deferred and amortized over the investment’s life using the effective interest method.</w:t>
      </w:r>
    </w:p>
    <w:p>
      <w:pPr>
        <w:spacing w:after="0" w:line="170" w:lineRule="exact"/>
        <w:rPr>
          <w:sz w:val="20"/>
          <w:szCs w:val="20"/>
          <w:color w:val="auto"/>
        </w:rPr>
      </w:pPr>
    </w:p>
    <w:p>
      <w:pPr>
        <w:ind w:right="20" w:firstLine="255"/>
        <w:spacing w:after="0" w:line="273" w:lineRule="auto"/>
        <w:rPr>
          <w:sz w:val="20"/>
          <w:szCs w:val="20"/>
          <w:color w:val="auto"/>
        </w:rPr>
      </w:pPr>
      <w:r>
        <w:rPr>
          <w:rFonts w:ascii="Arial" w:cs="Arial" w:eastAsia="Arial" w:hAnsi="Arial"/>
          <w:sz w:val="17"/>
          <w:szCs w:val="17"/>
          <w:color w:val="auto"/>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w:t>
      </w:r>
    </w:p>
    <w:p>
      <w:pPr>
        <w:spacing w:after="0" w:line="178" w:lineRule="exact"/>
        <w:rPr>
          <w:sz w:val="20"/>
          <w:szCs w:val="20"/>
          <w:color w:val="auto"/>
        </w:rPr>
      </w:pPr>
    </w:p>
    <w:p>
      <w:pPr>
        <w:ind w:firstLine="255"/>
        <w:spacing w:after="0" w:line="263" w:lineRule="auto"/>
        <w:rPr>
          <w:sz w:val="20"/>
          <w:szCs w:val="20"/>
          <w:color w:val="auto"/>
        </w:rPr>
      </w:pPr>
      <w:r>
        <w:rPr>
          <w:rFonts w:ascii="Arial" w:cs="Arial" w:eastAsia="Arial" w:hAnsi="Arial"/>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publicly-traded portfolio companies.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ind w:firstLine="255"/>
        <w:spacing w:after="0" w:line="263" w:lineRule="auto"/>
        <w:rPr>
          <w:sz w:val="20"/>
          <w:szCs w:val="20"/>
          <w:color w:val="auto"/>
        </w:rPr>
      </w:pPr>
      <w:r>
        <w:rPr>
          <w:rFonts w:ascii="Arial" w:cs="Arial" w:eastAsia="Arial" w:hAnsi="Arial"/>
          <w:sz w:val="18"/>
          <w:szCs w:val="18"/>
          <w:color w:val="auto"/>
        </w:rPr>
        <w:t>From time to time, the Company may receive fees for services provided to portfolio companies by the Adviser. The services that the Adviser provides vary by investment, but may include syndication, structuring, diligence fees, or other service-based fees, and fees for providing managerial assistance to our portfolio companies and are recognized as revenue when earned.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Reimbursement of Transaction-Related Expenses</w:t>
      </w:r>
    </w:p>
    <w:p>
      <w:pPr>
        <w:spacing w:after="0" w:line="117" w:lineRule="exact"/>
        <w:rPr>
          <w:sz w:val="20"/>
          <w:szCs w:val="20"/>
          <w:color w:val="auto"/>
        </w:rPr>
      </w:pPr>
    </w:p>
    <w:p>
      <w:pPr>
        <w:ind w:right="80" w:firstLine="255"/>
        <w:spacing w:after="0" w:line="259" w:lineRule="auto"/>
        <w:rPr>
          <w:sz w:val="20"/>
          <w:szCs w:val="20"/>
          <w:color w:val="auto"/>
        </w:rPr>
      </w:pPr>
      <w:r>
        <w:rPr>
          <w:rFonts w:ascii="Arial" w:cs="Arial" w:eastAsia="Arial" w:hAnsi="Arial"/>
          <w:sz w:val="18"/>
          <w:szCs w:val="18"/>
          <w:color w:val="auto"/>
        </w:rPr>
        <w:t>The Company may receive reimbursement for certain transaction-related expenses in pursuing investments. Transaction-related expenses, which are expected to be reimbursed by third parties, are typically deferred until the transaction is consummated and are recorded in Prepaid expenses and other assets on the date incurred. The transaction-related costs of pursuing investments not otherwise reimbursed are borne by the Company and for successfully completed investments included as a component of the investment’s cost basis.</w:t>
      </w:r>
    </w:p>
    <w:p>
      <w:pPr>
        <w:spacing w:after="0" w:line="187" w:lineRule="exact"/>
        <w:rPr>
          <w:sz w:val="20"/>
          <w:szCs w:val="20"/>
          <w:color w:val="auto"/>
        </w:rPr>
      </w:pPr>
    </w:p>
    <w:p>
      <w:pPr>
        <w:ind w:right="600" w:firstLine="255"/>
        <w:spacing w:after="0" w:line="277" w:lineRule="auto"/>
        <w:rPr>
          <w:sz w:val="20"/>
          <w:szCs w:val="20"/>
          <w:color w:val="auto"/>
        </w:rPr>
      </w:pPr>
      <w:r>
        <w:rPr>
          <w:rFonts w:ascii="Arial" w:cs="Arial" w:eastAsia="Arial" w:hAnsi="Arial"/>
          <w:sz w:val="18"/>
          <w:szCs w:val="18"/>
          <w:color w:val="auto"/>
        </w:rPr>
        <w:t>Cash advances received in respect of transaction-related expenses are recorded as Cash and cash equivalents with an offset to Other liabilities or Payables to affiliates. Other liabilities or Payables to affiliates are relieved as reimbursable expenses are incurred.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 Including Excise Taxes</w:t>
      </w:r>
    </w:p>
    <w:p>
      <w:pPr>
        <w:spacing w:after="0" w:line="117" w:lineRule="exact"/>
        <w:rPr>
          <w:sz w:val="20"/>
          <w:szCs w:val="20"/>
          <w:color w:val="auto"/>
        </w:rPr>
      </w:pPr>
    </w:p>
    <w:p>
      <w:pPr>
        <w:ind w:right="100" w:firstLine="255"/>
        <w:spacing w:after="0" w:line="257" w:lineRule="auto"/>
        <w:rPr>
          <w:sz w:val="20"/>
          <w:szCs w:val="20"/>
          <w:color w:val="auto"/>
        </w:rPr>
      </w:pPr>
      <w:r>
        <w:rPr>
          <w:rFonts w:ascii="Arial" w:cs="Arial" w:eastAsia="Arial" w:hAnsi="Arial"/>
          <w:sz w:val="18"/>
          <w:szCs w:val="18"/>
          <w:color w:val="auto"/>
        </w:rPr>
        <w:t>The Company has elected to be treated as a RIC under Subchapter M of the Code, and the Company intends to operate in a manner so as to continue to qualify for the tax treatment applicable to RICs. To qualify as a RIC, the Company must, among other things, distribute to its stockholders in each taxable year generally at least 90% of its investment company taxable income, as defined by the Code, and net tax-exempt income for that taxable year. To maintain its RIC status, the Company, among other things, has made and intends to continue to make the requisite distributions to its stockholders, which generally relieves the Company from corporate-level U.S. federal income taxes.</w:t>
      </w:r>
    </w:p>
    <w:p>
      <w:pPr>
        <w:spacing w:after="0" w:line="188" w:lineRule="exact"/>
        <w:rPr>
          <w:sz w:val="20"/>
          <w:szCs w:val="20"/>
          <w:color w:val="auto"/>
        </w:rPr>
      </w:pPr>
    </w:p>
    <w:p>
      <w:pPr>
        <w:ind w:right="80" w:firstLine="255"/>
        <w:spacing w:after="0" w:line="257" w:lineRule="auto"/>
        <w:rPr>
          <w:sz w:val="20"/>
          <w:szCs w:val="20"/>
          <w:color w:val="auto"/>
        </w:rPr>
      </w:pPr>
      <w:r>
        <w:rPr>
          <w:rFonts w:ascii="Arial" w:cs="Arial" w:eastAsia="Arial" w:hAnsi="Arial"/>
          <w:sz w:val="18"/>
          <w:szCs w:val="18"/>
          <w:color w:val="auto"/>
        </w:rPr>
        <w:t>The Company evaluates tax positions taken or expected to be taken in the course of preparing its financial statements to determine whether the tax positions are “more-likely-than-not” to be sustained by the applicable tax authority. Tax positions not deemed to meet the “more-likely-than-not” threshold are reserved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w:t>
      </w:r>
    </w:p>
    <w:p>
      <w:pPr>
        <w:spacing w:after="0" w:line="188" w:lineRule="exact"/>
        <w:rPr>
          <w:sz w:val="20"/>
          <w:szCs w:val="20"/>
          <w:color w:val="auto"/>
        </w:rPr>
      </w:pPr>
    </w:p>
    <w:p>
      <w:pPr>
        <w:ind w:right="100" w:firstLine="255"/>
        <w:spacing w:after="0" w:line="301" w:lineRule="auto"/>
        <w:rPr>
          <w:sz w:val="20"/>
          <w:szCs w:val="20"/>
          <w:color w:val="auto"/>
        </w:rPr>
      </w:pPr>
      <w:r>
        <w:rPr>
          <w:rFonts w:ascii="Arial" w:cs="Arial" w:eastAsia="Arial" w:hAnsi="Arial"/>
          <w:sz w:val="16"/>
          <w:szCs w:val="16"/>
          <w:color w:val="auto"/>
        </w:rPr>
        <w:t>Depending on the level of taxable income earned in a tax year, the Company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the Company determines that the estimated current year annual taxable income will be in excess of estimated current year dividend distributions from such income, the Company accrues excise tax on estimated excess taxable income.</w:t>
      </w:r>
    </w:p>
    <w:p>
      <w:pPr>
        <w:spacing w:after="0" w:line="157" w:lineRule="exact"/>
        <w:rPr>
          <w:sz w:val="20"/>
          <w:szCs w:val="20"/>
          <w:color w:val="auto"/>
        </w:rPr>
      </w:pPr>
    </w:p>
    <w:p>
      <w:pPr>
        <w:ind w:right="360" w:firstLine="255"/>
        <w:spacing w:after="0" w:line="263" w:lineRule="auto"/>
        <w:rPr>
          <w:sz w:val="20"/>
          <w:szCs w:val="20"/>
          <w:color w:val="auto"/>
        </w:rPr>
      </w:pPr>
      <w:r>
        <w:rPr>
          <w:rFonts w:ascii="Arial" w:cs="Arial" w:eastAsia="Arial" w:hAnsi="Arial"/>
          <w:sz w:val="18"/>
          <w:szCs w:val="18"/>
          <w:color w:val="auto"/>
        </w:rPr>
        <w:t>For the three and nine months ended September 30, 2020, we recorded a net expense of $2.0 million and $4.0 million, respectively, for U.S. federal excise tax and other taxes. For the three and nine months ended September 30, 2019, we recorded a net expense of $1.6 million and $2.9 million, respectively, for U.S. federal excise tax and other taxes.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 to Common Stockholders</w:t>
      </w:r>
    </w:p>
    <w:p>
      <w:pPr>
        <w:spacing w:after="0" w:line="117" w:lineRule="exact"/>
        <w:rPr>
          <w:sz w:val="20"/>
          <w:szCs w:val="20"/>
          <w:color w:val="auto"/>
        </w:rPr>
      </w:pPr>
    </w:p>
    <w:p>
      <w:pPr>
        <w:ind w:right="260" w:firstLine="255"/>
        <w:spacing w:after="0" w:line="263" w:lineRule="auto"/>
        <w:rPr>
          <w:sz w:val="20"/>
          <w:szCs w:val="20"/>
          <w:color w:val="auto"/>
        </w:rPr>
      </w:pPr>
      <w:r>
        <w:rPr>
          <w:rFonts w:ascii="Arial" w:cs="Arial" w:eastAsia="Arial" w:hAnsi="Arial"/>
          <w:sz w:val="18"/>
          <w:szCs w:val="18"/>
          <w:color w:val="auto"/>
        </w:rPr>
        <w:t>Dividends to common stockholders are recorded on the record date. The amount to be paid out as a dividend is determined by the Board and is generally based upon the earnings estimated by the Adviser. Net realized long-term capital gains, if any, would generally be distributed at least annually, although the Company may decide to retain such capital gains.</w:t>
      </w:r>
    </w:p>
    <w:p>
      <w:pPr>
        <w:spacing w:after="0" w:line="184" w:lineRule="exact"/>
        <w:rPr>
          <w:sz w:val="20"/>
          <w:szCs w:val="20"/>
          <w:color w:val="auto"/>
        </w:rPr>
      </w:pPr>
    </w:p>
    <w:p>
      <w:pPr>
        <w:ind w:right="80" w:firstLine="255"/>
        <w:spacing w:after="0" w:line="301" w:lineRule="auto"/>
        <w:rPr>
          <w:sz w:val="20"/>
          <w:szCs w:val="20"/>
          <w:color w:val="auto"/>
        </w:rPr>
      </w:pPr>
      <w:r>
        <w:rPr>
          <w:rFonts w:ascii="Arial" w:cs="Arial" w:eastAsia="Arial" w:hAnsi="Arial"/>
          <w:sz w:val="16"/>
          <w:szCs w:val="16"/>
          <w:color w:val="auto"/>
        </w:rPr>
        <w:t>The Company has adopted a dividend reinvestment plan that provides for reinvestment of any dividends declared in cash on behalf of stockholders, unless a stockholder elects to receive cash. As a result, if the Board authorizes, and it declares, a cash dividend, then the stockholders who have not “opted out” of the dividend reinvestment plan will have their cash dividends automatically reinvested in additional shares of the Company’s common stock, rather than receiving the cash dividend. The Company expects to use newly issued shares to satisfy the dividend reinvestment plan.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117" w:lineRule="exact"/>
        <w:rPr>
          <w:sz w:val="20"/>
          <w:szCs w:val="20"/>
          <w:color w:val="auto"/>
        </w:rPr>
      </w:pPr>
    </w:p>
    <w:p>
      <w:pPr>
        <w:ind w:right="140" w:firstLine="255"/>
        <w:spacing w:after="0" w:line="255" w:lineRule="auto"/>
        <w:rPr>
          <w:sz w:val="20"/>
          <w:szCs w:val="20"/>
          <w:color w:val="auto"/>
        </w:rPr>
      </w:pPr>
      <w:r>
        <w:rPr>
          <w:rFonts w:ascii="Arial" w:cs="Arial" w:eastAsia="Arial" w:hAnsi="Arial"/>
          <w:sz w:val="18"/>
          <w:szCs w:val="18"/>
          <w:color w:val="auto"/>
        </w:rPr>
        <w:t>In August 2018, the Financial Accounting Standards Board issued Accounting Standards Update 2018-13 (“ASU 2018-13”) “Fair Value Measurement (Topic 820): Disclosure Framework – Changes to the Disclosure Requirements for Fair Value Measurement.” This guidance modifies the disclosure requirements on fair value measurements in ASC Topic 820, by eliminating, amending, and adding certain disclosure requirements. ASU 2018-13 is effective for financial statements issued for fiscal years beginning after December 15, 2019, including interim periods within those fiscal years. The Company’s adoption of this guidance did not have a material impact on the Company’s financial position, results of operations, cash flows or notes to the consolidated financial statements.</w:t>
      </w:r>
    </w:p>
    <w:p>
      <w:pPr>
        <w:spacing w:after="0" w:line="192" w:lineRule="exact"/>
        <w:rPr>
          <w:sz w:val="20"/>
          <w:szCs w:val="20"/>
          <w:color w:val="auto"/>
        </w:rPr>
      </w:pPr>
    </w:p>
    <w:p>
      <w:pPr>
        <w:ind w:right="160" w:firstLine="255"/>
        <w:spacing w:after="0" w:line="255" w:lineRule="auto"/>
        <w:rPr>
          <w:sz w:val="20"/>
          <w:szCs w:val="20"/>
          <w:color w:val="auto"/>
        </w:rPr>
      </w:pPr>
      <w:r>
        <w:rPr>
          <w:rFonts w:ascii="Arial" w:cs="Arial" w:eastAsia="Arial" w:hAnsi="Arial"/>
          <w:sz w:val="18"/>
          <w:szCs w:val="18"/>
          <w:color w:val="auto"/>
        </w:rPr>
        <w:t>In March 2020, the Financial Accounting Standards Board issued Accounting Standards Update 2020-04 (“ASU 2020-04”) “Reference Rate Reform (Topic 848): Facilitation of the Effects of Reference Rate Reform on Financial Reporting.” This guidance provides optional expedients and exceptions for applying generally accepted accounting principles to contract modifications and hedging relationships, subject to meeting certain criteria, that reference LIBOR or another reference rate expected to be discontinued. ASU 2020-04 is effective for all entities as of March 12, 2020 through December 31, 2022. The Company expects that the adoption of this guidance will not have a material impact on the Company’s financial position, result of operations or cash flows.</w:t>
      </w:r>
    </w:p>
    <w:p>
      <w:pPr>
        <w:spacing w:after="0" w:line="192" w:lineRule="exact"/>
        <w:rPr>
          <w:sz w:val="20"/>
          <w:szCs w:val="20"/>
          <w:color w:val="auto"/>
        </w:rPr>
      </w:pPr>
    </w:p>
    <w:p>
      <w:pPr>
        <w:ind w:firstLine="255"/>
        <w:spacing w:after="0" w:line="255" w:lineRule="auto"/>
        <w:rPr>
          <w:sz w:val="20"/>
          <w:szCs w:val="20"/>
          <w:color w:val="auto"/>
        </w:rPr>
      </w:pPr>
      <w:r>
        <w:rPr>
          <w:rFonts w:ascii="Arial" w:cs="Arial" w:eastAsia="Arial" w:hAnsi="Arial"/>
          <w:sz w:val="18"/>
          <w:szCs w:val="18"/>
          <w:color w:val="auto"/>
        </w:rPr>
        <w:t>In August 2020, the Financial Accounting Standards Board issued Accounting Standards Update 2020-06 (“ASU 2020-06”) “Debt – Debt with Conversion and Other Options (Subtopic 470-20) and Derivatives and Hedging—Contracts in Entity’s Own Equity (Subtopic 815-40): Accounting for Convertible Instruments and Contracts in an Entity’s Own Equity.” This guidance reduces the number of accounting models for convertible instruments and makes targeted improvements to the disclosures for convertible instruments and earnings per share guidance. ASU 2020-06 is effective for public business entities for annual and interim periods in fiscal years beginning after December 15, 2021. The Company is currently evaluating the impact, if any, of adopting this ASU on our financial statements.</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 and Related 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 Agreement</w:t>
      </w:r>
    </w:p>
    <w:p>
      <w:pPr>
        <w:spacing w:after="0" w:line="117" w:lineRule="exact"/>
        <w:rPr>
          <w:sz w:val="20"/>
          <w:szCs w:val="20"/>
          <w:color w:val="auto"/>
        </w:rPr>
      </w:pPr>
    </w:p>
    <w:p>
      <w:pPr>
        <w:ind w:right="20" w:firstLine="255"/>
        <w:spacing w:after="0" w:line="293" w:lineRule="auto"/>
        <w:rPr>
          <w:sz w:val="20"/>
          <w:szCs w:val="20"/>
          <w:color w:val="auto"/>
        </w:rPr>
      </w:pPr>
      <w:r>
        <w:rPr>
          <w:rFonts w:ascii="Arial" w:cs="Arial" w:eastAsia="Arial" w:hAnsi="Arial"/>
          <w:sz w:val="16"/>
          <w:szCs w:val="16"/>
          <w:color w:val="auto"/>
        </w:rPr>
        <w:t>On March 15, 2011, the Company entered into the Administration Agreement with the Adviser. Under the terms of the Administration Agreement, the Adviser provides administrative services to the Company.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the Company pays or reimburses the Adviser for certain expenses incurred by any such affiliates or third parties for work done on its behalf.</w:t>
      </w:r>
    </w:p>
    <w:p>
      <w:pPr>
        <w:spacing w:after="0" w:line="164" w:lineRule="exact"/>
        <w:rPr>
          <w:sz w:val="20"/>
          <w:szCs w:val="20"/>
          <w:color w:val="auto"/>
        </w:rPr>
      </w:pPr>
    </w:p>
    <w:p>
      <w:pPr>
        <w:ind w:right="200" w:firstLine="255"/>
        <w:spacing w:after="0" w:line="263" w:lineRule="auto"/>
        <w:rPr>
          <w:sz w:val="20"/>
          <w:szCs w:val="20"/>
          <w:color w:val="auto"/>
        </w:rPr>
      </w:pPr>
      <w:r>
        <w:rPr>
          <w:rFonts w:ascii="Arial" w:cs="Arial" w:eastAsia="Arial" w:hAnsi="Arial"/>
          <w:sz w:val="18"/>
          <w:szCs w:val="18"/>
          <w:color w:val="auto"/>
        </w:rPr>
        <w:t>In February 2017, the Board of Directors of the Company and the Adviser entered into an amended and restated administration agreement (the “Administration Agreement”) reflecting certain clarifications to the agreement to provide greater detail regarding the scope of the reimbursable costs and expenses of the Administrator’s services.</w:t>
      </w:r>
    </w:p>
    <w:p>
      <w:pPr>
        <w:spacing w:after="0" w:line="184" w:lineRule="exact"/>
        <w:rPr>
          <w:sz w:val="20"/>
          <w:szCs w:val="20"/>
          <w:color w:val="auto"/>
        </w:rPr>
      </w:pPr>
    </w:p>
    <w:p>
      <w:pPr>
        <w:ind w:right="20" w:firstLine="255"/>
        <w:spacing w:after="0" w:line="263" w:lineRule="auto"/>
        <w:rPr>
          <w:sz w:val="20"/>
          <w:szCs w:val="20"/>
          <w:color w:val="auto"/>
        </w:rPr>
      </w:pPr>
      <w:r>
        <w:rPr>
          <w:rFonts w:ascii="Arial" w:cs="Arial" w:eastAsia="Arial" w:hAnsi="Arial"/>
          <w:sz w:val="18"/>
          <w:szCs w:val="18"/>
          <w:color w:val="auto"/>
        </w:rPr>
        <w:t>In November 2020, the Board renewed the Administration Agreement. Unless earlier terminated as described below, the Administration Agreement will remain in effect until November 2021, and may be extended subject to required approvals. The Administration Agreement may be terminated by either party without penalty on 60 days’ written notice to the other party.</w:t>
      </w:r>
    </w:p>
    <w:p>
      <w:pPr>
        <w:spacing w:after="0" w:line="184" w:lineRule="exact"/>
        <w:rPr>
          <w:sz w:val="20"/>
          <w:szCs w:val="20"/>
          <w:color w:val="auto"/>
        </w:rPr>
      </w:pPr>
    </w:p>
    <w:p>
      <w:pPr>
        <w:ind w:right="20" w:firstLine="255"/>
        <w:spacing w:after="0" w:line="269" w:lineRule="auto"/>
        <w:rPr>
          <w:sz w:val="20"/>
          <w:szCs w:val="20"/>
          <w:color w:val="auto"/>
        </w:rPr>
      </w:pPr>
      <w:r>
        <w:rPr>
          <w:rFonts w:ascii="Arial" w:cs="Arial" w:eastAsia="Arial" w:hAnsi="Arial"/>
          <w:sz w:val="17"/>
          <w:szCs w:val="17"/>
          <w:color w:val="auto"/>
        </w:rPr>
        <w:t>No person who is an officer, director or employee of the Adviser or its affiliates and who serves as a director of the Company receives any compensation from the Company for his or her services as a director. However, the Company reimburses the Adviser (or its affiliates) for the allocable portion of the costs of compensation, benefits, and related administrative expenses of our officers who provide operational and administrative services to us pursuant to the Administration Agreement, their respective staffs and other professionals who provide services to us (including, in each case, employees of the Adviser or an affiliate). Such reimbursable amounts include the allocable portion of the compensation paid by the Adviser or its affiliates to the Company’s Chief Financial Officer, Chief Compliance Officer, and other professionals who provide operational and administrative services to us pursuant to the Administration Agreement, including individuals who provide “back office” or “middle office” financial, operational, legal and/or compliance services to us. The Company reimburses the Adviser (or its affiliates) for the allocable portion of the compensation paid by the Adviser (or its affiliates) to such individuals based on the percentage of time those individuals devote, on an estimated basis, to the business and affairs of the Company and in acting on behalf of the Company. The Company may also reimburse the Adviser or its affiliates for the allocable portion of overhead expenses (including rent, office equipment and utilities) attributable thereto. Directors who are not affiliated with the Adviser receive compensation for their services and reimbursement of expenses incurred to attend meetings.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7" w:name="page28"/>
    <w:bookmarkEnd w:id="27"/>
    <w:p>
      <w:pPr>
        <w:ind w:right="60" w:firstLine="255"/>
        <w:spacing w:after="0" w:line="259" w:lineRule="auto"/>
        <w:rPr>
          <w:sz w:val="20"/>
          <w:szCs w:val="20"/>
          <w:color w:val="auto"/>
        </w:rPr>
      </w:pPr>
      <w:r>
        <w:rPr>
          <w:rFonts w:ascii="Arial" w:cs="Arial" w:eastAsia="Arial" w:hAnsi="Arial"/>
          <w:sz w:val="18"/>
          <w:szCs w:val="18"/>
          <w:color w:val="auto"/>
        </w:rPr>
        <w:t>For the three and nine months ended September 30, 2020, the Company incurred expenses of $1.1 million and $3.4 million, respectively, for administrative services payable to the Adviser under the terms of the Administration Agreement. For the three and nine months ended September 30, 2019, the Company incurred expenses of $1.2 million and $3.3 million, respectively, for administrative services payable to the Adviser under the terms of the Administration Agreement.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Advisory Agreement</w:t>
      </w:r>
    </w:p>
    <w:p>
      <w:pPr>
        <w:spacing w:after="0" w:line="117" w:lineRule="exact"/>
        <w:rPr>
          <w:sz w:val="20"/>
          <w:szCs w:val="20"/>
          <w:color w:val="auto"/>
        </w:rPr>
      </w:pPr>
    </w:p>
    <w:p>
      <w:pPr>
        <w:ind w:right="100" w:firstLine="255"/>
        <w:spacing w:after="0" w:line="257" w:lineRule="auto"/>
        <w:rPr>
          <w:sz w:val="20"/>
          <w:szCs w:val="20"/>
          <w:color w:val="auto"/>
        </w:rPr>
      </w:pPr>
      <w:r>
        <w:rPr>
          <w:rFonts w:ascii="Arial" w:cs="Arial" w:eastAsia="Arial" w:hAnsi="Arial"/>
          <w:sz w:val="18"/>
          <w:szCs w:val="18"/>
          <w:color w:val="auto"/>
        </w:rPr>
        <w:t>On April 15, 2011, the Company entered into the Investment Advisory Agreement with the Adviser. The Investment Advisory Agreement was subsequently amended on December 12, 2011. Under the terms of the Investment Advisory Agreement, the Adviser provides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the Management Fee and may also pay certain Incentive Fees.</w:t>
      </w:r>
    </w:p>
    <w:p>
      <w:pPr>
        <w:spacing w:after="0" w:line="188" w:lineRule="exact"/>
        <w:rPr>
          <w:sz w:val="20"/>
          <w:szCs w:val="20"/>
          <w:color w:val="auto"/>
        </w:rPr>
      </w:pPr>
    </w:p>
    <w:p>
      <w:pPr>
        <w:ind w:right="20" w:firstLine="255"/>
        <w:spacing w:after="0" w:line="263" w:lineRule="auto"/>
        <w:rPr>
          <w:sz w:val="20"/>
          <w:szCs w:val="20"/>
          <w:color w:val="auto"/>
        </w:rPr>
      </w:pPr>
      <w:r>
        <w:rPr>
          <w:rFonts w:ascii="Arial" w:cs="Arial" w:eastAsia="Arial" w:hAnsi="Arial"/>
          <w:sz w:val="18"/>
          <w:szCs w:val="18"/>
          <w:color w:val="auto"/>
        </w:rPr>
        <w:t>The Management Fee is calculated at an annual rate of 1.5% based on the average value of the Company’s gross assets calculated using the values at the end of the two most recently completed calendar quarters, adjusted for any share issuances or repurchases during the period. The Management Fee is payable quarterly in arrears.</w:t>
      </w:r>
    </w:p>
    <w:p>
      <w:pPr>
        <w:spacing w:after="0" w:line="184" w:lineRule="exact"/>
        <w:rPr>
          <w:sz w:val="20"/>
          <w:szCs w:val="20"/>
          <w:color w:val="auto"/>
        </w:rPr>
      </w:pPr>
    </w:p>
    <w:p>
      <w:pPr>
        <w:ind w:right="200" w:firstLine="255"/>
        <w:spacing w:after="0" w:line="277" w:lineRule="auto"/>
        <w:rPr>
          <w:sz w:val="20"/>
          <w:szCs w:val="20"/>
          <w:color w:val="auto"/>
        </w:rPr>
      </w:pPr>
      <w:r>
        <w:rPr>
          <w:rFonts w:ascii="Arial" w:cs="Arial" w:eastAsia="Arial" w:hAnsi="Arial"/>
          <w:sz w:val="18"/>
          <w:szCs w:val="18"/>
          <w:color w:val="auto"/>
        </w:rPr>
        <w:t>For the three and nine months ended September 30, 2020, Management Fees were $7.8 million and $23.7 million, respectively. For the three and nine months ended September 30, 2019, Management Fees were $7.9 million and $21.9 million, respectively.</w:t>
      </w:r>
    </w:p>
    <w:p>
      <w:pPr>
        <w:spacing w:after="0" w:line="170" w:lineRule="exact"/>
        <w:rPr>
          <w:sz w:val="20"/>
          <w:szCs w:val="20"/>
          <w:color w:val="auto"/>
        </w:rPr>
      </w:pPr>
    </w:p>
    <w:p>
      <w:pPr>
        <w:ind w:right="20" w:firstLine="255"/>
        <w:spacing w:after="0" w:line="293" w:lineRule="auto"/>
        <w:rPr>
          <w:sz w:val="20"/>
          <w:szCs w:val="20"/>
          <w:color w:val="auto"/>
        </w:rPr>
      </w:pPr>
      <w:r>
        <w:rPr>
          <w:rFonts w:ascii="Arial" w:cs="Arial" w:eastAsia="Arial" w:hAnsi="Arial"/>
          <w:sz w:val="16"/>
          <w:szCs w:val="16"/>
          <w:color w:val="auto"/>
        </w:rPr>
        <w:t>The Adviser intends to waive a portion of the Management Fee payable under the Investment Advisory Agreement by reducing the Management Fee on assets financed using leverage over 200% asset coverage (in other words, over 1.0x debt to equity) (the “Leverage Waiver”). Pursuant to the Leverage Waiver, the Adviser intends to waive the portion of the Management Fee in excess of an annual rate of 1.0% (0.250% per quarter) on the average value of the Company’s gross assets as of the end of the two most recently completed calendar quarters that exceeds the product of (i) 200% and (ii) the average value of our net asset value at the end of the two most recently completed calendar quarters. Any waived Management Fees are not subject to recoupment by the Adviser. As of September 30, 2020, no Management Fees have been waived pursuant to the Leverage Waiver.</w:t>
      </w:r>
    </w:p>
    <w:p>
      <w:pPr>
        <w:spacing w:after="0" w:line="16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Incentive Fee consists of two parts, as follows:</w:t>
      </w:r>
    </w:p>
    <w:p>
      <w:pPr>
        <w:spacing w:after="0" w:line="117" w:lineRule="exact"/>
        <w:rPr>
          <w:sz w:val="20"/>
          <w:szCs w:val="20"/>
          <w:color w:val="auto"/>
        </w:rPr>
      </w:pPr>
    </w:p>
    <w:p>
      <w:pPr>
        <w:ind w:left="500" w:right="160" w:hanging="249"/>
        <w:spacing w:after="0" w:line="291" w:lineRule="auto"/>
        <w:tabs>
          <w:tab w:leader="none" w:pos="5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first component, payable at the end of each quarter in arrears, equals 100% of the pre-Incentive Fee net investment income in excess of a 1.5% quarterly “hurdle rate,” the calculation of which is further explained below, until the Adviser has received 17.5% of the total pre-Incentive Fee net investment income for that quarter and, for pre-Incentive Fee net investment income in excess of 1.82% quarterly, 17.5% of all remaining pre-Incentive Fee net investment income for that quarter. The 100% “catch-up” provision for pre-Incentive Fee net investment income in excess of the 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w:t>
      </w:r>
    </w:p>
    <w:p>
      <w:pPr>
        <w:spacing w:after="0" w:line="58" w:lineRule="exact"/>
        <w:rPr>
          <w:sz w:val="20"/>
          <w:szCs w:val="20"/>
          <w:color w:val="auto"/>
        </w:rPr>
      </w:pPr>
    </w:p>
    <w:p>
      <w:pPr>
        <w:ind w:left="520" w:right="140"/>
        <w:spacing w:after="0" w:line="293" w:lineRule="auto"/>
        <w:rPr>
          <w:sz w:val="20"/>
          <w:szCs w:val="20"/>
          <w:color w:val="auto"/>
        </w:rPr>
      </w:pPr>
      <w:r>
        <w:rPr>
          <w:rFonts w:ascii="Arial" w:cs="Arial" w:eastAsia="Arial" w:hAnsi="Arial"/>
          <w:sz w:val="16"/>
          <w:szCs w:val="16"/>
          <w:color w:val="auto"/>
        </w:rPr>
        <w:t>Pre-Incentive Fee net investment income means dividends, interest and fee income accrued by the Company during the calendar quarter, minus the Company’s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the Company may not have received in cash. Pre-Incentive Fee net investment income does not include any realized capital gains, realized capital losses or unrealized capital gains or losses.</w:t>
      </w:r>
    </w:p>
    <w:p>
      <w:pPr>
        <w:spacing w:after="0" w:line="56" w:lineRule="exact"/>
        <w:rPr>
          <w:sz w:val="20"/>
          <w:szCs w:val="20"/>
          <w:color w:val="auto"/>
        </w:rPr>
      </w:pPr>
    </w:p>
    <w:p>
      <w:pPr>
        <w:ind w:left="500" w:hanging="249"/>
        <w:spacing w:after="0" w:line="269" w:lineRule="auto"/>
        <w:tabs>
          <w:tab w:leader="none" w:pos="5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second component, payable at the end of each fiscal year in arrears, equaled 15% through March 31, 2014 and, beginning April 1, 2014, equals a weighted percentage of cumulative realized capital gains from the Company’s inception to the end of that fiscal year, less cumulative realized capital losses and unrealized capital losses. This component of the Incentive Fee is referred to as the Capital Gains Fee. Each year, the fee paid for this component of the Incentive Fee is net of the aggregate amount of any previously paid Capital Gains Fee for prior periods. For capital gains that accrue following March 31, 2014, the Incentive Fee rate is 17.5%. The Company accrues, but does not pay, a capital gains Incentive Fee with respect to unrealized capital gains because a capital gains Incentive Fee would be owed to the Adviser if the Company were to sell the relevant investment and realize a capital gain. The weighted percentage was intended to ensure that for each fiscal year following the completion of the IPO, the portion of the Company’s realized capital gains that accrued prior to March 31, 2014, was subject to an Incentive Fee rate of 15% and the portion of the Company’s realized capital gains that accrued beginning April 1, 2014 is subject to an Incentive Fee rate of 17.5%. As of March 31, 2020, there are no remaining investments that were made prior to April 1, 2014, and as a result, the Incentive Fee rate of 17.5% is applicable to any future realized capital gains.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8" w:name="page29"/>
    <w:bookmarkEnd w:id="28"/>
    <w:p>
      <w:pPr>
        <w:ind w:right="420" w:firstLine="255"/>
        <w:spacing w:after="0" w:line="308" w:lineRule="auto"/>
        <w:rPr>
          <w:sz w:val="20"/>
          <w:szCs w:val="20"/>
          <w:color w:val="auto"/>
        </w:rPr>
      </w:pPr>
      <w:r>
        <w:rPr>
          <w:rFonts w:ascii="Arial" w:cs="Arial" w:eastAsia="Arial" w:hAnsi="Arial"/>
          <w:sz w:val="17"/>
          <w:szCs w:val="17"/>
          <w:color w:val="auto"/>
        </w:rPr>
        <w:t>For purposes of determining whether pre-Incentive Fee net investment income exceeds the hurdle rate, pre-Incentive Fee net investment income is expressed as a rate of return on the value of the Company’s net assets at the end of the immediately preceding calendar quarter.</w:t>
      </w:r>
    </w:p>
    <w:p>
      <w:pPr>
        <w:spacing w:after="0" w:line="146" w:lineRule="exact"/>
        <w:rPr>
          <w:sz w:val="20"/>
          <w:szCs w:val="20"/>
          <w:color w:val="auto"/>
        </w:rPr>
      </w:pPr>
    </w:p>
    <w:p>
      <w:pPr>
        <w:ind w:right="180" w:firstLine="255"/>
        <w:spacing w:after="0" w:line="308" w:lineRule="auto"/>
        <w:rPr>
          <w:sz w:val="20"/>
          <w:szCs w:val="20"/>
          <w:color w:val="auto"/>
        </w:rPr>
      </w:pPr>
      <w:r>
        <w:rPr>
          <w:rFonts w:ascii="Arial" w:cs="Arial" w:eastAsia="Arial" w:hAnsi="Arial"/>
          <w:sz w:val="17"/>
          <w:szCs w:val="17"/>
          <w:color w:val="auto"/>
        </w:rPr>
        <w:t>Section 205(b)(3) of the Investment Advisers Act of 1940, as amended, or the Advisers Act, prohibits the Adviser from receiving the payment of fees on unrealized gains until those gains are realized, if ever. There can be no assurance that such unrealized gains will be realized in the future.</w:t>
      </w:r>
    </w:p>
    <w:p>
      <w:pPr>
        <w:spacing w:after="0" w:line="146" w:lineRule="exact"/>
        <w:rPr>
          <w:sz w:val="20"/>
          <w:szCs w:val="20"/>
          <w:color w:val="auto"/>
        </w:rPr>
      </w:pPr>
    </w:p>
    <w:p>
      <w:pPr>
        <w:jc w:val="both"/>
        <w:ind w:right="100" w:firstLine="255"/>
        <w:spacing w:after="0" w:line="263" w:lineRule="auto"/>
        <w:rPr>
          <w:sz w:val="20"/>
          <w:szCs w:val="20"/>
          <w:color w:val="auto"/>
        </w:rPr>
      </w:pPr>
      <w:r>
        <w:rPr>
          <w:rFonts w:ascii="Arial" w:cs="Arial" w:eastAsia="Arial" w:hAnsi="Arial"/>
          <w:sz w:val="18"/>
          <w:szCs w:val="18"/>
          <w:color w:val="auto"/>
        </w:rPr>
        <w:t>For the three and nine months ended September 30, 2020, Incentive Fees were $8.7 million and $24.2 million, respectively, all of which were realized and payable to the Adviser. For the three and nine months ended September 30, 2019, Incentive Fees were $7.8 million and $20.1 million, respectively, all of which were realized and payable to the Adviser.</w:t>
      </w:r>
    </w:p>
    <w:p>
      <w:pPr>
        <w:spacing w:after="0" w:line="184" w:lineRule="exact"/>
        <w:rPr>
          <w:sz w:val="20"/>
          <w:szCs w:val="20"/>
          <w:color w:val="auto"/>
        </w:rPr>
      </w:pPr>
    </w:p>
    <w:p>
      <w:pPr>
        <w:ind w:right="80" w:firstLine="255"/>
        <w:spacing w:after="0" w:line="263" w:lineRule="auto"/>
        <w:rPr>
          <w:sz w:val="20"/>
          <w:szCs w:val="20"/>
          <w:color w:val="auto"/>
        </w:rPr>
      </w:pPr>
      <w:r>
        <w:rPr>
          <w:rFonts w:ascii="Arial" w:cs="Arial" w:eastAsia="Arial" w:hAnsi="Arial"/>
          <w:sz w:val="18"/>
          <w:szCs w:val="18"/>
          <w:color w:val="auto"/>
        </w:rPr>
        <w:t>Since the Company’s IPO, with the exception of its waiver of Management Fees and certain Incentive Fees attributable to the Company’s ownership of certain investments and the Leverage Waiver, the Adviser has not waived its right to receive any Management Fees or Incentive Fees payable pursuant to the Investment Advisory Agreement.</w:t>
      </w:r>
    </w:p>
    <w:p>
      <w:pPr>
        <w:spacing w:after="0" w:line="184" w:lineRule="exact"/>
        <w:rPr>
          <w:sz w:val="20"/>
          <w:szCs w:val="20"/>
          <w:color w:val="auto"/>
        </w:rPr>
      </w:pPr>
    </w:p>
    <w:p>
      <w:pPr>
        <w:ind w:firstLine="255"/>
        <w:spacing w:after="0" w:line="311" w:lineRule="auto"/>
        <w:rPr>
          <w:sz w:val="20"/>
          <w:szCs w:val="20"/>
          <w:color w:val="auto"/>
        </w:rPr>
      </w:pPr>
      <w:r>
        <w:rPr>
          <w:rFonts w:ascii="Arial" w:cs="Arial" w:eastAsia="Arial" w:hAnsi="Arial"/>
          <w:sz w:val="16"/>
          <w:szCs w:val="16"/>
          <w:color w:val="auto"/>
        </w:rPr>
        <w:t>In November 2020, the Board renewed the Investment Advisory Agreement. Unless earlier terminated as described below, the Investment Advisory Agreement will remain in effect until November 2021, and may be extended subject to required approvals. The Investment Advisory Agreement will automatically terminate in the event of an assignment and may be terminated by either party without penalty upon 60 days’ written notice to the other party.</w:t>
      </w:r>
    </w:p>
    <w:p>
      <w:pPr>
        <w:spacing w:after="0" w:line="149" w:lineRule="exact"/>
        <w:rPr>
          <w:sz w:val="20"/>
          <w:szCs w:val="20"/>
          <w:color w:val="auto"/>
        </w:rPr>
      </w:pPr>
    </w:p>
    <w:p>
      <w:pPr>
        <w:ind w:right="80" w:firstLine="255"/>
        <w:spacing w:after="0" w:line="263" w:lineRule="auto"/>
        <w:rPr>
          <w:sz w:val="20"/>
          <w:szCs w:val="20"/>
          <w:color w:val="auto"/>
        </w:rPr>
      </w:pPr>
      <w:r>
        <w:rPr>
          <w:rFonts w:ascii="Arial" w:cs="Arial" w:eastAsia="Arial" w:hAnsi="Arial"/>
          <w:sz w:val="18"/>
          <w:szCs w:val="18"/>
          <w:color w:val="auto"/>
        </w:rPr>
        <w:t>From time to time, the Adviser may pay amounts owed by the Company to third-party providers of goods or services, including the Board, and the Company will subsequently reimburse the Adviser for such amounts paid on its behalf. Amounts payable to the Adviser are settled in the normal course of business without formal payment terms.</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at Fair Value</w:t>
      </w:r>
    </w:p>
    <w:p>
      <w:pPr>
        <w:spacing w:after="0" w:line="121" w:lineRule="exact"/>
        <w:rPr>
          <w:sz w:val="20"/>
          <w:szCs w:val="20"/>
          <w:color w:val="auto"/>
        </w:rPr>
      </w:pPr>
    </w:p>
    <w:p>
      <w:pPr>
        <w:ind w:right="160" w:firstLine="255"/>
        <w:spacing w:after="0" w:line="291" w:lineRule="auto"/>
        <w:rPr>
          <w:sz w:val="20"/>
          <w:szCs w:val="20"/>
          <w:color w:val="auto"/>
        </w:rPr>
      </w:pPr>
      <w:r>
        <w:rPr>
          <w:rFonts w:ascii="Arial" w:cs="Arial" w:eastAsia="Arial" w:hAnsi="Arial"/>
          <w:sz w:val="16"/>
          <w:szCs w:val="16"/>
          <w:color w:val="auto"/>
        </w:rPr>
        <w:t>Under the 1940 Act, the Company is required to separately identify non-controlled investments where it owns 5% or more of a portfolio company’s outstanding voting securities as investments in “affiliated” companies. In addition, under the 1940 Act, the Company is required to separately identify investments where it owns more than 25% of a portfolio company’s outstanding voting securities and/or had the power to exercise control over the management or policies of such portfolio company as investments in “controlled” companies. Detailed information with respect to the Company’s non-controlled, non-affiliated; non-controlled, affiliated; and controlled, affiliated investments is contained in the accompanying consolidated financial statements, including the consolidated schedules of investments. The information in the tables below is presented on an aggregate portfolio basis, without regard to whether they are non-controlled, non-affiliated; non-controlled, affiliated; or controlled, affiliated investments.</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Investments at fair value consisted of the following at September 30, 2020 and December 31, 2019:</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September 30, 2020</w:t>
            </w: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5"/>
              </w:rPr>
              <w:t xml:space="preserve">Amortized Cost </w:t>
            </w:r>
            <w:r>
              <w:rPr>
                <w:rFonts w:ascii="Arial" w:cs="Arial" w:eastAsia="Arial" w:hAnsi="Arial"/>
                <w:sz w:val="12"/>
                <w:szCs w:val="12"/>
                <w:b w:val="1"/>
                <w:bCs w:val="1"/>
                <w:color w:val="auto"/>
                <w:w w:val="95"/>
              </w:rPr>
              <w:t>(1)</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1"/>
                <w:szCs w:val="11"/>
                <w:color w:val="auto"/>
              </w:rPr>
            </w:pPr>
          </w:p>
        </w:tc>
        <w:tc>
          <w:tcPr>
            <w:tcW w:w="106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4"/>
              </w:rPr>
              <w:t>Net Unrealized</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Gain (Loss)</w:t>
            </w: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1,980,592</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1,995,230</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14,638</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9,172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9,201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Mezzanine debt investments</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6,652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9,417</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103,191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86,917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(16,274)</w:t>
            </w: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Investments</w:t>
            </w:r>
          </w:p>
        </w:tc>
        <w:tc>
          <w:tcPr>
            <w:tcW w:w="2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2,099,607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2,100,765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December 31, 2019</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2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5"/>
              </w:rPr>
              <w:t xml:space="preserve">Amortized Cost </w:t>
            </w:r>
            <w:r>
              <w:rPr>
                <w:rFonts w:ascii="Arial" w:cs="Arial" w:eastAsia="Arial" w:hAnsi="Arial"/>
                <w:sz w:val="12"/>
                <w:szCs w:val="12"/>
                <w:b w:val="1"/>
                <w:bCs w:val="1"/>
                <w:color w:val="auto"/>
                <w:w w:val="95"/>
              </w:rPr>
              <w:t>(1)</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1"/>
                <w:szCs w:val="11"/>
                <w:color w:val="auto"/>
              </w:rPr>
            </w:pPr>
          </w:p>
        </w:tc>
        <w:tc>
          <w:tcPr>
            <w:tcW w:w="106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4"/>
              </w:rPr>
              <w:t>Net Unrealized</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Gain (Loss)</w:t>
            </w: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2,143,831</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2,176,118</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32,287</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4,147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4,147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Mezzanine debt investments</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87,559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63,113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(24,446)</w:t>
            </w: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Investments</w:t>
            </w:r>
          </w:p>
        </w:tc>
        <w:tc>
          <w:tcPr>
            <w:tcW w:w="2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2,238,037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2,245,928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7,891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00" w:right="100" w:hanging="492"/>
        <w:spacing w:after="0" w:line="277"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or premiums, as applicable, on debt investments using the effective interest method.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9" w:name="page30"/>
    <w:bookmarkEnd w:id="29"/>
    <w:p>
      <w:pPr>
        <w:ind w:left="260"/>
        <w:spacing w:after="0"/>
        <w:rPr>
          <w:sz w:val="20"/>
          <w:szCs w:val="20"/>
          <w:color w:val="auto"/>
        </w:rPr>
      </w:pPr>
      <w:r>
        <w:rPr>
          <w:rFonts w:ascii="Arial" w:cs="Arial" w:eastAsia="Arial" w:hAnsi="Arial"/>
          <w:sz w:val="18"/>
          <w:szCs w:val="18"/>
          <w:color w:val="auto"/>
        </w:rPr>
        <w:t>The industry composition of investments at fair value at September 30, 2020 and December 31, 2019 is as follows:</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September 30,</w:t>
            </w:r>
          </w:p>
        </w:tc>
        <w:tc>
          <w:tcPr>
            <w:tcW w:w="13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5140" w:type="dxa"/>
            <w:vAlign w:val="bottom"/>
            <w:tcBorders>
              <w:bottom w:val="single" w:sz="8" w:color="CFF0FC"/>
            </w:tcBorders>
          </w:tcPr>
          <w:p>
            <w:pPr>
              <w:spacing w:after="0"/>
              <w:rPr>
                <w:sz w:val="14"/>
                <w:szCs w:val="14"/>
                <w:color w:val="auto"/>
              </w:rPr>
            </w:pPr>
          </w:p>
        </w:tc>
        <w:tc>
          <w:tcPr>
            <w:tcW w:w="11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FF0FC"/>
            </w:tcBorders>
          </w:tcPr>
          <w:p>
            <w:pPr>
              <w:spacing w:after="0"/>
              <w:rPr>
                <w:sz w:val="14"/>
                <w:szCs w:val="14"/>
                <w:color w:val="auto"/>
              </w:rPr>
            </w:pPr>
          </w:p>
        </w:tc>
        <w:tc>
          <w:tcPr>
            <w:tcW w:w="11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Beverage, food and tobacco</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5140" w:type="dxa"/>
            <w:vAlign w:val="bottom"/>
          </w:tcPr>
          <w:p>
            <w:pPr>
              <w:spacing w:after="0"/>
              <w:rPr>
                <w:sz w:val="20"/>
                <w:szCs w:val="20"/>
                <w:color w:val="auto"/>
              </w:rPr>
            </w:pPr>
            <w:r>
              <w:rPr>
                <w:rFonts w:ascii="Arial" w:cs="Arial" w:eastAsia="Arial" w:hAnsi="Arial"/>
                <w:sz w:val="18"/>
                <w:szCs w:val="18"/>
                <w:color w:val="auto"/>
              </w:rPr>
              <w:t>Business services</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22.9%</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Chemicals</w:t>
            </w: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0.7%</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9"/>
        </w:trPr>
        <w:tc>
          <w:tcPr>
            <w:tcW w:w="5140" w:type="dxa"/>
            <w:vAlign w:val="bottom"/>
          </w:tcPr>
          <w:p>
            <w:pPr>
              <w:spacing w:after="0"/>
              <w:rPr>
                <w:sz w:val="20"/>
                <w:szCs w:val="20"/>
                <w:color w:val="auto"/>
              </w:rPr>
            </w:pPr>
            <w:r>
              <w:rPr>
                <w:rFonts w:ascii="Arial" w:cs="Arial" w:eastAsia="Arial" w:hAnsi="Arial"/>
                <w:sz w:val="18"/>
                <w:szCs w:val="18"/>
                <w:color w:val="auto"/>
              </w:rPr>
              <w:t>Communications</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Education</w:t>
            </w: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7.4%</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Electronics</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9"/>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Financial services</w:t>
            </w: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16.0%</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Healthcare</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8.7%</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9"/>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Hotel, gaming and leisure</w:t>
            </w: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1.6%</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5140" w:type="dxa"/>
            <w:vAlign w:val="bottom"/>
          </w:tcPr>
          <w:p>
            <w:pPr>
              <w:spacing w:after="0"/>
              <w:rPr>
                <w:sz w:val="20"/>
                <w:szCs w:val="20"/>
                <w:color w:val="auto"/>
              </w:rPr>
            </w:pPr>
            <w:r>
              <w:rPr>
                <w:rFonts w:ascii="Arial" w:cs="Arial" w:eastAsia="Arial" w:hAnsi="Arial"/>
                <w:sz w:val="18"/>
                <w:szCs w:val="18"/>
                <w:color w:val="auto"/>
              </w:rPr>
              <w:t>Human resource support services</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9.1%</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Insurance</w:t>
            </w: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2.5%</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9"/>
        </w:trPr>
        <w:tc>
          <w:tcPr>
            <w:tcW w:w="5140" w:type="dxa"/>
            <w:vAlign w:val="bottom"/>
          </w:tcPr>
          <w:p>
            <w:pPr>
              <w:spacing w:after="0"/>
              <w:rPr>
                <w:sz w:val="20"/>
                <w:szCs w:val="20"/>
                <w:color w:val="auto"/>
              </w:rPr>
            </w:pPr>
            <w:r>
              <w:rPr>
                <w:rFonts w:ascii="Arial" w:cs="Arial" w:eastAsia="Arial" w:hAnsi="Arial"/>
                <w:sz w:val="18"/>
                <w:szCs w:val="18"/>
                <w:color w:val="auto"/>
              </w:rPr>
              <w:t>Internet services</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5.2%</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9"/>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Marketing services</w:t>
            </w: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2.2%</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Office products</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0.4%</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9"/>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Oil, gas and consumable fuels</w:t>
            </w: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2.4%</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Other</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0.5%</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Pharmaceuticals</w:t>
            </w: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3.1%</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9"/>
        </w:trPr>
        <w:tc>
          <w:tcPr>
            <w:tcW w:w="5140" w:type="dxa"/>
            <w:vAlign w:val="bottom"/>
          </w:tcPr>
          <w:p>
            <w:pPr>
              <w:spacing w:after="0"/>
              <w:rPr>
                <w:sz w:val="20"/>
                <w:szCs w:val="20"/>
                <w:color w:val="auto"/>
              </w:rPr>
            </w:pPr>
            <w:r>
              <w:rPr>
                <w:rFonts w:ascii="Arial" w:cs="Arial" w:eastAsia="Arial" w:hAnsi="Arial"/>
                <w:sz w:val="18"/>
                <w:szCs w:val="18"/>
                <w:color w:val="auto"/>
              </w:rPr>
              <w:t>Real Estate</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Retail and consumer products</w:t>
            </w: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13.9%</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29"/>
        </w:trPr>
        <w:tc>
          <w:tcPr>
            <w:tcW w:w="5140" w:type="dxa"/>
            <w:vAlign w:val="bottom"/>
          </w:tcPr>
          <w:p>
            <w:pPr>
              <w:spacing w:after="0"/>
              <w:rPr>
                <w:sz w:val="20"/>
                <w:szCs w:val="20"/>
                <w:color w:val="auto"/>
              </w:rPr>
            </w:pPr>
            <w:r>
              <w:rPr>
                <w:rFonts w:ascii="Arial" w:cs="Arial" w:eastAsia="Arial" w:hAnsi="Arial"/>
                <w:sz w:val="18"/>
                <w:szCs w:val="18"/>
                <w:color w:val="auto"/>
              </w:rPr>
              <w:t>Transportation</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5140" w:type="dxa"/>
            <w:vAlign w:val="bottom"/>
            <w:vMerge w:val="restart"/>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1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40" w:type="dxa"/>
            <w:vAlign w:val="bottom"/>
            <w:vMerge w:val="continue"/>
            <w:shd w:val="clear" w:color="auto" w:fill="CFF0FC"/>
          </w:tcPr>
          <w:p>
            <w:pPr>
              <w:spacing w:after="0"/>
              <w:rPr>
                <w:sz w:val="19"/>
                <w:szCs w:val="19"/>
                <w:color w:val="auto"/>
              </w:rPr>
            </w:pP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100.0%</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514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geographic composition of investments at fair value at September 30, 2020 and December 31, 2019 is as follows:</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5140" w:type="dxa"/>
            <w:vAlign w:val="bottom"/>
            <w:tcBorders>
              <w:bottom w:val="single" w:sz="8" w:color="CFF0FC"/>
            </w:tcBorders>
          </w:tcPr>
          <w:p>
            <w:pPr>
              <w:spacing w:after="0"/>
              <w:rPr>
                <w:sz w:val="14"/>
                <w:szCs w:val="14"/>
                <w:color w:val="auto"/>
              </w:rPr>
            </w:pPr>
          </w:p>
        </w:tc>
        <w:tc>
          <w:tcPr>
            <w:tcW w:w="11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FF0FC"/>
            </w:tcBorders>
          </w:tcPr>
          <w:p>
            <w:pPr>
              <w:spacing w:after="0"/>
              <w:rPr>
                <w:sz w:val="14"/>
                <w:szCs w:val="14"/>
                <w:color w:val="auto"/>
              </w:rPr>
            </w:pPr>
          </w:p>
        </w:tc>
        <w:tc>
          <w:tcPr>
            <w:tcW w:w="11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240"/>
              <w:spacing w:after="0"/>
              <w:rPr>
                <w:sz w:val="20"/>
                <w:szCs w:val="20"/>
                <w:color w:val="auto"/>
              </w:rPr>
            </w:pPr>
            <w:r>
              <w:rPr>
                <w:rFonts w:ascii="Arial" w:cs="Arial" w:eastAsia="Arial" w:hAnsi="Arial"/>
                <w:sz w:val="18"/>
                <w:szCs w:val="18"/>
                <w:color w:val="auto"/>
              </w:rPr>
              <w:t>Midwest</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12.9%</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Northeast</w:t>
            </w: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18.8%</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29"/>
        </w:trPr>
        <w:tc>
          <w:tcPr>
            <w:tcW w:w="5140" w:type="dxa"/>
            <w:vAlign w:val="bottom"/>
          </w:tcPr>
          <w:p>
            <w:pPr>
              <w:ind w:left="240"/>
              <w:spacing w:after="0"/>
              <w:rPr>
                <w:sz w:val="20"/>
                <w:szCs w:val="20"/>
                <w:color w:val="auto"/>
              </w:rPr>
            </w:pPr>
            <w:r>
              <w:rPr>
                <w:rFonts w:ascii="Arial" w:cs="Arial" w:eastAsia="Arial" w:hAnsi="Arial"/>
                <w:sz w:val="18"/>
                <w:szCs w:val="18"/>
                <w:color w:val="auto"/>
              </w:rPr>
              <w:t>South</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21.5%</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West</w:t>
            </w: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39.2%</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Australia</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Bermuda</w:t>
            </w: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1.9%</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5140" w:type="dxa"/>
            <w:vAlign w:val="bottom"/>
          </w:tcPr>
          <w:p>
            <w:pPr>
              <w:spacing w:after="0"/>
              <w:rPr>
                <w:sz w:val="20"/>
                <w:szCs w:val="20"/>
                <w:color w:val="auto"/>
              </w:rPr>
            </w:pPr>
            <w:r>
              <w:rPr>
                <w:rFonts w:ascii="Arial" w:cs="Arial" w:eastAsia="Arial" w:hAnsi="Arial"/>
                <w:sz w:val="18"/>
                <w:szCs w:val="18"/>
                <w:color w:val="auto"/>
              </w:rPr>
              <w:t>Canada</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3.9%</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5140" w:type="dxa"/>
            <w:vAlign w:val="bottom"/>
            <w:vMerge w:val="restart"/>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1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40" w:type="dxa"/>
            <w:vAlign w:val="bottom"/>
            <w:vMerge w:val="continue"/>
            <w:shd w:val="clear" w:color="auto" w:fill="CFF0FC"/>
          </w:tcPr>
          <w:p>
            <w:pPr>
              <w:spacing w:after="0"/>
              <w:rPr>
                <w:sz w:val="19"/>
                <w:szCs w:val="19"/>
                <w:color w:val="auto"/>
              </w:rPr>
            </w:pP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100.0%</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514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Swaps</w:t>
      </w:r>
    </w:p>
    <w:p>
      <w:pPr>
        <w:spacing w:after="0" w:line="117" w:lineRule="exact"/>
        <w:rPr>
          <w:sz w:val="20"/>
          <w:szCs w:val="20"/>
          <w:color w:val="auto"/>
        </w:rPr>
      </w:pPr>
    </w:p>
    <w:p>
      <w:pPr>
        <w:ind w:right="180" w:firstLine="255"/>
        <w:spacing w:after="0" w:line="286" w:lineRule="auto"/>
        <w:rPr>
          <w:sz w:val="20"/>
          <w:szCs w:val="20"/>
          <w:color w:val="auto"/>
        </w:rPr>
      </w:pPr>
      <w:r>
        <w:rPr>
          <w:rFonts w:ascii="Arial" w:cs="Arial" w:eastAsia="Arial" w:hAnsi="Arial"/>
          <w:sz w:val="17"/>
          <w:szCs w:val="17"/>
          <w:color w:val="auto"/>
        </w:rPr>
        <w:t>In February 2017, in connection with the issuance of the 2022 Convertible Notes, the Company entered into an interest rate swap transaction with a $115.0 million notional amount. The Company receives fixed rate interest at 4.50% and pays variable rate interest based on three-month LIBOR plus 2.37%. The swap transaction matures on August 1, 2022, matching the maturity date of the 2022 Convertible Notes.</w:t>
      </w:r>
    </w:p>
    <w:p>
      <w:pPr>
        <w:spacing w:after="0" w:line="165" w:lineRule="exact"/>
        <w:rPr>
          <w:sz w:val="20"/>
          <w:szCs w:val="20"/>
          <w:color w:val="auto"/>
        </w:rPr>
      </w:pPr>
    </w:p>
    <w:p>
      <w:pPr>
        <w:jc w:val="both"/>
        <w:ind w:right="60" w:firstLine="255"/>
        <w:spacing w:after="0" w:line="263" w:lineRule="auto"/>
        <w:rPr>
          <w:sz w:val="20"/>
          <w:szCs w:val="20"/>
          <w:color w:val="auto"/>
        </w:rPr>
      </w:pPr>
      <w:r>
        <w:rPr>
          <w:rFonts w:ascii="Arial" w:cs="Arial" w:eastAsia="Arial" w:hAnsi="Arial"/>
          <w:sz w:val="18"/>
          <w:szCs w:val="18"/>
          <w:color w:val="auto"/>
        </w:rPr>
        <w:t>In January 2018, in connection with the issuance of the 2023 Notes, the Company entered into an interest rate swap transaction with a $150.0 million notional amount. The Company receives fixed rate interest at 4.50% and pays variable rate interest based on three-month LIBOR plus 1.99%. The swap transaction matures on January 22, 2023, matching the maturity date of the 2023 Notes.</w:t>
      </w:r>
    </w:p>
    <w:p>
      <w:pPr>
        <w:spacing w:after="0" w:line="184" w:lineRule="exact"/>
        <w:rPr>
          <w:sz w:val="20"/>
          <w:szCs w:val="20"/>
          <w:color w:val="auto"/>
        </w:rPr>
      </w:pPr>
    </w:p>
    <w:p>
      <w:pPr>
        <w:ind w:firstLine="255"/>
        <w:spacing w:after="0" w:line="259" w:lineRule="auto"/>
        <w:rPr>
          <w:sz w:val="20"/>
          <w:szCs w:val="20"/>
          <w:color w:val="auto"/>
        </w:rPr>
      </w:pPr>
      <w:r>
        <w:rPr>
          <w:rFonts w:ascii="Arial" w:cs="Arial" w:eastAsia="Arial" w:hAnsi="Arial"/>
          <w:sz w:val="18"/>
          <w:szCs w:val="18"/>
          <w:color w:val="auto"/>
        </w:rPr>
        <w:t>In June 2018, in connection with the reopening and issuance of additional 2022 Convertible Notes, the Company entered into two interest rate swap transactions with notional amounts of $50.0 million and $7.5 million, respectively. The Company receives fixed rate interest on each swap at 4.50%, and pays variable rate interest based on three-month LIBOR plus 1.59%, and 1.60%, respectively. The swap transactions mature on August 1, 2022, matching the maturity date of the 2022 Convertible Notes.</w:t>
      </w:r>
    </w:p>
    <w:p>
      <w:pPr>
        <w:spacing w:after="0" w:line="1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60"/>
          </w:cols>
          <w:pgMar w:left="320" w:top="557" w:right="519" w:bottom="1440" w:gutter="0" w:footer="0" w:header="0"/>
        </w:sectPr>
      </w:pPr>
    </w:p>
    <w:bookmarkStart w:id="30" w:name="page31"/>
    <w:bookmarkEnd w:id="30"/>
    <w:p>
      <w:pPr>
        <w:jc w:val="both"/>
        <w:ind w:right="500" w:firstLine="255"/>
        <w:spacing w:after="0" w:line="286" w:lineRule="auto"/>
        <w:rPr>
          <w:sz w:val="20"/>
          <w:szCs w:val="20"/>
          <w:color w:val="auto"/>
        </w:rPr>
      </w:pPr>
      <w:r>
        <w:rPr>
          <w:rFonts w:ascii="Arial" w:cs="Arial" w:eastAsia="Arial" w:hAnsi="Arial"/>
          <w:sz w:val="17"/>
          <w:szCs w:val="17"/>
          <w:color w:val="auto"/>
        </w:rPr>
        <w:t>In June 2019, upon maturity of the original swap transaction on an existing fixed rate investment, the Company entered into an interest rate swap transaction with a $91.5 million notional amount. The Company received three-month LIBOR and paid fixed rate interest at 1.97%. In April 2020, in connection with the repayment of the underlying investment, the Company terminated this interest rate swap.</w:t>
      </w:r>
    </w:p>
    <w:p>
      <w:pPr>
        <w:spacing w:after="0" w:line="165" w:lineRule="exact"/>
        <w:rPr>
          <w:sz w:val="20"/>
          <w:szCs w:val="20"/>
          <w:color w:val="auto"/>
        </w:rPr>
      </w:pPr>
    </w:p>
    <w:p>
      <w:pPr>
        <w:ind w:right="40" w:firstLine="255"/>
        <w:spacing w:after="0" w:line="311" w:lineRule="auto"/>
        <w:rPr>
          <w:sz w:val="20"/>
          <w:szCs w:val="20"/>
          <w:color w:val="auto"/>
        </w:rPr>
      </w:pPr>
      <w:r>
        <w:rPr>
          <w:rFonts w:ascii="Arial" w:cs="Arial" w:eastAsia="Arial" w:hAnsi="Arial"/>
          <w:sz w:val="16"/>
          <w:szCs w:val="16"/>
          <w:color w:val="auto"/>
        </w:rPr>
        <w:t>In August 2019, in connection with two fixed rate investments, the Company entered into two interest rate swap transactions with notional amounts of $11.7 million and $3.2 million, respectively. The Company receives three-month LIBOR and pays fixed rate interest at 1.47% and 1.36%, respectively. The swap transactions mature on July 30, 2021 and July 29, 2022, respectively, matching the expected repayment dates of each investment.</w:t>
      </w:r>
    </w:p>
    <w:p>
      <w:pPr>
        <w:spacing w:after="0" w:line="149" w:lineRule="exact"/>
        <w:rPr>
          <w:sz w:val="20"/>
          <w:szCs w:val="20"/>
          <w:color w:val="auto"/>
        </w:rPr>
      </w:pPr>
    </w:p>
    <w:p>
      <w:pPr>
        <w:ind w:right="40" w:firstLine="255"/>
        <w:spacing w:after="0" w:line="259" w:lineRule="auto"/>
        <w:rPr>
          <w:sz w:val="20"/>
          <w:szCs w:val="20"/>
          <w:color w:val="auto"/>
        </w:rPr>
      </w:pPr>
      <w:r>
        <w:rPr>
          <w:rFonts w:ascii="Arial" w:cs="Arial" w:eastAsia="Arial" w:hAnsi="Arial"/>
          <w:sz w:val="18"/>
          <w:szCs w:val="18"/>
          <w:color w:val="auto"/>
        </w:rPr>
        <w:t>In November 2019, in connection with the issuance of the 2024 Notes, the Company entered into an interest rate swap transaction with a $300.0 million notional amount. The Company receives fixed rate interest at 3.875% and pays variable rate interest based on three-month LIBOR plus 2.25%. The swap transaction matures on November 1, 2024, matching the maturity date of the 2024 Notes. The Company designated this interest rate swap as the hedging instrument in a hedge accounting relationship with the 2024 Notes.</w:t>
      </w:r>
    </w:p>
    <w:p>
      <w:pPr>
        <w:spacing w:after="0" w:line="187" w:lineRule="exact"/>
        <w:rPr>
          <w:sz w:val="20"/>
          <w:szCs w:val="20"/>
          <w:color w:val="auto"/>
        </w:rPr>
      </w:pPr>
    </w:p>
    <w:p>
      <w:pPr>
        <w:ind w:right="180" w:firstLine="255"/>
        <w:spacing w:after="0" w:line="279" w:lineRule="auto"/>
        <w:rPr>
          <w:sz w:val="20"/>
          <w:szCs w:val="20"/>
          <w:color w:val="auto"/>
        </w:rPr>
      </w:pPr>
      <w:r>
        <w:rPr>
          <w:rFonts w:ascii="Arial" w:cs="Arial" w:eastAsia="Arial" w:hAnsi="Arial"/>
          <w:sz w:val="17"/>
          <w:szCs w:val="17"/>
          <w:color w:val="auto"/>
        </w:rPr>
        <w:t>In February 2020, in connection with the reopening and issuance of additional 2024 Notes, the Company entered into an interest rate swap transaction with a $50.0 million notional amount. The Company receives fixed rate interest at 3.875% and pays variable rate interest based on three-month LIBOR plus 2.46%. The swap transaction matures on November 1, 2024, matching the maturity date of the additional 2024 Notes. The Company designated this interest rate swap as the hedging instrument in a hedge accounting relationship with the additional 2024 Notes.</w:t>
      </w:r>
    </w:p>
    <w:p>
      <w:pPr>
        <w:spacing w:after="0" w:line="171" w:lineRule="exact"/>
        <w:rPr>
          <w:sz w:val="20"/>
          <w:szCs w:val="20"/>
          <w:color w:val="auto"/>
        </w:rPr>
      </w:pPr>
    </w:p>
    <w:p>
      <w:pPr>
        <w:ind w:right="180" w:firstLine="255"/>
        <w:spacing w:after="0" w:line="311" w:lineRule="auto"/>
        <w:rPr>
          <w:sz w:val="20"/>
          <w:szCs w:val="20"/>
          <w:color w:val="auto"/>
        </w:rPr>
      </w:pPr>
      <w:r>
        <w:rPr>
          <w:rFonts w:ascii="Arial" w:cs="Arial" w:eastAsia="Arial" w:hAnsi="Arial"/>
          <w:sz w:val="16"/>
          <w:szCs w:val="16"/>
          <w:color w:val="auto"/>
        </w:rPr>
        <w:t>In May 2020, in connection with the repurchase of $29.7 million of the 2022 Convertible Notes, the Company entered into two interest rate swap transactions with $27.5 million and $2.2 million notional amounts. The Company pays fixed rate interest at 4.5% and receives variable rate interest based on three-month LIBOR plus 2.11%. The swap transactions mature on August 1, 2022, matching the maturity date of the 2022 Convertible Notes.</w:t>
      </w:r>
    </w:p>
    <w:p>
      <w:pPr>
        <w:spacing w:after="0" w:line="149" w:lineRule="exact"/>
        <w:rPr>
          <w:sz w:val="20"/>
          <w:szCs w:val="20"/>
          <w:color w:val="auto"/>
        </w:rPr>
      </w:pPr>
    </w:p>
    <w:p>
      <w:pPr>
        <w:ind w:right="40" w:firstLine="255"/>
        <w:spacing w:after="0" w:line="257" w:lineRule="auto"/>
        <w:rPr>
          <w:sz w:val="20"/>
          <w:szCs w:val="20"/>
          <w:color w:val="auto"/>
        </w:rPr>
      </w:pPr>
      <w:r>
        <w:rPr>
          <w:rFonts w:ascii="Arial" w:cs="Arial" w:eastAsia="Arial" w:hAnsi="Arial"/>
          <w:sz w:val="18"/>
          <w:szCs w:val="18"/>
          <w:color w:val="auto"/>
        </w:rPr>
        <w:t>In May 2020, in connection with the repurchase of $2.5 million of the 2024 Notes, the Company entered into an interest rate swap transaction with $2.5 million notional amount. The Company pays fixed rate interest at 3.875% and receives variable rate interest based on three-month LIBOR plus 2.28%. The swap transaction matures on November 1, 2024, matching the maturity date of the 2024 Notes. At the same time, the Company de-designated $2.5 million notional amount of the existing interest rate swaps related to the 2024 Notes as hedging instruments in a hedge accounting relationship with the 2024 Notes.</w:t>
      </w:r>
    </w:p>
    <w:p>
      <w:pPr>
        <w:spacing w:after="0" w:line="188" w:lineRule="exact"/>
        <w:rPr>
          <w:sz w:val="20"/>
          <w:szCs w:val="20"/>
          <w:color w:val="auto"/>
        </w:rPr>
      </w:pPr>
    </w:p>
    <w:p>
      <w:pPr>
        <w:ind w:right="340" w:firstLine="255"/>
        <w:spacing w:after="0" w:line="311" w:lineRule="auto"/>
        <w:rPr>
          <w:sz w:val="20"/>
          <w:szCs w:val="20"/>
          <w:color w:val="auto"/>
        </w:rPr>
      </w:pPr>
      <w:r>
        <w:rPr>
          <w:rFonts w:ascii="Arial" w:cs="Arial" w:eastAsia="Arial" w:hAnsi="Arial"/>
          <w:sz w:val="16"/>
          <w:szCs w:val="16"/>
          <w:color w:val="auto"/>
        </w:rPr>
        <w:t>In June 2020, in connection with two fixed rate investments, the Company entered into two interest rate swap transactions with notional amounts of $5.0 million and $2.2 million. The Company receives three-month LIBOR and pays fixed rate interest at 0.33% and 0.26%, respectively. The swap transactions mature on June 9, 2023 and July 29, 2022, respectively, matching the expected repayment dates of each investment.</w:t>
      </w:r>
    </w:p>
    <w:p>
      <w:pPr>
        <w:spacing w:after="0" w:line="149" w:lineRule="exact"/>
        <w:rPr>
          <w:sz w:val="20"/>
          <w:szCs w:val="20"/>
          <w:color w:val="auto"/>
        </w:rPr>
      </w:pPr>
    </w:p>
    <w:p>
      <w:pPr>
        <w:ind w:right="140" w:firstLine="255"/>
        <w:spacing w:after="0" w:line="277" w:lineRule="auto"/>
        <w:rPr>
          <w:sz w:val="20"/>
          <w:szCs w:val="20"/>
          <w:color w:val="auto"/>
        </w:rPr>
      </w:pPr>
      <w:r>
        <w:rPr>
          <w:rFonts w:ascii="Arial" w:cs="Arial" w:eastAsia="Arial" w:hAnsi="Arial"/>
          <w:sz w:val="18"/>
          <w:szCs w:val="18"/>
          <w:color w:val="auto"/>
        </w:rPr>
        <w:t>The following tables present the amounts paid and received on the Company’s interest rate swap transactions, excluding upfront fees, for the three and nine months ended September 30, 2020 and 2019:</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Maturity Date</w:t>
            </w:r>
          </w:p>
        </w:tc>
        <w:tc>
          <w:tcPr>
            <w:tcW w:w="100" w:type="dxa"/>
            <w:vAlign w:val="bottom"/>
          </w:tcPr>
          <w:p>
            <w:pPr>
              <w:spacing w:after="0"/>
              <w:rPr>
                <w:sz w:val="14"/>
                <w:szCs w:val="14"/>
                <w:color w:val="auto"/>
              </w:rPr>
            </w:pPr>
          </w:p>
        </w:tc>
        <w:tc>
          <w:tcPr>
            <w:tcW w:w="13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Notional Amount</w:t>
            </w:r>
          </w:p>
        </w:tc>
        <w:tc>
          <w:tcPr>
            <w:tcW w:w="3340" w:type="dxa"/>
            <w:vAlign w:val="bottom"/>
            <w:gridSpan w:val="9"/>
          </w:tcPr>
          <w:p>
            <w:pPr>
              <w:jc w:val="right"/>
              <w:ind w:right="260"/>
              <w:spacing w:after="0"/>
              <w:rPr>
                <w:sz w:val="20"/>
                <w:szCs w:val="20"/>
                <w:color w:val="auto"/>
              </w:rPr>
            </w:pPr>
            <w:r>
              <w:rPr>
                <w:rFonts w:ascii="Arial" w:cs="Arial" w:eastAsia="Arial" w:hAnsi="Arial"/>
                <w:sz w:val="14"/>
                <w:szCs w:val="14"/>
                <w:b w:val="1"/>
                <w:bCs w:val="1"/>
                <w:color w:val="auto"/>
                <w:w w:val="94"/>
              </w:rPr>
              <w:t>For the Three Months Ended September 30, 2020</w:t>
            </w:r>
          </w:p>
        </w:tc>
        <w:tc>
          <w:tcPr>
            <w:tcW w:w="140" w:type="dxa"/>
            <w:vAlign w:val="bottom"/>
          </w:tcPr>
          <w:p>
            <w:pPr>
              <w:spacing w:after="0"/>
              <w:rPr>
                <w:sz w:val="14"/>
                <w:szCs w:val="14"/>
                <w:color w:val="auto"/>
              </w:rPr>
            </w:pPr>
          </w:p>
        </w:tc>
        <w:tc>
          <w:tcPr>
            <w:tcW w:w="3320" w:type="dxa"/>
            <w:vAlign w:val="bottom"/>
            <w:gridSpan w:val="8"/>
          </w:tcPr>
          <w:p>
            <w:pPr>
              <w:jc w:val="right"/>
              <w:ind w:right="320"/>
              <w:spacing w:after="0"/>
              <w:rPr>
                <w:sz w:val="20"/>
                <w:szCs w:val="20"/>
                <w:color w:val="auto"/>
              </w:rPr>
            </w:pPr>
            <w:r>
              <w:rPr>
                <w:rFonts w:ascii="Arial" w:cs="Arial" w:eastAsia="Arial" w:hAnsi="Arial"/>
                <w:sz w:val="14"/>
                <w:szCs w:val="14"/>
                <w:b w:val="1"/>
                <w:bCs w:val="1"/>
                <w:color w:val="auto"/>
                <w:w w:val="94"/>
              </w:rPr>
              <w:t>For the Nine Months Ended September 30, 2020</w:t>
            </w:r>
          </w:p>
        </w:tc>
        <w:tc>
          <w:tcPr>
            <w:tcW w:w="0" w:type="dxa"/>
            <w:vAlign w:val="bottom"/>
          </w:tcPr>
          <w:p>
            <w:pPr>
              <w:spacing w:after="0"/>
              <w:rPr>
                <w:sz w:val="1"/>
                <w:szCs w:val="1"/>
                <w:color w:val="auto"/>
              </w:rPr>
            </w:pPr>
          </w:p>
        </w:tc>
      </w:tr>
      <w:tr>
        <w:trPr>
          <w:trHeight w:val="155"/>
        </w:trPr>
        <w:tc>
          <w:tcPr>
            <w:tcW w:w="210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3"/>
            <w:vMerge w:val="continue"/>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rPr>
              <w:t>Paid</w:t>
            </w:r>
          </w:p>
        </w:tc>
        <w:tc>
          <w:tcPr>
            <w:tcW w:w="1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135"/>
              <w:spacing w:after="0" w:line="155" w:lineRule="exact"/>
              <w:rPr>
                <w:sz w:val="20"/>
                <w:szCs w:val="20"/>
                <w:color w:val="auto"/>
              </w:rPr>
            </w:pPr>
            <w:r>
              <w:rPr>
                <w:rFonts w:ascii="Arial" w:cs="Arial" w:eastAsia="Arial" w:hAnsi="Arial"/>
                <w:sz w:val="14"/>
                <w:szCs w:val="14"/>
                <w:b w:val="1"/>
                <w:bCs w:val="1"/>
                <w:color w:val="auto"/>
                <w:w w:val="94"/>
              </w:rPr>
              <w:t>Received</w:t>
            </w:r>
          </w:p>
        </w:tc>
        <w:tc>
          <w:tcPr>
            <w:tcW w:w="2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Net</w:t>
            </w: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tcPr>
          <w:p>
            <w:pPr>
              <w:jc w:val="right"/>
              <w:ind w:right="560"/>
              <w:spacing w:after="0" w:line="155" w:lineRule="exact"/>
              <w:rPr>
                <w:sz w:val="20"/>
                <w:szCs w:val="20"/>
                <w:color w:val="auto"/>
              </w:rPr>
            </w:pPr>
            <w:r>
              <w:rPr>
                <w:rFonts w:ascii="Arial" w:cs="Arial" w:eastAsia="Arial" w:hAnsi="Arial"/>
                <w:sz w:val="14"/>
                <w:szCs w:val="14"/>
                <w:b w:val="1"/>
                <w:bCs w:val="1"/>
                <w:color w:val="auto"/>
              </w:rPr>
              <w:t>Paid</w:t>
            </w: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135"/>
              <w:spacing w:after="0" w:line="155" w:lineRule="exact"/>
              <w:rPr>
                <w:sz w:val="20"/>
                <w:szCs w:val="20"/>
                <w:color w:val="auto"/>
              </w:rPr>
            </w:pPr>
            <w:r>
              <w:rPr>
                <w:rFonts w:ascii="Arial" w:cs="Arial" w:eastAsia="Arial" w:hAnsi="Arial"/>
                <w:sz w:val="14"/>
                <w:szCs w:val="14"/>
                <w:b w:val="1"/>
                <w:bCs w:val="1"/>
                <w:color w:val="auto"/>
                <w:w w:val="97"/>
              </w:rPr>
              <w:t>Received</w:t>
            </w:r>
          </w:p>
        </w:tc>
        <w:tc>
          <w:tcPr>
            <w:tcW w:w="2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 xml:space="preserve">Interest rate swap </w:t>
            </w:r>
            <w:r>
              <w:rPr>
                <w:rFonts w:ascii="Arial" w:cs="Arial" w:eastAsia="Arial" w:hAnsi="Arial"/>
                <w:sz w:val="14"/>
                <w:szCs w:val="14"/>
                <w:color w:val="auto"/>
              </w:rPr>
              <w:t>(1)(2)</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6/25/2020</w:t>
            </w:r>
          </w:p>
        </w:tc>
        <w:tc>
          <w:tcPr>
            <w:tcW w:w="10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91,500</w:t>
            </w: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5"/>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(456)</w:t>
            </w: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440</w:t>
            </w:r>
          </w:p>
        </w:tc>
        <w:tc>
          <w:tcPr>
            <w:tcW w:w="2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5"/>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7"/>
                <w:szCs w:val="17"/>
                <w:color w:val="auto"/>
              </w:rPr>
              <w:t xml:space="preserve">Interest rate swap </w:t>
            </w:r>
            <w:r>
              <w:rPr>
                <w:rFonts w:ascii="Arial" w:cs="Arial" w:eastAsia="Arial" w:hAnsi="Arial"/>
                <w:sz w:val="14"/>
                <w:szCs w:val="14"/>
                <w:color w:val="auto"/>
              </w:rPr>
              <w:t>(1)</w:t>
            </w:r>
          </w:p>
        </w:tc>
        <w:tc>
          <w:tcPr>
            <w:tcW w:w="920" w:type="dxa"/>
            <w:vAlign w:val="bottom"/>
          </w:tcPr>
          <w:p>
            <w:pPr>
              <w:jc w:val="right"/>
              <w:spacing w:after="0"/>
              <w:rPr>
                <w:sz w:val="20"/>
                <w:szCs w:val="20"/>
                <w:color w:val="auto"/>
              </w:rPr>
            </w:pPr>
            <w:r>
              <w:rPr>
                <w:rFonts w:ascii="Arial" w:cs="Arial" w:eastAsia="Arial" w:hAnsi="Arial"/>
                <w:sz w:val="17"/>
                <w:szCs w:val="17"/>
                <w:color w:val="auto"/>
              </w:rPr>
              <w:t>7/30/2021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11,700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(44)</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(35)</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(131)</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102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16"/>
        </w:trPr>
        <w:tc>
          <w:tcPr>
            <w:tcW w:w="2100" w:type="dxa"/>
            <w:vAlign w:val="bottom"/>
            <w:shd w:val="clear" w:color="auto" w:fill="CFF0FC"/>
          </w:tcPr>
          <w:p>
            <w:pPr>
              <w:spacing w:after="0"/>
              <w:rPr>
                <w:sz w:val="20"/>
                <w:szCs w:val="20"/>
                <w:color w:val="auto"/>
              </w:rPr>
            </w:pPr>
            <w:r>
              <w:rPr>
                <w:rFonts w:ascii="Arial" w:cs="Arial" w:eastAsia="Arial" w:hAnsi="Arial"/>
                <w:sz w:val="17"/>
                <w:szCs w:val="17"/>
                <w:color w:val="auto"/>
              </w:rPr>
              <w:t xml:space="preserve">Interest rate swap </w:t>
            </w:r>
            <w:r>
              <w:rPr>
                <w:rFonts w:ascii="Arial" w:cs="Arial" w:eastAsia="Arial" w:hAnsi="Arial"/>
                <w:sz w:val="14"/>
                <w:szCs w:val="14"/>
                <w:color w:val="auto"/>
              </w:rPr>
              <w:t>(1)</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7/29/2022</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3,200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(11)</w:t>
            </w: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(8)</w:t>
            </w:r>
          </w:p>
        </w:tc>
        <w:tc>
          <w:tcPr>
            <w:tcW w:w="1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(33)</w:t>
            </w: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7"/>
                <w:szCs w:val="17"/>
                <w:color w:val="auto"/>
              </w:rPr>
              <w:t xml:space="preserve">Interest rate swap </w:t>
            </w:r>
            <w:r>
              <w:rPr>
                <w:rFonts w:ascii="Arial" w:cs="Arial" w:eastAsia="Arial" w:hAnsi="Arial"/>
                <w:sz w:val="14"/>
                <w:szCs w:val="14"/>
                <w:color w:val="auto"/>
              </w:rPr>
              <w:t>(1)</w:t>
            </w:r>
          </w:p>
        </w:tc>
        <w:tc>
          <w:tcPr>
            <w:tcW w:w="920" w:type="dxa"/>
            <w:vAlign w:val="bottom"/>
          </w:tcPr>
          <w:p>
            <w:pPr>
              <w:jc w:val="right"/>
              <w:spacing w:after="0"/>
              <w:rPr>
                <w:sz w:val="20"/>
                <w:szCs w:val="20"/>
                <w:color w:val="auto"/>
              </w:rPr>
            </w:pPr>
            <w:r>
              <w:rPr>
                <w:rFonts w:ascii="Arial" w:cs="Arial" w:eastAsia="Arial" w:hAnsi="Arial"/>
                <w:sz w:val="17"/>
                <w:szCs w:val="17"/>
                <w:color w:val="auto"/>
              </w:rPr>
              <w:t>7/29/2022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2,150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(1)</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(0)</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(2)</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16"/>
        </w:trPr>
        <w:tc>
          <w:tcPr>
            <w:tcW w:w="2100" w:type="dxa"/>
            <w:vAlign w:val="bottom"/>
            <w:shd w:val="clear" w:color="auto" w:fill="CFF0FC"/>
          </w:tcPr>
          <w:p>
            <w:pPr>
              <w:spacing w:after="0"/>
              <w:rPr>
                <w:sz w:val="20"/>
                <w:szCs w:val="20"/>
                <w:color w:val="auto"/>
              </w:rPr>
            </w:pPr>
            <w:r>
              <w:rPr>
                <w:rFonts w:ascii="Arial" w:cs="Arial" w:eastAsia="Arial" w:hAnsi="Arial"/>
                <w:sz w:val="17"/>
                <w:szCs w:val="17"/>
                <w:color w:val="auto"/>
              </w:rPr>
              <w:t>Interest rate swap</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8/1/2022</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115,000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(787)</w:t>
            </w: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1,294</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507</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(3,135)</w:t>
            </w: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3,881</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7"/>
                <w:szCs w:val="17"/>
                <w:color w:val="auto"/>
              </w:rPr>
              <w:t>Interest rate swap</w:t>
            </w:r>
          </w:p>
        </w:tc>
        <w:tc>
          <w:tcPr>
            <w:tcW w:w="920" w:type="dxa"/>
            <w:vAlign w:val="bottom"/>
          </w:tcPr>
          <w:p>
            <w:pPr>
              <w:jc w:val="right"/>
              <w:spacing w:after="0"/>
              <w:rPr>
                <w:sz w:val="20"/>
                <w:szCs w:val="20"/>
                <w:color w:val="auto"/>
              </w:rPr>
            </w:pPr>
            <w:r>
              <w:rPr>
                <w:rFonts w:ascii="Arial" w:cs="Arial" w:eastAsia="Arial" w:hAnsi="Arial"/>
                <w:sz w:val="17"/>
                <w:szCs w:val="17"/>
                <w:color w:val="auto"/>
              </w:rPr>
              <w:t>8/1/2022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50,000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(243)</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563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320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(1,067)</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1,688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621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shd w:val="clear" w:color="auto" w:fill="CFF0FC"/>
          </w:tcPr>
          <w:p>
            <w:pPr>
              <w:spacing w:after="0"/>
              <w:rPr>
                <w:sz w:val="20"/>
                <w:szCs w:val="20"/>
                <w:color w:val="auto"/>
              </w:rPr>
            </w:pPr>
            <w:r>
              <w:rPr>
                <w:rFonts w:ascii="Arial" w:cs="Arial" w:eastAsia="Arial" w:hAnsi="Arial"/>
                <w:sz w:val="17"/>
                <w:szCs w:val="17"/>
                <w:color w:val="auto"/>
              </w:rPr>
              <w:t>Interest rate swap</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8/1/2022</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7,500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(37)</w:t>
            </w: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84</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47</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(160)</w:t>
            </w: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253</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7"/>
                <w:szCs w:val="17"/>
                <w:color w:val="auto"/>
              </w:rPr>
              <w:t>Interest rate swap</w:t>
            </w:r>
          </w:p>
        </w:tc>
        <w:tc>
          <w:tcPr>
            <w:tcW w:w="920" w:type="dxa"/>
            <w:vAlign w:val="bottom"/>
          </w:tcPr>
          <w:p>
            <w:pPr>
              <w:jc w:val="right"/>
              <w:spacing w:after="0"/>
              <w:rPr>
                <w:sz w:val="20"/>
                <w:szCs w:val="20"/>
                <w:color w:val="auto"/>
              </w:rPr>
            </w:pPr>
            <w:r>
              <w:rPr>
                <w:rFonts w:ascii="Arial" w:cs="Arial" w:eastAsia="Arial" w:hAnsi="Arial"/>
                <w:sz w:val="17"/>
                <w:szCs w:val="17"/>
                <w:color w:val="auto"/>
              </w:rPr>
              <w:t>8/1/2022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27,531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(306)</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168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(138)</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(623)</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411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(212)</w:t>
            </w:r>
          </w:p>
        </w:tc>
        <w:tc>
          <w:tcPr>
            <w:tcW w:w="0" w:type="dxa"/>
            <w:vAlign w:val="bottom"/>
          </w:tcPr>
          <w:p>
            <w:pPr>
              <w:spacing w:after="0"/>
              <w:rPr>
                <w:sz w:val="1"/>
                <w:szCs w:val="1"/>
                <w:color w:val="auto"/>
              </w:rPr>
            </w:pPr>
          </w:p>
        </w:tc>
      </w:tr>
      <w:tr>
        <w:trPr>
          <w:trHeight w:val="216"/>
        </w:trPr>
        <w:tc>
          <w:tcPr>
            <w:tcW w:w="2100" w:type="dxa"/>
            <w:vAlign w:val="bottom"/>
            <w:shd w:val="clear" w:color="auto" w:fill="CFF0FC"/>
          </w:tcPr>
          <w:p>
            <w:pPr>
              <w:spacing w:after="0"/>
              <w:rPr>
                <w:sz w:val="20"/>
                <w:szCs w:val="20"/>
                <w:color w:val="auto"/>
              </w:rPr>
            </w:pPr>
            <w:r>
              <w:rPr>
                <w:rFonts w:ascii="Arial" w:cs="Arial" w:eastAsia="Arial" w:hAnsi="Arial"/>
                <w:sz w:val="17"/>
                <w:szCs w:val="17"/>
                <w:color w:val="auto"/>
              </w:rPr>
              <w:t>Interest rate swap</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8/1/2022</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2,160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(24)</w:t>
            </w: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(11)</w:t>
            </w:r>
          </w:p>
        </w:tc>
        <w:tc>
          <w:tcPr>
            <w:tcW w:w="1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(49)</w:t>
            </w: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7"/>
                <w:szCs w:val="17"/>
                <w:color w:val="auto"/>
              </w:rPr>
              <w:t>Interest rate swap</w:t>
            </w:r>
          </w:p>
        </w:tc>
        <w:tc>
          <w:tcPr>
            <w:tcW w:w="920" w:type="dxa"/>
            <w:vAlign w:val="bottom"/>
          </w:tcPr>
          <w:p>
            <w:pPr>
              <w:jc w:val="right"/>
              <w:spacing w:after="0"/>
              <w:rPr>
                <w:sz w:val="20"/>
                <w:szCs w:val="20"/>
                <w:color w:val="auto"/>
              </w:rPr>
            </w:pPr>
            <w:r>
              <w:rPr>
                <w:rFonts w:ascii="Arial" w:cs="Arial" w:eastAsia="Arial" w:hAnsi="Arial"/>
                <w:sz w:val="17"/>
                <w:szCs w:val="17"/>
                <w:color w:val="auto"/>
              </w:rPr>
              <w:t>1/22/2023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150,000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(882)</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1,688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806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(3,658)</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5,062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1,404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shd w:val="clear" w:color="auto" w:fill="CFF0FC"/>
          </w:tcPr>
          <w:p>
            <w:pPr>
              <w:spacing w:after="0"/>
              <w:rPr>
                <w:sz w:val="20"/>
                <w:szCs w:val="20"/>
                <w:color w:val="auto"/>
              </w:rPr>
            </w:pPr>
            <w:r>
              <w:rPr>
                <w:rFonts w:ascii="Arial" w:cs="Arial" w:eastAsia="Arial" w:hAnsi="Arial"/>
                <w:sz w:val="17"/>
                <w:szCs w:val="17"/>
                <w:color w:val="auto"/>
              </w:rPr>
              <w:t xml:space="preserve">Interest rate swap </w:t>
            </w:r>
            <w:r>
              <w:rPr>
                <w:rFonts w:ascii="Arial" w:cs="Arial" w:eastAsia="Arial" w:hAnsi="Arial"/>
                <w:sz w:val="14"/>
                <w:szCs w:val="14"/>
                <w:color w:val="auto"/>
              </w:rPr>
              <w:t>(1)</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6/9/2023</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5,000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(4)</w:t>
            </w: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(0)</w:t>
            </w:r>
          </w:p>
        </w:tc>
        <w:tc>
          <w:tcPr>
            <w:tcW w:w="1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(5)</w:t>
            </w: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7"/>
                <w:szCs w:val="17"/>
                <w:color w:val="auto"/>
              </w:rPr>
              <w:t>Interest rate swap</w:t>
            </w:r>
          </w:p>
        </w:tc>
        <w:tc>
          <w:tcPr>
            <w:tcW w:w="920" w:type="dxa"/>
            <w:vAlign w:val="bottom"/>
          </w:tcPr>
          <w:p>
            <w:pPr>
              <w:jc w:val="right"/>
              <w:spacing w:after="0"/>
              <w:rPr>
                <w:sz w:val="20"/>
                <w:szCs w:val="20"/>
                <w:color w:val="auto"/>
              </w:rPr>
            </w:pPr>
            <w:r>
              <w:rPr>
                <w:rFonts w:ascii="Arial" w:cs="Arial" w:eastAsia="Arial" w:hAnsi="Arial"/>
                <w:sz w:val="17"/>
                <w:szCs w:val="17"/>
                <w:color w:val="auto"/>
              </w:rPr>
              <w:t>11/1/2024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300,000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(1,954)</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2,906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952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(7,763)</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8,719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956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shd w:val="clear" w:color="auto" w:fill="CFF0FC"/>
          </w:tcPr>
          <w:p>
            <w:pPr>
              <w:spacing w:after="0"/>
              <w:rPr>
                <w:sz w:val="20"/>
                <w:szCs w:val="20"/>
                <w:color w:val="auto"/>
              </w:rPr>
            </w:pPr>
            <w:r>
              <w:rPr>
                <w:rFonts w:ascii="Arial" w:cs="Arial" w:eastAsia="Arial" w:hAnsi="Arial"/>
                <w:sz w:val="17"/>
                <w:szCs w:val="17"/>
                <w:color w:val="auto"/>
              </w:rPr>
              <w:t>Interest rate swap</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11/1/2024</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50,000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(352)</w:t>
            </w: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484</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132</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(1,105)</w:t>
            </w: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1,238</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7"/>
                <w:szCs w:val="17"/>
                <w:color w:val="auto"/>
              </w:rPr>
              <w:t>Interest rate swap</w:t>
            </w:r>
          </w:p>
        </w:tc>
        <w:tc>
          <w:tcPr>
            <w:tcW w:w="920" w:type="dxa"/>
            <w:vAlign w:val="bottom"/>
          </w:tcPr>
          <w:p>
            <w:pPr>
              <w:jc w:val="right"/>
              <w:spacing w:after="0"/>
              <w:rPr>
                <w:sz w:val="20"/>
                <w:szCs w:val="20"/>
                <w:color w:val="auto"/>
              </w:rPr>
            </w:pPr>
            <w:r>
              <w:rPr>
                <w:rFonts w:ascii="Arial" w:cs="Arial" w:eastAsia="Arial" w:hAnsi="Arial"/>
                <w:sz w:val="17"/>
                <w:szCs w:val="17"/>
                <w:color w:val="auto"/>
              </w:rPr>
              <w:t>11/1/2024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2,500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(24)</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(8)</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(49)</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09"/>
        </w:trPr>
        <w:tc>
          <w:tcPr>
            <w:tcW w:w="21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7"/>
                <w:szCs w:val="17"/>
                <w:b w:val="1"/>
                <w:bCs w:val="1"/>
                <w:color w:val="auto"/>
              </w:rPr>
              <w:t>Total</w:t>
            </w:r>
          </w:p>
        </w:tc>
        <w:tc>
          <w:tcPr>
            <w:tcW w:w="9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818,241</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(4,669</w:t>
            </w:r>
          </w:p>
        </w:tc>
        <w:tc>
          <w:tcPr>
            <w:tcW w:w="220" w:type="dxa"/>
            <w:vAlign w:val="bottom"/>
            <w:tcBorders>
              <w:top w:val="single" w:sz="8" w:color="CFF0FC"/>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7,233</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2,564</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(18,236)</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21,900</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3,664</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71"/>
        </w:trPr>
        <w:tc>
          <w:tcPr>
            <w:tcW w:w="21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Maturity Date</w:t>
            </w:r>
          </w:p>
        </w:tc>
        <w:tc>
          <w:tcPr>
            <w:tcW w:w="100" w:type="dxa"/>
            <w:vAlign w:val="bottom"/>
          </w:tcPr>
          <w:p>
            <w:pPr>
              <w:spacing w:after="0"/>
              <w:rPr>
                <w:sz w:val="14"/>
                <w:szCs w:val="14"/>
                <w:color w:val="auto"/>
              </w:rPr>
            </w:pPr>
          </w:p>
        </w:tc>
        <w:tc>
          <w:tcPr>
            <w:tcW w:w="13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Notional Amount</w:t>
            </w:r>
          </w:p>
        </w:tc>
        <w:tc>
          <w:tcPr>
            <w:tcW w:w="3340" w:type="dxa"/>
            <w:vAlign w:val="bottom"/>
            <w:gridSpan w:val="9"/>
          </w:tcPr>
          <w:p>
            <w:pPr>
              <w:jc w:val="right"/>
              <w:ind w:right="260"/>
              <w:spacing w:after="0"/>
              <w:rPr>
                <w:sz w:val="20"/>
                <w:szCs w:val="20"/>
                <w:color w:val="auto"/>
              </w:rPr>
            </w:pPr>
            <w:r>
              <w:rPr>
                <w:rFonts w:ascii="Arial" w:cs="Arial" w:eastAsia="Arial" w:hAnsi="Arial"/>
                <w:sz w:val="14"/>
                <w:szCs w:val="14"/>
                <w:b w:val="1"/>
                <w:bCs w:val="1"/>
                <w:color w:val="auto"/>
                <w:w w:val="94"/>
              </w:rPr>
              <w:t>For the Three Months Ended September 30, 2019</w:t>
            </w:r>
          </w:p>
        </w:tc>
        <w:tc>
          <w:tcPr>
            <w:tcW w:w="140" w:type="dxa"/>
            <w:vAlign w:val="bottom"/>
          </w:tcPr>
          <w:p>
            <w:pPr>
              <w:spacing w:after="0"/>
              <w:rPr>
                <w:sz w:val="14"/>
                <w:szCs w:val="14"/>
                <w:color w:val="auto"/>
              </w:rPr>
            </w:pPr>
          </w:p>
        </w:tc>
        <w:tc>
          <w:tcPr>
            <w:tcW w:w="3320" w:type="dxa"/>
            <w:vAlign w:val="bottom"/>
            <w:gridSpan w:val="8"/>
          </w:tcPr>
          <w:p>
            <w:pPr>
              <w:jc w:val="right"/>
              <w:ind w:right="320"/>
              <w:spacing w:after="0"/>
              <w:rPr>
                <w:sz w:val="20"/>
                <w:szCs w:val="20"/>
                <w:color w:val="auto"/>
              </w:rPr>
            </w:pPr>
            <w:r>
              <w:rPr>
                <w:rFonts w:ascii="Arial" w:cs="Arial" w:eastAsia="Arial" w:hAnsi="Arial"/>
                <w:sz w:val="14"/>
                <w:szCs w:val="14"/>
                <w:b w:val="1"/>
                <w:bCs w:val="1"/>
                <w:color w:val="auto"/>
                <w:w w:val="94"/>
              </w:rPr>
              <w:t>For the Nine Months Ended September 30, 2019</w:t>
            </w:r>
          </w:p>
        </w:tc>
        <w:tc>
          <w:tcPr>
            <w:tcW w:w="0" w:type="dxa"/>
            <w:vAlign w:val="bottom"/>
          </w:tcPr>
          <w:p>
            <w:pPr>
              <w:spacing w:after="0"/>
              <w:rPr>
                <w:sz w:val="1"/>
                <w:szCs w:val="1"/>
                <w:color w:val="auto"/>
              </w:rPr>
            </w:pPr>
          </w:p>
        </w:tc>
      </w:tr>
      <w:tr>
        <w:trPr>
          <w:trHeight w:val="156"/>
        </w:trPr>
        <w:tc>
          <w:tcPr>
            <w:tcW w:w="210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3"/>
            <w:vMerge w:val="continue"/>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rPr>
              <w:t>Paid</w:t>
            </w:r>
          </w:p>
        </w:tc>
        <w:tc>
          <w:tcPr>
            <w:tcW w:w="1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136"/>
              <w:spacing w:after="0" w:line="155" w:lineRule="exact"/>
              <w:rPr>
                <w:sz w:val="20"/>
                <w:szCs w:val="20"/>
                <w:color w:val="auto"/>
              </w:rPr>
            </w:pPr>
            <w:r>
              <w:rPr>
                <w:rFonts w:ascii="Arial" w:cs="Arial" w:eastAsia="Arial" w:hAnsi="Arial"/>
                <w:sz w:val="14"/>
                <w:szCs w:val="14"/>
                <w:b w:val="1"/>
                <w:bCs w:val="1"/>
                <w:color w:val="auto"/>
                <w:w w:val="94"/>
              </w:rPr>
              <w:t>Received</w:t>
            </w:r>
          </w:p>
        </w:tc>
        <w:tc>
          <w:tcPr>
            <w:tcW w:w="2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Net</w:t>
            </w: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tcPr>
          <w:p>
            <w:pPr>
              <w:jc w:val="right"/>
              <w:ind w:right="560"/>
              <w:spacing w:after="0" w:line="155" w:lineRule="exact"/>
              <w:rPr>
                <w:sz w:val="20"/>
                <w:szCs w:val="20"/>
                <w:color w:val="auto"/>
              </w:rPr>
            </w:pPr>
            <w:r>
              <w:rPr>
                <w:rFonts w:ascii="Arial" w:cs="Arial" w:eastAsia="Arial" w:hAnsi="Arial"/>
                <w:sz w:val="14"/>
                <w:szCs w:val="14"/>
                <w:b w:val="1"/>
                <w:bCs w:val="1"/>
                <w:color w:val="auto"/>
              </w:rPr>
              <w:t>Paid</w:t>
            </w: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136"/>
              <w:spacing w:after="0" w:line="155" w:lineRule="exact"/>
              <w:rPr>
                <w:sz w:val="20"/>
                <w:szCs w:val="20"/>
                <w:color w:val="auto"/>
              </w:rPr>
            </w:pPr>
            <w:r>
              <w:rPr>
                <w:rFonts w:ascii="Arial" w:cs="Arial" w:eastAsia="Arial" w:hAnsi="Arial"/>
                <w:sz w:val="14"/>
                <w:szCs w:val="14"/>
                <w:b w:val="1"/>
                <w:bCs w:val="1"/>
                <w:color w:val="auto"/>
                <w:w w:val="97"/>
              </w:rPr>
              <w:t>Received</w:t>
            </w:r>
          </w:p>
        </w:tc>
        <w:tc>
          <w:tcPr>
            <w:tcW w:w="2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 xml:space="preserve">Interest rate swap </w:t>
            </w:r>
            <w:r>
              <w:rPr>
                <w:rFonts w:ascii="Arial" w:cs="Arial" w:eastAsia="Arial" w:hAnsi="Arial"/>
                <w:sz w:val="14"/>
                <w:szCs w:val="14"/>
                <w:color w:val="auto"/>
              </w:rPr>
              <w:t>(1)(3)</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6/27/2019</w:t>
            </w:r>
          </w:p>
        </w:tc>
        <w:tc>
          <w:tcPr>
            <w:tcW w:w="10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91,500</w:t>
            </w: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5"/>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(1,233)</w:t>
            </w: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1,256</w:t>
            </w:r>
          </w:p>
        </w:tc>
        <w:tc>
          <w:tcPr>
            <w:tcW w:w="2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5"/>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23</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7"/>
                <w:szCs w:val="17"/>
                <w:color w:val="auto"/>
              </w:rPr>
              <w:t>Interest rate swap</w:t>
            </w:r>
          </w:p>
        </w:tc>
        <w:tc>
          <w:tcPr>
            <w:tcW w:w="920" w:type="dxa"/>
            <w:vAlign w:val="bottom"/>
          </w:tcPr>
          <w:p>
            <w:pPr>
              <w:jc w:val="right"/>
              <w:spacing w:after="0"/>
              <w:rPr>
                <w:sz w:val="20"/>
                <w:szCs w:val="20"/>
                <w:color w:val="auto"/>
              </w:rPr>
            </w:pPr>
            <w:r>
              <w:rPr>
                <w:rFonts w:ascii="Arial" w:cs="Arial" w:eastAsia="Arial" w:hAnsi="Arial"/>
                <w:sz w:val="17"/>
                <w:szCs w:val="17"/>
                <w:color w:val="auto"/>
              </w:rPr>
              <w:t>12/15/2019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115,000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(1,532)</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1,294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(238)</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(4,762)</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3,881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(881)</w:t>
            </w:r>
          </w:p>
        </w:tc>
        <w:tc>
          <w:tcPr>
            <w:tcW w:w="0" w:type="dxa"/>
            <w:vAlign w:val="bottom"/>
          </w:tcPr>
          <w:p>
            <w:pPr>
              <w:spacing w:after="0"/>
              <w:rPr>
                <w:sz w:val="1"/>
                <w:szCs w:val="1"/>
                <w:color w:val="auto"/>
              </w:rPr>
            </w:pPr>
          </w:p>
        </w:tc>
      </w:tr>
      <w:tr>
        <w:trPr>
          <w:trHeight w:val="216"/>
        </w:trPr>
        <w:tc>
          <w:tcPr>
            <w:tcW w:w="2100" w:type="dxa"/>
            <w:vAlign w:val="bottom"/>
            <w:shd w:val="clear" w:color="auto" w:fill="CFF0FC"/>
          </w:tcPr>
          <w:p>
            <w:pPr>
              <w:spacing w:after="0"/>
              <w:rPr>
                <w:sz w:val="20"/>
                <w:szCs w:val="20"/>
                <w:color w:val="auto"/>
              </w:rPr>
            </w:pPr>
            <w:r>
              <w:rPr>
                <w:rFonts w:ascii="Arial" w:cs="Arial" w:eastAsia="Arial" w:hAnsi="Arial"/>
                <w:sz w:val="17"/>
                <w:szCs w:val="17"/>
                <w:color w:val="auto"/>
              </w:rPr>
              <w:t xml:space="preserve">Interest rate swap </w:t>
            </w:r>
            <w:r>
              <w:rPr>
                <w:rFonts w:ascii="Arial" w:cs="Arial" w:eastAsia="Arial" w:hAnsi="Arial"/>
                <w:sz w:val="14"/>
                <w:szCs w:val="14"/>
                <w:color w:val="auto"/>
              </w:rPr>
              <w:t>(1)(3)</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1/10/2020</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33,333</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(698)</w:t>
            </w: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764</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66</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(2,094)</w:t>
            </w: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2,340</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7"/>
                <w:szCs w:val="17"/>
                <w:color w:val="auto"/>
              </w:rPr>
              <w:t>Interest rate swap</w:t>
            </w:r>
          </w:p>
        </w:tc>
        <w:tc>
          <w:tcPr>
            <w:tcW w:w="920" w:type="dxa"/>
            <w:vAlign w:val="bottom"/>
          </w:tcPr>
          <w:p>
            <w:pPr>
              <w:jc w:val="right"/>
              <w:spacing w:after="0"/>
              <w:rPr>
                <w:sz w:val="20"/>
                <w:szCs w:val="20"/>
                <w:color w:val="auto"/>
              </w:rPr>
            </w:pPr>
            <w:r>
              <w:rPr>
                <w:rFonts w:ascii="Arial" w:cs="Arial" w:eastAsia="Arial" w:hAnsi="Arial"/>
                <w:sz w:val="17"/>
                <w:szCs w:val="17"/>
                <w:color w:val="auto"/>
              </w:rPr>
              <w:t>6/25/2020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91,500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(451)</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529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78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(451)</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529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shd w:val="clear" w:color="auto" w:fill="CFF0FC"/>
          </w:tcPr>
          <w:p>
            <w:pPr>
              <w:spacing w:after="0"/>
              <w:rPr>
                <w:sz w:val="20"/>
                <w:szCs w:val="20"/>
                <w:color w:val="auto"/>
              </w:rPr>
            </w:pPr>
            <w:r>
              <w:rPr>
                <w:rFonts w:ascii="Arial" w:cs="Arial" w:eastAsia="Arial" w:hAnsi="Arial"/>
                <w:sz w:val="17"/>
                <w:szCs w:val="17"/>
                <w:color w:val="auto"/>
              </w:rPr>
              <w:t xml:space="preserve">Interest rate swap </w:t>
            </w:r>
            <w:r>
              <w:rPr>
                <w:rFonts w:ascii="Arial" w:cs="Arial" w:eastAsia="Arial" w:hAnsi="Arial"/>
                <w:sz w:val="14"/>
                <w:szCs w:val="14"/>
                <w:color w:val="auto"/>
              </w:rPr>
              <w:t>(1)</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7/30/2021</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11,700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(13)</w:t>
            </w: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(13)</w:t>
            </w: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7"/>
                <w:szCs w:val="17"/>
                <w:color w:val="auto"/>
              </w:rPr>
              <w:t xml:space="preserve">Interest rate swap </w:t>
            </w:r>
            <w:r>
              <w:rPr>
                <w:rFonts w:ascii="Arial" w:cs="Arial" w:eastAsia="Arial" w:hAnsi="Arial"/>
                <w:sz w:val="14"/>
                <w:szCs w:val="14"/>
                <w:color w:val="auto"/>
              </w:rPr>
              <w:t>(1)</w:t>
            </w:r>
          </w:p>
        </w:tc>
        <w:tc>
          <w:tcPr>
            <w:tcW w:w="920" w:type="dxa"/>
            <w:vAlign w:val="bottom"/>
          </w:tcPr>
          <w:p>
            <w:pPr>
              <w:jc w:val="right"/>
              <w:spacing w:after="0"/>
              <w:rPr>
                <w:sz w:val="20"/>
                <w:szCs w:val="20"/>
                <w:color w:val="auto"/>
              </w:rPr>
            </w:pPr>
            <w:r>
              <w:rPr>
                <w:rFonts w:ascii="Arial" w:cs="Arial" w:eastAsia="Arial" w:hAnsi="Arial"/>
                <w:sz w:val="17"/>
                <w:szCs w:val="17"/>
                <w:color w:val="auto"/>
              </w:rPr>
              <w:t>7/29/2020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3,200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(4)</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(4)</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shd w:val="clear" w:color="auto" w:fill="CFF0FC"/>
          </w:tcPr>
          <w:p>
            <w:pPr>
              <w:spacing w:after="0"/>
              <w:rPr>
                <w:sz w:val="20"/>
                <w:szCs w:val="20"/>
                <w:color w:val="auto"/>
              </w:rPr>
            </w:pPr>
            <w:r>
              <w:rPr>
                <w:rFonts w:ascii="Arial" w:cs="Arial" w:eastAsia="Arial" w:hAnsi="Arial"/>
                <w:sz w:val="17"/>
                <w:szCs w:val="17"/>
                <w:color w:val="auto"/>
              </w:rPr>
              <w:t>Interest rate swap</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8/1/2022</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115,000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(1,412)</w:t>
            </w: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1,294</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(118)</w:t>
            </w:r>
          </w:p>
        </w:tc>
        <w:tc>
          <w:tcPr>
            <w:tcW w:w="1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(4,312)</w:t>
            </w: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3,881</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(431)</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7"/>
                <w:szCs w:val="17"/>
                <w:color w:val="auto"/>
              </w:rPr>
              <w:t>Interest rate swap</w:t>
            </w:r>
          </w:p>
        </w:tc>
        <w:tc>
          <w:tcPr>
            <w:tcW w:w="920" w:type="dxa"/>
            <w:vAlign w:val="bottom"/>
          </w:tcPr>
          <w:p>
            <w:pPr>
              <w:jc w:val="right"/>
              <w:spacing w:after="0"/>
              <w:rPr>
                <w:sz w:val="20"/>
                <w:szCs w:val="20"/>
                <w:color w:val="auto"/>
              </w:rPr>
            </w:pPr>
            <w:r>
              <w:rPr>
                <w:rFonts w:ascii="Arial" w:cs="Arial" w:eastAsia="Arial" w:hAnsi="Arial"/>
                <w:sz w:val="17"/>
                <w:szCs w:val="17"/>
                <w:color w:val="auto"/>
              </w:rPr>
              <w:t>8/1/2022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50,000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(512)</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562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(1,580)</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1,688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shd w:val="clear" w:color="auto" w:fill="CFF0FC"/>
          </w:tcPr>
          <w:p>
            <w:pPr>
              <w:spacing w:after="0"/>
              <w:rPr>
                <w:sz w:val="20"/>
                <w:szCs w:val="20"/>
                <w:color w:val="auto"/>
              </w:rPr>
            </w:pPr>
            <w:r>
              <w:rPr>
                <w:rFonts w:ascii="Arial" w:cs="Arial" w:eastAsia="Arial" w:hAnsi="Arial"/>
                <w:sz w:val="17"/>
                <w:szCs w:val="17"/>
                <w:color w:val="auto"/>
              </w:rPr>
              <w:t>Interest rate swap</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8/1/2022</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7,500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(77)</w:t>
            </w: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84</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(237)</w:t>
            </w: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253</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7"/>
                <w:szCs w:val="17"/>
                <w:color w:val="auto"/>
              </w:rPr>
              <w:t>Interest rate swap</w:t>
            </w:r>
          </w:p>
        </w:tc>
        <w:tc>
          <w:tcPr>
            <w:tcW w:w="920" w:type="dxa"/>
            <w:vAlign w:val="bottom"/>
          </w:tcPr>
          <w:p>
            <w:pPr>
              <w:jc w:val="right"/>
              <w:spacing w:after="0"/>
              <w:rPr>
                <w:sz w:val="20"/>
                <w:szCs w:val="20"/>
                <w:color w:val="auto"/>
              </w:rPr>
            </w:pPr>
            <w:r>
              <w:rPr>
                <w:rFonts w:ascii="Arial" w:cs="Arial" w:eastAsia="Arial" w:hAnsi="Arial"/>
                <w:sz w:val="17"/>
                <w:szCs w:val="17"/>
                <w:color w:val="auto"/>
              </w:rPr>
              <w:t>1/22/2023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150,000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(1,694)</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1,688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(6)</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(5,195)</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5,063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(132)</w:t>
            </w:r>
          </w:p>
        </w:tc>
        <w:tc>
          <w:tcPr>
            <w:tcW w:w="0" w:type="dxa"/>
            <w:vAlign w:val="bottom"/>
          </w:tcPr>
          <w:p>
            <w:pPr>
              <w:spacing w:after="0"/>
              <w:rPr>
                <w:sz w:val="1"/>
                <w:szCs w:val="1"/>
                <w:color w:val="auto"/>
              </w:rPr>
            </w:pPr>
          </w:p>
        </w:tc>
      </w:tr>
      <w:tr>
        <w:trPr>
          <w:trHeight w:val="209"/>
        </w:trPr>
        <w:tc>
          <w:tcPr>
            <w:tcW w:w="21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7"/>
                <w:szCs w:val="17"/>
                <w:b w:val="1"/>
                <w:bCs w:val="1"/>
                <w:color w:val="auto"/>
              </w:rPr>
              <w:t>Total</w:t>
            </w:r>
          </w:p>
        </w:tc>
        <w:tc>
          <w:tcPr>
            <w:tcW w:w="9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668,733</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(6,393</w:t>
            </w:r>
          </w:p>
        </w:tc>
        <w:tc>
          <w:tcPr>
            <w:tcW w:w="220" w:type="dxa"/>
            <w:vAlign w:val="bottom"/>
            <w:tcBorders>
              <w:top w:val="single" w:sz="8" w:color="CFF0FC"/>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6,240</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(153)</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(19,881)</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18,916</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(965)</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00" w:right="180" w:hanging="492"/>
        <w:spacing w:after="0" w:line="273"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notional amount of certain interest rate swaps may be more or less than the Company’s investment in individual portfolio companies as a result of arrangements with other lenders in the syndicate, amortization, or interest income paid-in-kind.</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April 2020, this interest rate swap was terminated due to repayment of the underlying investment.</w:t>
      </w:r>
    </w:p>
    <w:p>
      <w:pPr>
        <w:spacing w:after="0" w:line="49" w:lineRule="exact"/>
        <w:rPr>
          <w:rFonts w:ascii="Arial" w:cs="Arial" w:eastAsia="Arial" w:hAnsi="Arial"/>
          <w:sz w:val="18"/>
          <w:szCs w:val="18"/>
          <w:color w:val="auto"/>
        </w:rPr>
      </w:pPr>
    </w:p>
    <w:p>
      <w:pPr>
        <w:ind w:left="500" w:hanging="492"/>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 of September 30, 2019, the notional amount of these interest rate swaps was zero.</w:t>
      </w:r>
    </w:p>
    <w:p>
      <w:pPr>
        <w:spacing w:after="0" w:line="225" w:lineRule="exact"/>
        <w:rPr>
          <w:sz w:val="20"/>
          <w:szCs w:val="20"/>
          <w:color w:val="auto"/>
        </w:rPr>
      </w:pPr>
    </w:p>
    <w:p>
      <w:pPr>
        <w:ind w:firstLine="255"/>
        <w:spacing w:after="0" w:line="291" w:lineRule="auto"/>
        <w:rPr>
          <w:sz w:val="20"/>
          <w:szCs w:val="20"/>
          <w:color w:val="auto"/>
        </w:rPr>
      </w:pPr>
      <w:r>
        <w:rPr>
          <w:rFonts w:ascii="Arial" w:cs="Arial" w:eastAsia="Arial" w:hAnsi="Arial"/>
          <w:sz w:val="16"/>
          <w:szCs w:val="16"/>
          <w:color w:val="auto"/>
        </w:rPr>
        <w:t>For the three and nine months ended September 30, 2020, the Company recognized $1.5 million in net change in unrealized losses and $8.2 million in net change in unrealized gains, respectively, on interest rate swaps not designated as hedging instruments in the consolidated statement of operations related to the swap transactions. For the three and nine months ended September 30, 2020, the Company recognized $1.2 million in net change in unrealized losses and $19.9 million in net change in unrealized gains, respectively, on interest rate swaps designated as hedging instruments as a component of interest expense in the consolidated statement of operations. This amount is offset by a decrease of $1.2 million and increase of $19.9 million, respectively, for a change in the carrying value of the 2024 Notes. For the three and nine months ended September 30, 2019, the Company recognized $1.5 million and $10.9 million, respectively, in net change in unrealized gains on interest rate swaps in the consolidated statement of operations related to the swap transactions.</w:t>
      </w:r>
    </w:p>
    <w:p>
      <w:pPr>
        <w:spacing w:after="0" w:line="166" w:lineRule="exact"/>
        <w:rPr>
          <w:sz w:val="20"/>
          <w:szCs w:val="20"/>
          <w:color w:val="auto"/>
        </w:rPr>
      </w:pPr>
    </w:p>
    <w:p>
      <w:pPr>
        <w:ind w:right="40" w:firstLine="255"/>
        <w:spacing w:after="0" w:line="263" w:lineRule="auto"/>
        <w:rPr>
          <w:sz w:val="20"/>
          <w:szCs w:val="20"/>
          <w:color w:val="auto"/>
        </w:rPr>
      </w:pPr>
      <w:r>
        <w:rPr>
          <w:rFonts w:ascii="Arial" w:cs="Arial" w:eastAsia="Arial" w:hAnsi="Arial"/>
          <w:sz w:val="18"/>
          <w:szCs w:val="18"/>
          <w:color w:val="auto"/>
        </w:rPr>
        <w:t>As of September 30, 2020, the swap transactions had a fair value of $31.3 million which is netted against cash collateral received on the Company’s consolidated balance sheet. As of December 31, 2019, the swap transactions had a fair value of $4.7 million which is netted against cash collateral received on the Company’s consolidated balance sheet.</w:t>
      </w:r>
    </w:p>
    <w:p>
      <w:pPr>
        <w:spacing w:after="0" w:line="184" w:lineRule="exact"/>
        <w:rPr>
          <w:sz w:val="20"/>
          <w:szCs w:val="20"/>
          <w:color w:val="auto"/>
        </w:rPr>
      </w:pPr>
    </w:p>
    <w:p>
      <w:pPr>
        <w:ind w:right="80" w:firstLine="255"/>
        <w:spacing w:after="0" w:line="327" w:lineRule="auto"/>
        <w:rPr>
          <w:sz w:val="20"/>
          <w:szCs w:val="20"/>
          <w:color w:val="auto"/>
        </w:rPr>
      </w:pPr>
      <w:r>
        <w:rPr>
          <w:rFonts w:ascii="Arial" w:cs="Arial" w:eastAsia="Arial" w:hAnsi="Arial"/>
          <w:sz w:val="15"/>
          <w:szCs w:val="15"/>
          <w:color w:val="auto"/>
        </w:rPr>
        <w:t>The Company is required under the terms of its derivatives agreements to pledge assets as collateral to secure its obligations under the derivatives. The amount of collateral required varies over time based on the mark-to-market value, notional amount and remaining term of the derivatives, and may exceed the amount owed by the Company on a mark-to-market basis. Any failure by the Company to fulfill any collateral requirement (e.g., a so-called “margin call”) may result in a default. In the event of a default by a counterparty, the Company would be an unsecured creditor to the extent of any such overcollateralization.</w:t>
      </w:r>
    </w:p>
    <w:p>
      <w:pPr>
        <w:spacing w:after="0" w:line="140" w:lineRule="exact"/>
        <w:rPr>
          <w:sz w:val="20"/>
          <w:szCs w:val="20"/>
          <w:color w:val="auto"/>
        </w:rPr>
      </w:pPr>
    </w:p>
    <w:p>
      <w:pPr>
        <w:ind w:right="120" w:firstLine="255"/>
        <w:spacing w:after="0" w:line="259" w:lineRule="auto"/>
        <w:rPr>
          <w:sz w:val="20"/>
          <w:szCs w:val="20"/>
          <w:color w:val="auto"/>
        </w:rPr>
      </w:pPr>
      <w:r>
        <w:rPr>
          <w:rFonts w:ascii="Arial" w:cs="Arial" w:eastAsia="Arial" w:hAnsi="Arial"/>
          <w:sz w:val="18"/>
          <w:szCs w:val="18"/>
          <w:color w:val="auto"/>
        </w:rPr>
        <w:t>As of September 30, 2020, $11.8 million of cash is pledged as collateral under the Company’s derivative instruments and is included in restricted cash as a component of cash and cash equivalents on the Company’s consolidated balance sheet. As of December 31, 2019, $9.3 million of cash is pledged as collateral under the Company’s derivative instruments and is included in restricted cash as a component of cash and cash equivalents on the Company’s consolidated balance sheet.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6. Fair Value of Financial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tables present fair value measurements of investments as of September 30, 2020 and December 31, 2019:</w:t>
      </w:r>
    </w:p>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5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20" w:type="dxa"/>
            <w:vAlign w:val="bottom"/>
            <w:gridSpan w:val="7"/>
          </w:tcPr>
          <w:p>
            <w:pPr>
              <w:jc w:val="center"/>
              <w:spacing w:after="0"/>
              <w:rPr>
                <w:sz w:val="20"/>
                <w:szCs w:val="20"/>
                <w:color w:val="auto"/>
              </w:rPr>
            </w:pPr>
            <w:r>
              <w:rPr>
                <w:rFonts w:ascii="Arial" w:cs="Arial" w:eastAsia="Arial" w:hAnsi="Arial"/>
                <w:sz w:val="14"/>
                <w:szCs w:val="14"/>
                <w:b w:val="1"/>
                <w:bCs w:val="1"/>
                <w:color w:val="auto"/>
                <w:w w:val="94"/>
              </w:rPr>
              <w:t>Fair Value Hierarchy at September 30, 2020</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6"/>
        </w:trPr>
        <w:tc>
          <w:tcPr>
            <w:tcW w:w="5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r>
      <w:tr>
        <w:trPr>
          <w:trHeight w:val="156"/>
        </w:trPr>
        <w:tc>
          <w:tcPr>
            <w:tcW w:w="5220" w:type="dxa"/>
            <w:vAlign w:val="bottom"/>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Level 2</w:t>
            </w:r>
          </w:p>
        </w:tc>
        <w:tc>
          <w:tcPr>
            <w:tcW w:w="2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tcPr>
          <w:p>
            <w:pPr>
              <w:ind w:left="100"/>
              <w:spacing w:after="0" w:line="155" w:lineRule="exact"/>
              <w:rPr>
                <w:sz w:val="20"/>
                <w:szCs w:val="20"/>
                <w:color w:val="auto"/>
              </w:rPr>
            </w:pPr>
            <w:r>
              <w:rPr>
                <w:rFonts w:ascii="Arial" w:cs="Arial" w:eastAsia="Arial" w:hAnsi="Arial"/>
                <w:sz w:val="14"/>
                <w:szCs w:val="14"/>
                <w:b w:val="1"/>
                <w:bCs w:val="1"/>
                <w:color w:val="auto"/>
              </w:rPr>
              <w:t>Level 3</w:t>
            </w: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5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780" w:type="dxa"/>
            <w:vAlign w:val="bottom"/>
            <w:tcBorders>
              <w:top w:val="single" w:sz="8" w:color="auto"/>
            </w:tcBorders>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49,697</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1,945,533</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1,995,230</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22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7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9,201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9,201</w:t>
            </w:r>
          </w:p>
        </w:tc>
        <w:tc>
          <w:tcPr>
            <w:tcW w:w="100" w:type="dxa"/>
            <w:vAlign w:val="bottom"/>
          </w:tcPr>
          <w:p>
            <w:pPr>
              <w:spacing w:after="0"/>
              <w:rPr>
                <w:sz w:val="19"/>
                <w:szCs w:val="19"/>
                <w:color w:val="auto"/>
              </w:rPr>
            </w:pPr>
          </w:p>
        </w:tc>
      </w:tr>
      <w:tr>
        <w:trPr>
          <w:trHeight w:val="229"/>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Mezzanine debt investments</w:t>
            </w: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9,417</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9,417</w:t>
            </w:r>
          </w:p>
        </w:tc>
        <w:tc>
          <w:tcPr>
            <w:tcW w:w="100" w:type="dxa"/>
            <w:vAlign w:val="bottom"/>
            <w:shd w:val="clear" w:color="auto" w:fill="CFF0FC"/>
          </w:tcPr>
          <w:p>
            <w:pPr>
              <w:spacing w:after="0"/>
              <w:rPr>
                <w:sz w:val="19"/>
                <w:szCs w:val="19"/>
                <w:color w:val="auto"/>
              </w:rPr>
            </w:pPr>
          </w:p>
        </w:tc>
      </w:tr>
      <w:tr>
        <w:trPr>
          <w:trHeight w:val="230"/>
        </w:trPr>
        <w:tc>
          <w:tcPr>
            <w:tcW w:w="5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Equity and other investments</w:t>
            </w:r>
          </w:p>
        </w:tc>
        <w:tc>
          <w:tcPr>
            <w:tcW w:w="7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9,628</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77,286</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86,917</w:t>
            </w:r>
          </w:p>
        </w:tc>
        <w:tc>
          <w:tcPr>
            <w:tcW w:w="100" w:type="dxa"/>
            <w:vAlign w:val="bottom"/>
            <w:tcBorders>
              <w:bottom w:val="single" w:sz="8" w:color="CFF0FC"/>
            </w:tcBorders>
          </w:tcPr>
          <w:p>
            <w:pPr>
              <w:spacing w:after="0"/>
              <w:rPr>
                <w:sz w:val="19"/>
                <w:szCs w:val="19"/>
                <w:color w:val="auto"/>
              </w:rPr>
            </w:pPr>
          </w:p>
        </w:tc>
      </w:tr>
      <w:tr>
        <w:trPr>
          <w:trHeight w:val="223"/>
        </w:trPr>
        <w:tc>
          <w:tcPr>
            <w:tcW w:w="5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investments at fair value</w:t>
            </w:r>
          </w:p>
        </w:tc>
        <w:tc>
          <w:tcPr>
            <w:tcW w:w="780" w:type="dxa"/>
            <w:vAlign w:val="bottom"/>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59,325</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2,041,437</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2,100,765</w:t>
            </w:r>
          </w:p>
        </w:tc>
        <w:tc>
          <w:tcPr>
            <w:tcW w:w="100" w:type="dxa"/>
            <w:vAlign w:val="bottom"/>
            <w:shd w:val="clear" w:color="auto" w:fill="CFF0FC"/>
          </w:tcPr>
          <w:p>
            <w:pPr>
              <w:spacing w:after="0"/>
              <w:rPr>
                <w:sz w:val="19"/>
                <w:szCs w:val="19"/>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Interest rate swaps</w:t>
            </w:r>
          </w:p>
        </w:tc>
        <w:tc>
          <w:tcPr>
            <w:tcW w:w="7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31,330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31,330</w:t>
            </w:r>
          </w:p>
        </w:tc>
        <w:tc>
          <w:tcPr>
            <w:tcW w:w="100" w:type="dxa"/>
            <w:vAlign w:val="bottom"/>
          </w:tcPr>
          <w:p>
            <w:pPr>
              <w:spacing w:after="0"/>
              <w:rPr>
                <w:sz w:val="19"/>
                <w:szCs w:val="19"/>
                <w:color w:val="auto"/>
              </w:rPr>
            </w:pPr>
          </w:p>
        </w:tc>
      </w:tr>
      <w:tr>
        <w:trPr>
          <w:trHeight w:val="223"/>
        </w:trPr>
        <w:tc>
          <w:tcPr>
            <w:tcW w:w="52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780" w:type="dxa"/>
            <w:vAlign w:val="bottom"/>
            <w:tcBorders>
              <w:top w:val="single" w:sz="8" w:color="auto"/>
              <w:bottom w:val="single" w:sz="8" w:color="auto"/>
            </w:tcBorders>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90,655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2,041,437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2,132,095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0"/>
        </w:trPr>
        <w:tc>
          <w:tcPr>
            <w:tcW w:w="5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20" w:type="dxa"/>
            <w:vAlign w:val="bottom"/>
            <w:gridSpan w:val="7"/>
          </w:tcPr>
          <w:p>
            <w:pPr>
              <w:jc w:val="center"/>
              <w:spacing w:after="0"/>
              <w:rPr>
                <w:sz w:val="20"/>
                <w:szCs w:val="20"/>
                <w:color w:val="auto"/>
              </w:rPr>
            </w:pPr>
            <w:r>
              <w:rPr>
                <w:rFonts w:ascii="Arial" w:cs="Arial" w:eastAsia="Arial" w:hAnsi="Arial"/>
                <w:sz w:val="14"/>
                <w:szCs w:val="14"/>
                <w:b w:val="1"/>
                <w:bCs w:val="1"/>
                <w:color w:val="auto"/>
                <w:w w:val="94"/>
              </w:rPr>
              <w:t>Fair Value Hierarchy at December 31, 2019</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
        </w:trPr>
        <w:tc>
          <w:tcPr>
            <w:tcW w:w="5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r>
      <w:tr>
        <w:trPr>
          <w:trHeight w:val="156"/>
        </w:trPr>
        <w:tc>
          <w:tcPr>
            <w:tcW w:w="5220" w:type="dxa"/>
            <w:vAlign w:val="bottom"/>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Level 2</w:t>
            </w:r>
          </w:p>
        </w:tc>
        <w:tc>
          <w:tcPr>
            <w:tcW w:w="2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tcPr>
          <w:p>
            <w:pPr>
              <w:ind w:left="100"/>
              <w:spacing w:after="0" w:line="155" w:lineRule="exact"/>
              <w:rPr>
                <w:sz w:val="20"/>
                <w:szCs w:val="20"/>
                <w:color w:val="auto"/>
              </w:rPr>
            </w:pPr>
            <w:r>
              <w:rPr>
                <w:rFonts w:ascii="Arial" w:cs="Arial" w:eastAsia="Arial" w:hAnsi="Arial"/>
                <w:sz w:val="14"/>
                <w:szCs w:val="14"/>
                <w:b w:val="1"/>
                <w:bCs w:val="1"/>
                <w:color w:val="auto"/>
              </w:rPr>
              <w:t>Level 3</w:t>
            </w: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5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780" w:type="dxa"/>
            <w:vAlign w:val="bottom"/>
            <w:tcBorders>
              <w:top w:val="single" w:sz="8" w:color="auto"/>
            </w:tcBorders>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17,191</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2,158,927</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2,176,118</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7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4,147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4,147</w:t>
            </w:r>
          </w:p>
        </w:tc>
        <w:tc>
          <w:tcPr>
            <w:tcW w:w="100" w:type="dxa"/>
            <w:vAlign w:val="bottom"/>
          </w:tcPr>
          <w:p>
            <w:pPr>
              <w:spacing w:after="0"/>
              <w:rPr>
                <w:sz w:val="19"/>
                <w:szCs w:val="19"/>
                <w:color w:val="auto"/>
              </w:rPr>
            </w:pPr>
          </w:p>
        </w:tc>
      </w:tr>
      <w:tr>
        <w:trPr>
          <w:trHeight w:val="229"/>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Mezzanine debt investments</w:t>
            </w: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2,550</w:t>
            </w:r>
          </w:p>
        </w:tc>
        <w:tc>
          <w:tcPr>
            <w:tcW w:w="100" w:type="dxa"/>
            <w:vAlign w:val="bottom"/>
            <w:shd w:val="clear" w:color="auto" w:fill="CFF0FC"/>
          </w:tcPr>
          <w:p>
            <w:pPr>
              <w:spacing w:after="0"/>
              <w:rPr>
                <w:sz w:val="19"/>
                <w:szCs w:val="19"/>
                <w:color w:val="auto"/>
              </w:rPr>
            </w:pPr>
          </w:p>
        </w:tc>
      </w:tr>
      <w:tr>
        <w:trPr>
          <w:trHeight w:val="230"/>
        </w:trPr>
        <w:tc>
          <w:tcPr>
            <w:tcW w:w="5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Equity and other investments</w:t>
            </w:r>
          </w:p>
        </w:tc>
        <w:tc>
          <w:tcPr>
            <w:tcW w:w="7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63,107</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63,113</w:t>
            </w:r>
          </w:p>
        </w:tc>
        <w:tc>
          <w:tcPr>
            <w:tcW w:w="100" w:type="dxa"/>
            <w:vAlign w:val="bottom"/>
            <w:tcBorders>
              <w:bottom w:val="single" w:sz="8" w:color="CFF0FC"/>
            </w:tcBorders>
          </w:tcPr>
          <w:p>
            <w:pPr>
              <w:spacing w:after="0"/>
              <w:rPr>
                <w:sz w:val="19"/>
                <w:szCs w:val="19"/>
                <w:color w:val="auto"/>
              </w:rPr>
            </w:pPr>
          </w:p>
        </w:tc>
      </w:tr>
      <w:tr>
        <w:trPr>
          <w:trHeight w:val="223"/>
        </w:trPr>
        <w:tc>
          <w:tcPr>
            <w:tcW w:w="5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investments at fair value</w:t>
            </w:r>
          </w:p>
        </w:tc>
        <w:tc>
          <w:tcPr>
            <w:tcW w:w="780" w:type="dxa"/>
            <w:vAlign w:val="bottom"/>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17,191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2,228,731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2,245,928</w:t>
            </w:r>
          </w:p>
        </w:tc>
        <w:tc>
          <w:tcPr>
            <w:tcW w:w="100" w:type="dxa"/>
            <w:vAlign w:val="bottom"/>
            <w:shd w:val="clear" w:color="auto" w:fill="CFF0FC"/>
          </w:tcPr>
          <w:p>
            <w:pPr>
              <w:spacing w:after="0"/>
              <w:rPr>
                <w:sz w:val="19"/>
                <w:szCs w:val="19"/>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Interest rate swaps</w:t>
            </w:r>
          </w:p>
        </w:tc>
        <w:tc>
          <w:tcPr>
            <w:tcW w:w="7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4,744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4,744</w:t>
            </w:r>
          </w:p>
        </w:tc>
        <w:tc>
          <w:tcPr>
            <w:tcW w:w="100" w:type="dxa"/>
            <w:vAlign w:val="bottom"/>
          </w:tcPr>
          <w:p>
            <w:pPr>
              <w:spacing w:after="0"/>
              <w:rPr>
                <w:sz w:val="19"/>
                <w:szCs w:val="19"/>
                <w:color w:val="auto"/>
              </w:rPr>
            </w:pPr>
          </w:p>
        </w:tc>
      </w:tr>
      <w:tr>
        <w:trPr>
          <w:trHeight w:val="223"/>
        </w:trPr>
        <w:tc>
          <w:tcPr>
            <w:tcW w:w="52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780" w:type="dxa"/>
            <w:vAlign w:val="bottom"/>
            <w:tcBorders>
              <w:top w:val="single" w:sz="8" w:color="auto"/>
              <w:bottom w:val="single" w:sz="8" w:color="auto"/>
            </w:tcBorders>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21,935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2,228,731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2,250,672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Transfers between levels, if any, are recognized at the beginning of the quarter in which the transfers occur.</w:t>
      </w:r>
    </w:p>
    <w:p>
      <w:pPr>
        <w:spacing w:after="0" w:line="225" w:lineRule="exact"/>
        <w:rPr>
          <w:sz w:val="20"/>
          <w:szCs w:val="20"/>
          <w:color w:val="auto"/>
        </w:rPr>
      </w:pPr>
    </w:p>
    <w:p>
      <w:pPr>
        <w:ind w:right="40" w:firstLine="255"/>
        <w:spacing w:after="0" w:line="277" w:lineRule="auto"/>
        <w:rPr>
          <w:sz w:val="20"/>
          <w:szCs w:val="20"/>
          <w:color w:val="auto"/>
        </w:rPr>
      </w:pPr>
      <w:r>
        <w:rPr>
          <w:rFonts w:ascii="Arial" w:cs="Arial" w:eastAsia="Arial" w:hAnsi="Arial"/>
          <w:sz w:val="18"/>
          <w:szCs w:val="18"/>
          <w:color w:val="auto"/>
        </w:rPr>
        <w:t>The following tables present the changes in the fair value of investments for which Level 3 inputs were used to determine the fair value as of and for the three and nine months ended September 30, 2020:</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20" w:type="dxa"/>
            <w:vAlign w:val="bottom"/>
            <w:gridSpan w:val="9"/>
          </w:tcPr>
          <w:p>
            <w:pPr>
              <w:jc w:val="center"/>
              <w:ind w:right="260"/>
              <w:spacing w:after="0"/>
              <w:rPr>
                <w:sz w:val="20"/>
                <w:szCs w:val="20"/>
                <w:color w:val="auto"/>
              </w:rPr>
            </w:pPr>
            <w:r>
              <w:rPr>
                <w:rFonts w:ascii="Arial" w:cs="Arial" w:eastAsia="Arial" w:hAnsi="Arial"/>
                <w:sz w:val="14"/>
                <w:szCs w:val="14"/>
                <w:b w:val="1"/>
                <w:bCs w:val="1"/>
                <w:color w:val="auto"/>
                <w:w w:val="93"/>
              </w:rPr>
              <w:t>As of and for the Three Months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 2020</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8"/>
              </w:rPr>
              <w:t>First-lien</w:t>
            </w:r>
          </w:p>
        </w:tc>
        <w:tc>
          <w:tcPr>
            <w:tcW w:w="120" w:type="dxa"/>
            <w:vAlign w:val="bottom"/>
          </w:tcPr>
          <w:p>
            <w:pPr>
              <w:spacing w:after="0"/>
              <w:rPr>
                <w:sz w:val="11"/>
                <w:szCs w:val="11"/>
                <w:color w:val="auto"/>
              </w:rPr>
            </w:pPr>
          </w:p>
        </w:tc>
        <w:tc>
          <w:tcPr>
            <w:tcW w:w="880" w:type="dxa"/>
            <w:vAlign w:val="bottom"/>
          </w:tcPr>
          <w:p>
            <w:pPr>
              <w:jc w:val="center"/>
              <w:ind w:right="35"/>
              <w:spacing w:after="0" w:line="133" w:lineRule="exact"/>
              <w:rPr>
                <w:sz w:val="20"/>
                <w:szCs w:val="20"/>
                <w:color w:val="auto"/>
              </w:rPr>
            </w:pPr>
            <w:r>
              <w:rPr>
                <w:rFonts w:ascii="Arial" w:cs="Arial" w:eastAsia="Arial" w:hAnsi="Arial"/>
                <w:sz w:val="14"/>
                <w:szCs w:val="14"/>
                <w:b w:val="1"/>
                <w:bCs w:val="1"/>
                <w:color w:val="auto"/>
                <w:w w:val="90"/>
              </w:rPr>
              <w:t>Second-lien</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4"/>
              </w:rPr>
              <w:t>Mezzanine</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8"/>
              </w:rPr>
              <w:t>Equity</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debt</w:t>
            </w:r>
          </w:p>
        </w:tc>
        <w:tc>
          <w:tcPr>
            <w:tcW w:w="120" w:type="dxa"/>
            <w:vAlign w:val="bottom"/>
          </w:tcPr>
          <w:p>
            <w:pPr>
              <w:spacing w:after="0"/>
              <w:rPr>
                <w:sz w:val="12"/>
                <w:szCs w:val="12"/>
                <w:color w:val="auto"/>
              </w:rPr>
            </w:pPr>
          </w:p>
        </w:tc>
        <w:tc>
          <w:tcPr>
            <w:tcW w:w="88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4"/>
              </w:rPr>
              <w:t>debt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debt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and other</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investments</w:t>
            </w:r>
          </w:p>
        </w:tc>
        <w:tc>
          <w:tcPr>
            <w:tcW w:w="120" w:type="dxa"/>
            <w:vAlign w:val="bottom"/>
          </w:tcPr>
          <w:p>
            <w:pPr>
              <w:spacing w:after="0"/>
              <w:rPr>
                <w:sz w:val="14"/>
                <w:szCs w:val="14"/>
                <w:color w:val="auto"/>
              </w:rPr>
            </w:pPr>
          </w:p>
        </w:tc>
        <w:tc>
          <w:tcPr>
            <w:tcW w:w="880" w:type="dxa"/>
            <w:vAlign w:val="bottom"/>
          </w:tcPr>
          <w:p>
            <w:pPr>
              <w:jc w:val="center"/>
              <w:ind w:right="35"/>
              <w:spacing w:after="0"/>
              <w:rPr>
                <w:sz w:val="20"/>
                <w:szCs w:val="20"/>
                <w:color w:val="auto"/>
              </w:rPr>
            </w:pPr>
            <w:r>
              <w:rPr>
                <w:rFonts w:ascii="Arial" w:cs="Arial" w:eastAsia="Arial" w:hAnsi="Arial"/>
                <w:sz w:val="14"/>
                <w:szCs w:val="14"/>
                <w:b w:val="1"/>
                <w:bCs w:val="1"/>
                <w:color w:val="auto"/>
                <w:w w:val="88"/>
              </w:rPr>
              <w:t>investments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investments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investments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1,870,445</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8,939</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7,485</w:t>
            </w:r>
          </w:p>
        </w:tc>
        <w:tc>
          <w:tcPr>
            <w:tcW w:w="1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66,003</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1,952,872</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Purchases or originations</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289,113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8,431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297,588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Repayments / redemptions</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(240,448)</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(16,260)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(256,708)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Paid-in-kind interest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1,978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2,207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Net change in unrealized gains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19,768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1,787</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7,290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28,903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Net realized gains (losses)</w:t>
            </w: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(1,798)</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11,819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Net amortization of discount on securities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6,478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6,554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Transfers within Level 3</w:t>
            </w: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Transfers into (out of) Level 3</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Pr>
          <w:p>
            <w:pPr>
              <w:ind w:left="260"/>
              <w:spacing w:after="0"/>
              <w:rPr>
                <w:sz w:val="20"/>
                <w:szCs w:val="20"/>
                <w:color w:val="auto"/>
              </w:rPr>
            </w:pPr>
            <w:r>
              <w:rPr>
                <w:rFonts w:ascii="Arial" w:cs="Arial" w:eastAsia="Arial" w:hAnsi="Arial"/>
                <w:sz w:val="18"/>
                <w:szCs w:val="18"/>
                <w:b w:val="1"/>
                <w:bCs w:val="1"/>
                <w:color w:val="auto"/>
              </w:rPr>
              <w:t>Balance,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1,945,533</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9,201</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9,417</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77,286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2,041,437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374"/>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661" w:right="31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62"/>
        </w:trPr>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0" w:type="dxa"/>
            <w:vAlign w:val="bottom"/>
            <w:gridSpan w:val="9"/>
          </w:tcPr>
          <w:p>
            <w:pPr>
              <w:jc w:val="center"/>
              <w:ind w:right="340"/>
              <w:spacing w:after="0"/>
              <w:rPr>
                <w:sz w:val="20"/>
                <w:szCs w:val="20"/>
                <w:color w:val="auto"/>
              </w:rPr>
            </w:pPr>
            <w:r>
              <w:rPr>
                <w:rFonts w:ascii="Arial" w:cs="Arial" w:eastAsia="Arial" w:hAnsi="Arial"/>
                <w:sz w:val="14"/>
                <w:szCs w:val="14"/>
                <w:b w:val="1"/>
                <w:bCs w:val="1"/>
                <w:color w:val="auto"/>
                <w:w w:val="93"/>
              </w:rPr>
              <w:t>As of and for the Nine Months Ended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 2020</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8"/>
              </w:rPr>
              <w:t>First-lien</w:t>
            </w:r>
          </w:p>
        </w:tc>
        <w:tc>
          <w:tcPr>
            <w:tcW w:w="120" w:type="dxa"/>
            <w:vAlign w:val="bottom"/>
          </w:tcPr>
          <w:p>
            <w:pPr>
              <w:spacing w:after="0"/>
              <w:rPr>
                <w:sz w:val="11"/>
                <w:szCs w:val="11"/>
                <w:color w:val="auto"/>
              </w:rPr>
            </w:pPr>
          </w:p>
        </w:tc>
        <w:tc>
          <w:tcPr>
            <w:tcW w:w="880" w:type="dxa"/>
            <w:vAlign w:val="bottom"/>
          </w:tcPr>
          <w:p>
            <w:pPr>
              <w:jc w:val="center"/>
              <w:ind w:right="35"/>
              <w:spacing w:after="0" w:line="133" w:lineRule="exact"/>
              <w:rPr>
                <w:sz w:val="20"/>
                <w:szCs w:val="20"/>
                <w:color w:val="auto"/>
              </w:rPr>
            </w:pPr>
            <w:r>
              <w:rPr>
                <w:rFonts w:ascii="Arial" w:cs="Arial" w:eastAsia="Arial" w:hAnsi="Arial"/>
                <w:sz w:val="14"/>
                <w:szCs w:val="14"/>
                <w:b w:val="1"/>
                <w:bCs w:val="1"/>
                <w:color w:val="auto"/>
                <w:w w:val="90"/>
              </w:rPr>
              <w:t>Second-lien</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4"/>
              </w:rPr>
              <w:t>Mezzanine</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98"/>
              </w:rPr>
              <w:t>Equity</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debt</w:t>
            </w:r>
          </w:p>
        </w:tc>
        <w:tc>
          <w:tcPr>
            <w:tcW w:w="120" w:type="dxa"/>
            <w:vAlign w:val="bottom"/>
          </w:tcPr>
          <w:p>
            <w:pPr>
              <w:spacing w:after="0"/>
              <w:rPr>
                <w:sz w:val="12"/>
                <w:szCs w:val="12"/>
                <w:color w:val="auto"/>
              </w:rPr>
            </w:pPr>
          </w:p>
        </w:tc>
        <w:tc>
          <w:tcPr>
            <w:tcW w:w="88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4"/>
              </w:rPr>
              <w:t>debt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debt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and other</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investments</w:t>
            </w:r>
          </w:p>
        </w:tc>
        <w:tc>
          <w:tcPr>
            <w:tcW w:w="120" w:type="dxa"/>
            <w:vAlign w:val="bottom"/>
          </w:tcPr>
          <w:p>
            <w:pPr>
              <w:spacing w:after="0"/>
              <w:rPr>
                <w:sz w:val="14"/>
                <w:szCs w:val="14"/>
                <w:color w:val="auto"/>
              </w:rPr>
            </w:pPr>
          </w:p>
        </w:tc>
        <w:tc>
          <w:tcPr>
            <w:tcW w:w="880" w:type="dxa"/>
            <w:vAlign w:val="bottom"/>
          </w:tcPr>
          <w:p>
            <w:pPr>
              <w:jc w:val="center"/>
              <w:ind w:right="35"/>
              <w:spacing w:after="0"/>
              <w:rPr>
                <w:sz w:val="20"/>
                <w:szCs w:val="20"/>
                <w:color w:val="auto"/>
              </w:rPr>
            </w:pPr>
            <w:r>
              <w:rPr>
                <w:rFonts w:ascii="Arial" w:cs="Arial" w:eastAsia="Arial" w:hAnsi="Arial"/>
                <w:sz w:val="14"/>
                <w:szCs w:val="14"/>
                <w:b w:val="1"/>
                <w:bCs w:val="1"/>
                <w:color w:val="auto"/>
                <w:w w:val="88"/>
              </w:rPr>
              <w:t>investments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investments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investments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2,158,927</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4,147</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2,550</w:t>
            </w:r>
          </w:p>
        </w:tc>
        <w:tc>
          <w:tcPr>
            <w:tcW w:w="1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63,107</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2,228,731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spacing w:after="0"/>
              <w:rPr>
                <w:sz w:val="20"/>
                <w:szCs w:val="20"/>
                <w:color w:val="auto"/>
              </w:rPr>
            </w:pPr>
            <w:r>
              <w:rPr>
                <w:rFonts w:ascii="Arial" w:cs="Arial" w:eastAsia="Arial" w:hAnsi="Arial"/>
                <w:sz w:val="18"/>
                <w:szCs w:val="18"/>
                <w:color w:val="auto"/>
              </w:rPr>
              <w:t>Purchases or originations</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467,859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4,809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3,847</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10,614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487,129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Repayments / redemptions</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(683,500)</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(16,260)</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(699,760)</w:t>
            </w:r>
          </w:p>
        </w:tc>
        <w:tc>
          <w:tcPr>
            <w:tcW w:w="0" w:type="dxa"/>
            <w:vAlign w:val="bottom"/>
          </w:tcPr>
          <w:p>
            <w:pPr>
              <w:spacing w:after="0"/>
              <w:rPr>
                <w:sz w:val="1"/>
                <w:szCs w:val="1"/>
                <w:color w:val="auto"/>
              </w:rPr>
            </w:pPr>
          </w:p>
        </w:tc>
      </w:tr>
      <w:tr>
        <w:trPr>
          <w:trHeight w:val="229"/>
        </w:trPr>
        <w:tc>
          <w:tcPr>
            <w:tcW w:w="5180" w:type="dxa"/>
            <w:vAlign w:val="bottom"/>
          </w:tcPr>
          <w:p>
            <w:pPr>
              <w:spacing w:after="0"/>
              <w:rPr>
                <w:sz w:val="20"/>
                <w:szCs w:val="20"/>
                <w:color w:val="auto"/>
              </w:rPr>
            </w:pPr>
            <w:r>
              <w:rPr>
                <w:rFonts w:ascii="Arial" w:cs="Arial" w:eastAsia="Arial" w:hAnsi="Arial"/>
                <w:sz w:val="18"/>
                <w:szCs w:val="18"/>
                <w:color w:val="auto"/>
              </w:rPr>
              <w:t>Paid-in-kind interest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5,728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176</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Net change in unrealized gains (losses)</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(17,008)</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2,716</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7,977</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(6,288)</w:t>
            </w: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Net realized gains (losses)</w:t>
            </w: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(5,230)</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11,819</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Net amortization of discount on securities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18,786</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spacing w:after="0"/>
              <w:rPr>
                <w:sz w:val="20"/>
                <w:szCs w:val="20"/>
                <w:color w:val="auto"/>
              </w:rPr>
            </w:pPr>
            <w:r>
              <w:rPr>
                <w:rFonts w:ascii="Arial" w:cs="Arial" w:eastAsia="Arial" w:hAnsi="Arial"/>
                <w:sz w:val="18"/>
                <w:szCs w:val="18"/>
                <w:color w:val="auto"/>
              </w:rPr>
              <w:t>Transfers within Level 3</w:t>
            </w: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Transfers into (out of) Level 3</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80" w:type="dxa"/>
            <w:vAlign w:val="bottom"/>
          </w:tcPr>
          <w:p>
            <w:pPr>
              <w:ind w:left="260"/>
              <w:spacing w:after="0"/>
              <w:rPr>
                <w:sz w:val="20"/>
                <w:szCs w:val="20"/>
                <w:color w:val="auto"/>
              </w:rPr>
            </w:pPr>
            <w:r>
              <w:rPr>
                <w:rFonts w:ascii="Arial" w:cs="Arial" w:eastAsia="Arial" w:hAnsi="Arial"/>
                <w:sz w:val="18"/>
                <w:szCs w:val="18"/>
                <w:b w:val="1"/>
                <w:bCs w:val="1"/>
                <w:color w:val="auto"/>
              </w:rPr>
              <w:t>Balance,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1,945,533</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9,201</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9,417</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77,286</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2,041,437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40" w:firstLine="255"/>
        <w:spacing w:after="0" w:line="277" w:lineRule="auto"/>
        <w:rPr>
          <w:sz w:val="20"/>
          <w:szCs w:val="20"/>
          <w:color w:val="auto"/>
        </w:rPr>
      </w:pPr>
      <w:r>
        <w:rPr>
          <w:rFonts w:ascii="Arial" w:cs="Arial" w:eastAsia="Arial" w:hAnsi="Arial"/>
          <w:sz w:val="18"/>
          <w:szCs w:val="18"/>
          <w:color w:val="auto"/>
        </w:rPr>
        <w:t>The following tables present the changes in the fair value of investments for which Level 3 inputs were used to determine the fair value as of and for the three and nine months ended September 30, 2019:</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20" w:type="dxa"/>
            <w:vAlign w:val="bottom"/>
            <w:gridSpan w:val="10"/>
          </w:tcPr>
          <w:p>
            <w:pPr>
              <w:jc w:val="center"/>
              <w:ind w:right="260"/>
              <w:spacing w:after="0"/>
              <w:rPr>
                <w:sz w:val="20"/>
                <w:szCs w:val="20"/>
                <w:color w:val="auto"/>
              </w:rPr>
            </w:pPr>
            <w:r>
              <w:rPr>
                <w:rFonts w:ascii="Arial" w:cs="Arial" w:eastAsia="Arial" w:hAnsi="Arial"/>
                <w:sz w:val="14"/>
                <w:szCs w:val="14"/>
                <w:b w:val="1"/>
                <w:bCs w:val="1"/>
                <w:color w:val="auto"/>
                <w:w w:val="93"/>
              </w:rPr>
              <w:t>As of and for the Three Months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1"/>
              </w:rPr>
              <w:t>September 30, 2019</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8"/>
              </w:rPr>
              <w:t>First-lien</w:t>
            </w:r>
          </w:p>
        </w:tc>
        <w:tc>
          <w:tcPr>
            <w:tcW w:w="120" w:type="dxa"/>
            <w:vAlign w:val="bottom"/>
          </w:tcPr>
          <w:p>
            <w:pPr>
              <w:spacing w:after="0"/>
              <w:rPr>
                <w:sz w:val="11"/>
                <w:szCs w:val="11"/>
                <w:color w:val="auto"/>
              </w:rPr>
            </w:pPr>
          </w:p>
        </w:tc>
        <w:tc>
          <w:tcPr>
            <w:tcW w:w="98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0"/>
              </w:rPr>
              <w:t>Second-lien</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4"/>
              </w:rPr>
              <w:t>Mezzanine</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8"/>
              </w:rPr>
              <w:t>Equity</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debt</w:t>
            </w:r>
          </w:p>
        </w:tc>
        <w:tc>
          <w:tcPr>
            <w:tcW w:w="1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debt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debt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and other</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investments</w:t>
            </w:r>
          </w:p>
        </w:tc>
        <w:tc>
          <w:tcPr>
            <w:tcW w:w="12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investments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investments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investments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2,001,181</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3,333</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2,544</w:t>
            </w:r>
          </w:p>
        </w:tc>
        <w:tc>
          <w:tcPr>
            <w:tcW w:w="1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46,096</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2,053,154</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spacing w:after="0"/>
              <w:rPr>
                <w:sz w:val="20"/>
                <w:szCs w:val="20"/>
                <w:color w:val="auto"/>
              </w:rPr>
            </w:pPr>
            <w:r>
              <w:rPr>
                <w:rFonts w:ascii="Arial" w:cs="Arial" w:eastAsia="Arial" w:hAnsi="Arial"/>
                <w:sz w:val="18"/>
                <w:szCs w:val="18"/>
                <w:color w:val="auto"/>
              </w:rPr>
              <w:t>Purchases or originations</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298,065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1,494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300,365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Repayments / redemptions</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(313,603)</w:t>
            </w: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(8,603)</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(322,206)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Paid-in-kind interest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2,217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2,217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Net change in unrealized gains (losses)</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(14,270)</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(25)</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(1,941)</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(16,228)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Net realized gains (losses)</w:t>
            </w: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4,757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4,749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Net amortization of discount on securities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5,607</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Transfers within Level 3</w:t>
            </w:r>
          </w:p>
        </w:tc>
        <w:tc>
          <w:tcPr>
            <w:tcW w:w="10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Transfers into (out of) Level 3</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Pr>
          <w:p>
            <w:pPr>
              <w:ind w:left="260"/>
              <w:spacing w:after="0"/>
              <w:rPr>
                <w:sz w:val="20"/>
                <w:szCs w:val="20"/>
                <w:color w:val="auto"/>
              </w:rPr>
            </w:pPr>
            <w:r>
              <w:rPr>
                <w:rFonts w:ascii="Arial" w:cs="Arial" w:eastAsia="Arial" w:hAnsi="Arial"/>
                <w:sz w:val="18"/>
                <w:szCs w:val="18"/>
                <w:b w:val="1"/>
                <w:bCs w:val="1"/>
                <w:color w:val="auto"/>
              </w:rPr>
              <w:t>Balance,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1,979,189</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2,519</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41,803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2,027,658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5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20" w:type="dxa"/>
            <w:vAlign w:val="bottom"/>
            <w:gridSpan w:val="10"/>
          </w:tcPr>
          <w:p>
            <w:pPr>
              <w:jc w:val="center"/>
              <w:ind w:right="260"/>
              <w:spacing w:after="0"/>
              <w:rPr>
                <w:sz w:val="20"/>
                <w:szCs w:val="20"/>
                <w:color w:val="auto"/>
              </w:rPr>
            </w:pPr>
            <w:r>
              <w:rPr>
                <w:rFonts w:ascii="Arial" w:cs="Arial" w:eastAsia="Arial" w:hAnsi="Arial"/>
                <w:sz w:val="14"/>
                <w:szCs w:val="14"/>
                <w:b w:val="1"/>
                <w:bCs w:val="1"/>
                <w:color w:val="auto"/>
                <w:w w:val="93"/>
              </w:rPr>
              <w:t>As of and for the Nine Months Ended</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1"/>
              </w:rPr>
              <w:t>September 30, 2019</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8"/>
              </w:rPr>
              <w:t>First-lien</w:t>
            </w:r>
          </w:p>
        </w:tc>
        <w:tc>
          <w:tcPr>
            <w:tcW w:w="120" w:type="dxa"/>
            <w:vAlign w:val="bottom"/>
          </w:tcPr>
          <w:p>
            <w:pPr>
              <w:spacing w:after="0"/>
              <w:rPr>
                <w:sz w:val="11"/>
                <w:szCs w:val="11"/>
                <w:color w:val="auto"/>
              </w:rPr>
            </w:pPr>
          </w:p>
        </w:tc>
        <w:tc>
          <w:tcPr>
            <w:tcW w:w="98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0"/>
              </w:rPr>
              <w:t>Second-lien</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4"/>
              </w:rPr>
              <w:t>Mezzanine</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8"/>
              </w:rPr>
              <w:t>Equity</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debt</w:t>
            </w:r>
          </w:p>
        </w:tc>
        <w:tc>
          <w:tcPr>
            <w:tcW w:w="1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debt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debt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and other</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investments</w:t>
            </w:r>
          </w:p>
        </w:tc>
        <w:tc>
          <w:tcPr>
            <w:tcW w:w="12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investments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investments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investments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1,628,037</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4,137</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2,481</w:t>
            </w:r>
          </w:p>
        </w:tc>
        <w:tc>
          <w:tcPr>
            <w:tcW w:w="1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43,234</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1,677,889</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spacing w:after="0"/>
              <w:rPr>
                <w:sz w:val="20"/>
                <w:szCs w:val="20"/>
                <w:color w:val="auto"/>
              </w:rPr>
            </w:pPr>
            <w:r>
              <w:rPr>
                <w:rFonts w:ascii="Arial" w:cs="Arial" w:eastAsia="Arial" w:hAnsi="Arial"/>
                <w:sz w:val="18"/>
                <w:szCs w:val="18"/>
                <w:color w:val="auto"/>
              </w:rPr>
              <w:t>Purchases or originations</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792,970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3,052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796,828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Repayments / redemptions</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(464,099)</w:t>
            </w: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(796)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(10,238)</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(475,133)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Paid-in-kind interest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5,443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5,443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Net change in unrealized gains (losses)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4,256</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spacing w:after="0"/>
              <w:rPr>
                <w:sz w:val="20"/>
                <w:szCs w:val="20"/>
                <w:color w:val="auto"/>
              </w:rPr>
            </w:pPr>
            <w:r>
              <w:rPr>
                <w:rFonts w:ascii="Arial" w:cs="Arial" w:eastAsia="Arial" w:hAnsi="Arial"/>
                <w:sz w:val="18"/>
                <w:szCs w:val="18"/>
                <w:color w:val="auto"/>
              </w:rPr>
              <w:t>Net realized gains (losses)</w:t>
            </w: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4,392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Net amortization of discount on securities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12,662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12,670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Transfers within Level 3</w:t>
            </w:r>
          </w:p>
        </w:tc>
        <w:tc>
          <w:tcPr>
            <w:tcW w:w="10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Transfers into (out of) Level 3</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Pr>
          <w:p>
            <w:pPr>
              <w:ind w:left="260"/>
              <w:spacing w:after="0"/>
              <w:rPr>
                <w:sz w:val="20"/>
                <w:szCs w:val="20"/>
                <w:color w:val="auto"/>
              </w:rPr>
            </w:pPr>
            <w:r>
              <w:rPr>
                <w:rFonts w:ascii="Arial" w:cs="Arial" w:eastAsia="Arial" w:hAnsi="Arial"/>
                <w:sz w:val="18"/>
                <w:szCs w:val="18"/>
                <w:b w:val="1"/>
                <w:bCs w:val="1"/>
                <w:color w:val="auto"/>
              </w:rPr>
              <w:t>Balance,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1,979,189</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2,519</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41,803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2,027,658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374"/>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630" w:right="319" w:bottom="1440" w:gutter="0" w:footer="0" w:header="0"/>
        </w:sectPr>
      </w:pPr>
    </w:p>
    <w:bookmarkStart w:id="34" w:name="page35"/>
    <w:bookmarkEnd w:id="34"/>
    <w:p>
      <w:pPr>
        <w:ind w:right="60" w:firstLine="255"/>
        <w:spacing w:after="0" w:line="277" w:lineRule="auto"/>
        <w:rPr>
          <w:sz w:val="20"/>
          <w:szCs w:val="20"/>
          <w:color w:val="auto"/>
        </w:rPr>
      </w:pPr>
      <w:r>
        <w:rPr>
          <w:rFonts w:ascii="Arial" w:cs="Arial" w:eastAsia="Arial" w:hAnsi="Arial"/>
          <w:sz w:val="18"/>
          <w:szCs w:val="18"/>
          <w:color w:val="auto"/>
        </w:rPr>
        <w:t>The following tables present information with respect to the net change in unrealized gains or losses on investments for which Level 3 inputs were used in determining fair value that are still held by the Company at September 30, 2020 and 2019:</w:t>
      </w:r>
    </w:p>
    <w:p>
      <w:pPr>
        <w:spacing w:after="0" w:line="243"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4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jc w:val="center"/>
              <w:ind w:right="19"/>
              <w:spacing w:after="0"/>
              <w:rPr>
                <w:sz w:val="20"/>
                <w:szCs w:val="20"/>
                <w:color w:val="auto"/>
              </w:rPr>
            </w:pPr>
            <w:r>
              <w:rPr>
                <w:rFonts w:ascii="Arial" w:cs="Arial" w:eastAsia="Arial" w:hAnsi="Arial"/>
                <w:sz w:val="14"/>
                <w:szCs w:val="14"/>
                <w:b w:val="1"/>
                <w:bCs w:val="1"/>
                <w:color w:val="auto"/>
                <w:w w:val="93"/>
              </w:rPr>
              <w:t>Net Change in Unrealized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Net Change in Unrealized</w:t>
            </w:r>
          </w:p>
        </w:tc>
      </w:tr>
      <w:tr>
        <w:trPr>
          <w:trHeight w:val="162"/>
        </w:trPr>
        <w:tc>
          <w:tcPr>
            <w:tcW w:w="4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jc w:val="center"/>
              <w:ind w:right="19"/>
              <w:spacing w:after="0"/>
              <w:rPr>
                <w:sz w:val="20"/>
                <w:szCs w:val="20"/>
                <w:color w:val="auto"/>
              </w:rPr>
            </w:pPr>
            <w:r>
              <w:rPr>
                <w:rFonts w:ascii="Arial" w:cs="Arial" w:eastAsia="Arial" w:hAnsi="Arial"/>
                <w:sz w:val="14"/>
                <w:szCs w:val="14"/>
                <w:b w:val="1"/>
                <w:bCs w:val="1"/>
                <w:color w:val="auto"/>
                <w:w w:val="89"/>
              </w:rPr>
              <w:t>Gains or (Losses)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Gains or (Losses)</w:t>
            </w:r>
          </w:p>
        </w:tc>
      </w:tr>
      <w:tr>
        <w:trPr>
          <w:trHeight w:val="162"/>
        </w:trPr>
        <w:tc>
          <w:tcPr>
            <w:tcW w:w="4040" w:type="dxa"/>
            <w:vAlign w:val="bottom"/>
          </w:tcPr>
          <w:p>
            <w:pPr>
              <w:spacing w:after="0"/>
              <w:rPr>
                <w:sz w:val="14"/>
                <w:szCs w:val="14"/>
                <w:color w:val="auto"/>
              </w:rPr>
            </w:pPr>
          </w:p>
        </w:tc>
        <w:tc>
          <w:tcPr>
            <w:tcW w:w="1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for the Three Months Ended</w:t>
            </w:r>
          </w:p>
        </w:tc>
        <w:tc>
          <w:tcPr>
            <w:tcW w:w="160" w:type="dxa"/>
            <w:vAlign w:val="bottom"/>
          </w:tcPr>
          <w:p>
            <w:pPr>
              <w:spacing w:after="0"/>
              <w:rPr>
                <w:sz w:val="14"/>
                <w:szCs w:val="14"/>
                <w:color w:val="auto"/>
              </w:rPr>
            </w:pPr>
          </w:p>
        </w:tc>
        <w:tc>
          <w:tcPr>
            <w:tcW w:w="18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for the Three Months Ended</w:t>
            </w:r>
          </w:p>
        </w:tc>
      </w:tr>
      <w:tr>
        <w:trPr>
          <w:trHeight w:val="162"/>
        </w:trPr>
        <w:tc>
          <w:tcPr>
            <w:tcW w:w="4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jc w:val="center"/>
              <w:ind w:right="19"/>
              <w:spacing w:after="0"/>
              <w:rPr>
                <w:sz w:val="20"/>
                <w:szCs w:val="20"/>
                <w:color w:val="auto"/>
              </w:rPr>
            </w:pPr>
            <w:r>
              <w:rPr>
                <w:rFonts w:ascii="Arial" w:cs="Arial" w:eastAsia="Arial" w:hAnsi="Arial"/>
                <w:sz w:val="14"/>
                <w:szCs w:val="14"/>
                <w:b w:val="1"/>
                <w:bCs w:val="1"/>
                <w:color w:val="auto"/>
                <w:w w:val="90"/>
              </w:rPr>
              <w:t>September 30, 2020 on</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September 30, 2019 on</w:t>
            </w:r>
          </w:p>
        </w:tc>
      </w:tr>
      <w:tr>
        <w:trPr>
          <w:trHeight w:val="162"/>
        </w:trPr>
        <w:tc>
          <w:tcPr>
            <w:tcW w:w="4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jc w:val="center"/>
              <w:ind w:right="19"/>
              <w:spacing w:after="0"/>
              <w:rPr>
                <w:sz w:val="20"/>
                <w:szCs w:val="20"/>
                <w:color w:val="auto"/>
              </w:rPr>
            </w:pPr>
            <w:r>
              <w:rPr>
                <w:rFonts w:ascii="Arial" w:cs="Arial" w:eastAsia="Arial" w:hAnsi="Arial"/>
                <w:sz w:val="14"/>
                <w:szCs w:val="14"/>
                <w:b w:val="1"/>
                <w:bCs w:val="1"/>
                <w:color w:val="auto"/>
                <w:w w:val="92"/>
              </w:rPr>
              <w:t>Investments Held at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Investments Held at</w:t>
            </w:r>
          </w:p>
        </w:tc>
      </w:tr>
      <w:tr>
        <w:trPr>
          <w:trHeight w:val="171"/>
        </w:trPr>
        <w:tc>
          <w:tcPr>
            <w:tcW w:w="4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jc w:val="center"/>
              <w:ind w:right="39"/>
              <w:spacing w:after="0"/>
              <w:rPr>
                <w:sz w:val="20"/>
                <w:szCs w:val="20"/>
                <w:color w:val="auto"/>
              </w:rPr>
            </w:pPr>
            <w:r>
              <w:rPr>
                <w:rFonts w:ascii="Arial" w:cs="Arial" w:eastAsia="Arial" w:hAnsi="Arial"/>
                <w:sz w:val="14"/>
                <w:szCs w:val="14"/>
                <w:b w:val="1"/>
                <w:bCs w:val="1"/>
                <w:color w:val="auto"/>
                <w:w w:val="91"/>
              </w:rPr>
              <w:t>September 30, 2020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September 30, 2019</w:t>
            </w:r>
          </w:p>
        </w:tc>
      </w:tr>
      <w:tr>
        <w:trPr>
          <w:trHeight w:val="223"/>
        </w:trPr>
        <w:tc>
          <w:tcPr>
            <w:tcW w:w="4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18,864</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(4,195)</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r>
      <w:tr>
        <w:trPr>
          <w:trHeight w:val="229"/>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Mezzanine debt investments</w:t>
            </w:r>
          </w:p>
        </w:tc>
        <w:tc>
          <w:tcPr>
            <w:tcW w:w="10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w:t>
            </w:r>
          </w:p>
        </w:tc>
      </w:tr>
      <w:tr>
        <w:trPr>
          <w:trHeight w:val="230"/>
        </w:trPr>
        <w:tc>
          <w:tcPr>
            <w:tcW w:w="4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Equity and other investments</w:t>
            </w:r>
          </w:p>
        </w:tc>
        <w:tc>
          <w:tcPr>
            <w:tcW w:w="1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10,187</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1,693</w:t>
            </w:r>
          </w:p>
        </w:tc>
        <w:tc>
          <w:tcPr>
            <w:tcW w:w="80" w:type="dxa"/>
            <w:vAlign w:val="bottom"/>
            <w:tcBorders>
              <w:bottom w:val="single" w:sz="8" w:color="CFF0FC"/>
            </w:tcBorders>
          </w:tcPr>
          <w:p>
            <w:pPr>
              <w:spacing w:after="0"/>
              <w:rPr>
                <w:sz w:val="19"/>
                <w:szCs w:val="19"/>
                <w:color w:val="auto"/>
              </w:rPr>
            </w:pPr>
          </w:p>
        </w:tc>
      </w:tr>
      <w:tr>
        <w:trPr>
          <w:trHeight w:val="223"/>
        </w:trPr>
        <w:tc>
          <w:tcPr>
            <w:tcW w:w="40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30,896</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(2,519)</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82" w:right="339" w:bottom="1440" w:gutter="0" w:footer="0" w:header="0"/>
        </w:sectPr>
      </w:pPr>
    </w:p>
    <w:p>
      <w:pPr>
        <w:spacing w:after="0" w:line="74" w:lineRule="exact"/>
        <w:rPr>
          <w:sz w:val="20"/>
          <w:szCs w:val="20"/>
          <w:color w:val="auto"/>
        </w:rPr>
      </w:pPr>
    </w:p>
    <w:p>
      <w:pPr>
        <w:jc w:val="center"/>
        <w:ind w:left="5860"/>
        <w:spacing w:after="0"/>
        <w:rPr>
          <w:sz w:val="20"/>
          <w:szCs w:val="20"/>
          <w:color w:val="auto"/>
        </w:rPr>
      </w:pPr>
      <w:r>
        <w:rPr>
          <w:rFonts w:ascii="Arial" w:cs="Arial" w:eastAsia="Arial" w:hAnsi="Arial"/>
          <w:sz w:val="13"/>
          <w:szCs w:val="13"/>
          <w:b w:val="1"/>
          <w:bCs w:val="1"/>
          <w:color w:val="auto"/>
        </w:rPr>
        <w:t>Net Change in Unrealized</w:t>
      </w:r>
    </w:p>
    <w:p>
      <w:pPr>
        <w:spacing w:after="0" w:line="29" w:lineRule="exact"/>
        <w:rPr>
          <w:sz w:val="20"/>
          <w:szCs w:val="20"/>
          <w:color w:val="auto"/>
        </w:rPr>
      </w:pPr>
    </w:p>
    <w:p>
      <w:pPr>
        <w:jc w:val="center"/>
        <w:ind w:left="5860"/>
        <w:spacing w:after="0"/>
        <w:rPr>
          <w:sz w:val="20"/>
          <w:szCs w:val="20"/>
          <w:color w:val="auto"/>
        </w:rPr>
      </w:pPr>
      <w:r>
        <w:rPr>
          <w:rFonts w:ascii="Arial" w:cs="Arial" w:eastAsia="Arial" w:hAnsi="Arial"/>
          <w:sz w:val="14"/>
          <w:szCs w:val="14"/>
          <w:b w:val="1"/>
          <w:bCs w:val="1"/>
          <w:color w:val="auto"/>
        </w:rPr>
        <w:t>Gains or (Losses)</w:t>
      </w:r>
    </w:p>
    <w:p>
      <w:pPr>
        <w:spacing w:after="0" w:line="1" w:lineRule="exact"/>
        <w:rPr>
          <w:sz w:val="20"/>
          <w:szCs w:val="20"/>
          <w:color w:val="auto"/>
        </w:rPr>
      </w:pPr>
    </w:p>
    <w:p>
      <w:pPr>
        <w:jc w:val="center"/>
        <w:ind w:left="5860"/>
        <w:spacing w:after="0"/>
        <w:rPr>
          <w:sz w:val="20"/>
          <w:szCs w:val="20"/>
          <w:color w:val="auto"/>
        </w:rPr>
      </w:pPr>
      <w:r>
        <w:rPr>
          <w:rFonts w:ascii="Arial" w:cs="Arial" w:eastAsia="Arial" w:hAnsi="Arial"/>
          <w:sz w:val="13"/>
          <w:szCs w:val="13"/>
          <w:b w:val="1"/>
          <w:bCs w:val="1"/>
          <w:color w:val="auto"/>
        </w:rPr>
        <w:t>for the Nine Months Ended</w:t>
      </w:r>
    </w:p>
    <w:p>
      <w:pPr>
        <w:spacing w:after="0" w:line="13" w:lineRule="exact"/>
        <w:rPr>
          <w:sz w:val="20"/>
          <w:szCs w:val="20"/>
          <w:color w:val="auto"/>
        </w:rPr>
      </w:pPr>
    </w:p>
    <w:p>
      <w:pPr>
        <w:jc w:val="center"/>
        <w:ind w:left="5860"/>
        <w:spacing w:after="0"/>
        <w:rPr>
          <w:sz w:val="20"/>
          <w:szCs w:val="20"/>
          <w:color w:val="auto"/>
        </w:rPr>
      </w:pPr>
      <w:r>
        <w:rPr>
          <w:rFonts w:ascii="Arial" w:cs="Arial" w:eastAsia="Arial" w:hAnsi="Arial"/>
          <w:sz w:val="14"/>
          <w:szCs w:val="14"/>
          <w:b w:val="1"/>
          <w:bCs w:val="1"/>
          <w:color w:val="auto"/>
        </w:rPr>
        <w:t>September 30, 2020 on</w:t>
      </w:r>
    </w:p>
    <w:p>
      <w:pPr>
        <w:spacing w:after="0" w:line="1" w:lineRule="exact"/>
        <w:rPr>
          <w:sz w:val="20"/>
          <w:szCs w:val="20"/>
          <w:color w:val="auto"/>
        </w:rPr>
      </w:pPr>
    </w:p>
    <w:p>
      <w:pPr>
        <w:jc w:val="center"/>
        <w:ind w:left="5860"/>
        <w:spacing w:after="0"/>
        <w:rPr>
          <w:sz w:val="20"/>
          <w:szCs w:val="20"/>
          <w:color w:val="auto"/>
        </w:rPr>
      </w:pPr>
      <w:r>
        <w:rPr>
          <w:rFonts w:ascii="Arial" w:cs="Arial" w:eastAsia="Arial" w:hAnsi="Arial"/>
          <w:sz w:val="14"/>
          <w:szCs w:val="14"/>
          <w:b w:val="1"/>
          <w:bCs w:val="1"/>
          <w:color w:val="auto"/>
        </w:rPr>
        <w:t>Investments Held at</w:t>
      </w:r>
    </w:p>
    <w:p>
      <w:pPr>
        <w:jc w:val="center"/>
        <w:ind w:left="5860"/>
        <w:spacing w:after="0" w:line="232" w:lineRule="auto"/>
        <w:rPr>
          <w:sz w:val="20"/>
          <w:szCs w:val="20"/>
          <w:color w:val="auto"/>
        </w:rPr>
      </w:pPr>
      <w:r>
        <w:rPr>
          <w:rFonts w:ascii="Arial" w:cs="Arial" w:eastAsia="Arial" w:hAnsi="Arial"/>
          <w:sz w:val="14"/>
          <w:szCs w:val="14"/>
          <w:b w:val="1"/>
          <w:bCs w:val="1"/>
          <w:color w:val="auto"/>
        </w:rPr>
        <w:t>September 30, 2020</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jc w:val="center"/>
        <w:ind w:right="1800"/>
        <w:spacing w:after="0"/>
        <w:rPr>
          <w:sz w:val="20"/>
          <w:szCs w:val="20"/>
          <w:color w:val="auto"/>
        </w:rPr>
      </w:pPr>
      <w:r>
        <w:rPr>
          <w:rFonts w:ascii="Arial" w:cs="Arial" w:eastAsia="Arial" w:hAnsi="Arial"/>
          <w:sz w:val="13"/>
          <w:szCs w:val="13"/>
          <w:b w:val="1"/>
          <w:bCs w:val="1"/>
          <w:color w:val="auto"/>
        </w:rPr>
        <w:t>Net Change in Unrealized</w:t>
      </w:r>
    </w:p>
    <w:p>
      <w:pPr>
        <w:spacing w:after="0" w:line="29" w:lineRule="exact"/>
        <w:rPr>
          <w:sz w:val="20"/>
          <w:szCs w:val="20"/>
          <w:color w:val="auto"/>
        </w:rPr>
      </w:pPr>
    </w:p>
    <w:p>
      <w:pPr>
        <w:jc w:val="center"/>
        <w:ind w:right="1800"/>
        <w:spacing w:after="0"/>
        <w:rPr>
          <w:sz w:val="20"/>
          <w:szCs w:val="20"/>
          <w:color w:val="auto"/>
        </w:rPr>
      </w:pPr>
      <w:r>
        <w:rPr>
          <w:rFonts w:ascii="Arial" w:cs="Arial" w:eastAsia="Arial" w:hAnsi="Arial"/>
          <w:sz w:val="14"/>
          <w:szCs w:val="14"/>
          <w:b w:val="1"/>
          <w:bCs w:val="1"/>
          <w:color w:val="auto"/>
        </w:rPr>
        <w:t>Gains or (Losses)</w:t>
      </w:r>
    </w:p>
    <w:p>
      <w:pPr>
        <w:spacing w:after="0" w:line="1" w:lineRule="exact"/>
        <w:rPr>
          <w:sz w:val="20"/>
          <w:szCs w:val="20"/>
          <w:color w:val="auto"/>
        </w:rPr>
      </w:pPr>
    </w:p>
    <w:p>
      <w:pPr>
        <w:jc w:val="center"/>
        <w:ind w:right="1800"/>
        <w:spacing w:after="0"/>
        <w:rPr>
          <w:sz w:val="20"/>
          <w:szCs w:val="20"/>
          <w:color w:val="auto"/>
        </w:rPr>
      </w:pPr>
      <w:r>
        <w:rPr>
          <w:rFonts w:ascii="Arial" w:cs="Arial" w:eastAsia="Arial" w:hAnsi="Arial"/>
          <w:sz w:val="13"/>
          <w:szCs w:val="13"/>
          <w:b w:val="1"/>
          <w:bCs w:val="1"/>
          <w:color w:val="auto"/>
        </w:rPr>
        <w:t>for the Nine Months Ended</w:t>
      </w:r>
    </w:p>
    <w:p>
      <w:pPr>
        <w:spacing w:after="0" w:line="13" w:lineRule="exact"/>
        <w:rPr>
          <w:sz w:val="20"/>
          <w:szCs w:val="20"/>
          <w:color w:val="auto"/>
        </w:rPr>
      </w:pPr>
    </w:p>
    <w:p>
      <w:pPr>
        <w:jc w:val="center"/>
        <w:ind w:right="1800"/>
        <w:spacing w:after="0"/>
        <w:rPr>
          <w:sz w:val="20"/>
          <w:szCs w:val="20"/>
          <w:color w:val="auto"/>
        </w:rPr>
      </w:pPr>
      <w:r>
        <w:rPr>
          <w:rFonts w:ascii="Arial" w:cs="Arial" w:eastAsia="Arial" w:hAnsi="Arial"/>
          <w:sz w:val="14"/>
          <w:szCs w:val="14"/>
          <w:b w:val="1"/>
          <w:bCs w:val="1"/>
          <w:color w:val="auto"/>
        </w:rPr>
        <w:t>September 30, 2019 on</w:t>
      </w:r>
    </w:p>
    <w:p>
      <w:pPr>
        <w:spacing w:after="0" w:line="1" w:lineRule="exact"/>
        <w:rPr>
          <w:sz w:val="20"/>
          <w:szCs w:val="20"/>
          <w:color w:val="auto"/>
        </w:rPr>
      </w:pPr>
    </w:p>
    <w:p>
      <w:pPr>
        <w:jc w:val="center"/>
        <w:ind w:right="1800"/>
        <w:spacing w:after="0"/>
        <w:rPr>
          <w:sz w:val="20"/>
          <w:szCs w:val="20"/>
          <w:color w:val="auto"/>
        </w:rPr>
      </w:pPr>
      <w:r>
        <w:rPr>
          <w:rFonts w:ascii="Arial" w:cs="Arial" w:eastAsia="Arial" w:hAnsi="Arial"/>
          <w:sz w:val="14"/>
          <w:szCs w:val="14"/>
          <w:b w:val="1"/>
          <w:bCs w:val="1"/>
          <w:color w:val="auto"/>
        </w:rPr>
        <w:t>Investments Held at</w:t>
      </w:r>
    </w:p>
    <w:p>
      <w:pPr>
        <w:jc w:val="center"/>
        <w:ind w:right="1800"/>
        <w:spacing w:after="0" w:line="232" w:lineRule="auto"/>
        <w:rPr>
          <w:sz w:val="20"/>
          <w:szCs w:val="20"/>
          <w:color w:val="auto"/>
        </w:rPr>
      </w:pPr>
      <w:r>
        <w:rPr>
          <w:rFonts w:ascii="Arial" w:cs="Arial" w:eastAsia="Arial" w:hAnsi="Arial"/>
          <w:sz w:val="14"/>
          <w:szCs w:val="14"/>
          <w:b w:val="1"/>
          <w:bCs w:val="1"/>
          <w:color w:val="auto"/>
        </w:rPr>
        <w:t>September 30, 2019</w:t>
      </w:r>
    </w:p>
    <w:p>
      <w:pPr>
        <w:spacing w:after="0" w:line="21" w:lineRule="exact"/>
        <w:rPr>
          <w:sz w:val="20"/>
          <w:szCs w:val="20"/>
          <w:color w:val="auto"/>
        </w:rPr>
      </w:pPr>
    </w:p>
    <w:p>
      <w:pPr>
        <w:sectPr>
          <w:pgSz w:w="11900" w:h="16838" w:orient="portrait"/>
          <w:cols w:equalWidth="0" w:num="2">
            <w:col w:w="7540" w:space="220"/>
            <w:col w:w="3480"/>
          </w:cols>
          <w:pgMar w:left="320" w:top="382" w:right="339" w:bottom="1440" w:gutter="0" w:footer="0" w:header="0"/>
          <w:type w:val="continuous"/>
        </w:sectPr>
      </w:pPr>
    </w:p>
    <w:tbl>
      <w:tblPr>
        <w:tblLayout w:type="fixed"/>
        <w:tblInd w:w="1700" w:type="dxa"/>
        <w:tblCellMar>
          <w:top w:w="0" w:type="dxa"/>
          <w:left w:w="0" w:type="dxa"/>
          <w:bottom w:w="0" w:type="dxa"/>
          <w:right w:w="0" w:type="dxa"/>
        </w:tblCellMar>
      </w:tblPr>
      <w:tr>
        <w:trPr>
          <w:trHeight w:val="20"/>
        </w:trPr>
        <w:tc>
          <w:tcPr>
            <w:tcW w:w="414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03"/>
        </w:trPr>
        <w:tc>
          <w:tcPr>
            <w:tcW w:w="4140" w:type="dxa"/>
            <w:vAlign w:val="bottom"/>
            <w:shd w:val="clear" w:color="auto" w:fill="CFF0FC"/>
          </w:tcPr>
          <w:p>
            <w:pPr>
              <w:spacing w:after="0" w:line="203" w:lineRule="exact"/>
              <w:rPr>
                <w:sz w:val="20"/>
                <w:szCs w:val="20"/>
                <w:color w:val="auto"/>
              </w:rPr>
            </w:pPr>
            <w:r>
              <w:rPr>
                <w:rFonts w:ascii="Arial" w:cs="Arial" w:eastAsia="Arial" w:hAnsi="Arial"/>
                <w:sz w:val="18"/>
                <w:szCs w:val="18"/>
                <w:color w:val="auto"/>
              </w:rPr>
              <w:t>First-lien debt investments</w:t>
            </w:r>
          </w:p>
        </w:tc>
        <w:tc>
          <w:tcPr>
            <w:tcW w:w="660" w:type="dxa"/>
            <w:vAlign w:val="bottom"/>
            <w:shd w:val="clear" w:color="auto" w:fill="CFF0FC"/>
          </w:tcPr>
          <w:p>
            <w:pPr>
              <w:jc w:val="right"/>
              <w:ind w:right="470"/>
              <w:spacing w:after="0" w:line="203" w:lineRule="exact"/>
              <w:rPr>
                <w:sz w:val="20"/>
                <w:szCs w:val="20"/>
                <w:color w:val="auto"/>
              </w:rPr>
            </w:pPr>
            <w:r>
              <w:rPr>
                <w:rFonts w:ascii="Arial" w:cs="Arial" w:eastAsia="Arial" w:hAnsi="Arial"/>
                <w:sz w:val="18"/>
                <w:szCs w:val="18"/>
                <w:color w:val="auto"/>
                <w:w w:val="79"/>
              </w:rPr>
              <w:t>$</w:t>
            </w:r>
          </w:p>
        </w:tc>
        <w:tc>
          <w:tcPr>
            <w:tcW w:w="1240" w:type="dxa"/>
            <w:vAlign w:val="bottom"/>
            <w:tcBorders>
              <w:right w:val="single" w:sz="8" w:color="CFF0FC"/>
            </w:tcBorders>
            <w:gridSpan w:val="2"/>
            <w:shd w:val="clear" w:color="auto" w:fill="CFF0FC"/>
          </w:tcPr>
          <w:p>
            <w:pPr>
              <w:jc w:val="right"/>
              <w:ind w:right="120"/>
              <w:spacing w:after="0" w:line="203" w:lineRule="exact"/>
              <w:rPr>
                <w:sz w:val="20"/>
                <w:szCs w:val="20"/>
                <w:color w:val="auto"/>
              </w:rPr>
            </w:pPr>
            <w:r>
              <w:rPr>
                <w:rFonts w:ascii="Arial" w:cs="Arial" w:eastAsia="Arial" w:hAnsi="Arial"/>
                <w:sz w:val="18"/>
                <w:szCs w:val="18"/>
                <w:color w:val="auto"/>
              </w:rPr>
              <w:t>(1,436)</w:t>
            </w:r>
          </w:p>
        </w:tc>
        <w:tc>
          <w:tcPr>
            <w:tcW w:w="660" w:type="dxa"/>
            <w:vAlign w:val="bottom"/>
            <w:shd w:val="clear" w:color="auto" w:fill="CFF0FC"/>
          </w:tcPr>
          <w:p>
            <w:pPr>
              <w:jc w:val="right"/>
              <w:ind w:right="470"/>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8,892</w:t>
            </w:r>
          </w:p>
        </w:tc>
        <w:tc>
          <w:tcPr>
            <w:tcW w:w="80" w:type="dxa"/>
            <w:vAlign w:val="bottom"/>
            <w:shd w:val="clear" w:color="auto" w:fill="CFF0FC"/>
          </w:tcPr>
          <w:p>
            <w:pPr>
              <w:spacing w:after="0"/>
              <w:rPr>
                <w:sz w:val="17"/>
                <w:szCs w:val="17"/>
                <w:color w:val="auto"/>
              </w:rPr>
            </w:pPr>
          </w:p>
        </w:tc>
      </w:tr>
      <w:tr>
        <w:trPr>
          <w:trHeight w:val="229"/>
        </w:trPr>
        <w:tc>
          <w:tcPr>
            <w:tcW w:w="414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6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r>
      <w:tr>
        <w:trPr>
          <w:trHeight w:val="230"/>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Mezzanine debt investments</w:t>
            </w:r>
          </w:p>
        </w:tc>
        <w:tc>
          <w:tcPr>
            <w:tcW w:w="6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2,716</w:t>
            </w:r>
          </w:p>
        </w:tc>
        <w:tc>
          <w:tcPr>
            <w:tcW w:w="180" w:type="dxa"/>
            <w:vAlign w:val="bottom"/>
            <w:tcBorders>
              <w:right w:val="single" w:sz="8" w:color="CFF0FC"/>
            </w:tcBorders>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80" w:type="dxa"/>
            <w:vAlign w:val="bottom"/>
            <w:shd w:val="clear" w:color="auto" w:fill="CFF0FC"/>
          </w:tcPr>
          <w:p>
            <w:pPr>
              <w:spacing w:after="0"/>
              <w:rPr>
                <w:sz w:val="19"/>
                <w:szCs w:val="19"/>
                <w:color w:val="auto"/>
              </w:rPr>
            </w:pPr>
          </w:p>
        </w:tc>
      </w:tr>
      <w:tr>
        <w:trPr>
          <w:trHeight w:val="229"/>
        </w:trPr>
        <w:tc>
          <w:tcPr>
            <w:tcW w:w="4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Equity and other investments</w:t>
            </w:r>
          </w:p>
        </w:tc>
        <w:tc>
          <w:tcPr>
            <w:tcW w:w="6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7,999</w:t>
            </w:r>
          </w:p>
        </w:tc>
        <w:tc>
          <w:tcPr>
            <w:tcW w:w="18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4,074</w:t>
            </w:r>
          </w:p>
        </w:tc>
        <w:tc>
          <w:tcPr>
            <w:tcW w:w="80" w:type="dxa"/>
            <w:vAlign w:val="bottom"/>
            <w:tcBorders>
              <w:bottom w:val="single" w:sz="8" w:color="CFF0FC"/>
            </w:tcBorders>
          </w:tcPr>
          <w:p>
            <w:pPr>
              <w:spacing w:after="0"/>
              <w:rPr>
                <w:sz w:val="19"/>
                <w:szCs w:val="19"/>
                <w:color w:val="auto"/>
              </w:rPr>
            </w:pPr>
          </w:p>
        </w:tc>
      </w:tr>
      <w:tr>
        <w:trPr>
          <w:trHeight w:val="223"/>
        </w:trPr>
        <w:tc>
          <w:tcPr>
            <w:tcW w:w="41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660" w:type="dxa"/>
            <w:vAlign w:val="bottom"/>
            <w:tcBorders>
              <w:bottom w:val="single" w:sz="8" w:color="auto"/>
            </w:tcBorders>
            <w:shd w:val="clear" w:color="auto" w:fill="CFF0FC"/>
          </w:tcPr>
          <w:p>
            <w:pPr>
              <w:jc w:val="right"/>
              <w:ind w:right="4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9,306</w:t>
            </w:r>
          </w:p>
        </w:tc>
        <w:tc>
          <w:tcPr>
            <w:tcW w:w="180" w:type="dxa"/>
            <w:vAlign w:val="bottom"/>
            <w:tcBorders>
              <w:bottom w:val="single" w:sz="8" w:color="CFF0FC"/>
              <w:right w:val="single" w:sz="8" w:color="CFF0FC"/>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4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12,996</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firstLine="255"/>
        <w:spacing w:after="0" w:line="263" w:lineRule="auto"/>
        <w:rPr>
          <w:sz w:val="20"/>
          <w:szCs w:val="20"/>
          <w:color w:val="auto"/>
        </w:rPr>
      </w:pPr>
      <w:r>
        <w:rPr>
          <w:rFonts w:ascii="Arial" w:cs="Arial" w:eastAsia="Arial" w:hAnsi="Arial"/>
          <w:sz w:val="18"/>
          <w:szCs w:val="18"/>
          <w:color w:val="auto"/>
        </w:rPr>
        <w:t>The following tables present the fair value of Level 3 Investments at fair value and the significant unobservable inputs used in the valuations as of September 30, 2020 and December 31, 2019. The tables are not intended to be all-inclusive, but instead capture the significant unobservable inputs relevant to the Company’s determination of fair values.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w w:val="90"/>
              </w:rPr>
              <w:t>September 30, 2020</w:t>
            </w:r>
          </w:p>
        </w:tc>
        <w:tc>
          <w:tcPr>
            <w:tcW w:w="4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Valuation</w:t>
            </w:r>
          </w:p>
        </w:tc>
        <w:tc>
          <w:tcPr>
            <w:tcW w:w="1940" w:type="dxa"/>
            <w:vAlign w:val="bottom"/>
            <w:gridSpan w:val="3"/>
            <w:vMerge w:val="restart"/>
          </w:tcPr>
          <w:p>
            <w:pPr>
              <w:ind w:left="400"/>
              <w:spacing w:after="0"/>
              <w:rPr>
                <w:sz w:val="20"/>
                <w:szCs w:val="20"/>
                <w:color w:val="auto"/>
              </w:rPr>
            </w:pPr>
            <w:r>
              <w:rPr>
                <w:rFonts w:ascii="Arial" w:cs="Arial" w:eastAsia="Arial" w:hAnsi="Arial"/>
                <w:sz w:val="14"/>
                <w:szCs w:val="14"/>
                <w:b w:val="1"/>
                <w:bCs w:val="1"/>
                <w:color w:val="auto"/>
              </w:rPr>
              <w:t>Unobservable</w:t>
            </w:r>
          </w:p>
        </w:tc>
        <w:tc>
          <w:tcPr>
            <w:tcW w:w="1840" w:type="dxa"/>
            <w:vAlign w:val="bottom"/>
            <w:gridSpan w:val="3"/>
            <w:vMerge w:val="restart"/>
          </w:tcPr>
          <w:p>
            <w:pPr>
              <w:jc w:val="center"/>
              <w:ind w:right="99"/>
              <w:spacing w:after="0"/>
              <w:rPr>
                <w:sz w:val="20"/>
                <w:szCs w:val="20"/>
                <w:color w:val="auto"/>
              </w:rPr>
            </w:pPr>
            <w:r>
              <w:rPr>
                <w:rFonts w:ascii="Arial" w:cs="Arial" w:eastAsia="Arial" w:hAnsi="Arial"/>
                <w:sz w:val="14"/>
                <w:szCs w:val="14"/>
                <w:b w:val="1"/>
                <w:bCs w:val="1"/>
                <w:color w:val="auto"/>
                <w:w w:val="92"/>
              </w:rPr>
              <w:t>Range (Weighted</w:t>
            </w:r>
          </w:p>
        </w:tc>
        <w:tc>
          <w:tcPr>
            <w:tcW w:w="120" w:type="dxa"/>
            <w:vAlign w:val="bottom"/>
          </w:tcPr>
          <w:p>
            <w:pPr>
              <w:spacing w:after="0"/>
              <w:rPr>
                <w:sz w:val="11"/>
                <w:szCs w:val="11"/>
                <w:color w:val="auto"/>
              </w:rPr>
            </w:pPr>
          </w:p>
        </w:tc>
        <w:tc>
          <w:tcPr>
            <w:tcW w:w="16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Impact to Valuation</w:t>
            </w:r>
          </w:p>
        </w:tc>
        <w:tc>
          <w:tcPr>
            <w:tcW w:w="0" w:type="dxa"/>
            <w:vAlign w:val="bottom"/>
          </w:tcPr>
          <w:p>
            <w:pPr>
              <w:spacing w:after="0"/>
              <w:rPr>
                <w:sz w:val="1"/>
                <w:szCs w:val="1"/>
                <w:color w:val="auto"/>
              </w:rPr>
            </w:pPr>
          </w:p>
        </w:tc>
      </w:tr>
      <w:tr>
        <w:trPr>
          <w:trHeight w:val="162"/>
        </w:trPr>
        <w:tc>
          <w:tcPr>
            <w:tcW w:w="2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2"/>
            <w:vMerge w:val="continue"/>
          </w:tcPr>
          <w:p>
            <w:pPr>
              <w:spacing w:after="0"/>
              <w:rPr>
                <w:sz w:val="14"/>
                <w:szCs w:val="14"/>
                <w:color w:val="auto"/>
              </w:rPr>
            </w:pPr>
          </w:p>
        </w:tc>
        <w:tc>
          <w:tcPr>
            <w:tcW w:w="1940" w:type="dxa"/>
            <w:vAlign w:val="bottom"/>
            <w:gridSpan w:val="3"/>
            <w:vMerge w:val="continue"/>
          </w:tcPr>
          <w:p>
            <w:pPr>
              <w:spacing w:after="0"/>
              <w:rPr>
                <w:sz w:val="14"/>
                <w:szCs w:val="14"/>
                <w:color w:val="auto"/>
              </w:rPr>
            </w:pPr>
          </w:p>
        </w:tc>
        <w:tc>
          <w:tcPr>
            <w:tcW w:w="18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7"/>
              </w:rPr>
              <w:t>from an</w:t>
            </w:r>
          </w:p>
        </w:tc>
        <w:tc>
          <w:tcPr>
            <w:tcW w:w="0" w:type="dxa"/>
            <w:vAlign w:val="bottom"/>
          </w:tcPr>
          <w:p>
            <w:pPr>
              <w:spacing w:after="0"/>
              <w:rPr>
                <w:sz w:val="1"/>
                <w:szCs w:val="1"/>
                <w:color w:val="auto"/>
              </w:rPr>
            </w:pPr>
          </w:p>
        </w:tc>
      </w:tr>
      <w:tr>
        <w:trPr>
          <w:trHeight w:val="171"/>
        </w:trPr>
        <w:tc>
          <w:tcPr>
            <w:tcW w:w="27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w w:val="95"/>
              </w:rPr>
              <w:t>Fair Value</w:t>
            </w:r>
          </w:p>
        </w:tc>
        <w:tc>
          <w:tcPr>
            <w:tcW w:w="200" w:type="dxa"/>
            <w:vAlign w:val="bottom"/>
            <w:tcBorders>
              <w:bottom w:val="single" w:sz="8" w:color="CFF0FC"/>
            </w:tcBorders>
          </w:tcPr>
          <w:p>
            <w:pPr>
              <w:spacing w:after="0"/>
              <w:rPr>
                <w:sz w:val="14"/>
                <w:szCs w:val="14"/>
                <w:color w:val="auto"/>
              </w:rPr>
            </w:pPr>
          </w:p>
        </w:tc>
        <w:tc>
          <w:tcPr>
            <w:tcW w:w="168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Technique</w:t>
            </w:r>
          </w:p>
        </w:tc>
        <w:tc>
          <w:tcPr>
            <w:tcW w:w="120" w:type="dxa"/>
            <w:vAlign w:val="bottom"/>
            <w:tcBorders>
              <w:bottom w:val="single" w:sz="8" w:color="CFF0FC"/>
            </w:tcBorders>
          </w:tcPr>
          <w:p>
            <w:pPr>
              <w:spacing w:after="0"/>
              <w:rPr>
                <w:sz w:val="14"/>
                <w:szCs w:val="14"/>
                <w:color w:val="auto"/>
              </w:rPr>
            </w:pPr>
          </w:p>
        </w:tc>
        <w:tc>
          <w:tcPr>
            <w:tcW w:w="166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Input</w:t>
            </w:r>
          </w:p>
        </w:tc>
        <w:tc>
          <w:tcPr>
            <w:tcW w:w="1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left="21"/>
              <w:spacing w:after="0"/>
              <w:rPr>
                <w:sz w:val="20"/>
                <w:szCs w:val="20"/>
                <w:color w:val="auto"/>
              </w:rPr>
            </w:pPr>
            <w:r>
              <w:rPr>
                <w:rFonts w:ascii="Arial" w:cs="Arial" w:eastAsia="Arial" w:hAnsi="Arial"/>
                <w:sz w:val="14"/>
                <w:szCs w:val="14"/>
                <w:b w:val="1"/>
                <w:bCs w:val="1"/>
                <w:color w:val="auto"/>
                <w:w w:val="90"/>
              </w:rPr>
              <w:t>Average)</w:t>
            </w: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Increase to Input</w:t>
            </w:r>
          </w:p>
        </w:tc>
        <w:tc>
          <w:tcPr>
            <w:tcW w:w="0" w:type="dxa"/>
            <w:vAlign w:val="bottom"/>
          </w:tcPr>
          <w:p>
            <w:pPr>
              <w:spacing w:after="0"/>
              <w:rPr>
                <w:sz w:val="1"/>
                <w:szCs w:val="1"/>
                <w:color w:val="auto"/>
              </w:rPr>
            </w:pPr>
          </w:p>
        </w:tc>
      </w:tr>
      <w:tr>
        <w:trPr>
          <w:trHeight w:val="210"/>
        </w:trPr>
        <w:tc>
          <w:tcPr>
            <w:tcW w:w="2760" w:type="dxa"/>
            <w:vAlign w:val="bottom"/>
            <w:shd w:val="clear" w:color="auto" w:fill="CFF0FC"/>
          </w:tcPr>
          <w:p>
            <w:pPr>
              <w:spacing w:after="0"/>
              <w:rPr>
                <w:sz w:val="20"/>
                <w:szCs w:val="20"/>
                <w:color w:val="auto"/>
              </w:rPr>
            </w:pPr>
            <w:r>
              <w:rPr>
                <w:rFonts w:ascii="Arial" w:cs="Arial" w:eastAsia="Arial" w:hAnsi="Arial"/>
                <w:sz w:val="16"/>
                <w:szCs w:val="16"/>
                <w:color w:val="auto"/>
              </w:rPr>
              <w:t>First-lien debt investments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1,945,533</w:t>
            </w:r>
          </w:p>
        </w:tc>
        <w:tc>
          <w:tcPr>
            <w:tcW w:w="20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spacing w:after="0" w:line="210" w:lineRule="exact"/>
              <w:rPr>
                <w:sz w:val="20"/>
                <w:szCs w:val="20"/>
                <w:color w:val="auto"/>
              </w:rPr>
            </w:pPr>
            <w:r>
              <w:rPr>
                <w:rFonts w:ascii="Arial" w:cs="Arial" w:eastAsia="Arial" w:hAnsi="Arial"/>
                <w:sz w:val="15"/>
                <w:szCs w:val="15"/>
                <w:color w:val="auto"/>
              </w:rPr>
              <w:t xml:space="preserve">Income approach </w:t>
            </w:r>
            <w:r>
              <w:rPr>
                <w:rFonts w:ascii="Arial" w:cs="Arial" w:eastAsia="Arial" w:hAnsi="Arial"/>
                <w:sz w:val="24"/>
                <w:szCs w:val="24"/>
                <w:color w:val="auto"/>
                <w:vertAlign w:val="superscript"/>
              </w:rPr>
              <w:t>(1)</w:t>
            </w:r>
          </w:p>
        </w:tc>
        <w:tc>
          <w:tcPr>
            <w:tcW w:w="194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Discount rate</w:t>
            </w: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w:t>
            </w:r>
          </w:p>
        </w:tc>
        <w:tc>
          <w:tcPr>
            <w:tcW w:w="680" w:type="dxa"/>
            <w:vAlign w:val="bottom"/>
            <w:shd w:val="clear" w:color="auto" w:fill="CFF0FC"/>
          </w:tcPr>
          <w:p>
            <w:pPr>
              <w:ind w:left="20"/>
              <w:spacing w:after="0"/>
              <w:rPr>
                <w:sz w:val="20"/>
                <w:szCs w:val="20"/>
                <w:color w:val="auto"/>
              </w:rPr>
            </w:pPr>
            <w:r>
              <w:rPr>
                <w:rFonts w:ascii="Arial" w:cs="Arial" w:eastAsia="Arial" w:hAnsi="Arial"/>
                <w:sz w:val="16"/>
                <w:szCs w:val="16"/>
                <w:color w:val="auto"/>
                <w:w w:val="97"/>
              </w:rPr>
              <w:t>— 22.5%</w:t>
            </w:r>
          </w:p>
        </w:tc>
        <w:tc>
          <w:tcPr>
            <w:tcW w:w="720" w:type="dxa"/>
            <w:vAlign w:val="bottom"/>
            <w:shd w:val="clear" w:color="auto" w:fill="CFF0FC"/>
          </w:tcPr>
          <w:p>
            <w:pPr>
              <w:spacing w:after="0"/>
              <w:rPr>
                <w:sz w:val="20"/>
                <w:szCs w:val="20"/>
                <w:color w:val="auto"/>
              </w:rPr>
            </w:pPr>
            <w:r>
              <w:rPr>
                <w:rFonts w:ascii="Arial" w:cs="Arial" w:eastAsia="Arial" w:hAnsi="Arial"/>
                <w:sz w:val="16"/>
                <w:szCs w:val="16"/>
                <w:color w:val="auto"/>
              </w:rPr>
              <w:t>(9.4%)</w:t>
            </w:r>
          </w:p>
        </w:tc>
        <w:tc>
          <w:tcPr>
            <w:tcW w:w="180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Decrease</w:t>
            </w:r>
          </w:p>
        </w:tc>
        <w:tc>
          <w:tcPr>
            <w:tcW w:w="0" w:type="dxa"/>
            <w:vAlign w:val="bottom"/>
          </w:tcPr>
          <w:p>
            <w:pPr>
              <w:spacing w:after="0"/>
              <w:rPr>
                <w:sz w:val="1"/>
                <w:szCs w:val="1"/>
                <w:color w:val="auto"/>
              </w:rPr>
            </w:pPr>
          </w:p>
        </w:tc>
      </w:tr>
      <w:tr>
        <w:trPr>
          <w:trHeight w:val="213"/>
        </w:trPr>
        <w:tc>
          <w:tcPr>
            <w:tcW w:w="2760" w:type="dxa"/>
            <w:vAlign w:val="bottom"/>
          </w:tcPr>
          <w:p>
            <w:pPr>
              <w:spacing w:after="0"/>
              <w:rPr>
                <w:sz w:val="20"/>
                <w:szCs w:val="20"/>
                <w:color w:val="auto"/>
              </w:rPr>
            </w:pPr>
            <w:r>
              <w:rPr>
                <w:rFonts w:ascii="Arial" w:cs="Arial" w:eastAsia="Arial" w:hAnsi="Arial"/>
                <w:sz w:val="16"/>
                <w:szCs w:val="16"/>
                <w:color w:val="auto"/>
              </w:rPr>
              <w:t>Second-lien debt investments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9,201</w:t>
            </w:r>
          </w:p>
        </w:tc>
        <w:tc>
          <w:tcPr>
            <w:tcW w:w="200" w:type="dxa"/>
            <w:vAlign w:val="bottom"/>
          </w:tcPr>
          <w:p>
            <w:pPr>
              <w:spacing w:after="0"/>
              <w:rPr>
                <w:sz w:val="18"/>
                <w:szCs w:val="18"/>
                <w:color w:val="auto"/>
              </w:rPr>
            </w:pPr>
          </w:p>
        </w:tc>
        <w:tc>
          <w:tcPr>
            <w:tcW w:w="1800" w:type="dxa"/>
            <w:vAlign w:val="bottom"/>
            <w:gridSpan w:val="2"/>
          </w:tcPr>
          <w:p>
            <w:pPr>
              <w:spacing w:after="0"/>
              <w:rPr>
                <w:sz w:val="20"/>
                <w:szCs w:val="20"/>
                <w:color w:val="auto"/>
              </w:rPr>
            </w:pPr>
            <w:r>
              <w:rPr>
                <w:rFonts w:ascii="Arial" w:cs="Arial" w:eastAsia="Arial" w:hAnsi="Arial"/>
                <w:sz w:val="16"/>
                <w:szCs w:val="16"/>
                <w:color w:val="auto"/>
              </w:rPr>
              <w:t>Income approach</w:t>
            </w:r>
          </w:p>
        </w:tc>
        <w:tc>
          <w:tcPr>
            <w:tcW w:w="1940" w:type="dxa"/>
            <w:vAlign w:val="bottom"/>
            <w:gridSpan w:val="3"/>
          </w:tcPr>
          <w:p>
            <w:pPr>
              <w:spacing w:after="0"/>
              <w:rPr>
                <w:sz w:val="20"/>
                <w:szCs w:val="20"/>
                <w:color w:val="auto"/>
              </w:rPr>
            </w:pPr>
            <w:r>
              <w:rPr>
                <w:rFonts w:ascii="Arial" w:cs="Arial" w:eastAsia="Arial" w:hAnsi="Arial"/>
                <w:sz w:val="16"/>
                <w:szCs w:val="16"/>
                <w:color w:val="auto"/>
              </w:rPr>
              <w:t>Discount rate</w:t>
            </w:r>
          </w:p>
        </w:tc>
        <w:tc>
          <w:tcPr>
            <w:tcW w:w="440" w:type="dxa"/>
            <w:vAlign w:val="bottom"/>
          </w:tcPr>
          <w:p>
            <w:pPr>
              <w:jc w:val="right"/>
              <w:spacing w:after="0"/>
              <w:rPr>
                <w:sz w:val="20"/>
                <w:szCs w:val="20"/>
                <w:color w:val="auto"/>
              </w:rPr>
            </w:pPr>
            <w:r>
              <w:rPr>
                <w:rFonts w:ascii="Arial" w:cs="Arial" w:eastAsia="Arial" w:hAnsi="Arial"/>
                <w:sz w:val="16"/>
                <w:szCs w:val="16"/>
                <w:color w:val="auto"/>
                <w:w w:val="88"/>
              </w:rPr>
              <w:t>12.1%</w:t>
            </w:r>
          </w:p>
        </w:tc>
        <w:tc>
          <w:tcPr>
            <w:tcW w:w="680" w:type="dxa"/>
            <w:vAlign w:val="bottom"/>
          </w:tcPr>
          <w:p>
            <w:pPr>
              <w:ind w:left="20"/>
              <w:spacing w:after="0"/>
              <w:rPr>
                <w:sz w:val="20"/>
                <w:szCs w:val="20"/>
                <w:color w:val="auto"/>
              </w:rPr>
            </w:pPr>
            <w:r>
              <w:rPr>
                <w:rFonts w:ascii="Arial" w:cs="Arial" w:eastAsia="Arial" w:hAnsi="Arial"/>
                <w:sz w:val="16"/>
                <w:szCs w:val="16"/>
                <w:color w:val="auto"/>
                <w:w w:val="97"/>
              </w:rPr>
              <w:t>— 12.7%</w:t>
            </w:r>
          </w:p>
        </w:tc>
        <w:tc>
          <w:tcPr>
            <w:tcW w:w="720" w:type="dxa"/>
            <w:vAlign w:val="bottom"/>
          </w:tcPr>
          <w:p>
            <w:pPr>
              <w:spacing w:after="0"/>
              <w:rPr>
                <w:sz w:val="20"/>
                <w:szCs w:val="20"/>
                <w:color w:val="auto"/>
              </w:rPr>
            </w:pPr>
            <w:r>
              <w:rPr>
                <w:rFonts w:ascii="Arial" w:cs="Arial" w:eastAsia="Arial" w:hAnsi="Arial"/>
                <w:sz w:val="16"/>
                <w:szCs w:val="16"/>
                <w:color w:val="auto"/>
              </w:rPr>
              <w:t>(12.4%)</w:t>
            </w:r>
          </w:p>
        </w:tc>
        <w:tc>
          <w:tcPr>
            <w:tcW w:w="1800" w:type="dxa"/>
            <w:vAlign w:val="bottom"/>
            <w:gridSpan w:val="2"/>
          </w:tcPr>
          <w:p>
            <w:pPr>
              <w:ind w:left="120"/>
              <w:spacing w:after="0"/>
              <w:rPr>
                <w:sz w:val="20"/>
                <w:szCs w:val="20"/>
                <w:color w:val="auto"/>
              </w:rPr>
            </w:pPr>
            <w:r>
              <w:rPr>
                <w:rFonts w:ascii="Arial" w:cs="Arial" w:eastAsia="Arial" w:hAnsi="Arial"/>
                <w:sz w:val="16"/>
                <w:szCs w:val="16"/>
                <w:color w:val="auto"/>
              </w:rPr>
              <w:t>Decrease</w:t>
            </w:r>
          </w:p>
        </w:tc>
        <w:tc>
          <w:tcPr>
            <w:tcW w:w="0" w:type="dxa"/>
            <w:vAlign w:val="bottom"/>
          </w:tcPr>
          <w:p>
            <w:pPr>
              <w:spacing w:after="0"/>
              <w:rPr>
                <w:sz w:val="1"/>
                <w:szCs w:val="1"/>
                <w:color w:val="auto"/>
              </w:rPr>
            </w:pPr>
          </w:p>
        </w:tc>
      </w:tr>
      <w:tr>
        <w:trPr>
          <w:trHeight w:val="219"/>
        </w:trPr>
        <w:tc>
          <w:tcPr>
            <w:tcW w:w="2760" w:type="dxa"/>
            <w:vAlign w:val="bottom"/>
            <w:shd w:val="clear" w:color="auto" w:fill="CFF0FC"/>
          </w:tcPr>
          <w:p>
            <w:pPr>
              <w:spacing w:after="0"/>
              <w:rPr>
                <w:sz w:val="20"/>
                <w:szCs w:val="20"/>
                <w:color w:val="auto"/>
              </w:rPr>
            </w:pPr>
            <w:r>
              <w:rPr>
                <w:rFonts w:ascii="Arial" w:cs="Arial" w:eastAsia="Arial" w:hAnsi="Arial"/>
                <w:sz w:val="16"/>
                <w:szCs w:val="16"/>
                <w:color w:val="auto"/>
              </w:rPr>
              <w:t>Mezzanine debt investments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9,417</w:t>
            </w:r>
          </w:p>
        </w:tc>
        <w:tc>
          <w:tcPr>
            <w:tcW w:w="20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spacing w:after="0" w:line="218" w:lineRule="exact"/>
              <w:rPr>
                <w:sz w:val="20"/>
                <w:szCs w:val="20"/>
                <w:color w:val="auto"/>
              </w:rPr>
            </w:pPr>
            <w:r>
              <w:rPr>
                <w:rFonts w:ascii="Arial" w:cs="Arial" w:eastAsia="Arial" w:hAnsi="Arial"/>
                <w:sz w:val="15"/>
                <w:szCs w:val="15"/>
                <w:color w:val="auto"/>
              </w:rPr>
              <w:t xml:space="preserve">Income approach </w:t>
            </w:r>
            <w:r>
              <w:rPr>
                <w:rFonts w:ascii="Arial" w:cs="Arial" w:eastAsia="Arial" w:hAnsi="Arial"/>
                <w:sz w:val="25"/>
                <w:szCs w:val="25"/>
                <w:color w:val="auto"/>
                <w:vertAlign w:val="superscript"/>
              </w:rPr>
              <w:t>(2)</w:t>
            </w:r>
          </w:p>
        </w:tc>
        <w:tc>
          <w:tcPr>
            <w:tcW w:w="194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Discount rate</w:t>
            </w: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8"/>
              </w:rPr>
              <w:t>10.6%</w:t>
            </w:r>
          </w:p>
        </w:tc>
        <w:tc>
          <w:tcPr>
            <w:tcW w:w="680" w:type="dxa"/>
            <w:vAlign w:val="bottom"/>
            <w:shd w:val="clear" w:color="auto" w:fill="CFF0FC"/>
          </w:tcPr>
          <w:p>
            <w:pPr>
              <w:ind w:left="20"/>
              <w:spacing w:after="0"/>
              <w:rPr>
                <w:sz w:val="20"/>
                <w:szCs w:val="20"/>
                <w:color w:val="auto"/>
              </w:rPr>
            </w:pPr>
            <w:r>
              <w:rPr>
                <w:rFonts w:ascii="Arial" w:cs="Arial" w:eastAsia="Arial" w:hAnsi="Arial"/>
                <w:sz w:val="16"/>
                <w:szCs w:val="16"/>
                <w:color w:val="auto"/>
                <w:w w:val="97"/>
              </w:rPr>
              <w:t>— 10.6%</w:t>
            </w:r>
          </w:p>
        </w:tc>
        <w:tc>
          <w:tcPr>
            <w:tcW w:w="720" w:type="dxa"/>
            <w:vAlign w:val="bottom"/>
            <w:shd w:val="clear" w:color="auto" w:fill="CFF0FC"/>
          </w:tcPr>
          <w:p>
            <w:pPr>
              <w:spacing w:after="0"/>
              <w:rPr>
                <w:sz w:val="20"/>
                <w:szCs w:val="20"/>
                <w:color w:val="auto"/>
              </w:rPr>
            </w:pPr>
            <w:r>
              <w:rPr>
                <w:rFonts w:ascii="Arial" w:cs="Arial" w:eastAsia="Arial" w:hAnsi="Arial"/>
                <w:sz w:val="16"/>
                <w:szCs w:val="16"/>
                <w:color w:val="auto"/>
              </w:rPr>
              <w:t>(10.6%)</w:t>
            </w:r>
          </w:p>
        </w:tc>
        <w:tc>
          <w:tcPr>
            <w:tcW w:w="180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Decrease</w:t>
            </w: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6"/>
                <w:szCs w:val="16"/>
                <w:color w:val="auto"/>
              </w:rPr>
              <w:t>Equity and other investments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77,286</w:t>
            </w:r>
          </w:p>
        </w:tc>
        <w:tc>
          <w:tcPr>
            <w:tcW w:w="200" w:type="dxa"/>
            <w:vAlign w:val="bottom"/>
          </w:tcPr>
          <w:p>
            <w:pPr>
              <w:spacing w:after="0"/>
              <w:rPr>
                <w:sz w:val="18"/>
                <w:szCs w:val="18"/>
                <w:color w:val="auto"/>
              </w:rPr>
            </w:pPr>
          </w:p>
        </w:tc>
        <w:tc>
          <w:tcPr>
            <w:tcW w:w="1800" w:type="dxa"/>
            <w:vAlign w:val="bottom"/>
            <w:gridSpan w:val="2"/>
          </w:tcPr>
          <w:p>
            <w:pPr>
              <w:spacing w:after="0" w:line="216" w:lineRule="exact"/>
              <w:rPr>
                <w:sz w:val="20"/>
                <w:szCs w:val="20"/>
                <w:color w:val="auto"/>
              </w:rPr>
            </w:pPr>
            <w:r>
              <w:rPr>
                <w:rFonts w:ascii="Arial" w:cs="Arial" w:eastAsia="Arial" w:hAnsi="Arial"/>
                <w:sz w:val="15"/>
                <w:szCs w:val="15"/>
                <w:color w:val="auto"/>
              </w:rPr>
              <w:t xml:space="preserve">Market Multiple </w:t>
            </w:r>
            <w:r>
              <w:rPr>
                <w:rFonts w:ascii="Arial" w:cs="Arial" w:eastAsia="Arial" w:hAnsi="Arial"/>
                <w:sz w:val="25"/>
                <w:szCs w:val="25"/>
                <w:color w:val="auto"/>
                <w:vertAlign w:val="superscript"/>
              </w:rPr>
              <w:t>(3)</w:t>
            </w:r>
          </w:p>
        </w:tc>
        <w:tc>
          <w:tcPr>
            <w:tcW w:w="1940" w:type="dxa"/>
            <w:vAlign w:val="bottom"/>
            <w:gridSpan w:val="3"/>
          </w:tcPr>
          <w:p>
            <w:pPr>
              <w:spacing w:after="0"/>
              <w:rPr>
                <w:sz w:val="20"/>
                <w:szCs w:val="20"/>
                <w:color w:val="auto"/>
              </w:rPr>
            </w:pPr>
            <w:r>
              <w:rPr>
                <w:rFonts w:ascii="Arial" w:cs="Arial" w:eastAsia="Arial" w:hAnsi="Arial"/>
                <w:sz w:val="16"/>
                <w:szCs w:val="16"/>
                <w:color w:val="auto"/>
              </w:rPr>
              <w:t>Comparable multiple</w:t>
            </w:r>
          </w:p>
        </w:tc>
        <w:tc>
          <w:tcPr>
            <w:tcW w:w="1840" w:type="dxa"/>
            <w:vAlign w:val="bottom"/>
            <w:gridSpan w:val="3"/>
          </w:tcPr>
          <w:p>
            <w:pPr>
              <w:jc w:val="center"/>
              <w:ind w:right="79"/>
              <w:spacing w:after="0"/>
              <w:rPr>
                <w:sz w:val="20"/>
                <w:szCs w:val="20"/>
                <w:color w:val="auto"/>
              </w:rPr>
            </w:pPr>
            <w:r>
              <w:rPr>
                <w:rFonts w:ascii="Arial" w:cs="Arial" w:eastAsia="Arial" w:hAnsi="Arial"/>
                <w:sz w:val="16"/>
                <w:szCs w:val="16"/>
                <w:color w:val="auto"/>
                <w:w w:val="94"/>
              </w:rPr>
              <w:t>3.5x — 14.4x (7.9x)</w:t>
            </w:r>
          </w:p>
        </w:tc>
        <w:tc>
          <w:tcPr>
            <w:tcW w:w="1800" w:type="dxa"/>
            <w:vAlign w:val="bottom"/>
            <w:gridSpan w:val="2"/>
          </w:tcPr>
          <w:p>
            <w:pPr>
              <w:ind w:left="120"/>
              <w:spacing w:after="0"/>
              <w:rPr>
                <w:sz w:val="20"/>
                <w:szCs w:val="20"/>
                <w:color w:val="auto"/>
              </w:rPr>
            </w:pPr>
            <w:r>
              <w:rPr>
                <w:rFonts w:ascii="Arial" w:cs="Arial" w:eastAsia="Arial" w:hAnsi="Arial"/>
                <w:sz w:val="16"/>
                <w:szCs w:val="16"/>
                <w:color w:val="auto"/>
              </w:rPr>
              <w:t>Increase</w:t>
            </w:r>
          </w:p>
        </w:tc>
        <w:tc>
          <w:tcPr>
            <w:tcW w:w="0" w:type="dxa"/>
            <w:vAlign w:val="bottom"/>
          </w:tcPr>
          <w:p>
            <w:pPr>
              <w:spacing w:after="0"/>
              <w:rPr>
                <w:sz w:val="1"/>
                <w:szCs w:val="1"/>
                <w:color w:val="auto"/>
              </w:rPr>
            </w:pPr>
          </w:p>
        </w:tc>
      </w:tr>
      <w:tr>
        <w:trPr>
          <w:trHeight w:val="206"/>
        </w:trPr>
        <w:tc>
          <w:tcPr>
            <w:tcW w:w="27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2,041,437</w:t>
            </w: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168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66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CFF0FC"/>
            </w:tcBorders>
            <w:shd w:val="clear" w:color="auto" w:fill="CFF0FC"/>
          </w:tcPr>
          <w:p>
            <w:pPr>
              <w:spacing w:after="0"/>
              <w:rPr>
                <w:sz w:val="17"/>
                <w:szCs w:val="17"/>
                <w:color w:val="auto"/>
              </w:rPr>
            </w:pPr>
          </w:p>
        </w:tc>
        <w:tc>
          <w:tcPr>
            <w:tcW w:w="440" w:type="dxa"/>
            <w:vAlign w:val="bottom"/>
            <w:tcBorders>
              <w:top w:val="single" w:sz="8" w:color="auto"/>
              <w:bottom w:val="single" w:sz="8" w:color="CFF0FC"/>
            </w:tcBorders>
            <w:shd w:val="clear" w:color="auto" w:fill="CFF0FC"/>
          </w:tcPr>
          <w:p>
            <w:pPr>
              <w:spacing w:after="0"/>
              <w:rPr>
                <w:sz w:val="17"/>
                <w:szCs w:val="17"/>
                <w:color w:val="auto"/>
              </w:rPr>
            </w:pPr>
          </w:p>
        </w:tc>
        <w:tc>
          <w:tcPr>
            <w:tcW w:w="680" w:type="dxa"/>
            <w:vAlign w:val="bottom"/>
            <w:tcBorders>
              <w:top w:val="single" w:sz="8" w:color="auto"/>
              <w:bottom w:val="single" w:sz="8" w:color="CFF0FC"/>
            </w:tcBorders>
            <w:shd w:val="clear" w:color="auto" w:fill="CFF0FC"/>
          </w:tcPr>
          <w:p>
            <w:pPr>
              <w:spacing w:after="0"/>
              <w:rPr>
                <w:sz w:val="17"/>
                <w:szCs w:val="17"/>
                <w:color w:val="auto"/>
              </w:rPr>
            </w:pPr>
          </w:p>
        </w:tc>
        <w:tc>
          <w:tcPr>
            <w:tcW w:w="72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680" w:type="dxa"/>
            <w:vAlign w:val="bottom"/>
            <w:tcBorders>
              <w:top w:val="single" w:sz="8" w:color="auto"/>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00" w:hanging="492"/>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$14.5 million of debt investments which were valued using an asset valuation waterfall.</w:t>
      </w:r>
    </w:p>
    <w:p>
      <w:pPr>
        <w:spacing w:after="0" w:line="49" w:lineRule="exact"/>
        <w:rPr>
          <w:rFonts w:ascii="Arial" w:cs="Arial" w:eastAsia="Arial" w:hAnsi="Arial"/>
          <w:sz w:val="18"/>
          <w:szCs w:val="18"/>
          <w:color w:val="auto"/>
        </w:rPr>
      </w:pPr>
    </w:p>
    <w:p>
      <w:pPr>
        <w:ind w:left="500" w:right="300" w:hanging="492"/>
        <w:spacing w:after="0" w:line="273"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$0.2 million of debt investments which, due to the proximity of the transactions relative to the measurement date, were valued using the cost of the investments and $4.3 million valued using a comparable multiple.</w:t>
      </w:r>
    </w:p>
    <w:p>
      <w:pPr>
        <w:spacing w:after="0" w:line="1" w:lineRule="exact"/>
        <w:rPr>
          <w:rFonts w:ascii="Arial" w:cs="Arial" w:eastAsia="Arial" w:hAnsi="Arial"/>
          <w:sz w:val="18"/>
          <w:szCs w:val="18"/>
          <w:color w:val="auto"/>
        </w:rPr>
      </w:pPr>
    </w:p>
    <w:p>
      <w:pPr>
        <w:ind w:left="500" w:right="60" w:hanging="492"/>
        <w:spacing w:after="0" w:line="286" w:lineRule="auto"/>
        <w:tabs>
          <w:tab w:leader="none" w:pos="5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Includes $0.2 million of equity investments which were valued using a weighted valuation approach, $3.2 million of equity investments using a Black-Scholes model, $15.2 million of equity investments using a discounted cash flow approach and $2.6 million of equity investments which, due to the proximity of the transactions relative to the measurement date, were valued using the cost of the investments.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type w:val="continuous"/>
        </w:sectPr>
      </w:pPr>
    </w:p>
    <w:bookmarkStart w:id="35" w:name="page36"/>
    <w:bookmarkEnd w:id="35"/>
    <w:tbl>
      <w:tblPr>
        <w:tblLayout w:type="fixed"/>
        <w:tblInd w:w="0" w:type="dxa"/>
        <w:tblCellMar>
          <w:top w:w="0" w:type="dxa"/>
          <w:left w:w="0" w:type="dxa"/>
          <w:bottom w:w="0" w:type="dxa"/>
          <w:right w:w="0" w:type="dxa"/>
        </w:tblCellMar>
      </w:tblPr>
      <w:tr>
        <w:trPr>
          <w:trHeight w:val="171"/>
        </w:trPr>
        <w:tc>
          <w:tcPr>
            <w:tcW w:w="2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w w:val="91"/>
              </w:rPr>
              <w:t>December 31, 2019</w:t>
            </w:r>
          </w:p>
        </w:tc>
        <w:tc>
          <w:tcPr>
            <w:tcW w:w="1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Valuation</w:t>
            </w:r>
          </w:p>
        </w:tc>
        <w:tc>
          <w:tcPr>
            <w:tcW w:w="1940" w:type="dxa"/>
            <w:vAlign w:val="bottom"/>
            <w:gridSpan w:val="3"/>
            <w:vMerge w:val="restart"/>
          </w:tcPr>
          <w:p>
            <w:pPr>
              <w:ind w:left="400"/>
              <w:spacing w:after="0"/>
              <w:rPr>
                <w:sz w:val="20"/>
                <w:szCs w:val="20"/>
                <w:color w:val="auto"/>
              </w:rPr>
            </w:pPr>
            <w:r>
              <w:rPr>
                <w:rFonts w:ascii="Arial" w:cs="Arial" w:eastAsia="Arial" w:hAnsi="Arial"/>
                <w:sz w:val="14"/>
                <w:szCs w:val="14"/>
                <w:b w:val="1"/>
                <w:bCs w:val="1"/>
                <w:color w:val="auto"/>
              </w:rPr>
              <w:t>Unobservable</w:t>
            </w:r>
          </w:p>
        </w:tc>
        <w:tc>
          <w:tcPr>
            <w:tcW w:w="1840" w:type="dxa"/>
            <w:vAlign w:val="bottom"/>
            <w:vMerge w:val="restart"/>
          </w:tcPr>
          <w:p>
            <w:pPr>
              <w:jc w:val="center"/>
              <w:ind w:right="102"/>
              <w:spacing w:after="0"/>
              <w:rPr>
                <w:sz w:val="20"/>
                <w:szCs w:val="20"/>
                <w:color w:val="auto"/>
              </w:rPr>
            </w:pPr>
            <w:r>
              <w:rPr>
                <w:rFonts w:ascii="Arial" w:cs="Arial" w:eastAsia="Arial" w:hAnsi="Arial"/>
                <w:sz w:val="14"/>
                <w:szCs w:val="14"/>
                <w:b w:val="1"/>
                <w:bCs w:val="1"/>
                <w:color w:val="auto"/>
                <w:w w:val="92"/>
              </w:rPr>
              <w:t>Range (Weighted</w:t>
            </w:r>
          </w:p>
        </w:tc>
        <w:tc>
          <w:tcPr>
            <w:tcW w:w="120" w:type="dxa"/>
            <w:vAlign w:val="bottom"/>
          </w:tcPr>
          <w:p>
            <w:pPr>
              <w:spacing w:after="0"/>
              <w:rPr>
                <w:sz w:val="11"/>
                <w:szCs w:val="11"/>
                <w:color w:val="auto"/>
              </w:rPr>
            </w:pPr>
          </w:p>
        </w:tc>
        <w:tc>
          <w:tcPr>
            <w:tcW w:w="16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Impact to Valuation</w:t>
            </w:r>
          </w:p>
        </w:tc>
        <w:tc>
          <w:tcPr>
            <w:tcW w:w="0" w:type="dxa"/>
            <w:vAlign w:val="bottom"/>
          </w:tcPr>
          <w:p>
            <w:pPr>
              <w:spacing w:after="0"/>
              <w:rPr>
                <w:sz w:val="1"/>
                <w:szCs w:val="1"/>
                <w:color w:val="auto"/>
              </w:rPr>
            </w:pPr>
          </w:p>
        </w:tc>
      </w:tr>
      <w:tr>
        <w:trPr>
          <w:trHeight w:val="162"/>
        </w:trPr>
        <w:tc>
          <w:tcPr>
            <w:tcW w:w="2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2"/>
            <w:vMerge w:val="continue"/>
          </w:tcPr>
          <w:p>
            <w:pPr>
              <w:spacing w:after="0"/>
              <w:rPr>
                <w:sz w:val="14"/>
                <w:szCs w:val="14"/>
                <w:color w:val="auto"/>
              </w:rPr>
            </w:pPr>
          </w:p>
        </w:tc>
        <w:tc>
          <w:tcPr>
            <w:tcW w:w="1940" w:type="dxa"/>
            <w:vAlign w:val="bottom"/>
            <w:gridSpan w:val="3"/>
            <w:vMerge w:val="continue"/>
          </w:tcPr>
          <w:p>
            <w:pPr>
              <w:spacing w:after="0"/>
              <w:rPr>
                <w:sz w:val="14"/>
                <w:szCs w:val="14"/>
                <w:color w:val="auto"/>
              </w:rPr>
            </w:pPr>
          </w:p>
        </w:tc>
        <w:tc>
          <w:tcPr>
            <w:tcW w:w="1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7"/>
              </w:rPr>
              <w:t>from an</w:t>
            </w:r>
          </w:p>
        </w:tc>
        <w:tc>
          <w:tcPr>
            <w:tcW w:w="0" w:type="dxa"/>
            <w:vAlign w:val="bottom"/>
          </w:tcPr>
          <w:p>
            <w:pPr>
              <w:spacing w:after="0"/>
              <w:rPr>
                <w:sz w:val="1"/>
                <w:szCs w:val="1"/>
                <w:color w:val="auto"/>
              </w:rPr>
            </w:pPr>
          </w:p>
        </w:tc>
      </w:tr>
      <w:tr>
        <w:trPr>
          <w:trHeight w:val="171"/>
        </w:trPr>
        <w:tc>
          <w:tcPr>
            <w:tcW w:w="27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w w:val="95"/>
              </w:rPr>
              <w:t>Fair Value</w:t>
            </w:r>
          </w:p>
        </w:tc>
        <w:tc>
          <w:tcPr>
            <w:tcW w:w="200" w:type="dxa"/>
            <w:vAlign w:val="bottom"/>
            <w:tcBorders>
              <w:bottom w:val="single" w:sz="8" w:color="CFF0FC"/>
            </w:tcBorders>
          </w:tcPr>
          <w:p>
            <w:pPr>
              <w:spacing w:after="0"/>
              <w:rPr>
                <w:sz w:val="14"/>
                <w:szCs w:val="14"/>
                <w:color w:val="auto"/>
              </w:rPr>
            </w:pPr>
          </w:p>
        </w:tc>
        <w:tc>
          <w:tcPr>
            <w:tcW w:w="168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Technique</w:t>
            </w:r>
          </w:p>
        </w:tc>
        <w:tc>
          <w:tcPr>
            <w:tcW w:w="120" w:type="dxa"/>
            <w:vAlign w:val="bottom"/>
            <w:tcBorders>
              <w:bottom w:val="single" w:sz="8" w:color="CFF0FC"/>
            </w:tcBorders>
          </w:tcPr>
          <w:p>
            <w:pPr>
              <w:spacing w:after="0"/>
              <w:rPr>
                <w:sz w:val="14"/>
                <w:szCs w:val="14"/>
                <w:color w:val="auto"/>
              </w:rPr>
            </w:pPr>
          </w:p>
        </w:tc>
        <w:tc>
          <w:tcPr>
            <w:tcW w:w="166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Input</w:t>
            </w:r>
          </w:p>
        </w:tc>
        <w:tc>
          <w:tcPr>
            <w:tcW w:w="1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0"/>
              </w:rPr>
              <w:t>Average)</w:t>
            </w:r>
          </w:p>
        </w:tc>
        <w:tc>
          <w:tcPr>
            <w:tcW w:w="120" w:type="dxa"/>
            <w:vAlign w:val="bottom"/>
            <w:tcBorders>
              <w:bottom w:val="single" w:sz="8" w:color="CFF0FC"/>
            </w:tcBorders>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Increase to Input</w:t>
            </w:r>
          </w:p>
        </w:tc>
        <w:tc>
          <w:tcPr>
            <w:tcW w:w="0" w:type="dxa"/>
            <w:vAlign w:val="bottom"/>
          </w:tcPr>
          <w:p>
            <w:pPr>
              <w:spacing w:after="0"/>
              <w:rPr>
                <w:sz w:val="1"/>
                <w:szCs w:val="1"/>
                <w:color w:val="auto"/>
              </w:rPr>
            </w:pPr>
          </w:p>
        </w:tc>
      </w:tr>
      <w:tr>
        <w:trPr>
          <w:trHeight w:val="209"/>
        </w:trPr>
        <w:tc>
          <w:tcPr>
            <w:tcW w:w="2760" w:type="dxa"/>
            <w:vAlign w:val="bottom"/>
            <w:shd w:val="clear" w:color="auto" w:fill="CFF0FC"/>
          </w:tcPr>
          <w:p>
            <w:pPr>
              <w:spacing w:after="0"/>
              <w:rPr>
                <w:sz w:val="20"/>
                <w:szCs w:val="20"/>
                <w:color w:val="auto"/>
              </w:rPr>
            </w:pPr>
            <w:r>
              <w:rPr>
                <w:rFonts w:ascii="Arial" w:cs="Arial" w:eastAsia="Arial" w:hAnsi="Arial"/>
                <w:sz w:val="16"/>
                <w:szCs w:val="16"/>
                <w:color w:val="auto"/>
              </w:rPr>
              <w:t>First-lien debt investments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2,158,927</w:t>
            </w:r>
          </w:p>
        </w:tc>
        <w:tc>
          <w:tcPr>
            <w:tcW w:w="20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spacing w:after="0" w:line="210" w:lineRule="exact"/>
              <w:rPr>
                <w:sz w:val="20"/>
                <w:szCs w:val="20"/>
                <w:color w:val="auto"/>
              </w:rPr>
            </w:pPr>
            <w:r>
              <w:rPr>
                <w:rFonts w:ascii="Arial" w:cs="Arial" w:eastAsia="Arial" w:hAnsi="Arial"/>
                <w:sz w:val="15"/>
                <w:szCs w:val="15"/>
                <w:color w:val="auto"/>
              </w:rPr>
              <w:t xml:space="preserve">Income approach </w:t>
            </w:r>
            <w:r>
              <w:rPr>
                <w:rFonts w:ascii="Arial" w:cs="Arial" w:eastAsia="Arial" w:hAnsi="Arial"/>
                <w:sz w:val="24"/>
                <w:szCs w:val="24"/>
                <w:color w:val="auto"/>
                <w:vertAlign w:val="superscript"/>
              </w:rPr>
              <w:t>(1)</w:t>
            </w:r>
          </w:p>
        </w:tc>
        <w:tc>
          <w:tcPr>
            <w:tcW w:w="194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Discount rate</w:t>
            </w:r>
          </w:p>
        </w:tc>
        <w:tc>
          <w:tcPr>
            <w:tcW w:w="1840" w:type="dxa"/>
            <w:vAlign w:val="bottom"/>
            <w:shd w:val="clear" w:color="auto" w:fill="CFF0FC"/>
          </w:tcPr>
          <w:p>
            <w:pPr>
              <w:jc w:val="center"/>
              <w:ind w:right="102"/>
              <w:spacing w:after="0"/>
              <w:rPr>
                <w:sz w:val="20"/>
                <w:szCs w:val="20"/>
                <w:color w:val="auto"/>
              </w:rPr>
            </w:pPr>
            <w:r>
              <w:rPr>
                <w:rFonts w:ascii="Arial" w:cs="Arial" w:eastAsia="Arial" w:hAnsi="Arial"/>
                <w:sz w:val="16"/>
                <w:szCs w:val="16"/>
                <w:color w:val="auto"/>
                <w:w w:val="94"/>
              </w:rPr>
              <w:t>5.5% — 17.9% (10.0%)</w:t>
            </w:r>
          </w:p>
        </w:tc>
        <w:tc>
          <w:tcPr>
            <w:tcW w:w="180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Decrease</w:t>
            </w:r>
          </w:p>
        </w:tc>
        <w:tc>
          <w:tcPr>
            <w:tcW w:w="0" w:type="dxa"/>
            <w:vAlign w:val="bottom"/>
          </w:tcPr>
          <w:p>
            <w:pPr>
              <w:spacing w:after="0"/>
              <w:rPr>
                <w:sz w:val="1"/>
                <w:szCs w:val="1"/>
                <w:color w:val="auto"/>
              </w:rPr>
            </w:pPr>
          </w:p>
        </w:tc>
      </w:tr>
      <w:tr>
        <w:trPr>
          <w:trHeight w:val="213"/>
        </w:trPr>
        <w:tc>
          <w:tcPr>
            <w:tcW w:w="2760" w:type="dxa"/>
            <w:vAlign w:val="bottom"/>
          </w:tcPr>
          <w:p>
            <w:pPr>
              <w:spacing w:after="0"/>
              <w:rPr>
                <w:sz w:val="20"/>
                <w:szCs w:val="20"/>
                <w:color w:val="auto"/>
              </w:rPr>
            </w:pPr>
            <w:r>
              <w:rPr>
                <w:rFonts w:ascii="Arial" w:cs="Arial" w:eastAsia="Arial" w:hAnsi="Arial"/>
                <w:sz w:val="16"/>
                <w:szCs w:val="16"/>
                <w:color w:val="auto"/>
              </w:rPr>
              <w:t>Second-lien debt investments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4,147</w:t>
            </w:r>
          </w:p>
        </w:tc>
        <w:tc>
          <w:tcPr>
            <w:tcW w:w="200" w:type="dxa"/>
            <w:vAlign w:val="bottom"/>
          </w:tcPr>
          <w:p>
            <w:pPr>
              <w:spacing w:after="0"/>
              <w:rPr>
                <w:sz w:val="18"/>
                <w:szCs w:val="18"/>
                <w:color w:val="auto"/>
              </w:rPr>
            </w:pPr>
          </w:p>
        </w:tc>
        <w:tc>
          <w:tcPr>
            <w:tcW w:w="1800" w:type="dxa"/>
            <w:vAlign w:val="bottom"/>
            <w:gridSpan w:val="2"/>
          </w:tcPr>
          <w:p>
            <w:pPr>
              <w:spacing w:after="0"/>
              <w:rPr>
                <w:sz w:val="20"/>
                <w:szCs w:val="20"/>
                <w:color w:val="auto"/>
              </w:rPr>
            </w:pPr>
            <w:r>
              <w:rPr>
                <w:rFonts w:ascii="Arial" w:cs="Arial" w:eastAsia="Arial" w:hAnsi="Arial"/>
                <w:sz w:val="16"/>
                <w:szCs w:val="16"/>
                <w:color w:val="auto"/>
              </w:rPr>
              <w:t>Income approach</w:t>
            </w:r>
          </w:p>
        </w:tc>
        <w:tc>
          <w:tcPr>
            <w:tcW w:w="1940" w:type="dxa"/>
            <w:vAlign w:val="bottom"/>
            <w:gridSpan w:val="3"/>
          </w:tcPr>
          <w:p>
            <w:pPr>
              <w:spacing w:after="0"/>
              <w:rPr>
                <w:sz w:val="20"/>
                <w:szCs w:val="20"/>
                <w:color w:val="auto"/>
              </w:rPr>
            </w:pPr>
            <w:r>
              <w:rPr>
                <w:rFonts w:ascii="Arial" w:cs="Arial" w:eastAsia="Arial" w:hAnsi="Arial"/>
                <w:sz w:val="16"/>
                <w:szCs w:val="16"/>
                <w:color w:val="auto"/>
              </w:rPr>
              <w:t>Discount rate</w:t>
            </w:r>
          </w:p>
        </w:tc>
        <w:tc>
          <w:tcPr>
            <w:tcW w:w="1840" w:type="dxa"/>
            <w:vAlign w:val="bottom"/>
          </w:tcPr>
          <w:p>
            <w:pPr>
              <w:jc w:val="center"/>
              <w:ind w:right="102"/>
              <w:spacing w:after="0"/>
              <w:rPr>
                <w:sz w:val="20"/>
                <w:szCs w:val="20"/>
                <w:color w:val="auto"/>
              </w:rPr>
            </w:pPr>
            <w:r>
              <w:rPr>
                <w:rFonts w:ascii="Arial" w:cs="Arial" w:eastAsia="Arial" w:hAnsi="Arial"/>
                <w:sz w:val="16"/>
                <w:szCs w:val="16"/>
                <w:color w:val="auto"/>
                <w:w w:val="94"/>
              </w:rPr>
              <w:t>14.9% — 14.9% (14.9%)</w:t>
            </w:r>
          </w:p>
        </w:tc>
        <w:tc>
          <w:tcPr>
            <w:tcW w:w="1800" w:type="dxa"/>
            <w:vAlign w:val="bottom"/>
            <w:gridSpan w:val="2"/>
          </w:tcPr>
          <w:p>
            <w:pPr>
              <w:ind w:left="120"/>
              <w:spacing w:after="0"/>
              <w:rPr>
                <w:sz w:val="20"/>
                <w:szCs w:val="20"/>
                <w:color w:val="auto"/>
              </w:rPr>
            </w:pPr>
            <w:r>
              <w:rPr>
                <w:rFonts w:ascii="Arial" w:cs="Arial" w:eastAsia="Arial" w:hAnsi="Arial"/>
                <w:sz w:val="16"/>
                <w:szCs w:val="16"/>
                <w:color w:val="auto"/>
              </w:rPr>
              <w:t>Decrease</w:t>
            </w:r>
          </w:p>
        </w:tc>
        <w:tc>
          <w:tcPr>
            <w:tcW w:w="0" w:type="dxa"/>
            <w:vAlign w:val="bottom"/>
          </w:tcPr>
          <w:p>
            <w:pPr>
              <w:spacing w:after="0"/>
              <w:rPr>
                <w:sz w:val="1"/>
                <w:szCs w:val="1"/>
                <w:color w:val="auto"/>
              </w:rPr>
            </w:pPr>
          </w:p>
        </w:tc>
      </w:tr>
      <w:tr>
        <w:trPr>
          <w:trHeight w:val="219"/>
        </w:trPr>
        <w:tc>
          <w:tcPr>
            <w:tcW w:w="2760" w:type="dxa"/>
            <w:vAlign w:val="bottom"/>
            <w:shd w:val="clear" w:color="auto" w:fill="CFF0FC"/>
          </w:tcPr>
          <w:p>
            <w:pPr>
              <w:spacing w:after="0"/>
              <w:rPr>
                <w:sz w:val="20"/>
                <w:szCs w:val="20"/>
                <w:color w:val="auto"/>
              </w:rPr>
            </w:pPr>
            <w:r>
              <w:rPr>
                <w:rFonts w:ascii="Arial" w:cs="Arial" w:eastAsia="Arial" w:hAnsi="Arial"/>
                <w:sz w:val="16"/>
                <w:szCs w:val="16"/>
                <w:color w:val="auto"/>
              </w:rPr>
              <w:t>Mezzanine debt investments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2,550</w:t>
            </w:r>
          </w:p>
        </w:tc>
        <w:tc>
          <w:tcPr>
            <w:tcW w:w="20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Income approach</w:t>
            </w:r>
          </w:p>
        </w:tc>
        <w:tc>
          <w:tcPr>
            <w:tcW w:w="194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Discount rate</w:t>
            </w:r>
          </w:p>
        </w:tc>
        <w:tc>
          <w:tcPr>
            <w:tcW w:w="1840" w:type="dxa"/>
            <w:vAlign w:val="bottom"/>
            <w:shd w:val="clear" w:color="auto" w:fill="CFF0FC"/>
          </w:tcPr>
          <w:p>
            <w:pPr>
              <w:jc w:val="center"/>
              <w:ind w:right="102"/>
              <w:spacing w:after="0"/>
              <w:rPr>
                <w:sz w:val="20"/>
                <w:szCs w:val="20"/>
                <w:color w:val="auto"/>
              </w:rPr>
            </w:pPr>
            <w:r>
              <w:rPr>
                <w:rFonts w:ascii="Arial" w:cs="Arial" w:eastAsia="Arial" w:hAnsi="Arial"/>
                <w:sz w:val="16"/>
                <w:szCs w:val="16"/>
                <w:color w:val="auto"/>
                <w:w w:val="94"/>
              </w:rPr>
              <w:t>16.4% — 16.4% (16.4%)</w:t>
            </w:r>
          </w:p>
        </w:tc>
        <w:tc>
          <w:tcPr>
            <w:tcW w:w="180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Decrease</w:t>
            </w: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6"/>
                <w:szCs w:val="16"/>
                <w:color w:val="auto"/>
              </w:rPr>
              <w:t>Equity and other investments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63,107</w:t>
            </w:r>
          </w:p>
        </w:tc>
        <w:tc>
          <w:tcPr>
            <w:tcW w:w="200" w:type="dxa"/>
            <w:vAlign w:val="bottom"/>
          </w:tcPr>
          <w:p>
            <w:pPr>
              <w:spacing w:after="0"/>
              <w:rPr>
                <w:sz w:val="18"/>
                <w:szCs w:val="18"/>
                <w:color w:val="auto"/>
              </w:rPr>
            </w:pPr>
          </w:p>
        </w:tc>
        <w:tc>
          <w:tcPr>
            <w:tcW w:w="1800" w:type="dxa"/>
            <w:vAlign w:val="bottom"/>
            <w:gridSpan w:val="2"/>
          </w:tcPr>
          <w:p>
            <w:pPr>
              <w:spacing w:after="0" w:line="216" w:lineRule="exact"/>
              <w:rPr>
                <w:sz w:val="20"/>
                <w:szCs w:val="20"/>
                <w:color w:val="auto"/>
              </w:rPr>
            </w:pPr>
            <w:r>
              <w:rPr>
                <w:rFonts w:ascii="Arial" w:cs="Arial" w:eastAsia="Arial" w:hAnsi="Arial"/>
                <w:sz w:val="15"/>
                <w:szCs w:val="15"/>
                <w:color w:val="auto"/>
              </w:rPr>
              <w:t xml:space="preserve">Market Multiple </w:t>
            </w:r>
            <w:r>
              <w:rPr>
                <w:rFonts w:ascii="Arial" w:cs="Arial" w:eastAsia="Arial" w:hAnsi="Arial"/>
                <w:sz w:val="25"/>
                <w:szCs w:val="25"/>
                <w:color w:val="auto"/>
                <w:vertAlign w:val="superscript"/>
              </w:rPr>
              <w:t>(2)</w:t>
            </w:r>
          </w:p>
        </w:tc>
        <w:tc>
          <w:tcPr>
            <w:tcW w:w="1940" w:type="dxa"/>
            <w:vAlign w:val="bottom"/>
            <w:gridSpan w:val="3"/>
          </w:tcPr>
          <w:p>
            <w:pPr>
              <w:spacing w:after="0"/>
              <w:rPr>
                <w:sz w:val="20"/>
                <w:szCs w:val="20"/>
                <w:color w:val="auto"/>
              </w:rPr>
            </w:pPr>
            <w:r>
              <w:rPr>
                <w:rFonts w:ascii="Arial" w:cs="Arial" w:eastAsia="Arial" w:hAnsi="Arial"/>
                <w:sz w:val="16"/>
                <w:szCs w:val="16"/>
                <w:color w:val="auto"/>
              </w:rPr>
              <w:t>Comparable multiple</w:t>
            </w:r>
          </w:p>
        </w:tc>
        <w:tc>
          <w:tcPr>
            <w:tcW w:w="1840" w:type="dxa"/>
            <w:vAlign w:val="bottom"/>
          </w:tcPr>
          <w:p>
            <w:pPr>
              <w:jc w:val="center"/>
              <w:ind w:right="82"/>
              <w:spacing w:after="0"/>
              <w:rPr>
                <w:sz w:val="20"/>
                <w:szCs w:val="20"/>
                <w:color w:val="auto"/>
              </w:rPr>
            </w:pPr>
            <w:r>
              <w:rPr>
                <w:rFonts w:ascii="Arial" w:cs="Arial" w:eastAsia="Arial" w:hAnsi="Arial"/>
                <w:sz w:val="16"/>
                <w:szCs w:val="16"/>
                <w:color w:val="auto"/>
                <w:w w:val="94"/>
              </w:rPr>
              <w:t>3.0x — 14.5x (11.3x)</w:t>
            </w:r>
          </w:p>
        </w:tc>
        <w:tc>
          <w:tcPr>
            <w:tcW w:w="1800" w:type="dxa"/>
            <w:vAlign w:val="bottom"/>
            <w:gridSpan w:val="2"/>
          </w:tcPr>
          <w:p>
            <w:pPr>
              <w:ind w:left="120"/>
              <w:spacing w:after="0"/>
              <w:rPr>
                <w:sz w:val="20"/>
                <w:szCs w:val="20"/>
                <w:color w:val="auto"/>
              </w:rPr>
            </w:pPr>
            <w:r>
              <w:rPr>
                <w:rFonts w:ascii="Arial" w:cs="Arial" w:eastAsia="Arial" w:hAnsi="Arial"/>
                <w:sz w:val="16"/>
                <w:szCs w:val="16"/>
                <w:color w:val="auto"/>
              </w:rPr>
              <w:t>Increase</w:t>
            </w:r>
          </w:p>
        </w:tc>
        <w:tc>
          <w:tcPr>
            <w:tcW w:w="0" w:type="dxa"/>
            <w:vAlign w:val="bottom"/>
          </w:tcPr>
          <w:p>
            <w:pPr>
              <w:spacing w:after="0"/>
              <w:rPr>
                <w:sz w:val="1"/>
                <w:szCs w:val="1"/>
                <w:color w:val="auto"/>
              </w:rPr>
            </w:pPr>
          </w:p>
        </w:tc>
      </w:tr>
      <w:tr>
        <w:trPr>
          <w:trHeight w:val="207"/>
        </w:trPr>
        <w:tc>
          <w:tcPr>
            <w:tcW w:w="27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2,228,731</w:t>
            </w: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168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66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CFF0FC"/>
            </w:tcBorders>
            <w:shd w:val="clear" w:color="auto" w:fill="CFF0FC"/>
          </w:tcPr>
          <w:p>
            <w:pPr>
              <w:spacing w:after="0"/>
              <w:rPr>
                <w:sz w:val="17"/>
                <w:szCs w:val="17"/>
                <w:color w:val="auto"/>
              </w:rPr>
            </w:pPr>
          </w:p>
        </w:tc>
        <w:tc>
          <w:tcPr>
            <w:tcW w:w="184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680" w:type="dxa"/>
            <w:vAlign w:val="bottom"/>
            <w:tcBorders>
              <w:top w:val="single" w:sz="8" w:color="auto"/>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00" w:right="240" w:hanging="492"/>
        <w:spacing w:after="0" w:line="273"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$32.2 million of first-lien debt investments which, due to the proximity of the transactions relative to the measurement date, were valued using the cost of the investments.</w:t>
      </w:r>
    </w:p>
    <w:p>
      <w:pPr>
        <w:spacing w:after="0" w:line="1" w:lineRule="exact"/>
        <w:rPr>
          <w:rFonts w:ascii="Arial" w:cs="Arial" w:eastAsia="Arial" w:hAnsi="Arial"/>
          <w:sz w:val="18"/>
          <w:szCs w:val="18"/>
          <w:color w:val="auto"/>
        </w:rPr>
      </w:pPr>
    </w:p>
    <w:p>
      <w:pPr>
        <w:ind w:left="500" w:right="80" w:hanging="492"/>
        <w:spacing w:after="0" w:line="308" w:lineRule="auto"/>
        <w:tabs>
          <w:tab w:leader="none" w:pos="5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Includes $5.7 million of equity investments which were valued using a weighted valuation approach and $16.6 million of equity investments which, due to the proximity of the transactions relative to the measurement date, were valued using the cost of the investments.</w:t>
      </w:r>
    </w:p>
    <w:p>
      <w:pPr>
        <w:spacing w:after="0" w:line="146" w:lineRule="exact"/>
        <w:rPr>
          <w:sz w:val="20"/>
          <w:szCs w:val="20"/>
          <w:color w:val="auto"/>
        </w:rPr>
      </w:pPr>
    </w:p>
    <w:p>
      <w:pPr>
        <w:ind w:right="280" w:firstLine="255"/>
        <w:spacing w:after="0" w:line="275" w:lineRule="auto"/>
        <w:rPr>
          <w:sz w:val="20"/>
          <w:szCs w:val="20"/>
          <w:color w:val="auto"/>
        </w:rPr>
      </w:pPr>
      <w:r>
        <w:rPr>
          <w:rFonts w:ascii="Arial" w:cs="Arial" w:eastAsia="Arial" w:hAnsi="Arial"/>
          <w:sz w:val="17"/>
          <w:szCs w:val="17"/>
          <w:color w:val="auto"/>
        </w:rPr>
        <w:t>The Company typically determines the fair value of its performing Level 3 debt investments utilizing a yield analysis. In a yield analysis, a price is ascribed for each investment based upon an assessment of current and expected market yields for similar investments and risk profiles. Additional consideration is given to the expected life, portfolio company performance since close, and other terms and risks associated with an investment. Among other factors, a determinant of risk is the amount of leverage used by the portfolio company relative to the total enterprise value of the company, and the rights and remedies of our investment within each portfolio company’s capital structure.</w:t>
      </w:r>
    </w:p>
    <w:p>
      <w:pPr>
        <w:spacing w:after="0" w:line="176" w:lineRule="exact"/>
        <w:rPr>
          <w:sz w:val="20"/>
          <w:szCs w:val="20"/>
          <w:color w:val="auto"/>
        </w:rPr>
      </w:pPr>
    </w:p>
    <w:p>
      <w:pPr>
        <w:ind w:right="240" w:firstLine="255"/>
        <w:spacing w:after="0" w:line="273" w:lineRule="auto"/>
        <w:rPr>
          <w:sz w:val="20"/>
          <w:szCs w:val="20"/>
          <w:color w:val="auto"/>
        </w:rPr>
      </w:pPr>
      <w:r>
        <w:rPr>
          <w:rFonts w:ascii="Arial" w:cs="Arial" w:eastAsia="Arial" w:hAnsi="Arial"/>
          <w:sz w:val="17"/>
          <w:szCs w:val="17"/>
          <w:color w:val="auto"/>
        </w:rPr>
        <w:t>Significant unobservable quantitative inputs typically considered in the fair value measurement of the Company’s Level 3 debt investments primarily include current market yields, including relevant market indices, but may also include quotes from brokers, dealers, and pricing services as indicated by comparable investments. If debt investments are credit impaired, an enterprise value analysis may be used to value such debt investments; however, in addition to the methods outlined above, other methods such as a liquidation or wind-down analysis may be utilized to estimate enterprise value. For the Company’s Level 3 equity investments, multiples of similar companies’ revenues, earnings before income taxes, depreciation and amortization (“EBITDA”) or some combination thereof and comparable market transactions are typically used.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Not Carried at Fair Value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Debt</w:t>
      </w:r>
    </w:p>
    <w:p>
      <w:pPr>
        <w:spacing w:after="0" w:line="117" w:lineRule="exact"/>
        <w:rPr>
          <w:sz w:val="20"/>
          <w:szCs w:val="20"/>
          <w:color w:val="auto"/>
        </w:rPr>
      </w:pPr>
    </w:p>
    <w:p>
      <w:pPr>
        <w:ind w:right="280" w:firstLine="255"/>
        <w:spacing w:after="0" w:line="277" w:lineRule="auto"/>
        <w:rPr>
          <w:sz w:val="20"/>
          <w:szCs w:val="20"/>
          <w:color w:val="auto"/>
        </w:rPr>
      </w:pPr>
      <w:r>
        <w:rPr>
          <w:rFonts w:ascii="Arial" w:cs="Arial" w:eastAsia="Arial" w:hAnsi="Arial"/>
          <w:sz w:val="18"/>
          <w:szCs w:val="18"/>
          <w:color w:val="auto"/>
        </w:rPr>
        <w:t>The fair value of the Company’s Revolving Credit Facility, which is categorized as Level 3 within the fair value hierarchy, as of September 30, 2020 and December 31, 2019, approximates its carrying value as the outstanding balance is callable at carrying value.</w:t>
      </w:r>
    </w:p>
    <w:p>
      <w:pPr>
        <w:spacing w:after="0" w:line="170" w:lineRule="exact"/>
        <w:rPr>
          <w:sz w:val="20"/>
          <w:szCs w:val="20"/>
          <w:color w:val="auto"/>
        </w:rPr>
      </w:pPr>
    </w:p>
    <w:p>
      <w:pPr>
        <w:ind w:right="20" w:firstLine="255"/>
        <w:spacing w:after="0" w:line="259" w:lineRule="auto"/>
        <w:rPr>
          <w:sz w:val="20"/>
          <w:szCs w:val="20"/>
          <w:color w:val="auto"/>
        </w:rPr>
      </w:pPr>
      <w:r>
        <w:rPr>
          <w:rFonts w:ascii="Arial" w:cs="Arial" w:eastAsia="Arial" w:hAnsi="Arial"/>
          <w:sz w:val="18"/>
          <w:szCs w:val="18"/>
          <w:color w:val="auto"/>
        </w:rPr>
        <w:t>The fair value of the Company’s 2022 Convertible Notes, 2023 Notes and 2024 Notes, which are categorized as Level 2 within the fair value hierarchy, as of September 30, 2020 and December 31, 2019, was $654.9 million and $640.1 million, respectively, based on broker quotes received by the Company. The aggregate principal amount of the Company’s 2022 Convertible Notes, 2023 Notes and 2024 Notes, as of September 30, 2020 and December 31, 2019, was $640.3 million and $622.5 million, respectively.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Other Financial Assets and Liabilities</w:t>
      </w:r>
    </w:p>
    <w:p>
      <w:pPr>
        <w:spacing w:after="0" w:line="117" w:lineRule="exact"/>
        <w:rPr>
          <w:sz w:val="20"/>
          <w:szCs w:val="20"/>
          <w:color w:val="auto"/>
        </w:rPr>
      </w:pPr>
    </w:p>
    <w:p>
      <w:pPr>
        <w:ind w:firstLine="255"/>
        <w:spacing w:after="0" w:line="259" w:lineRule="auto"/>
        <w:rPr>
          <w:sz w:val="20"/>
          <w:szCs w:val="20"/>
          <w:color w:val="auto"/>
        </w:rPr>
      </w:pPr>
      <w:r>
        <w:rPr>
          <w:rFonts w:ascii="Arial" w:cs="Arial" w:eastAsia="Arial" w:hAnsi="Arial"/>
          <w:sz w:val="18"/>
          <w:szCs w:val="18"/>
          <w:color w:val="auto"/>
        </w:rPr>
        <w:t>The carrying amounts of the Company’s assets and liabilities, other than investments at fair value and the 2022 Convertible Notes, 2023 Notes and 2024 Notes, approximate fair value due to their short maturities or their close proximity of the originations to the measurement date. Under the fair value hierarchy, cash and cash equivalents are classified as Level 1 while the Company’s other assets and liabilities, other than investments at fair value and Revolving Credit Facility, are classified as Level 2.</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121" w:lineRule="exact"/>
        <w:rPr>
          <w:sz w:val="20"/>
          <w:szCs w:val="20"/>
          <w:color w:val="auto"/>
        </w:rPr>
      </w:pPr>
    </w:p>
    <w:p>
      <w:pPr>
        <w:ind w:right="360" w:firstLine="255"/>
        <w:spacing w:after="0" w:line="263" w:lineRule="auto"/>
        <w:rPr>
          <w:sz w:val="20"/>
          <w:szCs w:val="20"/>
          <w:color w:val="auto"/>
        </w:rPr>
      </w:pPr>
      <w:r>
        <w:rPr>
          <w:rFonts w:ascii="Arial" w:cs="Arial" w:eastAsia="Arial" w:hAnsi="Arial"/>
          <w:sz w:val="18"/>
          <w:szCs w:val="18"/>
          <w:color w:val="auto"/>
        </w:rPr>
        <w:t>In accordance with the 1940 Act, with certain limitations, the Company is allowed to borrow amounts such that its asset coverage, as defined in the 1940 Act, is at least 150% after such borrowing. As of September 30, 2020 and December 31, 2019, the Company’s asset coverage was 222.7% and 200.4%, respectively.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36" w:name="page37"/>
    <w:bookmarkEnd w:id="36"/>
    <w:p>
      <w:pPr>
        <w:ind w:left="260"/>
        <w:spacing w:after="0"/>
        <w:rPr>
          <w:sz w:val="20"/>
          <w:szCs w:val="20"/>
          <w:color w:val="auto"/>
        </w:rPr>
      </w:pPr>
      <w:r>
        <w:rPr>
          <w:rFonts w:ascii="Arial" w:cs="Arial" w:eastAsia="Arial" w:hAnsi="Arial"/>
          <w:sz w:val="18"/>
          <w:szCs w:val="18"/>
          <w:color w:val="auto"/>
        </w:rPr>
        <w:t>Debt obligations consisted of the following as of September 30, 2020 and December 31, 2019:</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September 30, 2020</w:t>
            </w: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8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center"/>
              <w:ind w:right="58"/>
              <w:spacing w:after="0" w:line="133" w:lineRule="exact"/>
              <w:rPr>
                <w:sz w:val="20"/>
                <w:szCs w:val="20"/>
                <w:color w:val="auto"/>
              </w:rPr>
            </w:pPr>
            <w:r>
              <w:rPr>
                <w:rFonts w:ascii="Arial" w:cs="Arial" w:eastAsia="Arial" w:hAnsi="Arial"/>
                <w:sz w:val="14"/>
                <w:szCs w:val="14"/>
                <w:b w:val="1"/>
                <w:bCs w:val="1"/>
                <w:color w:val="auto"/>
                <w:w w:val="89"/>
              </w:rPr>
              <w:t>Aggregate</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7"/>
              </w:rPr>
              <w:t>Principal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Outstanding</w:t>
            </w:r>
          </w:p>
        </w:tc>
        <w:tc>
          <w:tcPr>
            <w:tcW w:w="140" w:type="dxa"/>
            <w:vAlign w:val="bottom"/>
          </w:tcPr>
          <w:p>
            <w:pPr>
              <w:spacing w:after="0"/>
              <w:rPr>
                <w:sz w:val="12"/>
                <w:szCs w:val="12"/>
                <w:color w:val="auto"/>
              </w:rPr>
            </w:pPr>
          </w:p>
        </w:tc>
        <w:tc>
          <w:tcPr>
            <w:tcW w:w="12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2"/>
                <w:szCs w:val="12"/>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58"/>
              <w:spacing w:after="0"/>
              <w:rPr>
                <w:sz w:val="20"/>
                <w:szCs w:val="20"/>
                <w:color w:val="auto"/>
              </w:rPr>
            </w:pPr>
            <w:r>
              <w:rPr>
                <w:rFonts w:ascii="Arial" w:cs="Arial" w:eastAsia="Arial" w:hAnsi="Arial"/>
                <w:sz w:val="14"/>
                <w:szCs w:val="14"/>
                <w:b w:val="1"/>
                <w:bCs w:val="1"/>
                <w:color w:val="auto"/>
                <w:w w:val="95"/>
              </w:rPr>
              <w:t>Committed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Principal</w:t>
            </w:r>
          </w:p>
        </w:tc>
        <w:tc>
          <w:tcPr>
            <w:tcW w:w="14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 xml:space="preserve">Available </w:t>
            </w:r>
            <w:r>
              <w:rPr>
                <w:rFonts w:ascii="Arial" w:cs="Arial" w:eastAsia="Arial" w:hAnsi="Arial"/>
                <w:sz w:val="12"/>
                <w:szCs w:val="12"/>
                <w:b w:val="1"/>
                <w:bCs w:val="1"/>
                <w:color w:val="auto"/>
                <w:w w:val="92"/>
              </w:rPr>
              <w:t>(1)</w:t>
            </w: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 xml:space="preserve">Value </w:t>
            </w:r>
            <w:r>
              <w:rPr>
                <w:rFonts w:ascii="Arial" w:cs="Arial" w:eastAsia="Arial" w:hAnsi="Arial"/>
                <w:sz w:val="12"/>
                <w:szCs w:val="12"/>
                <w:b w:val="1"/>
                <w:bCs w:val="1"/>
                <w:color w:val="auto"/>
                <w:w w:val="93"/>
              </w:rPr>
              <w:t>(2)(3)</w:t>
            </w:r>
          </w:p>
        </w:tc>
        <w:tc>
          <w:tcPr>
            <w:tcW w:w="0" w:type="dxa"/>
            <w:vAlign w:val="bottom"/>
          </w:tcPr>
          <w:p>
            <w:pPr>
              <w:spacing w:after="0"/>
              <w:rPr>
                <w:sz w:val="1"/>
                <w:szCs w:val="1"/>
                <w:color w:val="auto"/>
              </w:rPr>
            </w:pPr>
          </w:p>
        </w:tc>
      </w:tr>
      <w:tr>
        <w:trPr>
          <w:trHeight w:val="223"/>
        </w:trPr>
        <w:tc>
          <w:tcPr>
            <w:tcW w:w="51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1,315,000</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291,315</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1,023,685</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279,948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 w:type="dxa"/>
            <w:vAlign w:val="bottom"/>
          </w:tcPr>
          <w:p>
            <w:pPr>
              <w:spacing w:after="0"/>
              <w:rPr>
                <w:sz w:val="20"/>
                <w:szCs w:val="20"/>
                <w:color w:val="auto"/>
              </w:rPr>
            </w:pPr>
            <w:r>
              <w:rPr>
                <w:rFonts w:ascii="Arial" w:cs="Arial" w:eastAsia="Arial" w:hAnsi="Arial"/>
                <w:sz w:val="18"/>
                <w:szCs w:val="18"/>
                <w:color w:val="auto"/>
                <w:w w:val="89"/>
              </w:rPr>
              <w:t>2022</w:t>
            </w:r>
          </w:p>
        </w:tc>
        <w:tc>
          <w:tcPr>
            <w:tcW w:w="4780" w:type="dxa"/>
            <w:vAlign w:val="bottom"/>
          </w:tcPr>
          <w:p>
            <w:pPr>
              <w:ind w:left="20"/>
              <w:spacing w:after="0"/>
              <w:rPr>
                <w:sz w:val="20"/>
                <w:szCs w:val="20"/>
                <w:color w:val="auto"/>
              </w:rPr>
            </w:pPr>
            <w:r>
              <w:rPr>
                <w:rFonts w:ascii="Arial" w:cs="Arial" w:eastAsia="Arial" w:hAnsi="Arial"/>
                <w:sz w:val="18"/>
                <w:szCs w:val="18"/>
                <w:color w:val="auto"/>
              </w:rPr>
              <w:t>Convertible Notes</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142,809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142,809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141,059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shd w:val="clear" w:color="auto" w:fill="CFF0FC"/>
          </w:tcPr>
          <w:p>
            <w:pPr>
              <w:spacing w:after="0"/>
              <w:rPr>
                <w:sz w:val="20"/>
                <w:szCs w:val="20"/>
                <w:color w:val="auto"/>
              </w:rPr>
            </w:pPr>
            <w:r>
              <w:rPr>
                <w:rFonts w:ascii="Arial" w:cs="Arial" w:eastAsia="Arial" w:hAnsi="Arial"/>
                <w:sz w:val="18"/>
                <w:szCs w:val="18"/>
                <w:color w:val="auto"/>
                <w:w w:val="89"/>
              </w:rPr>
              <w:t>2023</w:t>
            </w:r>
          </w:p>
        </w:tc>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148,488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 w:type="dxa"/>
            <w:vAlign w:val="bottom"/>
          </w:tcPr>
          <w:p>
            <w:pPr>
              <w:spacing w:after="0"/>
              <w:rPr>
                <w:sz w:val="20"/>
                <w:szCs w:val="20"/>
                <w:color w:val="auto"/>
              </w:rPr>
            </w:pPr>
            <w:r>
              <w:rPr>
                <w:rFonts w:ascii="Arial" w:cs="Arial" w:eastAsia="Arial" w:hAnsi="Arial"/>
                <w:sz w:val="18"/>
                <w:szCs w:val="18"/>
                <w:color w:val="auto"/>
                <w:w w:val="89"/>
              </w:rPr>
              <w:t>2024</w:t>
            </w:r>
          </w:p>
        </w:tc>
        <w:tc>
          <w:tcPr>
            <w:tcW w:w="4780" w:type="dxa"/>
            <w:vAlign w:val="bottom"/>
          </w:tcPr>
          <w:p>
            <w:pPr>
              <w:ind w:left="20"/>
              <w:spacing w:after="0"/>
              <w:rPr>
                <w:sz w:val="20"/>
                <w:szCs w:val="20"/>
                <w:color w:val="auto"/>
              </w:rPr>
            </w:pPr>
            <w:r>
              <w:rPr>
                <w:rFonts w:ascii="Arial" w:cs="Arial" w:eastAsia="Arial" w:hAnsi="Arial"/>
                <w:sz w:val="18"/>
                <w:szCs w:val="18"/>
                <w:color w:val="auto"/>
              </w:rPr>
              <w:t>Notes</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347,500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347,500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359,885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Borders>
              <w:top w:val="single" w:sz="8" w:color="CFF0FC"/>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b w:val="1"/>
                <w:bCs w:val="1"/>
                <w:color w:val="auto"/>
              </w:rPr>
              <w:t>Total Debt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1,955,309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931,624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1,023,685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929,380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00" w:right="840" w:hanging="492"/>
        <w:spacing w:after="0" w:line="258" w:lineRule="auto"/>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amount available may be subject to limitations related to the borrowing base under the Revolving Credit Facility and asset coverage requirements.</w:t>
      </w:r>
    </w:p>
    <w:p>
      <w:pPr>
        <w:spacing w:after="0" w:line="1" w:lineRule="exact"/>
        <w:rPr>
          <w:rFonts w:ascii="Arial" w:cs="Arial" w:eastAsia="Arial" w:hAnsi="Arial"/>
          <w:sz w:val="18"/>
          <w:szCs w:val="18"/>
          <w:color w:val="auto"/>
        </w:rPr>
      </w:pPr>
    </w:p>
    <w:p>
      <w:pPr>
        <w:ind w:left="500" w:right="180" w:hanging="492"/>
        <w:spacing w:after="0" w:line="250" w:lineRule="auto"/>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carrying values of the Revolving Credit Facility, 2022 Convertible Notes, 2023 Notes and 2024 Notes are presented net of deferred financing costs and original issue discounts of $11.4 million, $1.7 million, $1.5 million and $5.7 million, respectively.</w:t>
      </w:r>
    </w:p>
    <w:p>
      <w:pPr>
        <w:ind w:left="500" w:hanging="492"/>
        <w:spacing w:after="0" w:line="260" w:lineRule="auto"/>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carrying value of the 2024 Notes is presented inclusive of an incremental $18.1 million, which represents an adjustment in the carrying value of the 2024 Notes resulting from a hedge accounting relationship.</w:t>
      </w:r>
    </w:p>
    <w:p>
      <w:pPr>
        <w:spacing w:after="0" w:line="23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December 31, 2019</w:t>
            </w: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8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center"/>
              <w:ind w:right="58"/>
              <w:spacing w:after="0" w:line="133" w:lineRule="exact"/>
              <w:rPr>
                <w:sz w:val="20"/>
                <w:szCs w:val="20"/>
                <w:color w:val="auto"/>
              </w:rPr>
            </w:pPr>
            <w:r>
              <w:rPr>
                <w:rFonts w:ascii="Arial" w:cs="Arial" w:eastAsia="Arial" w:hAnsi="Arial"/>
                <w:sz w:val="14"/>
                <w:szCs w:val="14"/>
                <w:b w:val="1"/>
                <w:bCs w:val="1"/>
                <w:color w:val="auto"/>
                <w:w w:val="89"/>
              </w:rPr>
              <w:t>Aggregate</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7"/>
              </w:rPr>
              <w:t>Principal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Outstanding</w:t>
            </w:r>
          </w:p>
        </w:tc>
        <w:tc>
          <w:tcPr>
            <w:tcW w:w="140" w:type="dxa"/>
            <w:vAlign w:val="bottom"/>
          </w:tcPr>
          <w:p>
            <w:pPr>
              <w:spacing w:after="0"/>
              <w:rPr>
                <w:sz w:val="12"/>
                <w:szCs w:val="12"/>
                <w:color w:val="auto"/>
              </w:rPr>
            </w:pPr>
          </w:p>
        </w:tc>
        <w:tc>
          <w:tcPr>
            <w:tcW w:w="12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2"/>
                <w:szCs w:val="12"/>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58"/>
              <w:spacing w:after="0"/>
              <w:rPr>
                <w:sz w:val="20"/>
                <w:szCs w:val="20"/>
                <w:color w:val="auto"/>
              </w:rPr>
            </w:pPr>
            <w:r>
              <w:rPr>
                <w:rFonts w:ascii="Arial" w:cs="Arial" w:eastAsia="Arial" w:hAnsi="Arial"/>
                <w:sz w:val="14"/>
                <w:szCs w:val="14"/>
                <w:b w:val="1"/>
                <w:bCs w:val="1"/>
                <w:color w:val="auto"/>
                <w:w w:val="95"/>
              </w:rPr>
              <w:t>Committed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Principal</w:t>
            </w:r>
          </w:p>
        </w:tc>
        <w:tc>
          <w:tcPr>
            <w:tcW w:w="14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 xml:space="preserve">Available </w:t>
            </w:r>
            <w:r>
              <w:rPr>
                <w:rFonts w:ascii="Arial" w:cs="Arial" w:eastAsia="Arial" w:hAnsi="Arial"/>
                <w:sz w:val="12"/>
                <w:szCs w:val="12"/>
                <w:b w:val="1"/>
                <w:bCs w:val="1"/>
                <w:color w:val="auto"/>
                <w:w w:val="92"/>
              </w:rPr>
              <w:t>(1)</w:t>
            </w: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 xml:space="preserve">Value </w:t>
            </w:r>
            <w:r>
              <w:rPr>
                <w:rFonts w:ascii="Arial" w:cs="Arial" w:eastAsia="Arial" w:hAnsi="Arial"/>
                <w:sz w:val="12"/>
                <w:szCs w:val="12"/>
                <w:b w:val="1"/>
                <w:bCs w:val="1"/>
                <w:color w:val="auto"/>
                <w:w w:val="93"/>
              </w:rPr>
              <w:t>(2)(3)</w:t>
            </w:r>
          </w:p>
        </w:tc>
        <w:tc>
          <w:tcPr>
            <w:tcW w:w="0" w:type="dxa"/>
            <w:vAlign w:val="bottom"/>
          </w:tcPr>
          <w:p>
            <w:pPr>
              <w:spacing w:after="0"/>
              <w:rPr>
                <w:sz w:val="1"/>
                <w:szCs w:val="1"/>
                <w:color w:val="auto"/>
              </w:rPr>
            </w:pPr>
          </w:p>
        </w:tc>
      </w:tr>
      <w:tr>
        <w:trPr>
          <w:trHeight w:val="223"/>
        </w:trPr>
        <w:tc>
          <w:tcPr>
            <w:tcW w:w="51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1,245,000</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495,689</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749,311</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485,711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 w:type="dxa"/>
            <w:vAlign w:val="bottom"/>
          </w:tcPr>
          <w:p>
            <w:pPr>
              <w:spacing w:after="0"/>
              <w:rPr>
                <w:sz w:val="20"/>
                <w:szCs w:val="20"/>
                <w:color w:val="auto"/>
              </w:rPr>
            </w:pPr>
            <w:r>
              <w:rPr>
                <w:rFonts w:ascii="Arial" w:cs="Arial" w:eastAsia="Arial" w:hAnsi="Arial"/>
                <w:sz w:val="18"/>
                <w:szCs w:val="18"/>
                <w:color w:val="auto"/>
                <w:w w:val="89"/>
              </w:rPr>
              <w:t>2022</w:t>
            </w:r>
          </w:p>
        </w:tc>
        <w:tc>
          <w:tcPr>
            <w:tcW w:w="4780" w:type="dxa"/>
            <w:vAlign w:val="bottom"/>
          </w:tcPr>
          <w:p>
            <w:pPr>
              <w:ind w:left="20"/>
              <w:spacing w:after="0"/>
              <w:rPr>
                <w:sz w:val="20"/>
                <w:szCs w:val="20"/>
                <w:color w:val="auto"/>
              </w:rPr>
            </w:pPr>
            <w:r>
              <w:rPr>
                <w:rFonts w:ascii="Arial" w:cs="Arial" w:eastAsia="Arial" w:hAnsi="Arial"/>
                <w:sz w:val="18"/>
                <w:szCs w:val="18"/>
                <w:color w:val="auto"/>
              </w:rPr>
              <w:t>Convertible Notes</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172,500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172,500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169,420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shd w:val="clear" w:color="auto" w:fill="CFF0FC"/>
          </w:tcPr>
          <w:p>
            <w:pPr>
              <w:spacing w:after="0"/>
              <w:rPr>
                <w:sz w:val="20"/>
                <w:szCs w:val="20"/>
                <w:color w:val="auto"/>
              </w:rPr>
            </w:pPr>
            <w:r>
              <w:rPr>
                <w:rFonts w:ascii="Arial" w:cs="Arial" w:eastAsia="Arial" w:hAnsi="Arial"/>
                <w:sz w:val="18"/>
                <w:szCs w:val="18"/>
                <w:color w:val="auto"/>
                <w:w w:val="89"/>
              </w:rPr>
              <w:t>2023</w:t>
            </w:r>
          </w:p>
        </w:tc>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147,998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 w:type="dxa"/>
            <w:vAlign w:val="bottom"/>
          </w:tcPr>
          <w:p>
            <w:pPr>
              <w:spacing w:after="0"/>
              <w:rPr>
                <w:sz w:val="20"/>
                <w:szCs w:val="20"/>
                <w:color w:val="auto"/>
              </w:rPr>
            </w:pPr>
            <w:r>
              <w:rPr>
                <w:rFonts w:ascii="Arial" w:cs="Arial" w:eastAsia="Arial" w:hAnsi="Arial"/>
                <w:sz w:val="18"/>
                <w:szCs w:val="18"/>
                <w:color w:val="auto"/>
                <w:w w:val="89"/>
              </w:rPr>
              <w:t>2024</w:t>
            </w:r>
          </w:p>
        </w:tc>
        <w:tc>
          <w:tcPr>
            <w:tcW w:w="4780" w:type="dxa"/>
            <w:vAlign w:val="bottom"/>
          </w:tcPr>
          <w:p>
            <w:pPr>
              <w:ind w:left="20"/>
              <w:spacing w:after="0"/>
              <w:rPr>
                <w:sz w:val="20"/>
                <w:szCs w:val="20"/>
                <w:color w:val="auto"/>
              </w:rPr>
            </w:pPr>
            <w:r>
              <w:rPr>
                <w:rFonts w:ascii="Arial" w:cs="Arial" w:eastAsia="Arial" w:hAnsi="Arial"/>
                <w:sz w:val="18"/>
                <w:szCs w:val="18"/>
                <w:color w:val="auto"/>
              </w:rPr>
              <w:t>Notes</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300,000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300,000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291,338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Borders>
              <w:top w:val="single" w:sz="8" w:color="CFF0FC"/>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b w:val="1"/>
                <w:bCs w:val="1"/>
                <w:color w:val="auto"/>
              </w:rPr>
              <w:t>Total Debt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1,867,500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1,118,189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749,311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1,094,467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00" w:right="840" w:hanging="492"/>
        <w:spacing w:after="0" w:line="258"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amount available may be subject to limitations related to the borrowing base under the Revolving Credit Facility and asset coverage requirements.</w:t>
      </w:r>
    </w:p>
    <w:p>
      <w:pPr>
        <w:spacing w:after="0" w:line="1" w:lineRule="exact"/>
        <w:rPr>
          <w:rFonts w:ascii="Arial" w:cs="Arial" w:eastAsia="Arial" w:hAnsi="Arial"/>
          <w:sz w:val="18"/>
          <w:szCs w:val="18"/>
          <w:color w:val="auto"/>
        </w:rPr>
      </w:pPr>
    </w:p>
    <w:p>
      <w:pPr>
        <w:ind w:left="500" w:right="180" w:hanging="492"/>
        <w:spacing w:after="0" w:line="250"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carrying values of the Revolving Credit Facility, 2022 Convertible Notes, 2023 Notes and 2024 Notes are presented net of deferred financing costs and original issue discounts of $10.0 million, $3.1 million, $2.0 million and $6.9 million, respectively.</w:t>
      </w:r>
    </w:p>
    <w:p>
      <w:pPr>
        <w:ind w:left="500" w:right="480" w:hanging="492"/>
        <w:spacing w:after="0" w:line="260"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carrying value of the 2024 Notes is presented net of $1.8 million, which represents an adjustment in the carrying value of the 2024 Notes resulting from a hedge accounting relationship.</w:t>
      </w:r>
    </w:p>
    <w:p>
      <w:pPr>
        <w:spacing w:after="0" w:line="18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For the three and nine months ended September 30, 2020 and 2019, the components of interest expense were as follows: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6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Nine Months Ended</w:t>
            </w:r>
          </w:p>
        </w:tc>
      </w:tr>
      <w:tr>
        <w:trPr>
          <w:trHeight w:val="133"/>
        </w:trPr>
        <w:tc>
          <w:tcPr>
            <w:tcW w:w="3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Borders>
              <w:top w:val="single" w:sz="8" w:color="auto"/>
            </w:tcBorders>
            <w:gridSpan w:val="3"/>
          </w:tcPr>
          <w:p>
            <w:pPr>
              <w:jc w:val="right"/>
              <w:ind w:right="320"/>
              <w:spacing w:after="0" w:line="133" w:lineRule="exact"/>
              <w:rPr>
                <w:sz w:val="20"/>
                <w:szCs w:val="20"/>
                <w:color w:val="auto"/>
              </w:rPr>
            </w:pPr>
            <w:r>
              <w:rPr>
                <w:rFonts w:ascii="Arial" w:cs="Arial" w:eastAsia="Arial" w:hAnsi="Arial"/>
                <w:sz w:val="14"/>
                <w:szCs w:val="14"/>
                <w:b w:val="1"/>
                <w:bCs w:val="1"/>
                <w:color w:val="auto"/>
                <w:w w:val="96"/>
              </w:rPr>
              <w:t>September 30,</w:t>
            </w:r>
          </w:p>
        </w:tc>
        <w:tc>
          <w:tcPr>
            <w:tcW w:w="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right"/>
              <w:spacing w:after="0" w:line="133" w:lineRule="exact"/>
              <w:rPr>
                <w:sz w:val="20"/>
                <w:szCs w:val="20"/>
                <w:color w:val="auto"/>
              </w:rPr>
            </w:pPr>
            <w:r>
              <w:rPr>
                <w:rFonts w:ascii="Arial" w:cs="Arial" w:eastAsia="Arial" w:hAnsi="Arial"/>
                <w:sz w:val="14"/>
                <w:szCs w:val="14"/>
                <w:b w:val="1"/>
                <w:bCs w:val="1"/>
                <w:color w:val="auto"/>
                <w:w w:val="98"/>
              </w:rPr>
              <w:t>September 30,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tcBorders>
              <w:top w:val="single" w:sz="8" w:color="auto"/>
            </w:tcBorders>
            <w:gridSpan w:val="3"/>
          </w:tcPr>
          <w:p>
            <w:pPr>
              <w:jc w:val="right"/>
              <w:ind w:right="300"/>
              <w:spacing w:after="0" w:line="133" w:lineRule="exact"/>
              <w:rPr>
                <w:sz w:val="20"/>
                <w:szCs w:val="20"/>
                <w:color w:val="auto"/>
              </w:rPr>
            </w:pPr>
            <w:r>
              <w:rPr>
                <w:rFonts w:ascii="Arial" w:cs="Arial" w:eastAsia="Arial" w:hAnsi="Arial"/>
                <w:sz w:val="14"/>
                <w:szCs w:val="14"/>
                <w:b w:val="1"/>
                <w:bCs w:val="1"/>
                <w:color w:val="auto"/>
                <w:w w:val="98"/>
              </w:rPr>
              <w:t>September 30,</w:t>
            </w:r>
          </w:p>
        </w:tc>
        <w:tc>
          <w:tcPr>
            <w:tcW w:w="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jc w:val="right"/>
              <w:spacing w:after="0" w:line="133" w:lineRule="exact"/>
              <w:rPr>
                <w:sz w:val="20"/>
                <w:szCs w:val="20"/>
                <w:color w:val="auto"/>
              </w:rPr>
            </w:pPr>
            <w:r>
              <w:rPr>
                <w:rFonts w:ascii="Arial" w:cs="Arial" w:eastAsia="Arial" w:hAnsi="Arial"/>
                <w:sz w:val="14"/>
                <w:szCs w:val="14"/>
                <w:b w:val="1"/>
                <w:bCs w:val="1"/>
                <w:color w:val="auto"/>
                <w:w w:val="96"/>
              </w:rPr>
              <w:t>September 30,</w:t>
            </w:r>
          </w:p>
        </w:tc>
        <w:tc>
          <w:tcPr>
            <w:tcW w:w="180" w:type="dxa"/>
            <w:vAlign w:val="bottom"/>
          </w:tcPr>
          <w:p>
            <w:pPr>
              <w:spacing w:after="0"/>
              <w:rPr>
                <w:sz w:val="11"/>
                <w:szCs w:val="11"/>
                <w:color w:val="auto"/>
              </w:rPr>
            </w:pPr>
          </w:p>
        </w:tc>
      </w:tr>
      <w:tr>
        <w:trPr>
          <w:trHeight w:val="171"/>
        </w:trPr>
        <w:tc>
          <w:tcPr>
            <w:tcW w:w="3920" w:type="dxa"/>
            <w:vAlign w:val="bottom"/>
            <w:tcBorders>
              <w:bottom w:val="single" w:sz="8" w:color="CFF0FC"/>
            </w:tcBorders>
          </w:tcPr>
          <w:p>
            <w:pPr>
              <w:spacing w:after="0"/>
              <w:rPr>
                <w:sz w:val="14"/>
                <w:szCs w:val="14"/>
                <w:color w:val="auto"/>
              </w:rPr>
            </w:pPr>
          </w:p>
        </w:tc>
        <w:tc>
          <w:tcPr>
            <w:tcW w:w="10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4"/>
                <w:szCs w:val="14"/>
                <w:color w:val="auto"/>
              </w:rPr>
            </w:pPr>
          </w:p>
        </w:tc>
      </w:tr>
      <w:tr>
        <w:trPr>
          <w:trHeight w:val="223"/>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8,680</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10,122</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27,909</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28,063</w:t>
            </w:r>
          </w:p>
        </w:tc>
        <w:tc>
          <w:tcPr>
            <w:tcW w:w="180" w:type="dxa"/>
            <w:vAlign w:val="bottom"/>
            <w:shd w:val="clear" w:color="auto" w:fill="CFF0FC"/>
          </w:tcPr>
          <w:p>
            <w:pPr>
              <w:spacing w:after="0"/>
              <w:rPr>
                <w:sz w:val="19"/>
                <w:szCs w:val="19"/>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Commitment fees</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923</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707</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2,735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2,126</w:t>
            </w:r>
          </w:p>
        </w:tc>
        <w:tc>
          <w:tcPr>
            <w:tcW w:w="180" w:type="dxa"/>
            <w:vAlign w:val="bottom"/>
          </w:tcPr>
          <w:p>
            <w:pPr>
              <w:spacing w:after="0"/>
              <w:rPr>
                <w:sz w:val="19"/>
                <w:szCs w:val="19"/>
                <w:color w:val="auto"/>
              </w:rPr>
            </w:pP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deferred financing costs</w:t>
            </w: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1,274</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1,206</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3,474</w:t>
            </w:r>
          </w:p>
        </w:tc>
        <w:tc>
          <w:tcPr>
            <w:tcW w:w="180" w:type="dxa"/>
            <w:vAlign w:val="bottom"/>
            <w:shd w:val="clear" w:color="auto" w:fill="CFF0FC"/>
          </w:tcPr>
          <w:p>
            <w:pPr>
              <w:spacing w:after="0"/>
              <w:rPr>
                <w:sz w:val="19"/>
                <w:szCs w:val="19"/>
                <w:color w:val="auto"/>
              </w:rPr>
            </w:pPr>
          </w:p>
        </w:tc>
      </w:tr>
      <w:tr>
        <w:trPr>
          <w:trHeight w:val="229"/>
        </w:trPr>
        <w:tc>
          <w:tcPr>
            <w:tcW w:w="392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129</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230</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680</w:t>
            </w:r>
          </w:p>
        </w:tc>
        <w:tc>
          <w:tcPr>
            <w:tcW w:w="180" w:type="dxa"/>
            <w:vAlign w:val="bottom"/>
          </w:tcPr>
          <w:p>
            <w:pPr>
              <w:spacing w:after="0"/>
              <w:rPr>
                <w:sz w:val="19"/>
                <w:szCs w:val="19"/>
                <w:color w:val="auto"/>
              </w:rPr>
            </w:pP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Swap settlement</w:t>
            </w: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(2,607)</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(3,714)</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1,321</w:t>
            </w:r>
          </w:p>
        </w:tc>
        <w:tc>
          <w:tcPr>
            <w:tcW w:w="180" w:type="dxa"/>
            <w:vAlign w:val="bottom"/>
            <w:shd w:val="clear" w:color="auto" w:fill="CFF0FC"/>
          </w:tcPr>
          <w:p>
            <w:pPr>
              <w:spacing w:after="0"/>
              <w:rPr>
                <w:sz w:val="19"/>
                <w:szCs w:val="19"/>
                <w:color w:val="auto"/>
              </w:rPr>
            </w:pPr>
          </w:p>
        </w:tc>
      </w:tr>
      <w:tr>
        <w:trPr>
          <w:trHeight w:val="263"/>
        </w:trPr>
        <w:tc>
          <w:tcPr>
            <w:tcW w:w="3920" w:type="dxa"/>
            <w:vAlign w:val="bottom"/>
            <w:tcBorders>
              <w:bottom w:val="single" w:sz="8" w:color="CFF0FC"/>
            </w:tcBorders>
          </w:tcPr>
          <w:p>
            <w:pPr>
              <w:ind w:left="240"/>
              <w:spacing w:after="0"/>
              <w:rPr>
                <w:sz w:val="20"/>
                <w:szCs w:val="20"/>
                <w:color w:val="auto"/>
              </w:rPr>
            </w:pPr>
            <w:r>
              <w:rPr>
                <w:rFonts w:ascii="Arial" w:cs="Arial" w:eastAsia="Arial" w:hAnsi="Arial"/>
                <w:sz w:val="18"/>
                <w:szCs w:val="18"/>
                <w:b w:val="1"/>
                <w:bCs w:val="1"/>
                <w:color w:val="auto"/>
              </w:rPr>
              <w:t>Total Interest Expense</w:t>
            </w:r>
          </w:p>
        </w:tc>
        <w:tc>
          <w:tcPr>
            <w:tcW w:w="100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8,399</w:t>
            </w:r>
          </w:p>
        </w:tc>
        <w:tc>
          <w:tcPr>
            <w:tcW w:w="24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12,570</w:t>
            </w:r>
          </w:p>
        </w:tc>
        <w:tc>
          <w:tcPr>
            <w:tcW w:w="22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31,159</w:t>
            </w:r>
          </w:p>
        </w:tc>
        <w:tc>
          <w:tcPr>
            <w:tcW w:w="2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35,664</w:t>
            </w:r>
          </w:p>
        </w:tc>
        <w:tc>
          <w:tcPr>
            <w:tcW w:w="180" w:type="dxa"/>
            <w:vAlign w:val="bottom"/>
            <w:tcBorders>
              <w:bottom w:val="single" w:sz="8" w:color="CFF0FC"/>
            </w:tcBorders>
          </w:tcPr>
          <w:p>
            <w:pPr>
              <w:spacing w:after="0"/>
              <w:rPr>
                <w:sz w:val="22"/>
                <w:szCs w:val="22"/>
                <w:color w:val="auto"/>
              </w:rPr>
            </w:pPr>
          </w:p>
        </w:tc>
      </w:tr>
      <w:tr>
        <w:trPr>
          <w:trHeight w:val="21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Average debt outstanding (in millions)</w:t>
            </w: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1,006.9</w:t>
            </w:r>
          </w:p>
        </w:tc>
        <w:tc>
          <w:tcPr>
            <w:tcW w:w="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946.0</w:t>
            </w: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1,006.2</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858.1</w:t>
            </w:r>
          </w:p>
        </w:tc>
        <w:tc>
          <w:tcPr>
            <w:tcW w:w="180" w:type="dxa"/>
            <w:vAlign w:val="bottom"/>
            <w:shd w:val="clear" w:color="auto" w:fill="CFF0FC"/>
          </w:tcPr>
          <w:p>
            <w:pPr>
              <w:spacing w:after="0"/>
              <w:rPr>
                <w:sz w:val="18"/>
                <w:szCs w:val="18"/>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Weighted average interest rate</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r>
      <w:tr>
        <w:trPr>
          <w:trHeight w:val="229"/>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Average 1-month LIBOR rate</w:t>
            </w: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0.2%</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2.2%</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0.6%</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17" w:lineRule="exact"/>
        <w:rPr>
          <w:sz w:val="20"/>
          <w:szCs w:val="20"/>
          <w:color w:val="auto"/>
        </w:rPr>
      </w:pPr>
    </w:p>
    <w:p>
      <w:pPr>
        <w:ind w:right="280" w:firstLine="255"/>
        <w:spacing w:after="0" w:line="263" w:lineRule="auto"/>
        <w:rPr>
          <w:sz w:val="20"/>
          <w:szCs w:val="20"/>
          <w:color w:val="auto"/>
        </w:rPr>
      </w:pPr>
      <w:r>
        <w:rPr>
          <w:rFonts w:ascii="Arial" w:cs="Arial" w:eastAsia="Arial" w:hAnsi="Arial"/>
          <w:sz w:val="18"/>
          <w:szCs w:val="18"/>
          <w:color w:val="auto"/>
        </w:rPr>
        <w:t>On August 23, 2012, the Company entered into a senior secured revolving credit agreement with Truist Bank (as a successor by merger to SunTrust Bank), as administrative agent, and J.P. Morgan Chase Bank, N.A., as syndication agent, and certain other lenders (as amended and restated, the “Revolving Credit Facility”).</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37" w:name="page38"/>
    <w:bookmarkEnd w:id="37"/>
    <w:p>
      <w:pPr>
        <w:ind w:right="40" w:firstLine="255"/>
        <w:spacing w:after="0" w:line="311" w:lineRule="auto"/>
        <w:rPr>
          <w:sz w:val="20"/>
          <w:szCs w:val="20"/>
          <w:color w:val="auto"/>
        </w:rPr>
      </w:pPr>
      <w:r>
        <w:rPr>
          <w:rFonts w:ascii="Arial" w:cs="Arial" w:eastAsia="Arial" w:hAnsi="Arial"/>
          <w:sz w:val="16"/>
          <w:szCs w:val="16"/>
          <w:color w:val="auto"/>
        </w:rPr>
        <w:t>As of December 31, 2019, aggregate commitments under the facility were $1.245 billion. Pursuant to an amendment to the Revolving Credit Facility dated as of January 31, 2020 (the “Ninth Amendment”), the aggregate commitments under the facility were increased to $1.315 billion. The facility includes an uncommitted accordion feature that allows the Company, under certain circumstances, to increase the size of the facility to up to $1.750 billion.</w:t>
      </w:r>
    </w:p>
    <w:p>
      <w:pPr>
        <w:spacing w:after="0" w:line="149" w:lineRule="exact"/>
        <w:rPr>
          <w:sz w:val="20"/>
          <w:szCs w:val="20"/>
          <w:color w:val="auto"/>
        </w:rPr>
      </w:pPr>
    </w:p>
    <w:p>
      <w:pPr>
        <w:ind w:right="140" w:firstLine="255"/>
        <w:spacing w:after="0" w:line="263" w:lineRule="auto"/>
        <w:rPr>
          <w:sz w:val="20"/>
          <w:szCs w:val="20"/>
          <w:color w:val="auto"/>
        </w:rPr>
      </w:pPr>
      <w:r>
        <w:rPr>
          <w:rFonts w:ascii="Arial" w:cs="Arial" w:eastAsia="Arial" w:hAnsi="Arial"/>
          <w:sz w:val="18"/>
          <w:szCs w:val="18"/>
          <w:color w:val="auto"/>
        </w:rPr>
        <w:t>Pursuant to the Ninth Amendment, the revolving period, during which period the Company, subject to certain conditions, may make borrowings under the facility, was extended from February 14, 2023 to January 31, 2024 and the stated maturity date was extended from February 14, 2024 to January 31, 2025.</w:t>
      </w:r>
    </w:p>
    <w:p>
      <w:pPr>
        <w:spacing w:after="0" w:line="184" w:lineRule="exact"/>
        <w:rPr>
          <w:sz w:val="20"/>
          <w:szCs w:val="20"/>
          <w:color w:val="auto"/>
        </w:rPr>
      </w:pPr>
    </w:p>
    <w:p>
      <w:pPr>
        <w:jc w:val="both"/>
        <w:ind w:right="60" w:firstLine="255"/>
        <w:spacing w:after="0" w:line="263" w:lineRule="auto"/>
        <w:rPr>
          <w:sz w:val="20"/>
          <w:szCs w:val="20"/>
          <w:color w:val="auto"/>
        </w:rPr>
      </w:pPr>
      <w:r>
        <w:rPr>
          <w:rFonts w:ascii="Arial" w:cs="Arial" w:eastAsia="Arial" w:hAnsi="Arial"/>
          <w:sz w:val="18"/>
          <w:szCs w:val="18"/>
          <w:color w:val="auto"/>
        </w:rPr>
        <w:t>The Company may borrow amounts in U.S. dollars or certain other permitted currencies. As of September 30, 2020, the Company had outstanding debt denominated in Australian dollars (AUD) of 51.6 million, Canadian dollars (CAD) of 62.2 million, and Euro (EUR) of 8.3 million on its Revolving Credit Facility, included in the Outstanding Principal amount in the table above.</w:t>
      </w:r>
    </w:p>
    <w:p>
      <w:pPr>
        <w:spacing w:after="0" w:line="184" w:lineRule="exact"/>
        <w:rPr>
          <w:sz w:val="20"/>
          <w:szCs w:val="20"/>
          <w:color w:val="auto"/>
        </w:rPr>
      </w:pPr>
    </w:p>
    <w:p>
      <w:pPr>
        <w:ind w:firstLine="255"/>
        <w:spacing w:after="0" w:line="263" w:lineRule="auto"/>
        <w:rPr>
          <w:sz w:val="20"/>
          <w:szCs w:val="20"/>
          <w:color w:val="auto"/>
        </w:rPr>
      </w:pPr>
      <w:r>
        <w:rPr>
          <w:rFonts w:ascii="Arial" w:cs="Arial" w:eastAsia="Arial" w:hAnsi="Arial"/>
          <w:sz w:val="18"/>
          <w:szCs w:val="18"/>
          <w:color w:val="auto"/>
        </w:rPr>
        <w:t>The Revolving Credit Facility also provides for the issuance of letters of credit up to an aggregate amount of $75 million. As of September 30, 2020 and December 31, 2019, the Company had no outstanding letters of credit issued through the Revolving Credit Facility. The amount available for borrowing under the Revolving Credit Facility is reduced by any letters of credit issued through the Revolving Credit Facility.</w:t>
      </w:r>
    </w:p>
    <w:p>
      <w:pPr>
        <w:spacing w:after="0" w:line="184" w:lineRule="exact"/>
        <w:rPr>
          <w:sz w:val="20"/>
          <w:szCs w:val="20"/>
          <w:color w:val="auto"/>
        </w:rPr>
      </w:pPr>
    </w:p>
    <w:p>
      <w:pPr>
        <w:ind w:right="40" w:firstLine="255"/>
        <w:spacing w:after="0" w:line="273" w:lineRule="auto"/>
        <w:rPr>
          <w:sz w:val="20"/>
          <w:szCs w:val="20"/>
          <w:color w:val="auto"/>
        </w:rPr>
      </w:pPr>
      <w:r>
        <w:rPr>
          <w:rFonts w:ascii="Arial" w:cs="Arial" w:eastAsia="Arial" w:hAnsi="Arial"/>
          <w:sz w:val="17"/>
          <w:szCs w:val="17"/>
          <w:color w:val="auto"/>
        </w:rPr>
        <w:t>Amounts drawn under the Revolving Credit Facility, including amounts drawn in respect of letters of credit, bear interest at either LIBOR plus a margin of either 1.75% or 1.875%, or the base rate plus a margin of either 0.75% or 0.875%, in each case, based on the total amount of the borrowing base relative to the sum of the total commitments (or, if greater, the total exposure) under the Revolving Credit Facility plus certain other designated secured debt. The Company may elect either the LIBOR or base rate at the time of drawdown, and loans may be converted from one rate to another at any time, subject to certain conditions. The Company also pays a fee of 0.375% on undrawn amounts and, in respect of each undrawn letter of credit, a fee and interest rate equal to the then applicable margin while the letter of credit is outstanding.</w:t>
      </w:r>
    </w:p>
    <w:p>
      <w:pPr>
        <w:spacing w:after="0" w:line="178" w:lineRule="exact"/>
        <w:rPr>
          <w:sz w:val="20"/>
          <w:szCs w:val="20"/>
          <w:color w:val="auto"/>
        </w:rPr>
      </w:pPr>
    </w:p>
    <w:p>
      <w:pPr>
        <w:ind w:right="100" w:firstLine="255"/>
        <w:spacing w:after="0" w:line="286" w:lineRule="auto"/>
        <w:rPr>
          <w:sz w:val="20"/>
          <w:szCs w:val="20"/>
          <w:color w:val="auto"/>
        </w:rPr>
      </w:pPr>
      <w:r>
        <w:rPr>
          <w:rFonts w:ascii="Arial" w:cs="Arial" w:eastAsia="Arial" w:hAnsi="Arial"/>
          <w:sz w:val="17"/>
          <w:szCs w:val="17"/>
          <w:color w:val="auto"/>
        </w:rPr>
        <w:t>The Revolving Credit Facility is guaranteed by Sixth Street SL SPV, LLC, TC Lending, LLC and Sixth Street SL Holding, LLC. The Revolving Credit Facility is secured by a perfected first-priority security interest in substantially all the portfolio investments held by the Company and each guarantor. Proceeds from borrowings may be used for general corporate purposes, including the funding of portfolio investments.</w:t>
      </w:r>
    </w:p>
    <w:p>
      <w:pPr>
        <w:spacing w:after="0" w:line="165" w:lineRule="exact"/>
        <w:rPr>
          <w:sz w:val="20"/>
          <w:szCs w:val="20"/>
          <w:color w:val="auto"/>
        </w:rPr>
      </w:pPr>
    </w:p>
    <w:p>
      <w:pPr>
        <w:ind w:right="160" w:firstLine="255"/>
        <w:spacing w:after="0" w:line="277" w:lineRule="auto"/>
        <w:rPr>
          <w:sz w:val="20"/>
          <w:szCs w:val="20"/>
          <w:color w:val="auto"/>
        </w:rPr>
      </w:pPr>
      <w:r>
        <w:rPr>
          <w:rFonts w:ascii="Arial" w:cs="Arial" w:eastAsia="Arial" w:hAnsi="Arial"/>
          <w:sz w:val="18"/>
          <w:szCs w:val="18"/>
          <w:color w:val="auto"/>
        </w:rPr>
        <w:t>The Revolving Credit Facility includes customary events of default, as well as customary covenants, including restrictions on certain distributions and financial covenants. The financial covenants require:</w:t>
      </w:r>
    </w:p>
    <w:p>
      <w:pPr>
        <w:spacing w:after="0" w:line="62" w:lineRule="exact"/>
        <w:rPr>
          <w:sz w:val="20"/>
          <w:szCs w:val="20"/>
          <w:color w:val="auto"/>
        </w:rPr>
      </w:pPr>
    </w:p>
    <w:p>
      <w:pPr>
        <w:ind w:left="500" w:hanging="249"/>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asset coverage ratio of no less than 1.5 to 1 on the last day of any fiscal quarter;</w:t>
      </w:r>
    </w:p>
    <w:p>
      <w:pPr>
        <w:spacing w:after="0" w:line="117" w:lineRule="exact"/>
        <w:rPr>
          <w:rFonts w:ascii="Arial" w:cs="Arial" w:eastAsia="Arial" w:hAnsi="Arial"/>
          <w:sz w:val="18"/>
          <w:szCs w:val="18"/>
          <w:color w:val="auto"/>
        </w:rPr>
      </w:pPr>
    </w:p>
    <w:p>
      <w:pPr>
        <w:ind w:left="500" w:right="100" w:hanging="249"/>
        <w:spacing w:after="0" w:line="263"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liquidity test under which the Company must not maintain cash and liquid investments of less than 10% of the covered debt amount for more than 30 consecutive business days under circumstances where the Company’s adjusted covered debt balance is greater than 90% of the Company’s adjusted borrowing base under the facility;</w:t>
      </w:r>
    </w:p>
    <w:p>
      <w:pPr>
        <w:spacing w:after="0" w:line="75" w:lineRule="exact"/>
        <w:rPr>
          <w:rFonts w:ascii="Arial" w:cs="Arial" w:eastAsia="Arial" w:hAnsi="Arial"/>
          <w:sz w:val="18"/>
          <w:szCs w:val="18"/>
          <w:color w:val="auto"/>
        </w:rPr>
      </w:pPr>
    </w:p>
    <w:p>
      <w:pPr>
        <w:ind w:left="500" w:hanging="249"/>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stockholders’ equity of at least $500 million plus 25% of the net proceeds of the sale of equity interests after January 31, 2020;</w:t>
      </w:r>
    </w:p>
    <w:p>
      <w:pPr>
        <w:spacing w:after="0" w:line="117" w:lineRule="exact"/>
        <w:rPr>
          <w:rFonts w:ascii="Arial" w:cs="Arial" w:eastAsia="Arial" w:hAnsi="Arial"/>
          <w:sz w:val="18"/>
          <w:szCs w:val="18"/>
          <w:color w:val="auto"/>
        </w:rPr>
      </w:pPr>
    </w:p>
    <w:p>
      <w:pPr>
        <w:ind w:left="500" w:right="20" w:hanging="249"/>
        <w:spacing w:after="0" w:line="259"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minimum asset coverage ratio of no less than 2 to 1 with respect to (i) the consolidated assets of the Company and the subsidiary guarantors (including certain limitations on the contribution of equity in financing subsidiaries) to (ii) the secured debt of the Company and its subsidiary guarantors plus unsecured senior securities of the Company and its subsidiary guarantors that mature within 90 days of the date of determination (the “Obligor Asset Coverage Ratio”); and</w:t>
      </w:r>
    </w:p>
    <w:p>
      <w:pPr>
        <w:spacing w:after="0" w:line="78" w:lineRule="exact"/>
        <w:rPr>
          <w:rFonts w:ascii="Arial" w:cs="Arial" w:eastAsia="Arial" w:hAnsi="Arial"/>
          <w:sz w:val="18"/>
          <w:szCs w:val="18"/>
          <w:color w:val="auto"/>
        </w:rPr>
      </w:pPr>
    </w:p>
    <w:p>
      <w:pPr>
        <w:ind w:left="500" w:right="120" w:hanging="249"/>
        <w:spacing w:after="0" w:line="342" w:lineRule="auto"/>
        <w:tabs>
          <w:tab w:leader="none" w:pos="5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minimum consolidated assets of the Company and the subsidiary guarantors (including certain limitations on the contribution of equity in financing subsidiaries), less total secured debt of the Company and the subsidiary guarantors, of at least $350 million at the last day of any fiscal quarter.</w:t>
      </w:r>
    </w:p>
    <w:p>
      <w:pPr>
        <w:spacing w:after="0" w:line="124" w:lineRule="exact"/>
        <w:rPr>
          <w:sz w:val="20"/>
          <w:szCs w:val="20"/>
          <w:color w:val="auto"/>
        </w:rPr>
      </w:pPr>
    </w:p>
    <w:p>
      <w:pPr>
        <w:ind w:right="220" w:firstLine="255"/>
        <w:spacing w:after="0" w:line="277" w:lineRule="auto"/>
        <w:rPr>
          <w:sz w:val="20"/>
          <w:szCs w:val="20"/>
          <w:color w:val="auto"/>
        </w:rPr>
      </w:pPr>
      <w:r>
        <w:rPr>
          <w:rFonts w:ascii="Arial" w:cs="Arial" w:eastAsia="Arial" w:hAnsi="Arial"/>
          <w:sz w:val="18"/>
          <w:szCs w:val="18"/>
          <w:color w:val="auto"/>
        </w:rPr>
        <w:t>The Revolving Credit Facility also contains certain additional concentration limits in connection with the calculation of the borrowing base, based on the Obligor Asset Coverage Ratio.</w:t>
      </w:r>
    </w:p>
    <w:p>
      <w:pPr>
        <w:spacing w:after="0" w:line="170" w:lineRule="exact"/>
        <w:rPr>
          <w:sz w:val="20"/>
          <w:szCs w:val="20"/>
          <w:color w:val="auto"/>
        </w:rPr>
      </w:pPr>
    </w:p>
    <w:p>
      <w:pPr>
        <w:ind w:right="700" w:firstLine="255"/>
        <w:spacing w:after="0" w:line="277" w:lineRule="auto"/>
        <w:rPr>
          <w:sz w:val="20"/>
          <w:szCs w:val="20"/>
          <w:color w:val="auto"/>
        </w:rPr>
      </w:pPr>
      <w:r>
        <w:rPr>
          <w:rFonts w:ascii="Arial" w:cs="Arial" w:eastAsia="Arial" w:hAnsi="Arial"/>
          <w:sz w:val="18"/>
          <w:szCs w:val="18"/>
          <w:color w:val="auto"/>
        </w:rPr>
        <w:t>Net proceeds received from the issuance of the 2022 Convertible Notes, 2023 Notes and 2024 Notes were used to pay down borrowings on the Revolving Credit Facility.</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September 30, 2020 and December 31, 2019, the Company was in compliance with the terms of the Revolving Credit Facility.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i w:val="1"/>
          <w:iCs w:val="1"/>
          <w:color w:val="auto"/>
        </w:rPr>
        <w:t>2019 Convertible Notes</w:t>
      </w:r>
    </w:p>
    <w:p>
      <w:pPr>
        <w:spacing w:after="0" w:line="117" w:lineRule="exact"/>
        <w:rPr>
          <w:sz w:val="20"/>
          <w:szCs w:val="20"/>
          <w:color w:val="auto"/>
        </w:rPr>
      </w:pPr>
    </w:p>
    <w:p>
      <w:pPr>
        <w:ind w:right="40" w:firstLine="255"/>
        <w:spacing w:after="0" w:line="257" w:lineRule="auto"/>
        <w:rPr>
          <w:sz w:val="20"/>
          <w:szCs w:val="20"/>
          <w:color w:val="auto"/>
        </w:rPr>
      </w:pPr>
      <w:r>
        <w:rPr>
          <w:rFonts w:ascii="Arial" w:cs="Arial" w:eastAsia="Arial" w:hAnsi="Arial"/>
          <w:sz w:val="18"/>
          <w:szCs w:val="18"/>
          <w:color w:val="auto"/>
        </w:rPr>
        <w:t>In June 2014, the Company issued in a private offering $115 million aggregate principal amount convertible notes due December 2019 (the “2019 Convertible Notes”). The 2019 Convertible Notes were issued in a private placement only to qualified institutional buyers pursuant to Rule 144A under the Securities Act. The 2019 Convertible Notes were unsecured, and bore interest at a rate of 4.50% per year, payable semiannually. The 2019 Convertible Notes matured on December 15, 2019 and were fully repaid in cash. The swap transaction associated with the issuance of the 2019 Convertible Notes also matured on December 15, 2019.</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Convertible Notes</w:t>
      </w:r>
    </w:p>
    <w:p>
      <w:pPr>
        <w:spacing w:after="0" w:line="117" w:lineRule="exact"/>
        <w:rPr>
          <w:sz w:val="20"/>
          <w:szCs w:val="20"/>
          <w:color w:val="auto"/>
        </w:rPr>
      </w:pPr>
    </w:p>
    <w:p>
      <w:pPr>
        <w:ind w:right="20" w:firstLine="255"/>
        <w:spacing w:after="0" w:line="268" w:lineRule="auto"/>
        <w:rPr>
          <w:sz w:val="20"/>
          <w:szCs w:val="20"/>
          <w:color w:val="auto"/>
        </w:rPr>
      </w:pPr>
      <w:r>
        <w:rPr>
          <w:rFonts w:ascii="Arial" w:cs="Arial" w:eastAsia="Arial" w:hAnsi="Arial"/>
          <w:sz w:val="17"/>
          <w:szCs w:val="17"/>
          <w:color w:val="auto"/>
        </w:rPr>
        <w:t>In February 2017, the Company issued in a private offering $115 million aggregate principal amount convertible notes due August 2022 (the “2022 Convertible Notes” and, together with the 2019 Convertible Notes, the “Convertible Notes”). The 2022 Convertible Notes were issued in a private placement only to qualified institutional buyers pursuant to Rule 144A under the Securities Act. The 2022 Convertible Notes are unsecured, and bear interest at a rate of 4.50% per year, payable semiannually. The 2022 Convertible Notes will mature on August 1, 2022. In certain circumstances, the 2022 Convertible Notes will be convertible into cash, shares of the Company’s common stock or a combination of cash and shares of the Company’s common stock, at the Company’s election, at an initial conversion rate of 46.8516 shares of common stock per $1,000 principal amount of 2022 Convertible Notes, which is equivalent to an initial conversion price of approximately $21.34 per share of the Company’s common stock, subject to customary anti-dilution adjustments. As of September 30, 2020, the estimated adjusted conversion price was approximately $19.91 per share of common stock. The sale of the 2022 Convertible Notes generated net proceeds of approximately $111.2 million. The Company used the net proceeds of the offering to pay down debt under the Revolving Credit Facility. In connection with the offering of 2022 Convertible Notes, the Company has entered into an interest rate swap to continue to align the interest rates of its liabilities with its investment portfolio, which consists of predominately floating rate loans. As a result of the swap, the Company’s effective interest rate on the original issuance of 2022 Convertible Notes is three-month LIBOR plus 2.37%. See Note 5 for further information related to the Company’s interest rate swaps.</w:t>
      </w:r>
    </w:p>
    <w:p>
      <w:pPr>
        <w:spacing w:after="0" w:line="186" w:lineRule="exact"/>
        <w:rPr>
          <w:sz w:val="20"/>
          <w:szCs w:val="20"/>
          <w:color w:val="auto"/>
        </w:rPr>
      </w:pPr>
    </w:p>
    <w:p>
      <w:pPr>
        <w:ind w:right="80" w:firstLine="255"/>
        <w:spacing w:after="0" w:line="293" w:lineRule="auto"/>
        <w:rPr>
          <w:sz w:val="20"/>
          <w:szCs w:val="20"/>
          <w:color w:val="auto"/>
        </w:rPr>
      </w:pPr>
      <w:r>
        <w:rPr>
          <w:rFonts w:ascii="Arial" w:cs="Arial" w:eastAsia="Arial" w:hAnsi="Arial"/>
          <w:sz w:val="16"/>
          <w:szCs w:val="16"/>
          <w:color w:val="auto"/>
        </w:rPr>
        <w:t>In June 2018, the Company issued an additional $57.5 million aggregate principal amount of 2022 Convertible Notes. The additional 2022 Convertible Notes were issued with identical terms, and are fungible with and are part of a single series with the previously outstanding $115 million aggregate principal amount of the Company’s existing 2022 Convertible Notes issued in February 2017. In connection with the reopening of the 2022 Convertible Notes, the Company entered into interest rate swaps to continue to align the interest rates of its liabilities with its investment portfolio, which consists of predominately floating rate loans. As a result of the additional swaps, the Company’s effective interest rate on the additional 2022 Convertible Notes is approximately three-month LIBOR plus 1.60%. See Note 5 for further information related to the Company’s interest rate swaps.</w:t>
      </w:r>
    </w:p>
    <w:p>
      <w:pPr>
        <w:spacing w:after="0" w:line="164" w:lineRule="exact"/>
        <w:rPr>
          <w:sz w:val="20"/>
          <w:szCs w:val="20"/>
          <w:color w:val="auto"/>
        </w:rPr>
      </w:pPr>
    </w:p>
    <w:p>
      <w:pPr>
        <w:ind w:firstLine="255"/>
        <w:spacing w:after="0" w:line="254" w:lineRule="auto"/>
        <w:rPr>
          <w:sz w:val="20"/>
          <w:szCs w:val="20"/>
          <w:color w:val="auto"/>
        </w:rPr>
      </w:pPr>
      <w:r>
        <w:rPr>
          <w:rFonts w:ascii="Arial" w:cs="Arial" w:eastAsia="Arial" w:hAnsi="Arial"/>
          <w:sz w:val="18"/>
          <w:szCs w:val="18"/>
          <w:color w:val="auto"/>
        </w:rPr>
        <w:t>During the nine months ended September 30, 2020, the Company repurchased on the open market and extinguished $29.7 million in aggregate principal amount of the 2022 Convertible Notes for $29.5 million. These repurchases resulted in a gain on extinguishment of debt of less than $0.7 million. This gain is included in the extinguishment of debt in the accompanying consolidated statements of operations. In connection with the repurchases of the 2022 Convertible Notes, the Company entered into floating-to-fixed interest rate swaps with an aggregate notional amount equal to the amount of 2022 Convertible Notes repurchased, which has the effect of reducing the notional exposure of the fixed-to-floating interest rate swaps, which were entered into in connection with the issuance of the 2022 Convertible Notes, to match the current principal amount of the 2022 Convertible Notes outstanding. As a result of the swaps, the Company’s effective interest rate on the outstanding 2022 Convertible Notes is three-month LIBOR plus 2.11% (on a weighted-average basis).</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Holders may convert their 2022 Convertible Notes at their option at any time prior to February 1, 2022 only under the following circumstances:</w:t>
      </w:r>
    </w:p>
    <w:p>
      <w:pPr>
        <w:spacing w:after="0" w:line="35" w:lineRule="exact"/>
        <w:rPr>
          <w:sz w:val="20"/>
          <w:szCs w:val="20"/>
          <w:color w:val="auto"/>
        </w:rPr>
      </w:pPr>
    </w:p>
    <w:p>
      <w:pPr>
        <w:ind w:right="60" w:firstLine="8"/>
        <w:spacing w:after="0" w:line="281" w:lineRule="auto"/>
        <w:tabs>
          <w:tab w:leader="none" w:pos="255" w:val="left"/>
        </w:tabs>
        <w:numPr>
          <w:ilvl w:val="0"/>
          <w:numId w:val="28"/>
        </w:numPr>
        <w:rPr>
          <w:rFonts w:ascii="Arial" w:cs="Arial" w:eastAsia="Arial" w:hAnsi="Arial"/>
          <w:sz w:val="16"/>
          <w:szCs w:val="16"/>
          <w:color w:val="auto"/>
        </w:rPr>
      </w:pPr>
      <w:r>
        <w:rPr>
          <w:rFonts w:ascii="Arial" w:cs="Arial" w:eastAsia="Arial" w:hAnsi="Arial"/>
          <w:sz w:val="16"/>
          <w:szCs w:val="16"/>
          <w:color w:val="auto"/>
        </w:rPr>
        <w:t>during any calendar quarter commencing after the calendar quarter ending on June 30, 2017 (and only during such calendar quarter), if the last reported sale price of the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w:t>
      </w:r>
    </w:p>
    <w:p>
      <w:pPr>
        <w:spacing w:after="0" w:line="1" w:lineRule="exact"/>
        <w:rPr>
          <w:rFonts w:ascii="Arial" w:cs="Arial" w:eastAsia="Arial" w:hAnsi="Arial"/>
          <w:sz w:val="16"/>
          <w:szCs w:val="16"/>
          <w:color w:val="auto"/>
        </w:rPr>
      </w:pPr>
    </w:p>
    <w:p>
      <w:pPr>
        <w:ind w:right="160" w:firstLine="8"/>
        <w:spacing w:after="0" w:line="292" w:lineRule="auto"/>
        <w:tabs>
          <w:tab w:leader="none" w:pos="255" w:val="left"/>
        </w:tabs>
        <w:numPr>
          <w:ilvl w:val="0"/>
          <w:numId w:val="28"/>
        </w:numPr>
        <w:rPr>
          <w:rFonts w:ascii="Arial" w:cs="Arial" w:eastAsia="Arial" w:hAnsi="Arial"/>
          <w:sz w:val="16"/>
          <w:szCs w:val="16"/>
          <w:color w:val="auto"/>
        </w:rPr>
      </w:pPr>
      <w:r>
        <w:rPr>
          <w:rFonts w:ascii="Arial" w:cs="Arial" w:eastAsia="Arial" w:hAnsi="Arial"/>
          <w:sz w:val="16"/>
          <w:szCs w:val="16"/>
          <w:color w:val="auto"/>
        </w:rPr>
        <w:t>during the five business day period after any five consecutive trading day period (the “measurement period”) in which the trading price (as defined in the indenture governing the 2022 Convertible Notes) per $1,000 principal amount of notes for each trading day of the measurement period was less than 98% of the product of the last reported sale price of the Company’s common stock and the conversion rate on each such trading day; or (3) upon the occurrence of specified corporate events. On or after February 1, 2022 until the close of business on the scheduled trading day immediately preceding the maturity date, holders may convert their notes at any time, regardless of the occurrence or nonoccurrence of any of the foregoing circumstances.</w:t>
      </w:r>
    </w:p>
    <w:p>
      <w:pPr>
        <w:spacing w:after="0" w:line="162" w:lineRule="exact"/>
        <w:rPr>
          <w:sz w:val="20"/>
          <w:szCs w:val="20"/>
          <w:color w:val="auto"/>
        </w:rPr>
      </w:pPr>
    </w:p>
    <w:p>
      <w:pPr>
        <w:jc w:val="both"/>
        <w:ind w:firstLine="255"/>
        <w:spacing w:after="0" w:line="263" w:lineRule="auto"/>
        <w:rPr>
          <w:sz w:val="20"/>
          <w:szCs w:val="20"/>
          <w:color w:val="auto"/>
        </w:rPr>
      </w:pPr>
      <w:r>
        <w:rPr>
          <w:rFonts w:ascii="Arial" w:cs="Arial" w:eastAsia="Arial" w:hAnsi="Arial"/>
          <w:sz w:val="18"/>
          <w:szCs w:val="18"/>
          <w:color w:val="auto"/>
        </w:rPr>
        <w:t>The 2022 Convertible Notes are the Company’s unsecured obligations and rank senior in right of payment to the Company’s future indebtedness that is expressly subordinated in right of payment to the 2022 Convertible Notes; equal in right of payment to the Company’s existing and future indebtedness that is not so subordinated; effectively junior in right of payment to any of the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39" w:name="page40"/>
    <w:bookmarkEnd w:id="39"/>
    <w:p>
      <w:pPr>
        <w:jc w:val="both"/>
        <w:ind w:right="180"/>
        <w:spacing w:after="0" w:line="263" w:lineRule="auto"/>
        <w:rPr>
          <w:sz w:val="20"/>
          <w:szCs w:val="20"/>
          <w:color w:val="auto"/>
        </w:rPr>
      </w:pPr>
      <w:r>
        <w:rPr>
          <w:rFonts w:ascii="Arial" w:cs="Arial" w:eastAsia="Arial" w:hAnsi="Arial"/>
          <w:sz w:val="18"/>
          <w:szCs w:val="18"/>
          <w:color w:val="auto"/>
        </w:rPr>
        <w:t>Company’s secured indebtedness (including unsecured indebtedness that the Company later secures) to the extent of the value of the assets securing such indebtedness; and structurally junior to all existing and future indebtedness (including trade payables) incurred by the Company’s subsidiaries, financing vehicles or similar facilities.</w:t>
      </w:r>
    </w:p>
    <w:p>
      <w:pPr>
        <w:spacing w:after="0" w:line="184" w:lineRule="exact"/>
        <w:rPr>
          <w:sz w:val="20"/>
          <w:szCs w:val="20"/>
          <w:color w:val="auto"/>
        </w:rPr>
      </w:pPr>
    </w:p>
    <w:p>
      <w:pPr>
        <w:ind w:right="580" w:firstLine="255"/>
        <w:spacing w:after="0" w:line="277" w:lineRule="auto"/>
        <w:rPr>
          <w:sz w:val="20"/>
          <w:szCs w:val="20"/>
          <w:color w:val="auto"/>
        </w:rPr>
      </w:pPr>
      <w:r>
        <w:rPr>
          <w:rFonts w:ascii="Arial" w:cs="Arial" w:eastAsia="Arial" w:hAnsi="Arial"/>
          <w:sz w:val="18"/>
          <w:szCs w:val="18"/>
          <w:color w:val="auto"/>
        </w:rPr>
        <w:t>For the three and nine months ended September 30, 2020 and 2019, the components of interest expense related to the Convertible Notes were as follows:</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4"/>
          </w:tcPr>
          <w:p>
            <w:pPr>
              <w:jc w:val="right"/>
              <w:ind w:right="294"/>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gridSpan w:val="6"/>
          </w:tcPr>
          <w:p>
            <w:pPr>
              <w:ind w:left="200"/>
              <w:spacing w:after="0"/>
              <w:rPr>
                <w:sz w:val="20"/>
                <w:szCs w:val="20"/>
                <w:color w:val="auto"/>
              </w:rPr>
            </w:pPr>
            <w:r>
              <w:rPr>
                <w:rFonts w:ascii="Arial" w:cs="Arial" w:eastAsia="Arial" w:hAnsi="Arial"/>
                <w:sz w:val="14"/>
                <w:szCs w:val="14"/>
                <w:b w:val="1"/>
                <w:bCs w:val="1"/>
                <w:color w:val="auto"/>
              </w:rPr>
              <w:t>Nine Months Ended</w:t>
            </w:r>
          </w:p>
        </w:tc>
      </w:tr>
      <w:tr>
        <w:trPr>
          <w:trHeight w:val="133"/>
        </w:trPr>
        <w:tc>
          <w:tcPr>
            <w:tcW w:w="4600" w:type="dxa"/>
            <w:vAlign w:val="bottom"/>
          </w:tcPr>
          <w:p>
            <w:pPr>
              <w:spacing w:after="0"/>
              <w:rPr>
                <w:sz w:val="11"/>
                <w:szCs w:val="11"/>
                <w:color w:val="auto"/>
              </w:rPr>
            </w:pPr>
          </w:p>
        </w:tc>
        <w:tc>
          <w:tcPr>
            <w:tcW w:w="940" w:type="dxa"/>
            <w:vAlign w:val="bottom"/>
            <w:tcBorders>
              <w:top w:val="single" w:sz="8" w:color="auto"/>
            </w:tcBorders>
            <w:gridSpan w:val="2"/>
          </w:tcPr>
          <w:p>
            <w:pPr>
              <w:ind w:left="20"/>
              <w:spacing w:after="0" w:line="133" w:lineRule="exact"/>
              <w:rPr>
                <w:sz w:val="20"/>
                <w:szCs w:val="20"/>
                <w:color w:val="auto"/>
              </w:rPr>
            </w:pPr>
            <w:r>
              <w:rPr>
                <w:rFonts w:ascii="Arial" w:cs="Arial" w:eastAsia="Arial" w:hAnsi="Arial"/>
                <w:sz w:val="14"/>
                <w:szCs w:val="14"/>
                <w:b w:val="1"/>
                <w:bCs w:val="1"/>
                <w:color w:val="auto"/>
                <w:w w:val="93"/>
              </w:rPr>
              <w:t>September 30,</w:t>
            </w: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tcPr>
          <w:p>
            <w:pPr>
              <w:ind w:left="20"/>
              <w:spacing w:after="0" w:line="133" w:lineRule="exact"/>
              <w:rPr>
                <w:sz w:val="20"/>
                <w:szCs w:val="20"/>
                <w:color w:val="auto"/>
              </w:rPr>
            </w:pPr>
            <w:r>
              <w:rPr>
                <w:rFonts w:ascii="Arial" w:cs="Arial" w:eastAsia="Arial" w:hAnsi="Arial"/>
                <w:sz w:val="14"/>
                <w:szCs w:val="14"/>
                <w:b w:val="1"/>
                <w:bCs w:val="1"/>
                <w:color w:val="auto"/>
                <w:w w:val="93"/>
              </w:rPr>
              <w:t>September 30,</w:t>
            </w:r>
          </w:p>
        </w:tc>
        <w:tc>
          <w:tcPr>
            <w:tcW w:w="180" w:type="dxa"/>
            <w:vAlign w:val="bottom"/>
          </w:tcPr>
          <w:p>
            <w:pPr>
              <w:spacing w:after="0"/>
              <w:rPr>
                <w:sz w:val="11"/>
                <w:szCs w:val="11"/>
                <w:color w:val="auto"/>
              </w:rPr>
            </w:pPr>
          </w:p>
        </w:tc>
        <w:tc>
          <w:tcPr>
            <w:tcW w:w="1120" w:type="dxa"/>
            <w:vAlign w:val="bottom"/>
            <w:tcBorders>
              <w:top w:val="single" w:sz="8" w:color="auto"/>
            </w:tcBorders>
            <w:gridSpan w:val="3"/>
          </w:tcPr>
          <w:p>
            <w:pPr>
              <w:ind w:left="20"/>
              <w:spacing w:after="0" w:line="133" w:lineRule="exact"/>
              <w:rPr>
                <w:sz w:val="20"/>
                <w:szCs w:val="20"/>
                <w:color w:val="auto"/>
              </w:rPr>
            </w:pPr>
            <w:r>
              <w:rPr>
                <w:rFonts w:ascii="Arial" w:cs="Arial" w:eastAsia="Arial" w:hAnsi="Arial"/>
                <w:sz w:val="14"/>
                <w:szCs w:val="14"/>
                <w:b w:val="1"/>
                <w:bCs w:val="1"/>
                <w:color w:val="auto"/>
              </w:rPr>
              <w:t>September 30,</w:t>
            </w:r>
          </w:p>
        </w:tc>
        <w:tc>
          <w:tcPr>
            <w:tcW w:w="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spacing w:after="0" w:line="133" w:lineRule="exact"/>
              <w:rPr>
                <w:sz w:val="20"/>
                <w:szCs w:val="20"/>
                <w:color w:val="auto"/>
              </w:rPr>
            </w:pPr>
            <w:r>
              <w:rPr>
                <w:rFonts w:ascii="Arial" w:cs="Arial" w:eastAsia="Arial" w:hAnsi="Arial"/>
                <w:sz w:val="14"/>
                <w:szCs w:val="14"/>
                <w:b w:val="1"/>
                <w:bCs w:val="1"/>
                <w:color w:val="auto"/>
                <w:w w:val="93"/>
              </w:rPr>
              <w:t>September 30,</w:t>
            </w:r>
          </w:p>
        </w:tc>
        <w:tc>
          <w:tcPr>
            <w:tcW w:w="80" w:type="dxa"/>
            <w:vAlign w:val="bottom"/>
          </w:tcPr>
          <w:p>
            <w:pPr>
              <w:spacing w:after="0"/>
              <w:rPr>
                <w:sz w:val="11"/>
                <w:szCs w:val="11"/>
                <w:color w:val="auto"/>
              </w:rPr>
            </w:pPr>
          </w:p>
        </w:tc>
      </w:tr>
      <w:tr>
        <w:trPr>
          <w:trHeight w:val="171"/>
        </w:trPr>
        <w:tc>
          <w:tcPr>
            <w:tcW w:w="460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4"/>
                <w:szCs w:val="14"/>
                <w:color w:val="auto"/>
              </w:rPr>
            </w:pPr>
          </w:p>
        </w:tc>
      </w:tr>
      <w:tr>
        <w:trPr>
          <w:trHeight w:val="223"/>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1,596</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3,234</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5,252</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9,703</w:t>
            </w:r>
          </w:p>
        </w:tc>
        <w:tc>
          <w:tcPr>
            <w:tcW w:w="80" w:type="dxa"/>
            <w:vAlign w:val="bottom"/>
            <w:shd w:val="clear" w:color="auto" w:fill="CFF0FC"/>
          </w:tcPr>
          <w:p>
            <w:pPr>
              <w:spacing w:after="0"/>
              <w:rPr>
                <w:sz w:val="19"/>
                <w:szCs w:val="19"/>
                <w:color w:val="auto"/>
              </w:rPr>
            </w:pPr>
          </w:p>
        </w:tc>
      </w:tr>
      <w:tr>
        <w:trPr>
          <w:trHeight w:val="229"/>
        </w:trPr>
        <w:tc>
          <w:tcPr>
            <w:tcW w:w="460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228</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673</w:t>
            </w:r>
          </w:p>
        </w:tc>
        <w:tc>
          <w:tcPr>
            <w:tcW w:w="80" w:type="dxa"/>
            <w:vAlign w:val="bottom"/>
          </w:tcPr>
          <w:p>
            <w:pPr>
              <w:spacing w:after="0"/>
              <w:rPr>
                <w:sz w:val="19"/>
                <w:szCs w:val="19"/>
                <w:color w:val="auto"/>
              </w:rPr>
            </w:pPr>
          </w:p>
        </w:tc>
      </w:tr>
      <w:tr>
        <w:trPr>
          <w:trHeight w:val="229"/>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deferred financing costs</w:t>
            </w:r>
          </w:p>
        </w:tc>
        <w:tc>
          <w:tcPr>
            <w:tcW w:w="2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w:t>
            </w:r>
          </w:p>
        </w:tc>
        <w:tc>
          <w:tcPr>
            <w:tcW w:w="1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435</w:t>
            </w:r>
          </w:p>
        </w:tc>
        <w:tc>
          <w:tcPr>
            <w:tcW w:w="1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1,290</w:t>
            </w:r>
          </w:p>
        </w:tc>
        <w:tc>
          <w:tcPr>
            <w:tcW w:w="80" w:type="dxa"/>
            <w:vAlign w:val="bottom"/>
            <w:shd w:val="clear" w:color="auto" w:fill="CFF0FC"/>
          </w:tcPr>
          <w:p>
            <w:pPr>
              <w:spacing w:after="0"/>
              <w:rPr>
                <w:sz w:val="19"/>
                <w:szCs w:val="19"/>
                <w:color w:val="auto"/>
              </w:rPr>
            </w:pPr>
          </w:p>
        </w:tc>
      </w:tr>
      <w:tr>
        <w:trPr>
          <w:trHeight w:val="223"/>
        </w:trPr>
        <w:tc>
          <w:tcPr>
            <w:tcW w:w="4600" w:type="dxa"/>
            <w:vAlign w:val="bottom"/>
          </w:tcPr>
          <w:p>
            <w:pPr>
              <w:ind w:left="240"/>
              <w:spacing w:after="0"/>
              <w:rPr>
                <w:sz w:val="20"/>
                <w:szCs w:val="20"/>
                <w:color w:val="auto"/>
              </w:rPr>
            </w:pPr>
            <w:r>
              <w:rPr>
                <w:rFonts w:ascii="Arial" w:cs="Arial" w:eastAsia="Arial" w:hAnsi="Arial"/>
                <w:sz w:val="18"/>
                <w:szCs w:val="18"/>
                <w:b w:val="1"/>
                <w:bCs w:val="1"/>
                <w:color w:val="auto"/>
              </w:rPr>
              <w:t>Total Interest Expense</w:t>
            </w: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1,832</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3,897</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6,095</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11,666</w:t>
            </w:r>
          </w:p>
        </w:tc>
        <w:tc>
          <w:tcPr>
            <w:tcW w:w="80" w:type="dxa"/>
            <w:vAlign w:val="bottom"/>
          </w:tcPr>
          <w:p>
            <w:pPr>
              <w:spacing w:after="0"/>
              <w:rPr>
                <w:sz w:val="19"/>
                <w:szCs w:val="19"/>
                <w:color w:val="auto"/>
              </w:rPr>
            </w:pPr>
          </w:p>
        </w:tc>
      </w:tr>
      <w:tr>
        <w:trPr>
          <w:trHeight w:val="20"/>
        </w:trPr>
        <w:tc>
          <w:tcPr>
            <w:tcW w:w="4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firstLine="255"/>
        <w:spacing w:after="0" w:line="293" w:lineRule="auto"/>
        <w:rPr>
          <w:sz w:val="20"/>
          <w:szCs w:val="20"/>
          <w:color w:val="auto"/>
        </w:rPr>
      </w:pPr>
      <w:r>
        <w:rPr>
          <w:rFonts w:ascii="Arial" w:cs="Arial" w:eastAsia="Arial" w:hAnsi="Arial"/>
          <w:sz w:val="16"/>
          <w:szCs w:val="16"/>
          <w:color w:val="auto"/>
        </w:rPr>
        <w:t>Total interest expense in the table above does not include the effect of the interest rate swaps. During the three and nine months ended September 30, 2020, the Company received $2.1 million and $6.3 million, respectively, and paid $1.4 million and $5.0 million, respectively, related to the settlements of its interest rate swaps, excluding upfront fees, related to the 2022 Convertible Notes. During the three and nine months ended September 30, 2019, the Company received $3.2 million and $9.7 million, respectively, and paid $3.5 million and $10.9 million, respectively, related to the settlements of its interest rate swaps, excluding upfront fees, related to the Convertible Notes These net amounts are reflected in interest expense in the Company’s consolidated statements of operations. Please see Note 5 for further information about the Company’s interest rate swaps.</w:t>
      </w:r>
    </w:p>
    <w:p>
      <w:pPr>
        <w:spacing w:after="0" w:line="164" w:lineRule="exact"/>
        <w:rPr>
          <w:sz w:val="20"/>
          <w:szCs w:val="20"/>
          <w:color w:val="auto"/>
        </w:rPr>
      </w:pPr>
    </w:p>
    <w:p>
      <w:pPr>
        <w:ind w:firstLine="255"/>
        <w:spacing w:after="0" w:line="277" w:lineRule="auto"/>
        <w:rPr>
          <w:sz w:val="20"/>
          <w:szCs w:val="20"/>
          <w:color w:val="auto"/>
        </w:rPr>
      </w:pPr>
      <w:r>
        <w:rPr>
          <w:rFonts w:ascii="Arial" w:cs="Arial" w:eastAsia="Arial" w:hAnsi="Arial"/>
          <w:sz w:val="18"/>
          <w:szCs w:val="18"/>
          <w:color w:val="auto"/>
        </w:rPr>
        <w:t>As of September 30, 2020 and December 31, 2019, the components of the carrying value of the 2022 Convertible Notes and the stated interest rate were as follows:</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8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2020</w:t>
            </w:r>
          </w:p>
        </w:tc>
        <w:tc>
          <w:tcPr>
            <w:tcW w:w="100" w:type="dxa"/>
            <w:vAlign w:val="bottom"/>
          </w:tcPr>
          <w:p>
            <w:pPr>
              <w:spacing w:after="0"/>
              <w:rPr>
                <w:sz w:val="14"/>
                <w:szCs w:val="14"/>
                <w:color w:val="auto"/>
              </w:rPr>
            </w:pPr>
          </w:p>
        </w:tc>
        <w:tc>
          <w:tcPr>
            <w:tcW w:w="15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1"/>
              </w:rPr>
              <w:t>December 31, 2019</w:t>
            </w:r>
          </w:p>
        </w:tc>
      </w:tr>
      <w:tr>
        <w:trPr>
          <w:trHeight w:val="223"/>
        </w:trPr>
        <w:tc>
          <w:tcPr>
            <w:tcW w:w="4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Principal amount of debt</w:t>
            </w:r>
          </w:p>
        </w:tc>
        <w:tc>
          <w:tcPr>
            <w:tcW w:w="10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142,809</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172,500</w:t>
            </w:r>
          </w:p>
        </w:tc>
        <w:tc>
          <w:tcPr>
            <w:tcW w:w="320" w:type="dxa"/>
            <w:vAlign w:val="bottom"/>
            <w:tcBorders>
              <w:top w:val="single" w:sz="8" w:color="CFF0FC"/>
            </w:tcBorders>
            <w:shd w:val="clear" w:color="auto" w:fill="CFF0FC"/>
          </w:tcPr>
          <w:p>
            <w:pPr>
              <w:spacing w:after="0"/>
              <w:rPr>
                <w:sz w:val="19"/>
                <w:szCs w:val="19"/>
                <w:color w:val="auto"/>
              </w:rPr>
            </w:pP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Original issue discount, net of accretion/amortization</w:t>
            </w: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(617)</w:t>
            </w:r>
          </w:p>
        </w:tc>
      </w:tr>
      <w:tr>
        <w:trPr>
          <w:trHeight w:val="230"/>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Deferred financing costs</w:t>
            </w:r>
          </w:p>
        </w:tc>
        <w:tc>
          <w:tcPr>
            <w:tcW w:w="10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(1,423)</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(2,463)</w:t>
            </w:r>
          </w:p>
        </w:tc>
      </w:tr>
      <w:tr>
        <w:trPr>
          <w:trHeight w:val="263"/>
        </w:trPr>
        <w:tc>
          <w:tcPr>
            <w:tcW w:w="4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Carrying value of debt</w:t>
            </w:r>
          </w:p>
        </w:tc>
        <w:tc>
          <w:tcPr>
            <w:tcW w:w="1000" w:type="dxa"/>
            <w:vAlign w:val="bottom"/>
            <w:tcBorders>
              <w:bottom w:val="single" w:sz="8" w:color="CFF0FC"/>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141,059</w:t>
            </w:r>
          </w:p>
        </w:tc>
        <w:tc>
          <w:tcPr>
            <w:tcW w:w="2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169,420</w:t>
            </w:r>
          </w:p>
        </w:tc>
        <w:tc>
          <w:tcPr>
            <w:tcW w:w="320" w:type="dxa"/>
            <w:vAlign w:val="bottom"/>
            <w:tcBorders>
              <w:bottom w:val="single" w:sz="8" w:color="CFF0FC"/>
            </w:tcBorders>
          </w:tcPr>
          <w:p>
            <w:pPr>
              <w:spacing w:after="0"/>
              <w:rPr>
                <w:sz w:val="22"/>
                <w:szCs w:val="22"/>
                <w:color w:val="auto"/>
              </w:rPr>
            </w:pPr>
          </w:p>
        </w:tc>
      </w:tr>
      <w:tr>
        <w:trPr>
          <w:trHeight w:val="210"/>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Stated interest rate</w:t>
            </w:r>
          </w:p>
        </w:tc>
        <w:tc>
          <w:tcPr>
            <w:tcW w:w="10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4.50%</w:t>
            </w:r>
          </w:p>
        </w:tc>
      </w:tr>
    </w:tbl>
    <w:p>
      <w:pPr>
        <w:spacing w:after="0" w:line="229" w:lineRule="exact"/>
        <w:rPr>
          <w:sz w:val="20"/>
          <w:szCs w:val="20"/>
          <w:color w:val="auto"/>
        </w:rPr>
      </w:pPr>
    </w:p>
    <w:p>
      <w:pPr>
        <w:jc w:val="both"/>
        <w:ind w:right="240" w:firstLine="255"/>
        <w:spacing w:after="0" w:line="263" w:lineRule="auto"/>
        <w:rPr>
          <w:sz w:val="20"/>
          <w:szCs w:val="20"/>
          <w:color w:val="auto"/>
        </w:rPr>
      </w:pPr>
      <w:r>
        <w:rPr>
          <w:rFonts w:ascii="Arial" w:cs="Arial" w:eastAsia="Arial" w:hAnsi="Arial"/>
          <w:sz w:val="18"/>
          <w:szCs w:val="18"/>
          <w:color w:val="auto"/>
        </w:rPr>
        <w:t>The stated interest rate in the table above does not include the effect of the interest rate swaps. The Company’s swap-adjusted interest rate was three month LIBOR plus 2.11% (on a weighted average basis) for the 2022 Convertible Notes. Please see Note 5 for further information about the Company’s interest rate swaps.</w:t>
      </w:r>
    </w:p>
    <w:p>
      <w:pPr>
        <w:spacing w:after="0" w:line="184" w:lineRule="exact"/>
        <w:rPr>
          <w:sz w:val="20"/>
          <w:szCs w:val="20"/>
          <w:color w:val="auto"/>
        </w:rPr>
      </w:pPr>
    </w:p>
    <w:p>
      <w:pPr>
        <w:ind w:right="20" w:firstLine="255"/>
        <w:spacing w:after="0" w:line="257" w:lineRule="auto"/>
        <w:rPr>
          <w:sz w:val="20"/>
          <w:szCs w:val="20"/>
          <w:color w:val="auto"/>
        </w:rPr>
      </w:pPr>
      <w:r>
        <w:rPr>
          <w:rFonts w:ascii="Arial" w:cs="Arial" w:eastAsia="Arial" w:hAnsi="Arial"/>
          <w:sz w:val="18"/>
          <w:szCs w:val="18"/>
          <w:color w:val="auto"/>
        </w:rPr>
        <w:t>The indenture governing the 2022 Convertible Notes contains certain covenants, including covenants requiring the Company to comply with the applicable asset coverage ratio requirement under the 1940 Act and to provide financial information to the holders of the 2022 Convertible Notes under certain circumstances. These covenants are subject to important limitations and exceptions that are described in the indenture governing the 2022 Convertible Notes. As of September 30, 2020 and December 31, 2019, the Company was in compliance with the terms of the indenture governing the 2022 Convertible Notes.</w:t>
      </w:r>
    </w:p>
    <w:p>
      <w:pPr>
        <w:spacing w:after="0" w:line="188" w:lineRule="exact"/>
        <w:rPr>
          <w:sz w:val="20"/>
          <w:szCs w:val="20"/>
          <w:color w:val="auto"/>
        </w:rPr>
      </w:pPr>
    </w:p>
    <w:p>
      <w:pPr>
        <w:ind w:right="60" w:firstLine="255"/>
        <w:spacing w:after="0" w:line="289" w:lineRule="auto"/>
        <w:rPr>
          <w:sz w:val="20"/>
          <w:szCs w:val="20"/>
          <w:color w:val="auto"/>
        </w:rPr>
      </w:pPr>
      <w:r>
        <w:rPr>
          <w:rFonts w:ascii="Arial" w:cs="Arial" w:eastAsia="Arial" w:hAnsi="Arial"/>
          <w:sz w:val="16"/>
          <w:szCs w:val="16"/>
          <w:color w:val="auto"/>
        </w:rPr>
        <w:t>The 2022 Convertible Notes are accounted for in accordance with Accounting Standards Codification (“ASC”) Topic 470-20. Upon conversion of any of the 2022 Convertible Notes, the Company intends to pay the outstanding principal amount in cash and, to the extent that the conversion value exceeds the principal amount, the Company has the option to pay in cash or shares of the Company’s common stock (or a combination of cash and shares) in respect of the excess amount, subject to the requirements of the indenture governing the 2022 Convertible Notes. The Company has determined that the embedded conversion options in the 2022 Convertible Notes are not required to be separately accounted for as a derivative under U.S. GAAP. In accounting for the 2022 Convertible Notes, the Company estimated at the time of issuance separate debt and equity components of the 2022 Convertible Notes. An original issue discount equal to the equity components of the 2022 Convertible Notes was recorded in “additional paid-in capital” in the accompanying consolidated balance sheet. Additionally, the issuance costs associated with the 2022 Convertible Notes were allocated to the debt and equity components in proportion to the allocation of the proceeds and accounted for as deferred financing costs and equity issuance costs, respectively.</w:t>
      </w:r>
    </w:p>
    <w:p>
      <w:pPr>
        <w:spacing w:after="0" w:line="166" w:lineRule="exact"/>
        <w:rPr>
          <w:sz w:val="20"/>
          <w:szCs w:val="20"/>
          <w:color w:val="auto"/>
        </w:rPr>
      </w:pPr>
    </w:p>
    <w:p>
      <w:pPr>
        <w:ind w:right="220" w:firstLine="255"/>
        <w:spacing w:after="0" w:line="277" w:lineRule="auto"/>
        <w:rPr>
          <w:sz w:val="20"/>
          <w:szCs w:val="20"/>
          <w:color w:val="auto"/>
        </w:rPr>
      </w:pPr>
      <w:r>
        <w:rPr>
          <w:rFonts w:ascii="Arial" w:cs="Arial" w:eastAsia="Arial" w:hAnsi="Arial"/>
          <w:sz w:val="18"/>
          <w:szCs w:val="18"/>
          <w:color w:val="auto"/>
        </w:rPr>
        <w:t>As of September 30, 2020 and 2019, the principal amount of the Convertible Notes exceeded the value of the underlying shares multiplied by the per share closing price of the Company’s common stock.</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0" w:name="page41"/>
    <w:bookmarkEnd w:id="40"/>
    <w:p>
      <w:pPr>
        <w:spacing w:after="0"/>
        <w:rPr>
          <w:sz w:val="20"/>
          <w:szCs w:val="20"/>
          <w:color w:val="auto"/>
        </w:rPr>
      </w:pPr>
      <w:r>
        <w:rPr>
          <w:rFonts w:ascii="Arial" w:cs="Arial" w:eastAsia="Arial" w:hAnsi="Arial"/>
          <w:sz w:val="18"/>
          <w:szCs w:val="18"/>
          <w:i w:val="1"/>
          <w:iCs w:val="1"/>
          <w:color w:val="auto"/>
        </w:rPr>
        <w:t>2023 Notes</w:t>
      </w:r>
    </w:p>
    <w:p>
      <w:pPr>
        <w:spacing w:after="0" w:line="117" w:lineRule="exact"/>
        <w:rPr>
          <w:sz w:val="20"/>
          <w:szCs w:val="20"/>
          <w:color w:val="auto"/>
        </w:rPr>
      </w:pPr>
    </w:p>
    <w:p>
      <w:pPr>
        <w:ind w:right="180" w:firstLine="255"/>
        <w:spacing w:after="0" w:line="275" w:lineRule="auto"/>
        <w:rPr>
          <w:sz w:val="20"/>
          <w:szCs w:val="20"/>
          <w:color w:val="auto"/>
        </w:rPr>
      </w:pPr>
      <w:r>
        <w:rPr>
          <w:rFonts w:ascii="Arial" w:cs="Arial" w:eastAsia="Arial" w:hAnsi="Arial"/>
          <w:sz w:val="17"/>
          <w:szCs w:val="17"/>
          <w:color w:val="auto"/>
        </w:rPr>
        <w:t>In January 2018, the Company issued $150.0 million aggregate principal amount of unsecured notes that mature on January 22, 2023 (the “2023 Notes”). The principal amount of the 2023 Notes is payable at maturity. The 2023 Notes bear interest at a rate of 4.50% per year, payable semi-annually commencing on July 22, 2018, and may be redeemed in whole or in part at the Company’s option at any time at par plus a “make whole” premium. Total proceeds from the issuance of the 2023 Notes, net of underwriting discounts and offering costs, were $146.9 million. The Company used the net proceeds of the 2023 Notes to repay outstanding indebtedness under the Revolving Credit Facility.</w:t>
      </w:r>
    </w:p>
    <w:p>
      <w:pPr>
        <w:spacing w:after="0" w:line="176" w:lineRule="exact"/>
        <w:rPr>
          <w:sz w:val="20"/>
          <w:szCs w:val="20"/>
          <w:color w:val="auto"/>
        </w:rPr>
      </w:pPr>
    </w:p>
    <w:p>
      <w:pPr>
        <w:jc w:val="both"/>
        <w:ind w:right="200" w:firstLine="255"/>
        <w:spacing w:after="0" w:line="311" w:lineRule="auto"/>
        <w:rPr>
          <w:sz w:val="20"/>
          <w:szCs w:val="20"/>
          <w:color w:val="auto"/>
        </w:rPr>
      </w:pPr>
      <w:r>
        <w:rPr>
          <w:rFonts w:ascii="Arial" w:cs="Arial" w:eastAsia="Arial" w:hAnsi="Arial"/>
          <w:sz w:val="16"/>
          <w:szCs w:val="16"/>
          <w:color w:val="auto"/>
        </w:rPr>
        <w:t>In connection with the 2023 Notes offering, the Company entered into an interest rate swap to continue to align the interest rates of its liabilities with the Company’s investment portfolio, which consists of predominately floating rate loans. As a result of the swap, the Company’s effective interest rate on the 2023 Notes is three-month LIBOR plus 1.99%. Please see Note 5 for further information about the Company’s interest rate swaps.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2024 Notes</w:t>
      </w:r>
    </w:p>
    <w:p>
      <w:pPr>
        <w:spacing w:after="0" w:line="117" w:lineRule="exact"/>
        <w:rPr>
          <w:sz w:val="20"/>
          <w:szCs w:val="20"/>
          <w:color w:val="auto"/>
        </w:rPr>
      </w:pPr>
    </w:p>
    <w:p>
      <w:pPr>
        <w:ind w:right="60" w:firstLine="255"/>
        <w:spacing w:after="0" w:line="275" w:lineRule="auto"/>
        <w:rPr>
          <w:sz w:val="20"/>
          <w:szCs w:val="20"/>
          <w:color w:val="auto"/>
        </w:rPr>
      </w:pPr>
      <w:r>
        <w:rPr>
          <w:rFonts w:ascii="Arial" w:cs="Arial" w:eastAsia="Arial" w:hAnsi="Arial"/>
          <w:sz w:val="17"/>
          <w:szCs w:val="17"/>
          <w:color w:val="auto"/>
        </w:rPr>
        <w:t>In November 2019, the Company issued $300.0 million aggregate principal amount of unsecured notes that mature on November 1, 2024 (the “2024 Notes”). The principal amount of the 2024 Notes is payable at maturity. The 2024 Notes bear interest at a rate of 3.875% per year, payable semi-annually commencing on May 1, 2020, and may be redeemed in whole or in part at our option at any time at par plus a “make whole” premium. Total proceeds from the issuance of the 2024 Notes, net of underwriting discounts, offering costs and original issue discount were $292.9 million. The Company used the net proceeds of the 2024 Notes to repay outstanding indebtedness under the Revolving Credit Facility.</w:t>
      </w:r>
    </w:p>
    <w:p>
      <w:pPr>
        <w:spacing w:after="0" w:line="176" w:lineRule="exact"/>
        <w:rPr>
          <w:sz w:val="20"/>
          <w:szCs w:val="20"/>
          <w:color w:val="auto"/>
        </w:rPr>
      </w:pPr>
    </w:p>
    <w:p>
      <w:pPr>
        <w:ind w:right="20" w:firstLine="255"/>
        <w:spacing w:after="0" w:line="257" w:lineRule="auto"/>
        <w:rPr>
          <w:sz w:val="20"/>
          <w:szCs w:val="20"/>
          <w:color w:val="auto"/>
        </w:rPr>
      </w:pPr>
      <w:r>
        <w:rPr>
          <w:rFonts w:ascii="Arial" w:cs="Arial" w:eastAsia="Arial" w:hAnsi="Arial"/>
          <w:sz w:val="18"/>
          <w:szCs w:val="18"/>
          <w:color w:val="auto"/>
        </w:rPr>
        <w:t>On February 5, 2020, the Company issued an additional $50.0 million aggregate principal amount of unsecured notes that mature on November 1, 2024. The additional 2024 Notes are a further issuance of, fungible with, rank equally in right of payment with and have the same terms (other than the issue date and the public offering price) as the initial issuance of 2024 Notes. Total proceeds from the issuance of the additional 2024 Notes, net of underwriting discounts, offering costs and original issue premium were $50.1 million. The Company used the net proceeds of the 2024 Notes to repay outstanding indebtedness under the Revolving Credit Facility.</w:t>
      </w:r>
    </w:p>
    <w:p>
      <w:pPr>
        <w:spacing w:after="0" w:line="188" w:lineRule="exact"/>
        <w:rPr>
          <w:sz w:val="20"/>
          <w:szCs w:val="20"/>
          <w:color w:val="auto"/>
        </w:rPr>
      </w:pPr>
    </w:p>
    <w:p>
      <w:pPr>
        <w:ind w:right="40" w:firstLine="255"/>
        <w:spacing w:after="0" w:line="272" w:lineRule="auto"/>
        <w:rPr>
          <w:sz w:val="20"/>
          <w:szCs w:val="20"/>
          <w:color w:val="auto"/>
        </w:rPr>
      </w:pPr>
      <w:r>
        <w:rPr>
          <w:rFonts w:ascii="Arial" w:cs="Arial" w:eastAsia="Arial" w:hAnsi="Arial"/>
          <w:sz w:val="17"/>
          <w:szCs w:val="17"/>
          <w:color w:val="auto"/>
        </w:rPr>
        <w:t>In connection with the 2024 Notes offering and the reopening of the 2024 Notes, the Company entered into interest rate swaps to continue to align the interest rates of its liabilities with the Company’s investment portfolio, which consists of predominately floating rate loans. As a result of the swaps, the Company’s effective interest rate on the 2024 Notes is three-month LIBOR plus 2.28% (on a weighted average basis). The interest expense related to the 2024 Notes is offset by proceeds received from the interest rate swaps designated as a hedge. The swap adjusted interest expense is included as a component of interest expense on the Company’s Consolidated Statement of Operations. As of September 30, 2020 and December 31, 2019 the effective hedge interest rate swaps had a fair value of $18.1 million and ($1.8) million, respectively, which is offset within interest expense by an equal, but opposite, fair value change for the hedged risk on the 2024 Notes.</w:t>
      </w:r>
    </w:p>
    <w:p>
      <w:pPr>
        <w:spacing w:after="0" w:line="177" w:lineRule="exact"/>
        <w:rPr>
          <w:sz w:val="20"/>
          <w:szCs w:val="20"/>
          <w:color w:val="auto"/>
        </w:rPr>
      </w:pPr>
    </w:p>
    <w:p>
      <w:pPr>
        <w:ind w:right="100" w:firstLine="255"/>
        <w:spacing w:after="0" w:line="272" w:lineRule="auto"/>
        <w:rPr>
          <w:sz w:val="20"/>
          <w:szCs w:val="20"/>
          <w:color w:val="auto"/>
        </w:rPr>
      </w:pPr>
      <w:r>
        <w:rPr>
          <w:rFonts w:ascii="Arial" w:cs="Arial" w:eastAsia="Arial" w:hAnsi="Arial"/>
          <w:sz w:val="17"/>
          <w:szCs w:val="17"/>
          <w:color w:val="auto"/>
        </w:rPr>
        <w:t>During the nine months ended September 30, 2020, the Company repurchased on the open market and extinguished $2.5 million in aggregate principal amount of the 2024 Notes for $2.4 million. These repurchases resulted in a gain on extinguishment of debt of less than $0.1 million. This gain is included in the extinguishment of debt in the accompanying consolidated statements of operations. In connection with the repurchase of the 2024 Notes, the Company entered into a floating-to-fixed interest rate swap with a notional amount equal to the amount of 2024 Notes repurchased, which has the effect of reducing the notional exposure of the fixed-to-floating interest rate swaps, which were entered into in connection with the issuance of the 2024 Notes, to match the current principal amount of the 2024 Notes outstanding. As a result of the swap, the Company’s effective interest rate on the outstanding 2024 Notes is three-month LIBOR plus 2.28% (on a weighted average basis).</w:t>
      </w:r>
    </w:p>
    <w:p>
      <w:pPr>
        <w:spacing w:after="0" w:line="177" w:lineRule="exact"/>
        <w:rPr>
          <w:sz w:val="20"/>
          <w:szCs w:val="20"/>
          <w:color w:val="auto"/>
        </w:rPr>
      </w:pPr>
    </w:p>
    <w:p>
      <w:pPr>
        <w:ind w:right="120" w:firstLine="255"/>
        <w:spacing w:after="0" w:line="277" w:lineRule="auto"/>
        <w:rPr>
          <w:sz w:val="20"/>
          <w:szCs w:val="20"/>
          <w:color w:val="auto"/>
        </w:rPr>
      </w:pPr>
      <w:r>
        <w:rPr>
          <w:rFonts w:ascii="Arial" w:cs="Arial" w:eastAsia="Arial" w:hAnsi="Arial"/>
          <w:sz w:val="18"/>
          <w:szCs w:val="18"/>
          <w:color w:val="auto"/>
        </w:rPr>
        <w:t>For the three and nine months ended September 30, 2020 and 2019, the components of interest expense related to the 2023 Notes and 2024 Notes were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4"/>
          </w:tcPr>
          <w:p>
            <w:pPr>
              <w:jc w:val="right"/>
              <w:ind w:right="294"/>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gridSpan w:val="5"/>
          </w:tcPr>
          <w:p>
            <w:pPr>
              <w:ind w:left="200"/>
              <w:spacing w:after="0"/>
              <w:rPr>
                <w:sz w:val="20"/>
                <w:szCs w:val="20"/>
                <w:color w:val="auto"/>
              </w:rPr>
            </w:pPr>
            <w:r>
              <w:rPr>
                <w:rFonts w:ascii="Arial" w:cs="Arial" w:eastAsia="Arial" w:hAnsi="Arial"/>
                <w:sz w:val="14"/>
                <w:szCs w:val="14"/>
                <w:b w:val="1"/>
                <w:bCs w:val="1"/>
                <w:color w:val="auto"/>
              </w:rPr>
              <w:t>Nine Months Ended</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14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40" w:type="dxa"/>
            <w:vAlign w:val="bottom"/>
            <w:tcBorders>
              <w:top w:val="single" w:sz="8" w:color="auto"/>
            </w:tcBorders>
            <w:gridSpan w:val="2"/>
          </w:tcPr>
          <w:p>
            <w:pPr>
              <w:ind w:left="20"/>
              <w:spacing w:after="0" w:line="133" w:lineRule="exact"/>
              <w:rPr>
                <w:sz w:val="20"/>
                <w:szCs w:val="20"/>
                <w:color w:val="auto"/>
              </w:rPr>
            </w:pPr>
            <w:r>
              <w:rPr>
                <w:rFonts w:ascii="Arial" w:cs="Arial" w:eastAsia="Arial" w:hAnsi="Arial"/>
                <w:sz w:val="14"/>
                <w:szCs w:val="14"/>
                <w:b w:val="1"/>
                <w:bCs w:val="1"/>
                <w:color w:val="auto"/>
                <w:w w:val="93"/>
              </w:rPr>
              <w:t>September 30,</w:t>
            </w: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tcPr>
          <w:p>
            <w:pPr>
              <w:ind w:left="20"/>
              <w:spacing w:after="0" w:line="133" w:lineRule="exact"/>
              <w:rPr>
                <w:sz w:val="20"/>
                <w:szCs w:val="20"/>
                <w:color w:val="auto"/>
              </w:rPr>
            </w:pPr>
            <w:r>
              <w:rPr>
                <w:rFonts w:ascii="Arial" w:cs="Arial" w:eastAsia="Arial" w:hAnsi="Arial"/>
                <w:sz w:val="14"/>
                <w:szCs w:val="14"/>
                <w:b w:val="1"/>
                <w:bCs w:val="1"/>
                <w:color w:val="auto"/>
                <w:w w:val="93"/>
              </w:rPr>
              <w:t>September 30,</w:t>
            </w:r>
          </w:p>
        </w:tc>
        <w:tc>
          <w:tcPr>
            <w:tcW w:w="180" w:type="dxa"/>
            <w:vAlign w:val="bottom"/>
          </w:tcPr>
          <w:p>
            <w:pPr>
              <w:spacing w:after="0"/>
              <w:rPr>
                <w:sz w:val="11"/>
                <w:szCs w:val="11"/>
                <w:color w:val="auto"/>
              </w:rPr>
            </w:pPr>
          </w:p>
        </w:tc>
        <w:tc>
          <w:tcPr>
            <w:tcW w:w="940" w:type="dxa"/>
            <w:vAlign w:val="bottom"/>
            <w:tcBorders>
              <w:top w:val="single" w:sz="8" w:color="auto"/>
            </w:tcBorders>
            <w:gridSpan w:val="2"/>
          </w:tcPr>
          <w:p>
            <w:pPr>
              <w:ind w:left="20"/>
              <w:spacing w:after="0" w:line="133" w:lineRule="exact"/>
              <w:rPr>
                <w:sz w:val="20"/>
                <w:szCs w:val="20"/>
                <w:color w:val="auto"/>
              </w:rPr>
            </w:pPr>
            <w:r>
              <w:rPr>
                <w:rFonts w:ascii="Arial" w:cs="Arial" w:eastAsia="Arial" w:hAnsi="Arial"/>
                <w:sz w:val="14"/>
                <w:szCs w:val="14"/>
                <w:b w:val="1"/>
                <w:bCs w:val="1"/>
                <w:color w:val="auto"/>
                <w:w w:val="93"/>
              </w:rPr>
              <w:t>September 30,</w:t>
            </w: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tcPr>
          <w:p>
            <w:pPr>
              <w:ind w:left="20"/>
              <w:spacing w:after="0" w:line="133" w:lineRule="exact"/>
              <w:rPr>
                <w:sz w:val="20"/>
                <w:szCs w:val="20"/>
                <w:color w:val="auto"/>
              </w:rPr>
            </w:pPr>
            <w:r>
              <w:rPr>
                <w:rFonts w:ascii="Arial" w:cs="Arial" w:eastAsia="Arial" w:hAnsi="Arial"/>
                <w:sz w:val="14"/>
                <w:szCs w:val="14"/>
                <w:b w:val="1"/>
                <w:bCs w:val="1"/>
                <w:color w:val="auto"/>
                <w:w w:val="93"/>
              </w:rPr>
              <w:t>September 30,</w:t>
            </w: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3660" w:type="dxa"/>
            <w:vAlign w:val="bottom"/>
            <w:tcBorders>
              <w:bottom w:val="single" w:sz="8" w:color="CFF0FC"/>
            </w:tcBorders>
          </w:tcPr>
          <w:p>
            <w:pPr>
              <w:spacing w:after="0"/>
              <w:rPr>
                <w:sz w:val="14"/>
                <w:szCs w:val="14"/>
                <w:color w:val="auto"/>
              </w:rPr>
            </w:pPr>
          </w:p>
        </w:tc>
        <w:tc>
          <w:tcPr>
            <w:tcW w:w="9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5,016</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1,688</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14,975</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5,063</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87</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243</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deferred financing costs</w:t>
            </w:r>
          </w:p>
        </w:tc>
        <w:tc>
          <w:tcPr>
            <w:tcW w:w="9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w:t>
            </w:r>
          </w:p>
        </w:tc>
        <w:tc>
          <w:tcPr>
            <w:tcW w:w="1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1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1,232</w:t>
            </w:r>
          </w:p>
        </w:tc>
        <w:tc>
          <w:tcPr>
            <w:tcW w:w="1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481</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660" w:type="dxa"/>
            <w:vAlign w:val="bottom"/>
          </w:tcPr>
          <w:p>
            <w:pPr>
              <w:ind w:left="240"/>
              <w:spacing w:after="0"/>
              <w:rPr>
                <w:sz w:val="20"/>
                <w:szCs w:val="20"/>
                <w:color w:val="auto"/>
              </w:rPr>
            </w:pPr>
            <w:r>
              <w:rPr>
                <w:rFonts w:ascii="Arial" w:cs="Arial" w:eastAsia="Arial" w:hAnsi="Arial"/>
                <w:sz w:val="18"/>
                <w:szCs w:val="18"/>
                <w:b w:val="1"/>
                <w:bCs w:val="1"/>
                <w:color w:val="auto"/>
              </w:rPr>
              <w:t>Total Interest Expense</w:t>
            </w:r>
          </w:p>
        </w:tc>
        <w:tc>
          <w:tcPr>
            <w:tcW w:w="94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5,522</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1,852</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16,450</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5,551</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41</w:t>
            </w: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1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6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490" w:right="319" w:bottom="1440" w:gutter="0" w:footer="0" w:header="0"/>
        </w:sectPr>
      </w:pPr>
    </w:p>
    <w:bookmarkStart w:id="41" w:name="page42"/>
    <w:bookmarkEnd w:id="41"/>
    <w:p>
      <w:pPr>
        <w:ind w:firstLine="255"/>
        <w:spacing w:after="0" w:line="293" w:lineRule="auto"/>
        <w:rPr>
          <w:sz w:val="20"/>
          <w:szCs w:val="20"/>
          <w:color w:val="auto"/>
        </w:rPr>
      </w:pPr>
      <w:r>
        <w:rPr>
          <w:rFonts w:ascii="Arial" w:cs="Arial" w:eastAsia="Arial" w:hAnsi="Arial"/>
          <w:sz w:val="16"/>
          <w:szCs w:val="16"/>
          <w:color w:val="auto"/>
        </w:rPr>
        <w:t>Total interest expense in the table above does not include the effect of the interest rate swaps related to the 2023 Notes and 2024 Notes. During the three and nine months ended September 30, 2020, the Company received $5.1 million and $15.1 million, respectively, and paid $3.2 million and $12.6 million, respectively, related to the settlements of its interest rate swaps, excluding upfront fees, related to the 2023 and 2024 Notes. During the three and nine months ended September 30, 2019, the Company received $1.7 million and $5.1 million, respectively, and paid $1.7 million and $5.2 million, respectively, related to the settlements of its interest rate swaps, excluding upfront fees, related to the 2023 and 2024 Notes. These net amounts are reflected in interest expense in the Company’s consolidated statements of operations. Please see Note 5 for further information about the Company’s interest rate swaps.</w:t>
      </w:r>
    </w:p>
    <w:p>
      <w:pPr>
        <w:spacing w:after="0" w:line="164" w:lineRule="exact"/>
        <w:rPr>
          <w:sz w:val="20"/>
          <w:szCs w:val="20"/>
          <w:color w:val="auto"/>
        </w:rPr>
      </w:pPr>
    </w:p>
    <w:p>
      <w:pPr>
        <w:ind w:right="160" w:firstLine="255"/>
        <w:spacing w:after="0" w:line="277" w:lineRule="auto"/>
        <w:rPr>
          <w:sz w:val="20"/>
          <w:szCs w:val="20"/>
          <w:color w:val="auto"/>
        </w:rPr>
      </w:pPr>
      <w:r>
        <w:rPr>
          <w:rFonts w:ascii="Arial" w:cs="Arial" w:eastAsia="Arial" w:hAnsi="Arial"/>
          <w:sz w:val="18"/>
          <w:szCs w:val="18"/>
          <w:color w:val="auto"/>
        </w:rPr>
        <w:t>As of September 30, 2020 and December 31, 2019 the components of the carrying value of the 2023 Notes and 2024 Notes and the stated interest rate were as follows:</w:t>
      </w:r>
    </w:p>
    <w:p>
      <w:pPr>
        <w:spacing w:after="0" w:line="256"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tcPr>
          <w:p>
            <w:pPr>
              <w:jc w:val="right"/>
              <w:ind w:right="393"/>
              <w:spacing w:after="0"/>
              <w:rPr>
                <w:sz w:val="20"/>
                <w:szCs w:val="20"/>
                <w:color w:val="auto"/>
              </w:rPr>
            </w:pPr>
            <w:r>
              <w:rPr>
                <w:rFonts w:ascii="Arial" w:cs="Arial" w:eastAsia="Arial" w:hAnsi="Arial"/>
                <w:sz w:val="14"/>
                <w:szCs w:val="14"/>
                <w:b w:val="1"/>
                <w:bCs w:val="1"/>
                <w:color w:val="auto"/>
              </w:rPr>
              <w:t>September 30, 2020</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tcPr>
          <w:p>
            <w:pPr>
              <w:jc w:val="right"/>
              <w:ind w:right="393"/>
              <w:spacing w:after="0"/>
              <w:rPr>
                <w:sz w:val="20"/>
                <w:szCs w:val="20"/>
                <w:color w:val="auto"/>
              </w:rPr>
            </w:pPr>
            <w:r>
              <w:rPr>
                <w:rFonts w:ascii="Arial" w:cs="Arial" w:eastAsia="Arial" w:hAnsi="Arial"/>
                <w:sz w:val="14"/>
                <w:szCs w:val="14"/>
                <w:b w:val="1"/>
                <w:bCs w:val="1"/>
                <w:color w:val="auto"/>
              </w:rPr>
              <w:t>December 31, 2019</w:t>
            </w:r>
          </w:p>
        </w:tc>
        <w:tc>
          <w:tcPr>
            <w:tcW w:w="180" w:type="dxa"/>
            <w:vAlign w:val="bottom"/>
          </w:tcPr>
          <w:p>
            <w:pPr>
              <w:spacing w:after="0"/>
              <w:rPr>
                <w:sz w:val="14"/>
                <w:szCs w:val="14"/>
                <w:color w:val="auto"/>
              </w:rPr>
            </w:pPr>
          </w:p>
        </w:tc>
      </w:tr>
      <w:tr>
        <w:trPr>
          <w:trHeight w:val="236"/>
        </w:trPr>
        <w:tc>
          <w:tcPr>
            <w:tcW w:w="4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9"/>
              </w:rPr>
              <w:t>2023 Notes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9"/>
              </w:rPr>
              <w:t>2024 Notes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9"/>
              </w:rPr>
              <w:t>2023 Notes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9"/>
              </w:rPr>
              <w:t>2024 Notes</w:t>
            </w:r>
          </w:p>
        </w:tc>
      </w:tr>
      <w:tr>
        <w:trPr>
          <w:trHeight w:val="223"/>
        </w:trPr>
        <w:tc>
          <w:tcPr>
            <w:tcW w:w="4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Principal amount of debt</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347,500</w:t>
            </w:r>
          </w:p>
        </w:tc>
        <w:tc>
          <w:tcPr>
            <w:tcW w:w="2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2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180" w:type="dxa"/>
            <w:vAlign w:val="bottom"/>
            <w:tcBorders>
              <w:top w:val="single" w:sz="8" w:color="CFF0FC"/>
            </w:tcBorders>
            <w:shd w:val="clear" w:color="auto" w:fill="CFF0FC"/>
          </w:tcPr>
          <w:p>
            <w:pPr>
              <w:spacing w:after="0"/>
              <w:rPr>
                <w:sz w:val="19"/>
                <w:szCs w:val="19"/>
                <w:color w:val="auto"/>
              </w:rPr>
            </w:pPr>
          </w:p>
        </w:tc>
      </w:tr>
      <w:tr>
        <w:trPr>
          <w:trHeight w:val="229"/>
        </w:trPr>
        <w:tc>
          <w:tcPr>
            <w:tcW w:w="4280" w:type="dxa"/>
            <w:vAlign w:val="bottom"/>
          </w:tcPr>
          <w:p>
            <w:pPr>
              <w:spacing w:after="0"/>
              <w:rPr>
                <w:sz w:val="20"/>
                <w:szCs w:val="20"/>
                <w:color w:val="auto"/>
              </w:rPr>
            </w:pPr>
            <w:r>
              <w:rPr>
                <w:rFonts w:ascii="Arial" w:cs="Arial" w:eastAsia="Arial" w:hAnsi="Arial"/>
                <w:sz w:val="18"/>
                <w:szCs w:val="18"/>
                <w:color w:val="auto"/>
              </w:rPr>
              <w:t>Original issue discount, net of accretion</w:t>
            </w:r>
          </w:p>
        </w:tc>
        <w:tc>
          <w:tcPr>
            <w:tcW w:w="1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(1,531)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(2,818)</w:t>
            </w:r>
          </w:p>
        </w:tc>
      </w:tr>
      <w:tr>
        <w:trPr>
          <w:trHeight w:val="23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Deferred financing costs</w:t>
            </w: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(1,489)</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(4,159)</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(1,973)</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(4,057)</w:t>
            </w:r>
          </w:p>
        </w:tc>
      </w:tr>
      <w:tr>
        <w:trPr>
          <w:trHeight w:val="229"/>
        </w:trPr>
        <w:tc>
          <w:tcPr>
            <w:tcW w:w="4280" w:type="dxa"/>
            <w:vAlign w:val="bottom"/>
          </w:tcPr>
          <w:p>
            <w:pPr>
              <w:spacing w:after="0"/>
              <w:rPr>
                <w:sz w:val="20"/>
                <w:szCs w:val="20"/>
                <w:color w:val="auto"/>
              </w:rPr>
            </w:pPr>
            <w:r>
              <w:rPr>
                <w:rFonts w:ascii="Arial" w:cs="Arial" w:eastAsia="Arial" w:hAnsi="Arial"/>
                <w:sz w:val="18"/>
                <w:szCs w:val="18"/>
                <w:color w:val="auto"/>
              </w:rPr>
              <w:t>Fair value of an effective hedge</w:t>
            </w:r>
          </w:p>
        </w:tc>
        <w:tc>
          <w:tcPr>
            <w:tcW w:w="1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18,075</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(1,787)</w:t>
            </w:r>
          </w:p>
        </w:tc>
      </w:tr>
      <w:tr>
        <w:trPr>
          <w:trHeight w:val="223"/>
        </w:trPr>
        <w:tc>
          <w:tcPr>
            <w:tcW w:w="42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Carrying value of debt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148,488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359,885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147,998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291,338</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Stated interest rate</w:t>
            </w:r>
          </w:p>
        </w:tc>
        <w:tc>
          <w:tcPr>
            <w:tcW w:w="10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4.50%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3.875%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4.50%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3.875%</w:t>
            </w:r>
          </w:p>
        </w:tc>
      </w:tr>
    </w:tbl>
    <w:p>
      <w:pPr>
        <w:spacing w:after="0" w:line="229" w:lineRule="exact"/>
        <w:rPr>
          <w:sz w:val="20"/>
          <w:szCs w:val="20"/>
          <w:color w:val="auto"/>
        </w:rPr>
      </w:pPr>
    </w:p>
    <w:p>
      <w:pPr>
        <w:jc w:val="both"/>
        <w:ind w:right="60" w:firstLine="255"/>
        <w:spacing w:after="0" w:line="311" w:lineRule="auto"/>
        <w:rPr>
          <w:sz w:val="20"/>
          <w:szCs w:val="20"/>
          <w:color w:val="auto"/>
        </w:rPr>
      </w:pPr>
      <w:r>
        <w:rPr>
          <w:rFonts w:ascii="Arial" w:cs="Arial" w:eastAsia="Arial" w:hAnsi="Arial"/>
          <w:sz w:val="16"/>
          <w:szCs w:val="16"/>
          <w:color w:val="auto"/>
        </w:rPr>
        <w:t>The stated interest rate in the table above does not include the effect of the interest rate swaps. As of September 30, 2020 the Company’s swap-adjusted interest rate on the 2023 Notes and 2024 Notes is three month LIBOR plus 1.99% and 2.28% (on a weighted average basis), respectively. As of December 31, 2019 the Company’s swap-adjusted interest rate on the 2023 Notes and 2024 Notes is three month LIBOR plus 1.99% and 2.25%, respectively.</w:t>
      </w:r>
    </w:p>
    <w:p>
      <w:pPr>
        <w:spacing w:after="0" w:line="149" w:lineRule="exact"/>
        <w:rPr>
          <w:sz w:val="20"/>
          <w:szCs w:val="20"/>
          <w:color w:val="auto"/>
        </w:rPr>
      </w:pPr>
    </w:p>
    <w:p>
      <w:pPr>
        <w:ind w:right="320" w:firstLine="255"/>
        <w:spacing w:after="0" w:line="277" w:lineRule="auto"/>
        <w:rPr>
          <w:sz w:val="20"/>
          <w:szCs w:val="20"/>
          <w:color w:val="auto"/>
        </w:rPr>
      </w:pPr>
      <w:r>
        <w:rPr>
          <w:rFonts w:ascii="Arial" w:cs="Arial" w:eastAsia="Arial" w:hAnsi="Arial"/>
          <w:sz w:val="18"/>
          <w:szCs w:val="18"/>
          <w:color w:val="auto"/>
        </w:rPr>
        <w:t>As of September 30, 2020 and December 31, 2019, the Company was in compliance with the terms of the indentures governing the 2023 Notes and 2024 Notes.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Portfolio Company Commitments</w:t>
      </w:r>
    </w:p>
    <w:p>
      <w:pPr>
        <w:spacing w:after="0" w:line="117" w:lineRule="exact"/>
        <w:rPr>
          <w:sz w:val="20"/>
          <w:szCs w:val="20"/>
          <w:color w:val="auto"/>
        </w:rPr>
      </w:pPr>
    </w:p>
    <w:p>
      <w:pPr>
        <w:ind w:right="60" w:firstLine="255"/>
        <w:spacing w:after="0" w:line="275" w:lineRule="auto"/>
        <w:rPr>
          <w:sz w:val="20"/>
          <w:szCs w:val="20"/>
          <w:color w:val="auto"/>
        </w:rPr>
      </w:pPr>
      <w:r>
        <w:rPr>
          <w:rFonts w:ascii="Arial" w:cs="Arial" w:eastAsia="Arial" w:hAnsi="Arial"/>
          <w:sz w:val="17"/>
          <w:szCs w:val="17"/>
          <w:color w:val="auto"/>
        </w:rPr>
        <w:t>From time to time, the Company may enter into commitments to fund investments; such commitments are incorporated into the Company’s assessment of its liquidity position. The Company’s senior secured revolving loan commitments are generally available on a borrower’s demand and may remain outstanding until the maturity date of the applicable loan. The Company’s senior secured term loan commitments are generally available on a borrower’s demand and, once drawn, generally have the same remaining term as the associated loan agreement. Undrawn senior secured term loan commitments generally have a shorter availability period than the term of the associated loan agreement.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42" w:name="page43"/>
    <w:bookmarkEnd w:id="42"/>
    <w:p>
      <w:pPr>
        <w:ind w:left="252"/>
        <w:spacing w:after="0"/>
        <w:rPr>
          <w:sz w:val="20"/>
          <w:szCs w:val="20"/>
          <w:color w:val="auto"/>
        </w:rPr>
      </w:pPr>
      <w:r>
        <w:rPr>
          <w:rFonts w:ascii="Arial" w:cs="Arial" w:eastAsia="Arial" w:hAnsi="Arial"/>
          <w:sz w:val="16"/>
          <w:szCs w:val="16"/>
          <w:color w:val="auto"/>
        </w:rPr>
        <w:t>As of September 30, 2020 and December 31, 2019, the Company had the following commitments to fund investments in current portfolio companies:</w:t>
      </w:r>
    </w:p>
    <w:p>
      <w:pPr>
        <w:spacing w:after="0" w:line="321" w:lineRule="exact"/>
        <w:rPr>
          <w:sz w:val="20"/>
          <w:szCs w:val="20"/>
          <w:color w:val="auto"/>
        </w:rPr>
      </w:pPr>
    </w:p>
    <w:tbl>
      <w:tblPr>
        <w:tblLayout w:type="fixed"/>
        <w:tblInd w:w="572"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2020</w:t>
            </w:r>
          </w:p>
        </w:tc>
        <w:tc>
          <w:tcPr>
            <w:tcW w:w="200" w:type="dxa"/>
            <w:vAlign w:val="bottom"/>
          </w:tcPr>
          <w:p>
            <w:pPr>
              <w:spacing w:after="0"/>
              <w:rPr>
                <w:sz w:val="14"/>
                <w:szCs w:val="14"/>
                <w:color w:val="auto"/>
              </w:rPr>
            </w:pPr>
          </w:p>
        </w:tc>
        <w:tc>
          <w:tcPr>
            <w:tcW w:w="168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 2019</w:t>
            </w:r>
          </w:p>
        </w:tc>
      </w:tr>
      <w:tr>
        <w:trPr>
          <w:trHeight w:val="223"/>
        </w:trPr>
        <w:tc>
          <w:tcPr>
            <w:tcW w:w="6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Alpha Midco, Inc. - Delayed Draw</w:t>
            </w: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434</w:t>
            </w: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19,598</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6200" w:type="dxa"/>
            <w:vAlign w:val="bottom"/>
          </w:tcPr>
          <w:p>
            <w:pPr>
              <w:spacing w:after="0"/>
              <w:rPr>
                <w:sz w:val="20"/>
                <w:szCs w:val="20"/>
                <w:color w:val="auto"/>
              </w:rPr>
            </w:pPr>
            <w:r>
              <w:rPr>
                <w:rFonts w:ascii="Arial" w:cs="Arial" w:eastAsia="Arial" w:hAnsi="Arial"/>
                <w:sz w:val="18"/>
                <w:szCs w:val="18"/>
                <w:color w:val="auto"/>
              </w:rPr>
              <w:t>AppStar Financial, LLC - Revolver</w:t>
            </w:r>
          </w:p>
        </w:tc>
        <w:tc>
          <w:tcPr>
            <w:tcW w:w="180" w:type="dxa"/>
            <w:vAlign w:val="bottom"/>
          </w:tcPr>
          <w:p>
            <w:pPr>
              <w:spacing w:after="0"/>
              <w:rPr>
                <w:sz w:val="19"/>
                <w:szCs w:val="19"/>
                <w:color w:val="auto"/>
              </w:rPr>
            </w:pPr>
          </w:p>
        </w:tc>
        <w:tc>
          <w:tcPr>
            <w:tcW w:w="1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19"/>
                <w:szCs w:val="19"/>
                <w:color w:val="auto"/>
              </w:rPr>
            </w:pPr>
          </w:p>
        </w:tc>
      </w:tr>
      <w:tr>
        <w:trPr>
          <w:trHeight w:val="230"/>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AvidXchange, Inc. - Delayed Draw</w:t>
            </w: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4,749</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5,108</w:t>
            </w:r>
          </w:p>
        </w:tc>
        <w:tc>
          <w:tcPr>
            <w:tcW w:w="120" w:type="dxa"/>
            <w:vAlign w:val="bottom"/>
            <w:shd w:val="clear" w:color="auto" w:fill="CFF0FC"/>
          </w:tcPr>
          <w:p>
            <w:pPr>
              <w:spacing w:after="0"/>
              <w:rPr>
                <w:sz w:val="19"/>
                <w:szCs w:val="19"/>
                <w:color w:val="auto"/>
              </w:rPr>
            </w:pPr>
          </w:p>
        </w:tc>
      </w:tr>
      <w:tr>
        <w:trPr>
          <w:trHeight w:val="229"/>
        </w:trPr>
        <w:tc>
          <w:tcPr>
            <w:tcW w:w="6200" w:type="dxa"/>
            <w:vAlign w:val="bottom"/>
          </w:tcPr>
          <w:p>
            <w:pPr>
              <w:spacing w:after="0"/>
              <w:rPr>
                <w:sz w:val="20"/>
                <w:szCs w:val="20"/>
                <w:color w:val="auto"/>
              </w:rPr>
            </w:pPr>
            <w:r>
              <w:rPr>
                <w:rFonts w:ascii="Arial" w:cs="Arial" w:eastAsia="Arial" w:hAnsi="Arial"/>
                <w:sz w:val="18"/>
                <w:szCs w:val="18"/>
                <w:color w:val="auto"/>
              </w:rPr>
              <w:t>Biohaven Pharmaceuticals, Inc. - Delayed Draw</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22,500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BlueSnap, Inc. - Revolver</w:t>
            </w:r>
          </w:p>
        </w:tc>
        <w:tc>
          <w:tcPr>
            <w:tcW w:w="18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120" w:type="dxa"/>
            <w:vAlign w:val="bottom"/>
            <w:shd w:val="clear" w:color="auto" w:fill="CFF0FC"/>
          </w:tcPr>
          <w:p>
            <w:pPr>
              <w:spacing w:after="0"/>
              <w:rPr>
                <w:sz w:val="19"/>
                <w:szCs w:val="19"/>
                <w:color w:val="auto"/>
              </w:rPr>
            </w:pPr>
          </w:p>
        </w:tc>
      </w:tr>
      <w:tr>
        <w:trPr>
          <w:trHeight w:val="229"/>
        </w:trPr>
        <w:tc>
          <w:tcPr>
            <w:tcW w:w="6200" w:type="dxa"/>
            <w:vAlign w:val="bottom"/>
          </w:tcPr>
          <w:p>
            <w:pPr>
              <w:spacing w:after="0"/>
              <w:rPr>
                <w:sz w:val="20"/>
                <w:szCs w:val="20"/>
                <w:color w:val="auto"/>
              </w:rPr>
            </w:pPr>
            <w:r>
              <w:rPr>
                <w:rFonts w:ascii="Arial" w:cs="Arial" w:eastAsia="Arial" w:hAnsi="Arial"/>
                <w:sz w:val="18"/>
                <w:szCs w:val="18"/>
                <w:color w:val="auto"/>
              </w:rPr>
              <w:t>Centric Brands, Inc. - Revolver</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45,590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ClearCompany, LLC - Delayed Draw</w:t>
            </w:r>
          </w:p>
        </w:tc>
        <w:tc>
          <w:tcPr>
            <w:tcW w:w="18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w:t>
            </w:r>
          </w:p>
        </w:tc>
        <w:tc>
          <w:tcPr>
            <w:tcW w:w="120" w:type="dxa"/>
            <w:vAlign w:val="bottom"/>
            <w:shd w:val="clear" w:color="auto" w:fill="CFF0FC"/>
          </w:tcPr>
          <w:p>
            <w:pPr>
              <w:spacing w:after="0"/>
              <w:rPr>
                <w:sz w:val="19"/>
                <w:szCs w:val="19"/>
                <w:color w:val="auto"/>
              </w:rPr>
            </w:pP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Clinicient, Inc. - Revolver</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1,600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4,000</w:t>
            </w:r>
          </w:p>
        </w:tc>
        <w:tc>
          <w:tcPr>
            <w:tcW w:w="120" w:type="dxa"/>
            <w:vAlign w:val="bottom"/>
          </w:tcPr>
          <w:p>
            <w:pPr>
              <w:spacing w:after="0"/>
              <w:rPr>
                <w:sz w:val="19"/>
                <w:szCs w:val="19"/>
                <w:color w:val="auto"/>
              </w:rPr>
            </w:pPr>
          </w:p>
        </w:tc>
      </w:tr>
      <w:tr>
        <w:trPr>
          <w:trHeight w:val="229"/>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DaySmart Holdings, LLC - Delayed Draw</w:t>
            </w: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16,892</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17,503</w:t>
            </w:r>
          </w:p>
        </w:tc>
        <w:tc>
          <w:tcPr>
            <w:tcW w:w="120" w:type="dxa"/>
            <w:vAlign w:val="bottom"/>
            <w:shd w:val="clear" w:color="auto" w:fill="CFF0FC"/>
          </w:tcPr>
          <w:p>
            <w:pPr>
              <w:spacing w:after="0"/>
              <w:rPr>
                <w:sz w:val="19"/>
                <w:szCs w:val="19"/>
                <w:color w:val="auto"/>
              </w:rPr>
            </w:pP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DaySmart Holdings, LLC - Revolver</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2,000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19"/>
                <w:szCs w:val="19"/>
                <w:color w:val="auto"/>
              </w:rPr>
            </w:pPr>
          </w:p>
        </w:tc>
      </w:tr>
      <w:tr>
        <w:trPr>
          <w:trHeight w:val="229"/>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Dye &amp; Durham Corp. - Revolver</w:t>
            </w:r>
          </w:p>
        </w:tc>
        <w:tc>
          <w:tcPr>
            <w:tcW w:w="18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1,349</w:t>
            </w:r>
          </w:p>
        </w:tc>
        <w:tc>
          <w:tcPr>
            <w:tcW w:w="120" w:type="dxa"/>
            <w:vAlign w:val="bottom"/>
            <w:shd w:val="clear" w:color="auto" w:fill="CFF0FC"/>
          </w:tcPr>
          <w:p>
            <w:pPr>
              <w:spacing w:after="0"/>
              <w:rPr>
                <w:sz w:val="19"/>
                <w:szCs w:val="19"/>
                <w:color w:val="auto"/>
              </w:rPr>
            </w:pPr>
          </w:p>
        </w:tc>
      </w:tr>
      <w:tr>
        <w:trPr>
          <w:trHeight w:val="229"/>
        </w:trPr>
        <w:tc>
          <w:tcPr>
            <w:tcW w:w="6200" w:type="dxa"/>
            <w:vAlign w:val="bottom"/>
          </w:tcPr>
          <w:p>
            <w:pPr>
              <w:spacing w:after="0"/>
              <w:rPr>
                <w:sz w:val="20"/>
                <w:szCs w:val="20"/>
                <w:color w:val="auto"/>
              </w:rPr>
            </w:pPr>
            <w:r>
              <w:rPr>
                <w:rFonts w:ascii="Arial" w:cs="Arial" w:eastAsia="Arial" w:hAnsi="Arial"/>
                <w:sz w:val="18"/>
                <w:szCs w:val="18"/>
                <w:color w:val="auto"/>
              </w:rPr>
              <w:t>Energy Alloys, LLC - Delayed Draw</w:t>
            </w:r>
          </w:p>
        </w:tc>
        <w:tc>
          <w:tcPr>
            <w:tcW w:w="180" w:type="dxa"/>
            <w:vAlign w:val="bottom"/>
          </w:tcPr>
          <w:p>
            <w:pPr>
              <w:spacing w:after="0"/>
              <w:rPr>
                <w:sz w:val="19"/>
                <w:szCs w:val="19"/>
                <w:color w:val="auto"/>
              </w:rPr>
            </w:pPr>
          </w:p>
        </w:tc>
        <w:tc>
          <w:tcPr>
            <w:tcW w:w="1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15,000</w:t>
            </w:r>
          </w:p>
        </w:tc>
        <w:tc>
          <w:tcPr>
            <w:tcW w:w="120" w:type="dxa"/>
            <w:vAlign w:val="bottom"/>
          </w:tcPr>
          <w:p>
            <w:pPr>
              <w:spacing w:after="0"/>
              <w:rPr>
                <w:sz w:val="19"/>
                <w:szCs w:val="19"/>
                <w:color w:val="auto"/>
              </w:rPr>
            </w:pPr>
          </w:p>
        </w:tc>
      </w:tr>
      <w:tr>
        <w:trPr>
          <w:trHeight w:val="230"/>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Energy Alloys, LLC - Revolver</w:t>
            </w: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6200" w:type="dxa"/>
            <w:vAlign w:val="bottom"/>
          </w:tcPr>
          <w:p>
            <w:pPr>
              <w:spacing w:after="0"/>
              <w:rPr>
                <w:sz w:val="20"/>
                <w:szCs w:val="20"/>
                <w:color w:val="auto"/>
              </w:rPr>
            </w:pPr>
            <w:r>
              <w:rPr>
                <w:rFonts w:ascii="Arial" w:cs="Arial" w:eastAsia="Arial" w:hAnsi="Arial"/>
                <w:sz w:val="18"/>
                <w:szCs w:val="18"/>
                <w:color w:val="auto"/>
              </w:rPr>
              <w:t>Exela Receivables 1, LLC - Revolver</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40,000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Factor Systems, Inc. - Delayed Draw</w:t>
            </w: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13,333</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Ferrellgas, L.P. - Revolver</w:t>
            </w:r>
          </w:p>
        </w:tc>
        <w:tc>
          <w:tcPr>
            <w:tcW w:w="180" w:type="dxa"/>
            <w:vAlign w:val="bottom"/>
          </w:tcPr>
          <w:p>
            <w:pPr>
              <w:spacing w:after="0"/>
              <w:rPr>
                <w:sz w:val="19"/>
                <w:szCs w:val="19"/>
                <w:color w:val="auto"/>
              </w:rPr>
            </w:pPr>
          </w:p>
        </w:tc>
        <w:tc>
          <w:tcPr>
            <w:tcW w:w="1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30,000</w:t>
            </w:r>
          </w:p>
        </w:tc>
        <w:tc>
          <w:tcPr>
            <w:tcW w:w="120" w:type="dxa"/>
            <w:vAlign w:val="bottom"/>
          </w:tcPr>
          <w:p>
            <w:pPr>
              <w:spacing w:after="0"/>
              <w:rPr>
                <w:sz w:val="19"/>
                <w:szCs w:val="19"/>
                <w:color w:val="auto"/>
              </w:rPr>
            </w:pPr>
          </w:p>
        </w:tc>
      </w:tr>
      <w:tr>
        <w:trPr>
          <w:trHeight w:val="229"/>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ForeScout Technologies, Inc.</w:t>
            </w: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G Treasury SS, LLC - Delayed Draw</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2,906</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3,750</w:t>
            </w:r>
          </w:p>
        </w:tc>
        <w:tc>
          <w:tcPr>
            <w:tcW w:w="120" w:type="dxa"/>
            <w:vAlign w:val="bottom"/>
          </w:tcPr>
          <w:p>
            <w:pPr>
              <w:spacing w:after="0"/>
              <w:rPr>
                <w:sz w:val="19"/>
                <w:szCs w:val="19"/>
                <w:color w:val="auto"/>
              </w:rPr>
            </w:pPr>
          </w:p>
        </w:tc>
      </w:tr>
      <w:tr>
        <w:trPr>
          <w:trHeight w:val="229"/>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Gainsight, Inc. - Delayed Draw</w:t>
            </w:r>
          </w:p>
        </w:tc>
        <w:tc>
          <w:tcPr>
            <w:tcW w:w="18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1,785</w:t>
            </w:r>
          </w:p>
        </w:tc>
        <w:tc>
          <w:tcPr>
            <w:tcW w:w="120" w:type="dxa"/>
            <w:vAlign w:val="bottom"/>
            <w:shd w:val="clear" w:color="auto" w:fill="CFF0FC"/>
          </w:tcPr>
          <w:p>
            <w:pPr>
              <w:spacing w:after="0"/>
              <w:rPr>
                <w:sz w:val="19"/>
                <w:szCs w:val="19"/>
                <w:color w:val="auto"/>
              </w:rPr>
            </w:pPr>
          </w:p>
        </w:tc>
      </w:tr>
      <w:tr>
        <w:trPr>
          <w:trHeight w:val="229"/>
        </w:trPr>
        <w:tc>
          <w:tcPr>
            <w:tcW w:w="6200" w:type="dxa"/>
            <w:vAlign w:val="bottom"/>
          </w:tcPr>
          <w:p>
            <w:pPr>
              <w:spacing w:after="0"/>
              <w:rPr>
                <w:sz w:val="20"/>
                <w:szCs w:val="20"/>
                <w:color w:val="auto"/>
              </w:rPr>
            </w:pPr>
            <w:r>
              <w:rPr>
                <w:rFonts w:ascii="Arial" w:cs="Arial" w:eastAsia="Arial" w:hAnsi="Arial"/>
                <w:sz w:val="18"/>
                <w:szCs w:val="18"/>
                <w:color w:val="auto"/>
              </w:rPr>
              <w:t>Integration Appliance, Inc. - Revolver</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1,309</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2,619</w:t>
            </w:r>
          </w:p>
        </w:tc>
        <w:tc>
          <w:tcPr>
            <w:tcW w:w="120" w:type="dxa"/>
            <w:vAlign w:val="bottom"/>
          </w:tcPr>
          <w:p>
            <w:pPr>
              <w:spacing w:after="0"/>
              <w:rPr>
                <w:sz w:val="19"/>
                <w:szCs w:val="19"/>
                <w:color w:val="auto"/>
              </w:rPr>
            </w:pPr>
          </w:p>
        </w:tc>
      </w:tr>
      <w:tr>
        <w:trPr>
          <w:trHeight w:val="230"/>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IntelePeer Holdings, Inc. - Convertible Note</w:t>
            </w: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6200" w:type="dxa"/>
            <w:vAlign w:val="bottom"/>
          </w:tcPr>
          <w:p>
            <w:pPr>
              <w:spacing w:after="0"/>
              <w:rPr>
                <w:sz w:val="20"/>
                <w:szCs w:val="20"/>
                <w:color w:val="auto"/>
              </w:rPr>
            </w:pPr>
            <w:r>
              <w:rPr>
                <w:rFonts w:ascii="Arial" w:cs="Arial" w:eastAsia="Arial" w:hAnsi="Arial"/>
                <w:sz w:val="18"/>
                <w:szCs w:val="18"/>
                <w:color w:val="auto"/>
              </w:rPr>
              <w:t>IntelePeer Holdings, Inc. - Delayed Draw</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3,208</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3,500</w:t>
            </w:r>
          </w:p>
        </w:tc>
        <w:tc>
          <w:tcPr>
            <w:tcW w:w="120" w:type="dxa"/>
            <w:vAlign w:val="bottom"/>
          </w:tcPr>
          <w:p>
            <w:pPr>
              <w:spacing w:after="0"/>
              <w:rPr>
                <w:sz w:val="19"/>
                <w:szCs w:val="19"/>
                <w:color w:val="auto"/>
              </w:rPr>
            </w:pPr>
          </w:p>
        </w:tc>
      </w:tr>
      <w:tr>
        <w:trPr>
          <w:trHeight w:val="229"/>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IRGSE Holding Corp. - Revolver</w:t>
            </w: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2,079</w:t>
            </w:r>
          </w:p>
        </w:tc>
        <w:tc>
          <w:tcPr>
            <w:tcW w:w="120" w:type="dxa"/>
            <w:vAlign w:val="bottom"/>
            <w:shd w:val="clear" w:color="auto" w:fill="CFF0FC"/>
          </w:tcPr>
          <w:p>
            <w:pPr>
              <w:spacing w:after="0"/>
              <w:rPr>
                <w:sz w:val="19"/>
                <w:szCs w:val="19"/>
                <w:color w:val="auto"/>
              </w:rPr>
            </w:pP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Kyriba Corp. - Delayed Draw</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4,506</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8,323</w:t>
            </w:r>
          </w:p>
        </w:tc>
        <w:tc>
          <w:tcPr>
            <w:tcW w:w="120" w:type="dxa"/>
            <w:vAlign w:val="bottom"/>
          </w:tcPr>
          <w:p>
            <w:pPr>
              <w:spacing w:after="0"/>
              <w:rPr>
                <w:sz w:val="19"/>
                <w:szCs w:val="19"/>
                <w:color w:val="auto"/>
              </w:rPr>
            </w:pPr>
          </w:p>
        </w:tc>
      </w:tr>
      <w:tr>
        <w:trPr>
          <w:trHeight w:val="229"/>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Kyriba Corp. - Revolver</w:t>
            </w: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1,202</w:t>
            </w:r>
          </w:p>
        </w:tc>
        <w:tc>
          <w:tcPr>
            <w:tcW w:w="120" w:type="dxa"/>
            <w:vAlign w:val="bottom"/>
            <w:shd w:val="clear" w:color="auto" w:fill="CFF0FC"/>
          </w:tcPr>
          <w:p>
            <w:pPr>
              <w:spacing w:after="0"/>
              <w:rPr>
                <w:sz w:val="19"/>
                <w:szCs w:val="19"/>
                <w:color w:val="auto"/>
              </w:rPr>
            </w:pP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Lithium Technologies, LLC - Revolver</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3,299</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3,959</w:t>
            </w:r>
          </w:p>
        </w:tc>
        <w:tc>
          <w:tcPr>
            <w:tcW w:w="120" w:type="dxa"/>
            <w:vAlign w:val="bottom"/>
          </w:tcPr>
          <w:p>
            <w:pPr>
              <w:spacing w:after="0"/>
              <w:rPr>
                <w:sz w:val="19"/>
                <w:szCs w:val="19"/>
                <w:color w:val="auto"/>
              </w:rPr>
            </w:pPr>
          </w:p>
        </w:tc>
      </w:tr>
      <w:tr>
        <w:trPr>
          <w:trHeight w:val="230"/>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Lucidworks, Inc. - Revolver</w:t>
            </w: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3,333</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3,333</w:t>
            </w:r>
          </w:p>
        </w:tc>
        <w:tc>
          <w:tcPr>
            <w:tcW w:w="120" w:type="dxa"/>
            <w:vAlign w:val="bottom"/>
            <w:shd w:val="clear" w:color="auto" w:fill="CFF0FC"/>
          </w:tcPr>
          <w:p>
            <w:pPr>
              <w:spacing w:after="0"/>
              <w:rPr>
                <w:sz w:val="19"/>
                <w:szCs w:val="19"/>
                <w:color w:val="auto"/>
              </w:rPr>
            </w:pP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Netwrix Corp. - Delayed Draw</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24,738</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Netwrix Corp. - Revolver</w:t>
            </w: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2,751</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PageUp People, Ltd. - Revolver</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3,584</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2,812</w:t>
            </w:r>
          </w:p>
        </w:tc>
        <w:tc>
          <w:tcPr>
            <w:tcW w:w="120" w:type="dxa"/>
            <w:vAlign w:val="bottom"/>
          </w:tcPr>
          <w:p>
            <w:pPr>
              <w:spacing w:after="0"/>
              <w:rPr>
                <w:sz w:val="19"/>
                <w:szCs w:val="19"/>
                <w:color w:val="auto"/>
              </w:rPr>
            </w:pPr>
          </w:p>
        </w:tc>
      </w:tr>
      <w:tr>
        <w:trPr>
          <w:trHeight w:val="230"/>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PayLease, LLC - Revolver</w:t>
            </w:r>
          </w:p>
        </w:tc>
        <w:tc>
          <w:tcPr>
            <w:tcW w:w="18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3,333</w:t>
            </w:r>
          </w:p>
        </w:tc>
        <w:tc>
          <w:tcPr>
            <w:tcW w:w="120" w:type="dxa"/>
            <w:vAlign w:val="bottom"/>
            <w:shd w:val="clear" w:color="auto" w:fill="CFF0FC"/>
          </w:tcPr>
          <w:p>
            <w:pPr>
              <w:spacing w:after="0"/>
              <w:rPr>
                <w:sz w:val="19"/>
                <w:szCs w:val="19"/>
                <w:color w:val="auto"/>
              </w:rPr>
            </w:pP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PayScale Holdings, Inc. - Delayed Draw</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7,667</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7,667</w:t>
            </w:r>
          </w:p>
        </w:tc>
        <w:tc>
          <w:tcPr>
            <w:tcW w:w="120" w:type="dxa"/>
            <w:vAlign w:val="bottom"/>
          </w:tcPr>
          <w:p>
            <w:pPr>
              <w:spacing w:after="0"/>
              <w:rPr>
                <w:sz w:val="19"/>
                <w:szCs w:val="19"/>
                <w:color w:val="auto"/>
              </w:rPr>
            </w:pPr>
          </w:p>
        </w:tc>
      </w:tr>
      <w:tr>
        <w:trPr>
          <w:trHeight w:val="229"/>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PrimeRevenue, Inc. - Delayed Draw</w:t>
            </w: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PrimeRevenue, Inc. - Revolver</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6,250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6,250</w:t>
            </w:r>
          </w:p>
        </w:tc>
        <w:tc>
          <w:tcPr>
            <w:tcW w:w="120" w:type="dxa"/>
            <w:vAlign w:val="bottom"/>
          </w:tcPr>
          <w:p>
            <w:pPr>
              <w:spacing w:after="0"/>
              <w:rPr>
                <w:sz w:val="19"/>
                <w:szCs w:val="19"/>
                <w:color w:val="auto"/>
              </w:rPr>
            </w:pPr>
          </w:p>
        </w:tc>
      </w:tr>
      <w:tr>
        <w:trPr>
          <w:trHeight w:val="230"/>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ResMan, LLC - Delayed Draw</w:t>
            </w: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5,499</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3,602</w:t>
            </w:r>
          </w:p>
        </w:tc>
        <w:tc>
          <w:tcPr>
            <w:tcW w:w="120" w:type="dxa"/>
            <w:vAlign w:val="bottom"/>
            <w:shd w:val="clear" w:color="auto" w:fill="CFF0FC"/>
          </w:tcPr>
          <w:p>
            <w:pPr>
              <w:spacing w:after="0"/>
              <w:rPr>
                <w:sz w:val="19"/>
                <w:szCs w:val="19"/>
                <w:color w:val="auto"/>
              </w:rPr>
            </w:pP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ResMan, LLC - Revolver</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2,000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19"/>
                <w:szCs w:val="19"/>
                <w:color w:val="auto"/>
              </w:rPr>
            </w:pPr>
          </w:p>
        </w:tc>
      </w:tr>
      <w:tr>
        <w:trPr>
          <w:trHeight w:val="229"/>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Sprinklr - Delayed Draw Convertible Note</w:t>
            </w: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3,750</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TherapeuticsMD, Inc. - Delayed Draw A1</w:t>
            </w:r>
          </w:p>
        </w:tc>
        <w:tc>
          <w:tcPr>
            <w:tcW w:w="180" w:type="dxa"/>
            <w:vAlign w:val="bottom"/>
          </w:tcPr>
          <w:p>
            <w:pPr>
              <w:spacing w:after="0"/>
              <w:rPr>
                <w:sz w:val="19"/>
                <w:szCs w:val="19"/>
                <w:color w:val="auto"/>
              </w:rPr>
            </w:pPr>
          </w:p>
        </w:tc>
        <w:tc>
          <w:tcPr>
            <w:tcW w:w="1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7,500</w:t>
            </w:r>
          </w:p>
        </w:tc>
        <w:tc>
          <w:tcPr>
            <w:tcW w:w="120" w:type="dxa"/>
            <w:vAlign w:val="bottom"/>
          </w:tcPr>
          <w:p>
            <w:pPr>
              <w:spacing w:after="0"/>
              <w:rPr>
                <w:sz w:val="19"/>
                <w:szCs w:val="19"/>
                <w:color w:val="auto"/>
              </w:rPr>
            </w:pPr>
          </w:p>
        </w:tc>
      </w:tr>
      <w:tr>
        <w:trPr>
          <w:trHeight w:val="230"/>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TherapeuticsMD, Inc. - Delayed Draw A2</w:t>
            </w:r>
          </w:p>
        </w:tc>
        <w:tc>
          <w:tcPr>
            <w:tcW w:w="18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7,500</w:t>
            </w:r>
          </w:p>
        </w:tc>
        <w:tc>
          <w:tcPr>
            <w:tcW w:w="120" w:type="dxa"/>
            <w:vAlign w:val="bottom"/>
            <w:shd w:val="clear" w:color="auto" w:fill="CFF0FC"/>
          </w:tcPr>
          <w:p>
            <w:pPr>
              <w:spacing w:after="0"/>
              <w:rPr>
                <w:sz w:val="19"/>
                <w:szCs w:val="19"/>
                <w:color w:val="auto"/>
              </w:rPr>
            </w:pP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Valant Medical Solutions, Inc. - Delayed Draw</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2,264</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2,564</w:t>
            </w:r>
          </w:p>
        </w:tc>
        <w:tc>
          <w:tcPr>
            <w:tcW w:w="120" w:type="dxa"/>
            <w:vAlign w:val="bottom"/>
          </w:tcPr>
          <w:p>
            <w:pPr>
              <w:spacing w:after="0"/>
              <w:rPr>
                <w:sz w:val="19"/>
                <w:szCs w:val="19"/>
                <w:color w:val="auto"/>
              </w:rPr>
            </w:pPr>
          </w:p>
        </w:tc>
      </w:tr>
      <w:tr>
        <w:trPr>
          <w:trHeight w:val="230"/>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Valant Medical Solutions, Inc. - Revolver</w:t>
            </w: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120" w:type="dxa"/>
            <w:vAlign w:val="bottom"/>
            <w:shd w:val="clear" w:color="auto" w:fill="CFF0FC"/>
          </w:tcPr>
          <w:p>
            <w:pPr>
              <w:spacing w:after="0"/>
              <w:rPr>
                <w:sz w:val="19"/>
                <w:szCs w:val="19"/>
                <w:color w:val="auto"/>
              </w:rPr>
            </w:pPr>
          </w:p>
        </w:tc>
      </w:tr>
      <w:tr>
        <w:trPr>
          <w:trHeight w:val="229"/>
        </w:trPr>
        <w:tc>
          <w:tcPr>
            <w:tcW w:w="6200" w:type="dxa"/>
            <w:vAlign w:val="bottom"/>
          </w:tcPr>
          <w:p>
            <w:pPr>
              <w:spacing w:after="0"/>
              <w:rPr>
                <w:sz w:val="20"/>
                <w:szCs w:val="20"/>
                <w:color w:val="auto"/>
              </w:rPr>
            </w:pPr>
            <w:r>
              <w:rPr>
                <w:rFonts w:ascii="Arial" w:cs="Arial" w:eastAsia="Arial" w:hAnsi="Arial"/>
                <w:sz w:val="18"/>
                <w:szCs w:val="18"/>
                <w:color w:val="auto"/>
              </w:rPr>
              <w:t>Verdad Resources Intermediate Holdings, LLC - Delayed Draw</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15,556</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7,778</w:t>
            </w:r>
          </w:p>
        </w:tc>
        <w:tc>
          <w:tcPr>
            <w:tcW w:w="120" w:type="dxa"/>
            <w:vAlign w:val="bottom"/>
          </w:tcPr>
          <w:p>
            <w:pPr>
              <w:spacing w:after="0"/>
              <w:rPr>
                <w:sz w:val="19"/>
                <w:szCs w:val="19"/>
                <w:color w:val="auto"/>
              </w:rPr>
            </w:pPr>
          </w:p>
        </w:tc>
      </w:tr>
      <w:tr>
        <w:trPr>
          <w:trHeight w:val="230"/>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WideOrbit, Inc. - Revolver</w:t>
            </w: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4,756</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6200" w:type="dxa"/>
            <w:vAlign w:val="bottom"/>
          </w:tcPr>
          <w:p>
            <w:pPr>
              <w:ind w:left="240"/>
              <w:spacing w:after="0"/>
              <w:rPr>
                <w:sz w:val="20"/>
                <w:szCs w:val="20"/>
                <w:color w:val="auto"/>
              </w:rPr>
            </w:pPr>
            <w:r>
              <w:rPr>
                <w:rFonts w:ascii="Arial" w:cs="Arial" w:eastAsia="Arial" w:hAnsi="Arial"/>
                <w:sz w:val="18"/>
                <w:szCs w:val="18"/>
                <w:b w:val="1"/>
                <w:bCs w:val="1"/>
                <w:color w:val="auto"/>
              </w:rPr>
              <w:t xml:space="preserve">Total Portfolio Company Commitments </w:t>
            </w:r>
            <w:r>
              <w:rPr>
                <w:rFonts w:ascii="Arial" w:cs="Arial" w:eastAsia="Arial" w:hAnsi="Arial"/>
                <w:sz w:val="15"/>
                <w:szCs w:val="15"/>
                <w:b w:val="1"/>
                <w:bCs w:val="1"/>
                <w:color w:val="auto"/>
              </w:rPr>
              <w:t>(1)</w:t>
            </w: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250,012</w:t>
            </w:r>
          </w:p>
        </w:tc>
        <w:tc>
          <w:tcPr>
            <w:tcW w:w="2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187,014</w:t>
            </w:r>
          </w:p>
        </w:tc>
        <w:tc>
          <w:tcPr>
            <w:tcW w:w="120" w:type="dxa"/>
            <w:vAlign w:val="bottom"/>
          </w:tcPr>
          <w:p>
            <w:pPr>
              <w:spacing w:after="0"/>
              <w:rPr>
                <w:sz w:val="19"/>
                <w:szCs w:val="19"/>
                <w:color w:val="auto"/>
              </w:rPr>
            </w:pPr>
          </w:p>
        </w:tc>
      </w:tr>
      <w:tr>
        <w:trPr>
          <w:trHeight w:val="20"/>
        </w:trPr>
        <w:tc>
          <w:tcPr>
            <w:tcW w:w="6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492" w:right="140" w:hanging="492"/>
        <w:spacing w:after="0" w:line="263" w:lineRule="auto"/>
        <w:tabs>
          <w:tab w:leader="none" w:pos="492"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the full amount of the Company’s commitments to fund investments on such date. Commitments may be subject to limitations on borrowings set forth in the agreements between the Company and the applicable portfolio company. As a result, portfolio companies may not be eligible to borrow the full commitment amount on such date.</w:t>
      </w:r>
    </w:p>
    <w:p>
      <w:pPr>
        <w:spacing w:after="0" w:line="184" w:lineRule="exact"/>
        <w:rPr>
          <w:sz w:val="20"/>
          <w:szCs w:val="20"/>
          <w:color w:val="auto"/>
        </w:rPr>
      </w:pPr>
    </w:p>
    <w:p>
      <w:pPr>
        <w:jc w:val="center"/>
        <w:ind w:right="-191"/>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32"/>
          </w:cols>
          <w:pgMar w:left="328" w:top="557" w:right="539" w:bottom="1440" w:gutter="0" w:footer="0" w:header="0"/>
        </w:sectPr>
      </w:pPr>
    </w:p>
    <w:bookmarkStart w:id="43" w:name="page44"/>
    <w:bookmarkEnd w:id="43"/>
    <w:p>
      <w:pPr>
        <w:spacing w:after="0"/>
        <w:rPr>
          <w:sz w:val="20"/>
          <w:szCs w:val="20"/>
          <w:color w:val="auto"/>
        </w:rPr>
      </w:pPr>
      <w:r>
        <w:rPr>
          <w:rFonts w:ascii="Arial" w:cs="Arial" w:eastAsia="Arial" w:hAnsi="Arial"/>
          <w:sz w:val="18"/>
          <w:szCs w:val="18"/>
          <w:i w:val="1"/>
          <w:iCs w:val="1"/>
          <w:color w:val="auto"/>
        </w:rPr>
        <w:t>Other Commitments and Contingencies</w:t>
      </w:r>
    </w:p>
    <w:p>
      <w:pPr>
        <w:spacing w:after="0" w:line="117" w:lineRule="exact"/>
        <w:rPr>
          <w:sz w:val="20"/>
          <w:szCs w:val="20"/>
          <w:color w:val="auto"/>
        </w:rPr>
      </w:pPr>
    </w:p>
    <w:p>
      <w:pPr>
        <w:ind w:right="180" w:firstLine="255"/>
        <w:spacing w:after="0" w:line="277" w:lineRule="auto"/>
        <w:rPr>
          <w:sz w:val="20"/>
          <w:szCs w:val="20"/>
          <w:color w:val="auto"/>
        </w:rPr>
      </w:pPr>
      <w:r>
        <w:rPr>
          <w:rFonts w:ascii="Arial" w:cs="Arial" w:eastAsia="Arial" w:hAnsi="Arial"/>
          <w:sz w:val="18"/>
          <w:szCs w:val="18"/>
          <w:color w:val="auto"/>
        </w:rPr>
        <w:t>As of September 30, 2020 and December 31, 2019, the Company did not have any unfunded commitments to fund investments to new borrowers that were not current portfolio companies as of such date.</w:t>
      </w:r>
    </w:p>
    <w:p>
      <w:pPr>
        <w:spacing w:after="0" w:line="170" w:lineRule="exact"/>
        <w:rPr>
          <w:sz w:val="20"/>
          <w:szCs w:val="20"/>
          <w:color w:val="auto"/>
        </w:rPr>
      </w:pPr>
    </w:p>
    <w:p>
      <w:pPr>
        <w:ind w:right="160" w:firstLine="255"/>
        <w:spacing w:after="0" w:line="263" w:lineRule="auto"/>
        <w:rPr>
          <w:sz w:val="20"/>
          <w:szCs w:val="20"/>
          <w:color w:val="auto"/>
        </w:rPr>
      </w:pPr>
      <w:r>
        <w:rPr>
          <w:rFonts w:ascii="Arial" w:cs="Arial" w:eastAsia="Arial" w:hAnsi="Arial"/>
          <w:sz w:val="18"/>
          <w:szCs w:val="18"/>
          <w:color w:val="auto"/>
        </w:rPr>
        <w:t>From time to time, the Company may become a party to certain legal proceedings incidental to the normal course of its business. As of September 30, 2020 and December 31, 2019, management is not aware of any material pending or threatened litigation that would require accounting recognition or financial statement disclosure.</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Net Assets</w:t>
      </w:r>
    </w:p>
    <w:p>
      <w:pPr>
        <w:spacing w:after="0" w:line="121" w:lineRule="exact"/>
        <w:rPr>
          <w:sz w:val="20"/>
          <w:szCs w:val="20"/>
          <w:color w:val="auto"/>
        </w:rPr>
      </w:pPr>
    </w:p>
    <w:p>
      <w:pPr>
        <w:ind w:firstLine="255"/>
        <w:spacing w:after="0" w:line="270" w:lineRule="auto"/>
        <w:rPr>
          <w:sz w:val="20"/>
          <w:szCs w:val="20"/>
          <w:color w:val="auto"/>
        </w:rPr>
      </w:pPr>
      <w:r>
        <w:rPr>
          <w:rFonts w:ascii="Arial" w:cs="Arial" w:eastAsia="Arial" w:hAnsi="Arial"/>
          <w:sz w:val="17"/>
          <w:szCs w:val="17"/>
          <w:color w:val="auto"/>
        </w:rPr>
        <w:t>The Company has a dividend reinvestment plan, whereby the Company may buy shares of its common stock in the open market or issue new shares in order to satisfy dividend reinvestment requests. The number of shares to be issued to a stockholder is determined by dividing the total dollar amount of the cash dividend or distribution payable to a stockholder by the market price per share of the Company’s common stock at the close of regular trading on the NYSE on the payment date of a distribution, or if no sale is reported for such day, the average of the reported bid and ask prices. However, if the market price per share on the payment date of a cash dividend or distribution exceeds the most recently computed net asset value per share, the Company will issue shares at the greater of (i) the most recently computed net asset value per share and (ii) 95% of the current market price per share (or such lesser discount to the current market price per share that still exceeded the most recently computed net asset value per share). Shares purchased in open market transactions by the plan administrator will be allocated to a stockholder based on the average purchase price, excluding any brokerage charges or other charges, of all shares of common stock purchased in the open market.</w:t>
      </w:r>
    </w:p>
    <w:p>
      <w:pPr>
        <w:spacing w:after="0" w:line="181" w:lineRule="exact"/>
        <w:rPr>
          <w:sz w:val="20"/>
          <w:szCs w:val="20"/>
          <w:color w:val="auto"/>
        </w:rPr>
      </w:pPr>
    </w:p>
    <w:p>
      <w:pPr>
        <w:jc w:val="both"/>
        <w:ind w:right="60" w:firstLine="255"/>
        <w:spacing w:after="0" w:line="263" w:lineRule="auto"/>
        <w:rPr>
          <w:sz w:val="20"/>
          <w:szCs w:val="20"/>
          <w:color w:val="auto"/>
        </w:rPr>
      </w:pPr>
      <w:r>
        <w:rPr>
          <w:rFonts w:ascii="Arial" w:cs="Arial" w:eastAsia="Arial" w:hAnsi="Arial"/>
          <w:sz w:val="18"/>
          <w:szCs w:val="18"/>
          <w:color w:val="auto"/>
        </w:rPr>
        <w:t>Pursuant to the Company’s dividend reinvestment plan, the following tables summarize the shares issued to stockholders who have not opted out of the Company’s dividend reinvestment plan during the nine months ended September 30, 2020 and 2019. All shares issued to stockholders in the tables below are newly issued shares.</w:t>
      </w:r>
    </w:p>
    <w:p>
      <w:pPr>
        <w:spacing w:after="0" w:line="256"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20" w:type="dxa"/>
            <w:vAlign w:val="bottom"/>
            <w:gridSpan w:val="4"/>
          </w:tcPr>
          <w:p>
            <w:pPr>
              <w:ind w:left="1560"/>
              <w:spacing w:after="0"/>
              <w:rPr>
                <w:sz w:val="20"/>
                <w:szCs w:val="20"/>
                <w:color w:val="auto"/>
              </w:rPr>
            </w:pPr>
            <w:r>
              <w:rPr>
                <w:rFonts w:ascii="Arial" w:cs="Arial" w:eastAsia="Arial" w:hAnsi="Arial"/>
                <w:sz w:val="14"/>
                <w:szCs w:val="14"/>
                <w:b w:val="1"/>
                <w:bCs w:val="1"/>
                <w:color w:val="auto"/>
              </w:rPr>
              <w:t>Nine Months Ended</w:t>
            </w: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20" w:type="dxa"/>
            <w:vAlign w:val="bottom"/>
            <w:tcBorders>
              <w:bottom w:val="single" w:sz="8" w:color="auto"/>
            </w:tcBorders>
            <w:gridSpan w:val="4"/>
          </w:tcPr>
          <w:p>
            <w:pPr>
              <w:ind w:left="1580"/>
              <w:spacing w:after="0"/>
              <w:rPr>
                <w:sz w:val="20"/>
                <w:szCs w:val="20"/>
                <w:color w:val="auto"/>
              </w:rPr>
            </w:pPr>
            <w:r>
              <w:rPr>
                <w:rFonts w:ascii="Arial" w:cs="Arial" w:eastAsia="Arial" w:hAnsi="Arial"/>
                <w:sz w:val="14"/>
                <w:szCs w:val="14"/>
                <w:b w:val="1"/>
                <w:bCs w:val="1"/>
                <w:color w:val="auto"/>
              </w:rPr>
              <w:t>September 30, 2020</w:t>
            </w:r>
          </w:p>
        </w:tc>
        <w:tc>
          <w:tcPr>
            <w:tcW w:w="1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98"/>
              </w:rPr>
              <w:t>Date</w:t>
            </w: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80" w:type="dxa"/>
            <w:vAlign w:val="bottom"/>
          </w:tcPr>
          <w:p>
            <w:pPr>
              <w:spacing w:after="0"/>
              <w:rPr>
                <w:sz w:val="20"/>
                <w:szCs w:val="20"/>
                <w:color w:val="auto"/>
              </w:rPr>
            </w:pPr>
            <w:r>
              <w:rPr>
                <w:rFonts w:ascii="Arial" w:cs="Arial" w:eastAsia="Arial" w:hAnsi="Arial"/>
                <w:sz w:val="14"/>
                <w:szCs w:val="14"/>
                <w:b w:val="1"/>
                <w:bCs w:val="1"/>
                <w:color w:val="auto"/>
              </w:rPr>
              <w:t>Date Declared</w:t>
            </w:r>
          </w:p>
        </w:tc>
        <w:tc>
          <w:tcPr>
            <w:tcW w:w="100" w:type="dxa"/>
            <w:vAlign w:val="bottom"/>
          </w:tcPr>
          <w:p>
            <w:pPr>
              <w:spacing w:after="0"/>
              <w:rPr>
                <w:sz w:val="14"/>
                <w:szCs w:val="14"/>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 xml:space="preserve">Dividend </w:t>
            </w:r>
            <w:r>
              <w:rPr>
                <w:rFonts w:ascii="Arial" w:cs="Arial" w:eastAsia="Arial" w:hAnsi="Arial"/>
                <w:sz w:val="12"/>
                <w:szCs w:val="12"/>
                <w:b w:val="1"/>
                <w:bCs w:val="1"/>
                <w:color w:val="auto"/>
                <w:w w:val="95"/>
              </w:rPr>
              <w:t>(1)</w:t>
            </w:r>
          </w:p>
        </w:tc>
        <w:tc>
          <w:tcPr>
            <w:tcW w:w="2100" w:type="dxa"/>
            <w:vAlign w:val="bottom"/>
            <w:gridSpan w:val="2"/>
          </w:tcPr>
          <w:p>
            <w:pPr>
              <w:ind w:left="600"/>
              <w:spacing w:after="0"/>
              <w:rPr>
                <w:sz w:val="20"/>
                <w:szCs w:val="20"/>
                <w:color w:val="auto"/>
              </w:rPr>
            </w:pPr>
            <w:r>
              <w:rPr>
                <w:rFonts w:ascii="Arial" w:cs="Arial" w:eastAsia="Arial" w:hAnsi="Arial"/>
                <w:sz w:val="14"/>
                <w:szCs w:val="14"/>
                <w:b w:val="1"/>
                <w:bCs w:val="1"/>
                <w:color w:val="auto"/>
              </w:rPr>
              <w:t>Record Date</w:t>
            </w:r>
          </w:p>
        </w:tc>
        <w:tc>
          <w:tcPr>
            <w:tcW w:w="1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Shares Issued</w:t>
            </w:r>
          </w:p>
        </w:tc>
        <w:tc>
          <w:tcPr>
            <w:tcW w:w="1560" w:type="dxa"/>
            <w:vAlign w:val="bottom"/>
            <w:gridSpan w:val="2"/>
          </w:tcPr>
          <w:p>
            <w:pPr>
              <w:ind w:left="300"/>
              <w:spacing w:after="0"/>
              <w:rPr>
                <w:sz w:val="20"/>
                <w:szCs w:val="20"/>
                <w:color w:val="auto"/>
              </w:rPr>
            </w:pPr>
            <w:r>
              <w:rPr>
                <w:rFonts w:ascii="Arial" w:cs="Arial" w:eastAsia="Arial" w:hAnsi="Arial"/>
                <w:sz w:val="14"/>
                <w:szCs w:val="14"/>
                <w:b w:val="1"/>
                <w:bCs w:val="1"/>
                <w:color w:val="auto"/>
              </w:rPr>
              <w:t>Shares Issued</w:t>
            </w:r>
          </w:p>
        </w:tc>
        <w:tc>
          <w:tcPr>
            <w:tcW w:w="0" w:type="dxa"/>
            <w:vAlign w:val="bottom"/>
          </w:tcPr>
          <w:p>
            <w:pPr>
              <w:spacing w:after="0"/>
              <w:rPr>
                <w:sz w:val="1"/>
                <w:szCs w:val="1"/>
                <w:color w:val="auto"/>
              </w:rPr>
            </w:pPr>
          </w:p>
        </w:tc>
      </w:tr>
      <w:tr>
        <w:trPr>
          <w:trHeight w:val="223"/>
        </w:trPr>
        <w:tc>
          <w:tcPr>
            <w:tcW w:w="2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November 5, 2019</w:t>
            </w:r>
          </w:p>
        </w:tc>
        <w:tc>
          <w:tcPr>
            <w:tcW w:w="1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Base</w:t>
            </w:r>
          </w:p>
        </w:tc>
        <w:tc>
          <w:tcPr>
            <w:tcW w:w="100" w:type="dxa"/>
            <w:vAlign w:val="bottom"/>
            <w:tcBorders>
              <w:top w:val="single" w:sz="8" w:color="CFF0FC"/>
            </w:tcBorders>
            <w:shd w:val="clear" w:color="auto" w:fill="CFF0FC"/>
          </w:tcPr>
          <w:p>
            <w:pPr>
              <w:spacing w:after="0"/>
              <w:rPr>
                <w:sz w:val="19"/>
                <w:szCs w:val="19"/>
                <w:color w:val="auto"/>
              </w:rPr>
            </w:pPr>
          </w:p>
        </w:tc>
        <w:tc>
          <w:tcPr>
            <w:tcW w:w="1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December 13, 2019</w:t>
            </w:r>
          </w:p>
        </w:tc>
        <w:tc>
          <w:tcPr>
            <w:tcW w:w="120" w:type="dxa"/>
            <w:vAlign w:val="bottom"/>
            <w:tcBorders>
              <w:top w:val="single" w:sz="8" w:color="CFF0FC"/>
            </w:tcBorders>
            <w:shd w:val="clear" w:color="auto" w:fill="CFF0FC"/>
          </w:tcPr>
          <w:p>
            <w:pPr>
              <w:spacing w:after="0"/>
              <w:rPr>
                <w:sz w:val="19"/>
                <w:szCs w:val="19"/>
                <w:color w:val="auto"/>
              </w:rPr>
            </w:pPr>
          </w:p>
        </w:tc>
        <w:tc>
          <w:tcPr>
            <w:tcW w:w="1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January 15, 2020</w:t>
            </w:r>
          </w:p>
        </w:tc>
        <w:tc>
          <w:tcPr>
            <w:tcW w:w="12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194,470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80" w:type="dxa"/>
            <w:vAlign w:val="bottom"/>
          </w:tcPr>
          <w:p>
            <w:pPr>
              <w:spacing w:after="0"/>
              <w:rPr>
                <w:sz w:val="20"/>
                <w:szCs w:val="20"/>
                <w:color w:val="auto"/>
              </w:rPr>
            </w:pPr>
            <w:r>
              <w:rPr>
                <w:rFonts w:ascii="Arial" w:cs="Arial" w:eastAsia="Arial" w:hAnsi="Arial"/>
                <w:sz w:val="18"/>
                <w:szCs w:val="18"/>
                <w:color w:val="auto"/>
              </w:rPr>
              <w:t>February 19, 2020</w:t>
            </w:r>
          </w:p>
        </w:tc>
        <w:tc>
          <w:tcPr>
            <w:tcW w:w="122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Supplemental</w:t>
            </w:r>
          </w:p>
        </w:tc>
        <w:tc>
          <w:tcPr>
            <w:tcW w:w="2100" w:type="dxa"/>
            <w:vAlign w:val="bottom"/>
            <w:gridSpan w:val="2"/>
          </w:tcPr>
          <w:p>
            <w:pPr>
              <w:jc w:val="right"/>
              <w:ind w:right="140"/>
              <w:spacing w:after="0"/>
              <w:rPr>
                <w:sz w:val="20"/>
                <w:szCs w:val="20"/>
                <w:color w:val="auto"/>
              </w:rPr>
            </w:pPr>
            <w:r>
              <w:rPr>
                <w:rFonts w:ascii="Arial" w:cs="Arial" w:eastAsia="Arial" w:hAnsi="Arial"/>
                <w:sz w:val="18"/>
                <w:szCs w:val="18"/>
                <w:color w:val="auto"/>
              </w:rPr>
              <w:t>February 28, 2020</w:t>
            </w:r>
          </w:p>
        </w:tc>
        <w:tc>
          <w:tcPr>
            <w:tcW w:w="1920" w:type="dxa"/>
            <w:vAlign w:val="bottom"/>
            <w:gridSpan w:val="2"/>
          </w:tcPr>
          <w:p>
            <w:pPr>
              <w:jc w:val="right"/>
              <w:ind w:right="140"/>
              <w:spacing w:after="0"/>
              <w:rPr>
                <w:sz w:val="20"/>
                <w:szCs w:val="20"/>
                <w:color w:val="auto"/>
              </w:rPr>
            </w:pPr>
            <w:r>
              <w:rPr>
                <w:rFonts w:ascii="Arial" w:cs="Arial" w:eastAsia="Arial" w:hAnsi="Arial"/>
                <w:sz w:val="18"/>
                <w:szCs w:val="18"/>
                <w:color w:val="auto"/>
              </w:rPr>
              <w:t>March 31, 2020</w:t>
            </w:r>
          </w:p>
        </w:tc>
        <w:tc>
          <w:tcPr>
            <w:tcW w:w="1480" w:type="dxa"/>
            <w:vAlign w:val="bottom"/>
          </w:tcPr>
          <w:p>
            <w:pPr>
              <w:jc w:val="right"/>
              <w:spacing w:after="0"/>
              <w:rPr>
                <w:sz w:val="20"/>
                <w:szCs w:val="20"/>
                <w:color w:val="auto"/>
              </w:rPr>
            </w:pPr>
            <w:r>
              <w:rPr>
                <w:rFonts w:ascii="Arial" w:cs="Arial" w:eastAsia="Arial" w:hAnsi="Arial"/>
                <w:sz w:val="18"/>
                <w:szCs w:val="18"/>
                <w:color w:val="auto"/>
              </w:rPr>
              <w:t>57,674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80" w:type="dxa"/>
            <w:vAlign w:val="bottom"/>
            <w:shd w:val="clear" w:color="auto" w:fill="CFF0FC"/>
          </w:tcPr>
          <w:p>
            <w:pPr>
              <w:spacing w:after="0"/>
              <w:rPr>
                <w:sz w:val="20"/>
                <w:szCs w:val="20"/>
                <w:color w:val="auto"/>
              </w:rPr>
            </w:pPr>
            <w:r>
              <w:rPr>
                <w:rFonts w:ascii="Arial" w:cs="Arial" w:eastAsia="Arial" w:hAnsi="Arial"/>
                <w:sz w:val="18"/>
                <w:szCs w:val="18"/>
                <w:color w:val="auto"/>
              </w:rPr>
              <w:t>February 19, 2020</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87"/>
              </w:rPr>
              <w:t>Base</w:t>
            </w:r>
          </w:p>
        </w:tc>
        <w:tc>
          <w:tcPr>
            <w:tcW w:w="2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March 13, 2020</w:t>
            </w:r>
          </w:p>
        </w:tc>
        <w:tc>
          <w:tcPr>
            <w:tcW w:w="1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April 15, 2020</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299,058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r>
              <w:rPr>
                <w:rFonts w:ascii="Arial" w:cs="Arial" w:eastAsia="Arial" w:hAnsi="Arial"/>
                <w:sz w:val="18"/>
                <w:szCs w:val="18"/>
                <w:color w:val="auto"/>
              </w:rPr>
              <w:t>February 19, 2020</w:t>
            </w:r>
          </w:p>
        </w:tc>
        <w:tc>
          <w:tcPr>
            <w:tcW w:w="100" w:type="dxa"/>
            <w:vAlign w:val="bottom"/>
          </w:tcPr>
          <w:p>
            <w:pPr>
              <w:spacing w:after="0"/>
              <w:rPr>
                <w:sz w:val="19"/>
                <w:szCs w:val="19"/>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Special</w:t>
            </w:r>
          </w:p>
        </w:tc>
        <w:tc>
          <w:tcPr>
            <w:tcW w:w="2100" w:type="dxa"/>
            <w:vAlign w:val="bottom"/>
            <w:gridSpan w:val="2"/>
          </w:tcPr>
          <w:p>
            <w:pPr>
              <w:jc w:val="right"/>
              <w:ind w:right="140"/>
              <w:spacing w:after="0"/>
              <w:rPr>
                <w:sz w:val="20"/>
                <w:szCs w:val="20"/>
                <w:color w:val="auto"/>
              </w:rPr>
            </w:pPr>
            <w:r>
              <w:rPr>
                <w:rFonts w:ascii="Arial" w:cs="Arial" w:eastAsia="Arial" w:hAnsi="Arial"/>
                <w:sz w:val="18"/>
                <w:szCs w:val="18"/>
                <w:color w:val="auto"/>
              </w:rPr>
              <w:t>April 15, 2020</w:t>
            </w:r>
          </w:p>
        </w:tc>
        <w:tc>
          <w:tcPr>
            <w:tcW w:w="1920" w:type="dxa"/>
            <w:vAlign w:val="bottom"/>
            <w:gridSpan w:val="2"/>
          </w:tcPr>
          <w:p>
            <w:pPr>
              <w:jc w:val="right"/>
              <w:ind w:right="140"/>
              <w:spacing w:after="0"/>
              <w:rPr>
                <w:sz w:val="20"/>
                <w:szCs w:val="20"/>
                <w:color w:val="auto"/>
              </w:rPr>
            </w:pPr>
            <w:r>
              <w:rPr>
                <w:rFonts w:ascii="Arial" w:cs="Arial" w:eastAsia="Arial" w:hAnsi="Arial"/>
                <w:sz w:val="18"/>
                <w:szCs w:val="18"/>
                <w:color w:val="auto"/>
              </w:rPr>
              <w:t>April 30, 2020</w:t>
            </w:r>
          </w:p>
        </w:tc>
        <w:tc>
          <w:tcPr>
            <w:tcW w:w="1480" w:type="dxa"/>
            <w:vAlign w:val="bottom"/>
          </w:tcPr>
          <w:p>
            <w:pPr>
              <w:jc w:val="right"/>
              <w:spacing w:after="0"/>
              <w:rPr>
                <w:sz w:val="20"/>
                <w:szCs w:val="20"/>
                <w:color w:val="auto"/>
              </w:rPr>
            </w:pPr>
            <w:r>
              <w:rPr>
                <w:rFonts w:ascii="Arial" w:cs="Arial" w:eastAsia="Arial" w:hAnsi="Arial"/>
                <w:sz w:val="18"/>
                <w:szCs w:val="18"/>
                <w:color w:val="auto"/>
              </w:rPr>
              <w:t>193,723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80" w:type="dxa"/>
            <w:vAlign w:val="bottom"/>
            <w:shd w:val="clear" w:color="auto" w:fill="CFF0FC"/>
          </w:tcPr>
          <w:p>
            <w:pPr>
              <w:spacing w:after="0"/>
              <w:rPr>
                <w:sz w:val="20"/>
                <w:szCs w:val="20"/>
                <w:color w:val="auto"/>
              </w:rPr>
            </w:pPr>
            <w:r>
              <w:rPr>
                <w:rFonts w:ascii="Arial" w:cs="Arial" w:eastAsia="Arial" w:hAnsi="Arial"/>
                <w:sz w:val="18"/>
                <w:szCs w:val="18"/>
                <w:color w:val="auto"/>
              </w:rPr>
              <w:t>February 19, 2020</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88"/>
              </w:rPr>
              <w:t>Special</w:t>
            </w:r>
          </w:p>
        </w:tc>
        <w:tc>
          <w:tcPr>
            <w:tcW w:w="2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June 15, 2020</w:t>
            </w:r>
          </w:p>
        </w:tc>
        <w:tc>
          <w:tcPr>
            <w:tcW w:w="1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June 30, 2020</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279,861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May 5, 2020</w:t>
            </w:r>
          </w:p>
        </w:tc>
        <w:tc>
          <w:tcPr>
            <w:tcW w:w="100" w:type="dxa"/>
            <w:vAlign w:val="bottom"/>
            <w:tcBorders>
              <w:bottom w:val="single" w:sz="8" w:color="CFF0FC"/>
            </w:tcBorders>
          </w:tcPr>
          <w:p>
            <w:pPr>
              <w:spacing w:after="0"/>
              <w:rPr>
                <w:sz w:val="19"/>
                <w:szCs w:val="19"/>
                <w:color w:val="auto"/>
              </w:rPr>
            </w:pPr>
          </w:p>
        </w:tc>
        <w:tc>
          <w:tcPr>
            <w:tcW w:w="1120" w:type="dxa"/>
            <w:vAlign w:val="bottom"/>
            <w:tcBorders>
              <w:bottom w:val="single" w:sz="8" w:color="CFF0FC"/>
            </w:tcBorders>
            <w:gridSpan w:val="2"/>
          </w:tcPr>
          <w:p>
            <w:pPr>
              <w:jc w:val="center"/>
              <w:ind w:right="120"/>
              <w:spacing w:after="0"/>
              <w:rPr>
                <w:sz w:val="20"/>
                <w:szCs w:val="20"/>
                <w:color w:val="auto"/>
              </w:rPr>
            </w:pPr>
            <w:r>
              <w:rPr>
                <w:rFonts w:ascii="Arial" w:cs="Arial" w:eastAsia="Arial" w:hAnsi="Arial"/>
                <w:sz w:val="18"/>
                <w:szCs w:val="18"/>
                <w:color w:val="auto"/>
                <w:w w:val="87"/>
              </w:rPr>
              <w:t>Base</w:t>
            </w:r>
          </w:p>
        </w:tc>
        <w:tc>
          <w:tcPr>
            <w:tcW w:w="2100" w:type="dxa"/>
            <w:vAlign w:val="bottom"/>
            <w:tcBorders>
              <w:bottom w:val="single" w:sz="8" w:color="CFF0FC"/>
            </w:tcBorders>
            <w:gridSpan w:val="2"/>
          </w:tcPr>
          <w:p>
            <w:pPr>
              <w:jc w:val="right"/>
              <w:ind w:right="140"/>
              <w:spacing w:after="0"/>
              <w:rPr>
                <w:sz w:val="20"/>
                <w:szCs w:val="20"/>
                <w:color w:val="auto"/>
              </w:rPr>
            </w:pPr>
            <w:r>
              <w:rPr>
                <w:rFonts w:ascii="Arial" w:cs="Arial" w:eastAsia="Arial" w:hAnsi="Arial"/>
                <w:sz w:val="18"/>
                <w:szCs w:val="18"/>
                <w:color w:val="auto"/>
              </w:rPr>
              <w:t>June 15, 2020</w:t>
            </w:r>
          </w:p>
        </w:tc>
        <w:tc>
          <w:tcPr>
            <w:tcW w:w="1920" w:type="dxa"/>
            <w:vAlign w:val="bottom"/>
            <w:tcBorders>
              <w:bottom w:val="single" w:sz="8" w:color="CFF0FC"/>
            </w:tcBorders>
            <w:gridSpan w:val="2"/>
          </w:tcPr>
          <w:p>
            <w:pPr>
              <w:jc w:val="right"/>
              <w:ind w:right="140"/>
              <w:spacing w:after="0"/>
              <w:rPr>
                <w:sz w:val="20"/>
                <w:szCs w:val="20"/>
                <w:color w:val="auto"/>
              </w:rPr>
            </w:pPr>
            <w:r>
              <w:rPr>
                <w:rFonts w:ascii="Arial" w:cs="Arial" w:eastAsia="Arial" w:hAnsi="Arial"/>
                <w:sz w:val="18"/>
                <w:szCs w:val="18"/>
                <w:color w:val="auto"/>
              </w:rPr>
              <w:t>July 15, 2020</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285,727</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Shares Issued</w:t>
            </w:r>
          </w:p>
        </w:tc>
        <w:tc>
          <w:tcPr>
            <w:tcW w:w="10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9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8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1,310,513</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20" w:type="dxa"/>
            <w:vAlign w:val="bottom"/>
            <w:gridSpan w:val="4"/>
            <w:vMerge w:val="restart"/>
          </w:tcPr>
          <w:p>
            <w:pPr>
              <w:ind w:left="1560"/>
              <w:spacing w:after="0"/>
              <w:rPr>
                <w:sz w:val="20"/>
                <w:szCs w:val="20"/>
                <w:color w:val="auto"/>
              </w:rPr>
            </w:pPr>
            <w:r>
              <w:rPr>
                <w:rFonts w:ascii="Arial" w:cs="Arial" w:eastAsia="Arial" w:hAnsi="Arial"/>
                <w:sz w:val="14"/>
                <w:szCs w:val="14"/>
                <w:b w:val="1"/>
                <w:bCs w:val="1"/>
                <w:color w:val="auto"/>
              </w:rPr>
              <w:t>Nine Months Ended</w:t>
            </w: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20" w:type="dxa"/>
            <w:vAlign w:val="bottom"/>
            <w:gridSpan w:val="4"/>
            <w:vMerge w:val="continue"/>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20" w:type="dxa"/>
            <w:vAlign w:val="bottom"/>
            <w:tcBorders>
              <w:bottom w:val="single" w:sz="8" w:color="auto"/>
            </w:tcBorders>
            <w:gridSpan w:val="4"/>
          </w:tcPr>
          <w:p>
            <w:pPr>
              <w:ind w:left="1580"/>
              <w:spacing w:after="0"/>
              <w:rPr>
                <w:sz w:val="20"/>
                <w:szCs w:val="20"/>
                <w:color w:val="auto"/>
              </w:rPr>
            </w:pPr>
            <w:r>
              <w:rPr>
                <w:rFonts w:ascii="Arial" w:cs="Arial" w:eastAsia="Arial" w:hAnsi="Arial"/>
                <w:sz w:val="14"/>
                <w:szCs w:val="14"/>
                <w:b w:val="1"/>
                <w:bCs w:val="1"/>
                <w:color w:val="auto"/>
              </w:rPr>
              <w:t>September 30, 2019</w:t>
            </w:r>
          </w:p>
        </w:tc>
        <w:tc>
          <w:tcPr>
            <w:tcW w:w="1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98"/>
              </w:rPr>
              <w:t>Date</w:t>
            </w: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80" w:type="dxa"/>
            <w:vAlign w:val="bottom"/>
          </w:tcPr>
          <w:p>
            <w:pPr>
              <w:spacing w:after="0"/>
              <w:rPr>
                <w:sz w:val="20"/>
                <w:szCs w:val="20"/>
                <w:color w:val="auto"/>
              </w:rPr>
            </w:pPr>
            <w:r>
              <w:rPr>
                <w:rFonts w:ascii="Arial" w:cs="Arial" w:eastAsia="Arial" w:hAnsi="Arial"/>
                <w:sz w:val="14"/>
                <w:szCs w:val="14"/>
                <w:b w:val="1"/>
                <w:bCs w:val="1"/>
                <w:color w:val="auto"/>
              </w:rPr>
              <w:t>Date Declared</w:t>
            </w:r>
          </w:p>
        </w:tc>
        <w:tc>
          <w:tcPr>
            <w:tcW w:w="100" w:type="dxa"/>
            <w:vAlign w:val="bottom"/>
          </w:tcPr>
          <w:p>
            <w:pPr>
              <w:spacing w:after="0"/>
              <w:rPr>
                <w:sz w:val="14"/>
                <w:szCs w:val="14"/>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 xml:space="preserve">Dividend </w:t>
            </w:r>
            <w:r>
              <w:rPr>
                <w:rFonts w:ascii="Arial" w:cs="Arial" w:eastAsia="Arial" w:hAnsi="Arial"/>
                <w:sz w:val="12"/>
                <w:szCs w:val="12"/>
                <w:b w:val="1"/>
                <w:bCs w:val="1"/>
                <w:color w:val="auto"/>
                <w:w w:val="95"/>
              </w:rPr>
              <w:t>(1)</w:t>
            </w:r>
          </w:p>
        </w:tc>
        <w:tc>
          <w:tcPr>
            <w:tcW w:w="2100" w:type="dxa"/>
            <w:vAlign w:val="bottom"/>
            <w:gridSpan w:val="2"/>
          </w:tcPr>
          <w:p>
            <w:pPr>
              <w:ind w:left="600"/>
              <w:spacing w:after="0"/>
              <w:rPr>
                <w:sz w:val="20"/>
                <w:szCs w:val="20"/>
                <w:color w:val="auto"/>
              </w:rPr>
            </w:pPr>
            <w:r>
              <w:rPr>
                <w:rFonts w:ascii="Arial" w:cs="Arial" w:eastAsia="Arial" w:hAnsi="Arial"/>
                <w:sz w:val="14"/>
                <w:szCs w:val="14"/>
                <w:b w:val="1"/>
                <w:bCs w:val="1"/>
                <w:color w:val="auto"/>
              </w:rPr>
              <w:t>Record Date</w:t>
            </w:r>
          </w:p>
        </w:tc>
        <w:tc>
          <w:tcPr>
            <w:tcW w:w="1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Shares Issued</w:t>
            </w:r>
          </w:p>
        </w:tc>
        <w:tc>
          <w:tcPr>
            <w:tcW w:w="1560" w:type="dxa"/>
            <w:vAlign w:val="bottom"/>
            <w:gridSpan w:val="2"/>
          </w:tcPr>
          <w:p>
            <w:pPr>
              <w:ind w:left="300"/>
              <w:spacing w:after="0"/>
              <w:rPr>
                <w:sz w:val="20"/>
                <w:szCs w:val="20"/>
                <w:color w:val="auto"/>
              </w:rPr>
            </w:pPr>
            <w:r>
              <w:rPr>
                <w:rFonts w:ascii="Arial" w:cs="Arial" w:eastAsia="Arial" w:hAnsi="Arial"/>
                <w:sz w:val="14"/>
                <w:szCs w:val="14"/>
                <w:b w:val="1"/>
                <w:bCs w:val="1"/>
                <w:color w:val="auto"/>
              </w:rPr>
              <w:t>Shares Issued</w:t>
            </w:r>
          </w:p>
        </w:tc>
        <w:tc>
          <w:tcPr>
            <w:tcW w:w="0" w:type="dxa"/>
            <w:vAlign w:val="bottom"/>
          </w:tcPr>
          <w:p>
            <w:pPr>
              <w:spacing w:after="0"/>
              <w:rPr>
                <w:sz w:val="1"/>
                <w:szCs w:val="1"/>
                <w:color w:val="auto"/>
              </w:rPr>
            </w:pPr>
          </w:p>
        </w:tc>
      </w:tr>
      <w:tr>
        <w:trPr>
          <w:trHeight w:val="223"/>
        </w:trPr>
        <w:tc>
          <w:tcPr>
            <w:tcW w:w="2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November 6, 2018</w:t>
            </w:r>
          </w:p>
        </w:tc>
        <w:tc>
          <w:tcPr>
            <w:tcW w:w="1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Base</w:t>
            </w:r>
          </w:p>
        </w:tc>
        <w:tc>
          <w:tcPr>
            <w:tcW w:w="100" w:type="dxa"/>
            <w:vAlign w:val="bottom"/>
            <w:tcBorders>
              <w:top w:val="single" w:sz="8" w:color="CFF0FC"/>
            </w:tcBorders>
            <w:shd w:val="clear" w:color="auto" w:fill="CFF0FC"/>
          </w:tcPr>
          <w:p>
            <w:pPr>
              <w:spacing w:after="0"/>
              <w:rPr>
                <w:sz w:val="19"/>
                <w:szCs w:val="19"/>
                <w:color w:val="auto"/>
              </w:rPr>
            </w:pPr>
          </w:p>
        </w:tc>
        <w:tc>
          <w:tcPr>
            <w:tcW w:w="1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December 14, 2018</w:t>
            </w:r>
          </w:p>
        </w:tc>
        <w:tc>
          <w:tcPr>
            <w:tcW w:w="120" w:type="dxa"/>
            <w:vAlign w:val="bottom"/>
            <w:tcBorders>
              <w:top w:val="single" w:sz="8" w:color="CFF0FC"/>
            </w:tcBorders>
            <w:shd w:val="clear" w:color="auto" w:fill="CFF0FC"/>
          </w:tcPr>
          <w:p>
            <w:pPr>
              <w:spacing w:after="0"/>
              <w:rPr>
                <w:sz w:val="19"/>
                <w:szCs w:val="19"/>
                <w:color w:val="auto"/>
              </w:rPr>
            </w:pPr>
          </w:p>
        </w:tc>
        <w:tc>
          <w:tcPr>
            <w:tcW w:w="1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January 15, 2019</w:t>
            </w:r>
          </w:p>
        </w:tc>
        <w:tc>
          <w:tcPr>
            <w:tcW w:w="12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212,818</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r>
              <w:rPr>
                <w:rFonts w:ascii="Arial" w:cs="Arial" w:eastAsia="Arial" w:hAnsi="Arial"/>
                <w:sz w:val="18"/>
                <w:szCs w:val="18"/>
                <w:color w:val="auto"/>
              </w:rPr>
              <w:t>February 20, 2019</w:t>
            </w:r>
          </w:p>
        </w:tc>
        <w:tc>
          <w:tcPr>
            <w:tcW w:w="122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Supplemental</w:t>
            </w:r>
          </w:p>
        </w:tc>
        <w:tc>
          <w:tcPr>
            <w:tcW w:w="2100" w:type="dxa"/>
            <w:vAlign w:val="bottom"/>
            <w:gridSpan w:val="2"/>
          </w:tcPr>
          <w:p>
            <w:pPr>
              <w:jc w:val="right"/>
              <w:ind w:right="140"/>
              <w:spacing w:after="0"/>
              <w:rPr>
                <w:sz w:val="20"/>
                <w:szCs w:val="20"/>
                <w:color w:val="auto"/>
              </w:rPr>
            </w:pPr>
            <w:r>
              <w:rPr>
                <w:rFonts w:ascii="Arial" w:cs="Arial" w:eastAsia="Arial" w:hAnsi="Arial"/>
                <w:sz w:val="18"/>
                <w:szCs w:val="18"/>
                <w:color w:val="auto"/>
              </w:rPr>
              <w:t>February 28, 2019</w:t>
            </w:r>
          </w:p>
        </w:tc>
        <w:tc>
          <w:tcPr>
            <w:tcW w:w="1920" w:type="dxa"/>
            <w:vAlign w:val="bottom"/>
            <w:gridSpan w:val="2"/>
          </w:tcPr>
          <w:p>
            <w:pPr>
              <w:jc w:val="right"/>
              <w:ind w:right="140"/>
              <w:spacing w:after="0"/>
              <w:rPr>
                <w:sz w:val="20"/>
                <w:szCs w:val="20"/>
                <w:color w:val="auto"/>
              </w:rPr>
            </w:pPr>
            <w:r>
              <w:rPr>
                <w:rFonts w:ascii="Arial" w:cs="Arial" w:eastAsia="Arial" w:hAnsi="Arial"/>
                <w:sz w:val="18"/>
                <w:szCs w:val="18"/>
                <w:color w:val="auto"/>
              </w:rPr>
              <w:t>March 29, 2019</w:t>
            </w:r>
          </w:p>
        </w:tc>
        <w:tc>
          <w:tcPr>
            <w:tcW w:w="1480" w:type="dxa"/>
            <w:vAlign w:val="bottom"/>
          </w:tcPr>
          <w:p>
            <w:pPr>
              <w:jc w:val="right"/>
              <w:spacing w:after="0"/>
              <w:rPr>
                <w:sz w:val="20"/>
                <w:szCs w:val="20"/>
                <w:color w:val="auto"/>
              </w:rPr>
            </w:pPr>
            <w:r>
              <w:rPr>
                <w:rFonts w:ascii="Arial" w:cs="Arial" w:eastAsia="Arial" w:hAnsi="Arial"/>
                <w:sz w:val="18"/>
                <w:szCs w:val="18"/>
                <w:color w:val="auto"/>
              </w:rPr>
              <w:t>87,327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80" w:type="dxa"/>
            <w:vAlign w:val="bottom"/>
            <w:shd w:val="clear" w:color="auto" w:fill="CFF0FC"/>
          </w:tcPr>
          <w:p>
            <w:pPr>
              <w:spacing w:after="0"/>
              <w:rPr>
                <w:sz w:val="20"/>
                <w:szCs w:val="20"/>
                <w:color w:val="auto"/>
              </w:rPr>
            </w:pPr>
            <w:r>
              <w:rPr>
                <w:rFonts w:ascii="Arial" w:cs="Arial" w:eastAsia="Arial" w:hAnsi="Arial"/>
                <w:sz w:val="18"/>
                <w:szCs w:val="18"/>
                <w:color w:val="auto"/>
              </w:rPr>
              <w:t>February 20, 2019</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87"/>
              </w:rPr>
              <w:t>Base</w:t>
            </w:r>
          </w:p>
        </w:tc>
        <w:tc>
          <w:tcPr>
            <w:tcW w:w="2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March 15, 2019</w:t>
            </w:r>
          </w:p>
        </w:tc>
        <w:tc>
          <w:tcPr>
            <w:tcW w:w="1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April 15, 2019</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318,114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80" w:type="dxa"/>
            <w:vAlign w:val="bottom"/>
          </w:tcPr>
          <w:p>
            <w:pPr>
              <w:spacing w:after="0"/>
              <w:rPr>
                <w:sz w:val="20"/>
                <w:szCs w:val="20"/>
                <w:color w:val="auto"/>
              </w:rPr>
            </w:pPr>
            <w:r>
              <w:rPr>
                <w:rFonts w:ascii="Arial" w:cs="Arial" w:eastAsia="Arial" w:hAnsi="Arial"/>
                <w:sz w:val="18"/>
                <w:szCs w:val="18"/>
                <w:color w:val="auto"/>
              </w:rPr>
              <w:t>May 2, 2019</w:t>
            </w:r>
          </w:p>
        </w:tc>
        <w:tc>
          <w:tcPr>
            <w:tcW w:w="122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Supplemental</w:t>
            </w:r>
          </w:p>
        </w:tc>
        <w:tc>
          <w:tcPr>
            <w:tcW w:w="2100" w:type="dxa"/>
            <w:vAlign w:val="bottom"/>
            <w:gridSpan w:val="2"/>
          </w:tcPr>
          <w:p>
            <w:pPr>
              <w:jc w:val="right"/>
              <w:ind w:right="140"/>
              <w:spacing w:after="0"/>
              <w:rPr>
                <w:sz w:val="20"/>
                <w:szCs w:val="20"/>
                <w:color w:val="auto"/>
              </w:rPr>
            </w:pPr>
            <w:r>
              <w:rPr>
                <w:rFonts w:ascii="Arial" w:cs="Arial" w:eastAsia="Arial" w:hAnsi="Arial"/>
                <w:sz w:val="18"/>
                <w:szCs w:val="18"/>
                <w:color w:val="auto"/>
              </w:rPr>
              <w:t>May 31, 2019</w:t>
            </w:r>
          </w:p>
        </w:tc>
        <w:tc>
          <w:tcPr>
            <w:tcW w:w="1920" w:type="dxa"/>
            <w:vAlign w:val="bottom"/>
            <w:gridSpan w:val="2"/>
          </w:tcPr>
          <w:p>
            <w:pPr>
              <w:jc w:val="right"/>
              <w:ind w:right="140"/>
              <w:spacing w:after="0"/>
              <w:rPr>
                <w:sz w:val="20"/>
                <w:szCs w:val="20"/>
                <w:color w:val="auto"/>
              </w:rPr>
            </w:pPr>
            <w:r>
              <w:rPr>
                <w:rFonts w:ascii="Arial" w:cs="Arial" w:eastAsia="Arial" w:hAnsi="Arial"/>
                <w:sz w:val="18"/>
                <w:szCs w:val="18"/>
                <w:color w:val="auto"/>
              </w:rPr>
              <w:t>June 28, 2019</w:t>
            </w:r>
          </w:p>
        </w:tc>
        <w:tc>
          <w:tcPr>
            <w:tcW w:w="1480" w:type="dxa"/>
            <w:vAlign w:val="bottom"/>
          </w:tcPr>
          <w:p>
            <w:pPr>
              <w:jc w:val="right"/>
              <w:spacing w:after="0"/>
              <w:rPr>
                <w:sz w:val="20"/>
                <w:szCs w:val="20"/>
                <w:color w:val="auto"/>
              </w:rPr>
            </w:pPr>
            <w:r>
              <w:rPr>
                <w:rFonts w:ascii="Arial" w:cs="Arial" w:eastAsia="Arial" w:hAnsi="Arial"/>
                <w:sz w:val="18"/>
                <w:szCs w:val="18"/>
                <w:color w:val="auto"/>
              </w:rPr>
              <w:t>7,214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80" w:type="dxa"/>
            <w:vAlign w:val="bottom"/>
            <w:shd w:val="clear" w:color="auto" w:fill="CFF0FC"/>
          </w:tcPr>
          <w:p>
            <w:pPr>
              <w:spacing w:after="0"/>
              <w:rPr>
                <w:sz w:val="20"/>
                <w:szCs w:val="20"/>
                <w:color w:val="auto"/>
              </w:rPr>
            </w:pPr>
            <w:r>
              <w:rPr>
                <w:rFonts w:ascii="Arial" w:cs="Arial" w:eastAsia="Arial" w:hAnsi="Arial"/>
                <w:sz w:val="18"/>
                <w:szCs w:val="18"/>
                <w:color w:val="auto"/>
              </w:rPr>
              <w:t>May 2, 2019</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87"/>
              </w:rPr>
              <w:t>Base</w:t>
            </w:r>
          </w:p>
        </w:tc>
        <w:tc>
          <w:tcPr>
            <w:tcW w:w="2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June 14, 2019</w:t>
            </w:r>
          </w:p>
        </w:tc>
        <w:tc>
          <w:tcPr>
            <w:tcW w:w="1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July 15, 2019</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232,427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July 31, 2019</w:t>
            </w:r>
          </w:p>
        </w:tc>
        <w:tc>
          <w:tcPr>
            <w:tcW w:w="1220" w:type="dxa"/>
            <w:vAlign w:val="bottom"/>
            <w:tcBorders>
              <w:bottom w:val="single" w:sz="8" w:color="CFF0FC"/>
            </w:tcBorders>
            <w:gridSpan w:val="3"/>
          </w:tcPr>
          <w:p>
            <w:pPr>
              <w:jc w:val="center"/>
              <w:ind w:right="20"/>
              <w:spacing w:after="0"/>
              <w:rPr>
                <w:sz w:val="20"/>
                <w:szCs w:val="20"/>
                <w:color w:val="auto"/>
              </w:rPr>
            </w:pPr>
            <w:r>
              <w:rPr>
                <w:rFonts w:ascii="Arial" w:cs="Arial" w:eastAsia="Arial" w:hAnsi="Arial"/>
                <w:sz w:val="18"/>
                <w:szCs w:val="18"/>
                <w:color w:val="auto"/>
                <w:w w:val="90"/>
              </w:rPr>
              <w:t>Supplemental</w:t>
            </w:r>
          </w:p>
        </w:tc>
        <w:tc>
          <w:tcPr>
            <w:tcW w:w="2100" w:type="dxa"/>
            <w:vAlign w:val="bottom"/>
            <w:tcBorders>
              <w:bottom w:val="single" w:sz="8" w:color="CFF0FC"/>
            </w:tcBorders>
            <w:gridSpan w:val="2"/>
          </w:tcPr>
          <w:p>
            <w:pPr>
              <w:jc w:val="right"/>
              <w:ind w:right="140"/>
              <w:spacing w:after="0"/>
              <w:rPr>
                <w:sz w:val="20"/>
                <w:szCs w:val="20"/>
                <w:color w:val="auto"/>
              </w:rPr>
            </w:pPr>
            <w:r>
              <w:rPr>
                <w:rFonts w:ascii="Arial" w:cs="Arial" w:eastAsia="Arial" w:hAnsi="Arial"/>
                <w:sz w:val="18"/>
                <w:szCs w:val="18"/>
                <w:color w:val="auto"/>
              </w:rPr>
              <w:t>August 30, 2019</w:t>
            </w:r>
          </w:p>
        </w:tc>
        <w:tc>
          <w:tcPr>
            <w:tcW w:w="1920" w:type="dxa"/>
            <w:vAlign w:val="bottom"/>
            <w:tcBorders>
              <w:bottom w:val="single" w:sz="8" w:color="CFF0FC"/>
            </w:tcBorders>
            <w:gridSpan w:val="2"/>
          </w:tcPr>
          <w:p>
            <w:pPr>
              <w:jc w:val="right"/>
              <w:ind w:right="140"/>
              <w:spacing w:after="0"/>
              <w:rPr>
                <w:sz w:val="20"/>
                <w:szCs w:val="20"/>
                <w:color w:val="auto"/>
              </w:rPr>
            </w:pPr>
            <w:r>
              <w:rPr>
                <w:rFonts w:ascii="Arial" w:cs="Arial" w:eastAsia="Arial" w:hAnsi="Arial"/>
                <w:sz w:val="18"/>
                <w:szCs w:val="18"/>
                <w:color w:val="auto"/>
              </w:rPr>
              <w:t>September 30, 2019</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22,656</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Shares Issued</w:t>
            </w:r>
          </w:p>
        </w:tc>
        <w:tc>
          <w:tcPr>
            <w:tcW w:w="10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9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8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880,556</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00" w:hanging="492"/>
        <w:spacing w:after="0"/>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See Note 11 for further information on base, supplemental, and special dividends.</w:t>
      </w:r>
    </w:p>
    <w:p>
      <w:pPr>
        <w:spacing w:after="0" w:line="225" w:lineRule="exact"/>
        <w:rPr>
          <w:sz w:val="20"/>
          <w:szCs w:val="20"/>
          <w:color w:val="auto"/>
        </w:rPr>
      </w:pPr>
    </w:p>
    <w:p>
      <w:pPr>
        <w:ind w:right="160" w:firstLine="255"/>
        <w:spacing w:after="0" w:line="257" w:lineRule="auto"/>
        <w:rPr>
          <w:sz w:val="20"/>
          <w:szCs w:val="20"/>
          <w:color w:val="auto"/>
        </w:rPr>
      </w:pPr>
      <w:r>
        <w:rPr>
          <w:rFonts w:ascii="Arial" w:cs="Arial" w:eastAsia="Arial" w:hAnsi="Arial"/>
          <w:sz w:val="18"/>
          <w:szCs w:val="18"/>
          <w:color w:val="auto"/>
        </w:rPr>
        <w:t>On August 4, 2015, the Company's Board authorized the Company to acquire up to $50 million in aggregate of the Company’s common stock from time to time over an initial six month period, and has continued to authorize the refreshment of the $50 million amount authorized under and extension of the stock repurchase program prior to its expiration since that time, most recently as of November 4, 2020. The amount and timing of stock repurchases under the program may vary depending on market conditions, and no assurance can be given that any particular amount of common stock will be repurchased.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44" w:name="page45"/>
    <w:bookmarkEnd w:id="44"/>
    <w:p>
      <w:pPr>
        <w:ind w:right="40" w:firstLine="255"/>
        <w:spacing w:after="0" w:line="263" w:lineRule="auto"/>
        <w:rPr>
          <w:sz w:val="20"/>
          <w:szCs w:val="20"/>
          <w:color w:val="auto"/>
        </w:rPr>
      </w:pPr>
      <w:r>
        <w:rPr>
          <w:rFonts w:ascii="Arial" w:cs="Arial" w:eastAsia="Arial" w:hAnsi="Arial"/>
          <w:sz w:val="18"/>
          <w:szCs w:val="18"/>
          <w:color w:val="auto"/>
        </w:rPr>
        <w:t>During the nine months ended September 30, 2020, the Company repurchased 206,964 shares at a weighted average price per share of $14.17 inclusive of commissions, for a total cost of $2.9 million. No shares were repurchased during the three months ended September 30, 2020, or during the three and nine months ended September 30, 2019.</w:t>
      </w:r>
    </w:p>
    <w:p>
      <w:pPr>
        <w:spacing w:after="0" w:line="369" w:lineRule="exact"/>
        <w:rPr>
          <w:sz w:val="20"/>
          <w:szCs w:val="20"/>
          <w:color w:val="auto"/>
        </w:rPr>
      </w:pPr>
    </w:p>
    <w:p>
      <w:pPr>
        <w:ind w:left="280" w:hanging="272"/>
        <w:spacing w:after="0"/>
        <w:tabs>
          <w:tab w:leader="none" w:pos="28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21"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the computation of basic and diluted earnings per common share:</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380" w:type="dxa"/>
            <w:vAlign w:val="bottom"/>
            <w:gridSpan w:val="5"/>
          </w:tcPr>
          <w:p>
            <w:pPr>
              <w:ind w:left="480"/>
              <w:spacing w:after="0"/>
              <w:rPr>
                <w:sz w:val="20"/>
                <w:szCs w:val="20"/>
                <w:color w:val="auto"/>
              </w:rPr>
            </w:pPr>
            <w:r>
              <w:rPr>
                <w:rFonts w:ascii="Arial" w:cs="Arial" w:eastAsia="Arial" w:hAnsi="Arial"/>
                <w:sz w:val="14"/>
                <w:szCs w:val="14"/>
                <w:b w:val="1"/>
                <w:bCs w:val="1"/>
                <w:color w:val="auto"/>
              </w:rPr>
              <w:t>Nine Months Ended</w:t>
            </w:r>
          </w:p>
        </w:tc>
      </w:tr>
      <w:tr>
        <w:trPr>
          <w:trHeight w:val="133"/>
        </w:trPr>
        <w:tc>
          <w:tcPr>
            <w:tcW w:w="28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59"/>
              <w:spacing w:after="0" w:line="133" w:lineRule="exact"/>
              <w:rPr>
                <w:sz w:val="20"/>
                <w:szCs w:val="20"/>
                <w:color w:val="auto"/>
              </w:rPr>
            </w:pPr>
            <w:r>
              <w:rPr>
                <w:rFonts w:ascii="Arial" w:cs="Arial" w:eastAsia="Arial" w:hAnsi="Arial"/>
                <w:sz w:val="14"/>
                <w:szCs w:val="14"/>
                <w:b w:val="1"/>
                <w:bCs w:val="1"/>
                <w:color w:val="auto"/>
                <w:w w:val="89"/>
              </w:rPr>
              <w:t>September 30,</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37"/>
              <w:spacing w:after="0" w:line="133" w:lineRule="exact"/>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39"/>
              <w:spacing w:after="0" w:line="133" w:lineRule="exact"/>
              <w:rPr>
                <w:sz w:val="20"/>
                <w:szCs w:val="20"/>
                <w:color w:val="auto"/>
              </w:rPr>
            </w:pPr>
            <w:r>
              <w:rPr>
                <w:rFonts w:ascii="Arial" w:cs="Arial" w:eastAsia="Arial" w:hAnsi="Arial"/>
                <w:sz w:val="14"/>
                <w:szCs w:val="14"/>
                <w:b w:val="1"/>
                <w:bCs w:val="1"/>
                <w:color w:val="auto"/>
                <w:w w:val="91"/>
              </w:rPr>
              <w:t>September 30,</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37"/>
              <w:spacing w:after="0" w:line="133" w:lineRule="exact"/>
              <w:rPr>
                <w:sz w:val="20"/>
                <w:szCs w:val="20"/>
                <w:color w:val="auto"/>
              </w:rPr>
            </w:pPr>
            <w:r>
              <w:rPr>
                <w:rFonts w:ascii="Arial" w:cs="Arial" w:eastAsia="Arial" w:hAnsi="Arial"/>
                <w:sz w:val="14"/>
                <w:szCs w:val="14"/>
                <w:b w:val="1"/>
                <w:bCs w:val="1"/>
                <w:color w:val="auto"/>
                <w:w w:val="91"/>
              </w:rPr>
              <w:t>September 30,</w:t>
            </w:r>
          </w:p>
        </w:tc>
        <w:tc>
          <w:tcPr>
            <w:tcW w:w="80" w:type="dxa"/>
            <w:vAlign w:val="bottom"/>
          </w:tcPr>
          <w:p>
            <w:pPr>
              <w:spacing w:after="0"/>
              <w:rPr>
                <w:sz w:val="11"/>
                <w:szCs w:val="11"/>
                <w:color w:val="auto"/>
              </w:rPr>
            </w:pPr>
          </w:p>
        </w:tc>
      </w:tr>
      <w:tr>
        <w:trPr>
          <w:trHeight w:val="171"/>
        </w:trPr>
        <w:tc>
          <w:tcPr>
            <w:tcW w:w="28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4"/>
                <w:szCs w:val="14"/>
                <w:color w:val="auto"/>
              </w:rPr>
            </w:pPr>
          </w:p>
        </w:tc>
      </w:tr>
      <w:tr>
        <w:trPr>
          <w:trHeight w:val="209"/>
        </w:trPr>
        <w:tc>
          <w:tcPr>
            <w:tcW w:w="2820" w:type="dxa"/>
            <w:vAlign w:val="bottom"/>
            <w:shd w:val="clear" w:color="auto" w:fill="CFF0FC"/>
          </w:tcPr>
          <w:p>
            <w:pPr>
              <w:spacing w:after="0"/>
              <w:rPr>
                <w:sz w:val="20"/>
                <w:szCs w:val="20"/>
                <w:color w:val="auto"/>
              </w:rPr>
            </w:pPr>
            <w:r>
              <w:rPr>
                <w:rFonts w:ascii="Arial" w:cs="Arial" w:eastAsia="Arial" w:hAnsi="Arial"/>
                <w:sz w:val="18"/>
                <w:szCs w:val="18"/>
                <w:color w:val="auto"/>
              </w:rPr>
              <w:t>Increase in net assets resulting</w:t>
            </w: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8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from operations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81,857</w:t>
            </w: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30,341</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124,628</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116,881</w:t>
            </w:r>
          </w:p>
        </w:tc>
        <w:tc>
          <w:tcPr>
            <w:tcW w:w="80" w:type="dxa"/>
            <w:vAlign w:val="bottom"/>
            <w:shd w:val="clear" w:color="auto" w:fill="CFF0FC"/>
          </w:tcPr>
          <w:p>
            <w:pPr>
              <w:spacing w:after="0"/>
              <w:rPr>
                <w:sz w:val="20"/>
                <w:szCs w:val="20"/>
                <w:color w:val="auto"/>
              </w:rPr>
            </w:pPr>
          </w:p>
        </w:tc>
      </w:tr>
      <w:tr>
        <w:trPr>
          <w:trHeight w:val="215"/>
        </w:trPr>
        <w:tc>
          <w:tcPr>
            <w:tcW w:w="2820" w:type="dxa"/>
            <w:vAlign w:val="bottom"/>
          </w:tcPr>
          <w:p>
            <w:pPr>
              <w:spacing w:after="0"/>
              <w:rPr>
                <w:sz w:val="20"/>
                <w:szCs w:val="20"/>
                <w:color w:val="auto"/>
              </w:rPr>
            </w:pPr>
            <w:r>
              <w:rPr>
                <w:rFonts w:ascii="Arial" w:cs="Arial" w:eastAsia="Arial" w:hAnsi="Arial"/>
                <w:sz w:val="18"/>
                <w:szCs w:val="18"/>
                <w:color w:val="auto"/>
              </w:rPr>
              <w:t>Weighted average shares of</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820" w:type="dxa"/>
            <w:vAlign w:val="bottom"/>
          </w:tcPr>
          <w:p>
            <w:pPr>
              <w:ind w:left="140"/>
              <w:spacing w:after="0"/>
              <w:rPr>
                <w:sz w:val="20"/>
                <w:szCs w:val="20"/>
                <w:color w:val="auto"/>
              </w:rPr>
            </w:pPr>
            <w:r>
              <w:rPr>
                <w:rFonts w:ascii="Arial" w:cs="Arial" w:eastAsia="Arial" w:hAnsi="Arial"/>
                <w:sz w:val="18"/>
                <w:szCs w:val="18"/>
                <w:color w:val="auto"/>
              </w:rPr>
              <w:t>common stock outstanding</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820" w:type="dxa"/>
            <w:vAlign w:val="bottom"/>
          </w:tcPr>
          <w:p>
            <w:pPr>
              <w:ind w:left="140"/>
              <w:spacing w:after="0"/>
              <w:rPr>
                <w:sz w:val="20"/>
                <w:szCs w:val="20"/>
                <w:color w:val="auto"/>
              </w:rPr>
            </w:pPr>
            <w:r>
              <w:rPr>
                <w:rFonts w:ascii="Arial" w:cs="Arial" w:eastAsia="Arial" w:hAnsi="Arial"/>
                <w:sz w:val="18"/>
                <w:szCs w:val="18"/>
                <w:color w:val="auto"/>
              </w:rPr>
              <w:t>—basic and diluted</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67,584,660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66,235,594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67,068,166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65,940,148</w:t>
            </w:r>
          </w:p>
        </w:tc>
        <w:tc>
          <w:tcPr>
            <w:tcW w:w="80" w:type="dxa"/>
            <w:vAlign w:val="bottom"/>
          </w:tcPr>
          <w:p>
            <w:pPr>
              <w:spacing w:after="0"/>
              <w:rPr>
                <w:sz w:val="20"/>
                <w:szCs w:val="20"/>
                <w:color w:val="auto"/>
              </w:rPr>
            </w:pPr>
          </w:p>
        </w:tc>
      </w:tr>
      <w:tr>
        <w:trPr>
          <w:trHeight w:val="215"/>
        </w:trPr>
        <w:tc>
          <w:tcPr>
            <w:tcW w:w="2820" w:type="dxa"/>
            <w:vAlign w:val="bottom"/>
            <w:shd w:val="clear" w:color="auto" w:fill="CFF0FC"/>
          </w:tcPr>
          <w:p>
            <w:pPr>
              <w:spacing w:after="0"/>
              <w:rPr>
                <w:sz w:val="20"/>
                <w:szCs w:val="20"/>
                <w:color w:val="auto"/>
              </w:rPr>
            </w:pPr>
            <w:r>
              <w:rPr>
                <w:rFonts w:ascii="Arial" w:cs="Arial" w:eastAsia="Arial" w:hAnsi="Arial"/>
                <w:sz w:val="18"/>
                <w:szCs w:val="18"/>
                <w:color w:val="auto"/>
              </w:rPr>
              <w:t>Earnings per common share</w:t>
            </w: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8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—basic and diluted</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0.46</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w:t>
            </w:r>
          </w:p>
        </w:tc>
        <w:tc>
          <w:tcPr>
            <w:tcW w:w="80" w:type="dxa"/>
            <w:vAlign w:val="bottom"/>
            <w:shd w:val="clear" w:color="auto" w:fill="CFF0FC"/>
          </w:tcPr>
          <w:p>
            <w:pPr>
              <w:spacing w:after="0"/>
              <w:rPr>
                <w:sz w:val="20"/>
                <w:szCs w:val="20"/>
                <w:color w:val="auto"/>
              </w:rPr>
            </w:pPr>
          </w:p>
        </w:tc>
      </w:tr>
    </w:tbl>
    <w:p>
      <w:pPr>
        <w:spacing w:after="0" w:line="242" w:lineRule="exact"/>
        <w:rPr>
          <w:sz w:val="20"/>
          <w:szCs w:val="20"/>
          <w:color w:val="auto"/>
        </w:rPr>
      </w:pPr>
    </w:p>
    <w:p>
      <w:pPr>
        <w:ind w:right="260" w:firstLine="255"/>
        <w:spacing w:after="0" w:line="279" w:lineRule="auto"/>
        <w:rPr>
          <w:sz w:val="20"/>
          <w:szCs w:val="20"/>
          <w:color w:val="auto"/>
        </w:rPr>
      </w:pPr>
      <w:r>
        <w:rPr>
          <w:rFonts w:ascii="Arial" w:cs="Arial" w:eastAsia="Arial" w:hAnsi="Arial"/>
          <w:sz w:val="17"/>
          <w:szCs w:val="17"/>
          <w:color w:val="auto"/>
        </w:rPr>
        <w:t>For the purpose of calculating diluted earnings per common share, the average daily closing price of the Company’s common stock for the three and nine months ended September 30, 2020 was less than the estimated adjusted conversion price for the 2022 Convertible Notes outstanding as of September 30, 2020. Therefore, for all periods presented in the consolidated financial statements, the underlying shares for the intrinsic value of the embedded options in the 2022 Convertible Notes have no impact on the computation of diluted earnings per common share.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Dividends</w:t>
      </w:r>
    </w:p>
    <w:p>
      <w:pPr>
        <w:spacing w:after="0" w:line="121" w:lineRule="exact"/>
        <w:rPr>
          <w:sz w:val="20"/>
          <w:szCs w:val="20"/>
          <w:color w:val="auto"/>
        </w:rPr>
      </w:pPr>
    </w:p>
    <w:p>
      <w:pPr>
        <w:ind w:right="640" w:firstLine="255"/>
        <w:spacing w:after="0" w:line="342" w:lineRule="auto"/>
        <w:rPr>
          <w:sz w:val="20"/>
          <w:szCs w:val="20"/>
          <w:color w:val="auto"/>
        </w:rPr>
      </w:pPr>
      <w:r>
        <w:rPr>
          <w:rFonts w:ascii="Arial" w:cs="Arial" w:eastAsia="Arial" w:hAnsi="Arial"/>
          <w:sz w:val="16"/>
          <w:szCs w:val="16"/>
          <w:color w:val="auto"/>
        </w:rPr>
        <w:t>The Company has historically paid a dividend to stockholders on a quarterly basis. The Company has a dividend framework that provides for a quarterly base dividend and a variable supplemental dividend, subject to satisfaction of certain measurement tests and the approval of the Board.</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tables summarize dividends declared during the nine months ended September 30, 2020 and 2019:</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60" w:type="dxa"/>
            <w:vAlign w:val="bottom"/>
            <w:gridSpan w:val="5"/>
          </w:tcPr>
          <w:p>
            <w:pPr>
              <w:ind w:left="130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60" w:type="dxa"/>
            <w:vAlign w:val="bottom"/>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3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60" w:type="dxa"/>
            <w:vAlign w:val="bottom"/>
            <w:tcBorders>
              <w:bottom w:val="single" w:sz="8" w:color="auto"/>
            </w:tcBorders>
            <w:gridSpan w:val="5"/>
          </w:tcPr>
          <w:p>
            <w:pPr>
              <w:ind w:left="1320"/>
              <w:spacing w:after="0"/>
              <w:rPr>
                <w:sz w:val="20"/>
                <w:szCs w:val="20"/>
                <w:color w:val="auto"/>
              </w:rPr>
            </w:pPr>
            <w:r>
              <w:rPr>
                <w:rFonts w:ascii="Arial" w:cs="Arial" w:eastAsia="Arial" w:hAnsi="Arial"/>
                <w:sz w:val="14"/>
                <w:szCs w:val="14"/>
                <w:b w:val="1"/>
                <w:bCs w:val="1"/>
                <w:color w:val="auto"/>
              </w:rPr>
              <w:t>September 30, 2020</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46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gridSpan w:val="3"/>
          </w:tcPr>
          <w:p>
            <w:pPr>
              <w:jc w:val="center"/>
              <w:ind w:right="180"/>
              <w:spacing w:after="0" w:line="155" w:lineRule="exact"/>
              <w:rPr>
                <w:sz w:val="20"/>
                <w:szCs w:val="20"/>
                <w:color w:val="auto"/>
              </w:rPr>
            </w:pPr>
            <w:r>
              <w:rPr>
                <w:rFonts w:ascii="Arial" w:cs="Arial" w:eastAsia="Arial" w:hAnsi="Arial"/>
                <w:sz w:val="14"/>
                <w:szCs w:val="14"/>
                <w:b w:val="1"/>
                <w:bCs w:val="1"/>
                <w:color w:val="auto"/>
                <w:w w:val="94"/>
              </w:rPr>
              <w:t>Dividend</w:t>
            </w:r>
          </w:p>
        </w:tc>
        <w:tc>
          <w:tcPr>
            <w:tcW w:w="20" w:type="dxa"/>
            <w:vAlign w:val="bottom"/>
          </w:tcPr>
          <w:p>
            <w:pPr>
              <w:spacing w:after="0"/>
              <w:rPr>
                <w:sz w:val="13"/>
                <w:szCs w:val="13"/>
                <w:color w:val="auto"/>
              </w:rPr>
            </w:pPr>
          </w:p>
        </w:tc>
        <w:tc>
          <w:tcPr>
            <w:tcW w:w="1820" w:type="dxa"/>
            <w:vAlign w:val="bottom"/>
            <w:gridSpan w:val="3"/>
          </w:tcPr>
          <w:p>
            <w:pPr>
              <w:ind w:left="440"/>
              <w:spacing w:after="0" w:line="155" w:lineRule="exact"/>
              <w:rPr>
                <w:sz w:val="20"/>
                <w:szCs w:val="20"/>
                <w:color w:val="auto"/>
              </w:rPr>
            </w:pPr>
            <w:r>
              <w:rPr>
                <w:rFonts w:ascii="Arial" w:cs="Arial" w:eastAsia="Arial" w:hAnsi="Arial"/>
                <w:sz w:val="14"/>
                <w:szCs w:val="14"/>
                <w:b w:val="1"/>
                <w:bCs w:val="1"/>
                <w:color w:val="auto"/>
              </w:rPr>
              <w:t>Record Date</w:t>
            </w:r>
          </w:p>
        </w:tc>
        <w:tc>
          <w:tcPr>
            <w:tcW w:w="20" w:type="dxa"/>
            <w:vAlign w:val="bottom"/>
          </w:tcPr>
          <w:p>
            <w:pPr>
              <w:spacing w:after="0"/>
              <w:rPr>
                <w:sz w:val="13"/>
                <w:szCs w:val="13"/>
                <w:color w:val="auto"/>
              </w:rPr>
            </w:pPr>
          </w:p>
        </w:tc>
        <w:tc>
          <w:tcPr>
            <w:tcW w:w="1820" w:type="dxa"/>
            <w:vAlign w:val="bottom"/>
          </w:tcPr>
          <w:p>
            <w:pPr>
              <w:jc w:val="right"/>
              <w:ind w:right="413"/>
              <w:spacing w:after="0" w:line="155" w:lineRule="exact"/>
              <w:rPr>
                <w:sz w:val="20"/>
                <w:szCs w:val="20"/>
                <w:color w:val="auto"/>
              </w:rPr>
            </w:pPr>
            <w:r>
              <w:rPr>
                <w:rFonts w:ascii="Arial" w:cs="Arial" w:eastAsia="Arial" w:hAnsi="Arial"/>
                <w:sz w:val="14"/>
                <w:szCs w:val="14"/>
                <w:b w:val="1"/>
                <w:bCs w:val="1"/>
                <w:color w:val="auto"/>
              </w:rPr>
              <w:t>Payment Date</w:t>
            </w:r>
          </w:p>
        </w:tc>
        <w:tc>
          <w:tcPr>
            <w:tcW w:w="100" w:type="dxa"/>
            <w:vAlign w:val="bottom"/>
          </w:tcPr>
          <w:p>
            <w:pPr>
              <w:spacing w:after="0"/>
              <w:rPr>
                <w:sz w:val="13"/>
                <w:szCs w:val="13"/>
                <w:color w:val="auto"/>
              </w:rPr>
            </w:pPr>
          </w:p>
        </w:tc>
        <w:tc>
          <w:tcPr>
            <w:tcW w:w="124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w w:val="94"/>
              </w:rPr>
              <w:t>Dividend per Share</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February 19, 2020</w:t>
            </w:r>
          </w:p>
        </w:tc>
        <w:tc>
          <w:tcPr>
            <w:tcW w:w="3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gridSpan w:val="2"/>
            <w:shd w:val="clear" w:color="auto" w:fill="CFF0FC"/>
          </w:tcPr>
          <w:p>
            <w:pPr>
              <w:jc w:val="center"/>
              <w:spacing w:after="0"/>
              <w:rPr>
                <w:sz w:val="20"/>
                <w:szCs w:val="20"/>
                <w:color w:val="auto"/>
              </w:rPr>
            </w:pPr>
            <w:r>
              <w:rPr>
                <w:rFonts w:ascii="Arial" w:cs="Arial" w:eastAsia="Arial" w:hAnsi="Arial"/>
                <w:sz w:val="18"/>
                <w:szCs w:val="18"/>
                <w:color w:val="auto"/>
                <w:w w:val="89"/>
              </w:rPr>
              <w:t>Supplemental</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February 28, 2020</w:t>
            </w: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March 31, 2020</w:t>
            </w:r>
          </w:p>
        </w:tc>
        <w:tc>
          <w:tcPr>
            <w:tcW w:w="10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60" w:type="dxa"/>
            <w:vAlign w:val="bottom"/>
          </w:tcPr>
          <w:p>
            <w:pPr>
              <w:spacing w:after="0"/>
              <w:rPr>
                <w:sz w:val="20"/>
                <w:szCs w:val="20"/>
                <w:color w:val="auto"/>
              </w:rPr>
            </w:pPr>
            <w:r>
              <w:rPr>
                <w:rFonts w:ascii="Arial" w:cs="Arial" w:eastAsia="Arial" w:hAnsi="Arial"/>
                <w:sz w:val="18"/>
                <w:szCs w:val="18"/>
                <w:color w:val="auto"/>
              </w:rPr>
              <w:t>February 19, 2020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gridSpan w:val="3"/>
          </w:tcPr>
          <w:p>
            <w:pPr>
              <w:jc w:val="center"/>
              <w:ind w:right="160"/>
              <w:spacing w:after="0"/>
              <w:rPr>
                <w:sz w:val="20"/>
                <w:szCs w:val="20"/>
                <w:color w:val="auto"/>
              </w:rPr>
            </w:pPr>
            <w:r>
              <w:rPr>
                <w:rFonts w:ascii="Arial" w:cs="Arial" w:eastAsia="Arial" w:hAnsi="Arial"/>
                <w:sz w:val="18"/>
                <w:szCs w:val="18"/>
                <w:color w:val="auto"/>
                <w:w w:val="82"/>
              </w:rPr>
              <w:t>Base</w:t>
            </w:r>
          </w:p>
        </w:tc>
        <w:tc>
          <w:tcPr>
            <w:tcW w:w="20" w:type="dxa"/>
            <w:vAlign w:val="bottom"/>
          </w:tcPr>
          <w:p>
            <w:pPr>
              <w:spacing w:after="0"/>
              <w:rPr>
                <w:sz w:val="19"/>
                <w:szCs w:val="19"/>
                <w:color w:val="auto"/>
              </w:rPr>
            </w:pPr>
          </w:p>
        </w:tc>
        <w:tc>
          <w:tcPr>
            <w:tcW w:w="1820" w:type="dxa"/>
            <w:vAlign w:val="bottom"/>
            <w:gridSpan w:val="3"/>
          </w:tcPr>
          <w:p>
            <w:pPr>
              <w:jc w:val="right"/>
              <w:ind w:right="120"/>
              <w:spacing w:after="0"/>
              <w:rPr>
                <w:sz w:val="20"/>
                <w:szCs w:val="20"/>
                <w:color w:val="auto"/>
              </w:rPr>
            </w:pPr>
            <w:r>
              <w:rPr>
                <w:rFonts w:ascii="Arial" w:cs="Arial" w:eastAsia="Arial" w:hAnsi="Arial"/>
                <w:sz w:val="18"/>
                <w:szCs w:val="18"/>
                <w:color w:val="auto"/>
              </w:rPr>
              <w:t>March 13, 2020</w:t>
            </w:r>
          </w:p>
        </w:tc>
        <w:tc>
          <w:tcPr>
            <w:tcW w:w="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April 15, 2020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0.41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shd w:val="clear" w:color="auto" w:fill="CFF0FC"/>
          </w:tcPr>
          <w:p>
            <w:pPr>
              <w:spacing w:after="0"/>
              <w:rPr>
                <w:sz w:val="20"/>
                <w:szCs w:val="20"/>
                <w:color w:val="auto"/>
              </w:rPr>
            </w:pPr>
            <w:r>
              <w:rPr>
                <w:rFonts w:ascii="Arial" w:cs="Arial" w:eastAsia="Arial" w:hAnsi="Arial"/>
                <w:sz w:val="18"/>
                <w:szCs w:val="18"/>
                <w:color w:val="auto"/>
              </w:rPr>
              <w:t>February 19, 2020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jc w:val="center"/>
              <w:ind w:right="160"/>
              <w:spacing w:after="0"/>
              <w:rPr>
                <w:sz w:val="20"/>
                <w:szCs w:val="20"/>
                <w:color w:val="auto"/>
              </w:rPr>
            </w:pPr>
            <w:r>
              <w:rPr>
                <w:rFonts w:ascii="Arial" w:cs="Arial" w:eastAsia="Arial" w:hAnsi="Arial"/>
                <w:sz w:val="18"/>
                <w:szCs w:val="18"/>
                <w:color w:val="auto"/>
                <w:w w:val="91"/>
              </w:rPr>
              <w:t>Special</w:t>
            </w:r>
          </w:p>
        </w:tc>
        <w:tc>
          <w:tcPr>
            <w:tcW w:w="20" w:type="dxa"/>
            <w:vAlign w:val="bottom"/>
            <w:shd w:val="clear" w:color="auto" w:fill="CFF0FC"/>
          </w:tcPr>
          <w:p>
            <w:pPr>
              <w:spacing w:after="0"/>
              <w:rPr>
                <w:sz w:val="19"/>
                <w:szCs w:val="19"/>
                <w:color w:val="auto"/>
              </w:rPr>
            </w:pPr>
          </w:p>
        </w:tc>
        <w:tc>
          <w:tcPr>
            <w:tcW w:w="182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April 15, 2020</w:t>
            </w:r>
          </w:p>
        </w:tc>
        <w:tc>
          <w:tcPr>
            <w:tcW w:w="20" w:type="dxa"/>
            <w:vAlign w:val="bottom"/>
            <w:shd w:val="clear" w:color="auto" w:fill="CFF0FC"/>
          </w:tcPr>
          <w:p>
            <w:pPr>
              <w:spacing w:after="0"/>
              <w:rPr>
                <w:sz w:val="19"/>
                <w:szCs w:val="19"/>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April 30, 2020</w:t>
            </w: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February 19, 2020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gridSpan w:val="3"/>
          </w:tcPr>
          <w:p>
            <w:pPr>
              <w:jc w:val="center"/>
              <w:ind w:right="160"/>
              <w:spacing w:after="0"/>
              <w:rPr>
                <w:sz w:val="20"/>
                <w:szCs w:val="20"/>
                <w:color w:val="auto"/>
              </w:rPr>
            </w:pPr>
            <w:r>
              <w:rPr>
                <w:rFonts w:ascii="Arial" w:cs="Arial" w:eastAsia="Arial" w:hAnsi="Arial"/>
                <w:sz w:val="18"/>
                <w:szCs w:val="18"/>
                <w:color w:val="auto"/>
                <w:w w:val="91"/>
              </w:rPr>
              <w:t>Special</w:t>
            </w:r>
          </w:p>
        </w:tc>
        <w:tc>
          <w:tcPr>
            <w:tcW w:w="20" w:type="dxa"/>
            <w:vAlign w:val="bottom"/>
          </w:tcPr>
          <w:p>
            <w:pPr>
              <w:spacing w:after="0"/>
              <w:rPr>
                <w:sz w:val="19"/>
                <w:szCs w:val="19"/>
                <w:color w:val="auto"/>
              </w:rPr>
            </w:pPr>
          </w:p>
        </w:tc>
        <w:tc>
          <w:tcPr>
            <w:tcW w:w="1820" w:type="dxa"/>
            <w:vAlign w:val="bottom"/>
            <w:gridSpan w:val="3"/>
          </w:tcPr>
          <w:p>
            <w:pPr>
              <w:jc w:val="right"/>
              <w:ind w:right="120"/>
              <w:spacing w:after="0"/>
              <w:rPr>
                <w:sz w:val="20"/>
                <w:szCs w:val="20"/>
                <w:color w:val="auto"/>
              </w:rPr>
            </w:pPr>
            <w:r>
              <w:rPr>
                <w:rFonts w:ascii="Arial" w:cs="Arial" w:eastAsia="Arial" w:hAnsi="Arial"/>
                <w:sz w:val="18"/>
                <w:szCs w:val="18"/>
                <w:color w:val="auto"/>
              </w:rPr>
              <w:t>June 15, 2020</w:t>
            </w:r>
          </w:p>
        </w:tc>
        <w:tc>
          <w:tcPr>
            <w:tcW w:w="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June 30, 2020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0.25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shd w:val="clear" w:color="auto" w:fill="CFF0FC"/>
          </w:tcPr>
          <w:p>
            <w:pPr>
              <w:spacing w:after="0"/>
              <w:rPr>
                <w:sz w:val="20"/>
                <w:szCs w:val="20"/>
                <w:color w:val="auto"/>
              </w:rPr>
            </w:pPr>
            <w:r>
              <w:rPr>
                <w:rFonts w:ascii="Arial" w:cs="Arial" w:eastAsia="Arial" w:hAnsi="Arial"/>
                <w:sz w:val="18"/>
                <w:szCs w:val="18"/>
                <w:color w:val="auto"/>
              </w:rPr>
              <w:t>May 5, 2020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jc w:val="center"/>
              <w:ind w:right="160"/>
              <w:spacing w:after="0"/>
              <w:rPr>
                <w:sz w:val="20"/>
                <w:szCs w:val="20"/>
                <w:color w:val="auto"/>
              </w:rPr>
            </w:pPr>
            <w:r>
              <w:rPr>
                <w:rFonts w:ascii="Arial" w:cs="Arial" w:eastAsia="Arial" w:hAnsi="Arial"/>
                <w:sz w:val="18"/>
                <w:szCs w:val="18"/>
                <w:color w:val="auto"/>
                <w:w w:val="82"/>
              </w:rPr>
              <w:t>Base</w:t>
            </w:r>
          </w:p>
        </w:tc>
        <w:tc>
          <w:tcPr>
            <w:tcW w:w="20" w:type="dxa"/>
            <w:vAlign w:val="bottom"/>
            <w:shd w:val="clear" w:color="auto" w:fill="CFF0FC"/>
          </w:tcPr>
          <w:p>
            <w:pPr>
              <w:spacing w:after="0"/>
              <w:rPr>
                <w:sz w:val="19"/>
                <w:szCs w:val="19"/>
                <w:color w:val="auto"/>
              </w:rPr>
            </w:pPr>
          </w:p>
        </w:tc>
        <w:tc>
          <w:tcPr>
            <w:tcW w:w="182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June 15, 2020</w:t>
            </w:r>
          </w:p>
        </w:tc>
        <w:tc>
          <w:tcPr>
            <w:tcW w:w="20" w:type="dxa"/>
            <w:vAlign w:val="bottom"/>
            <w:shd w:val="clear" w:color="auto" w:fill="CFF0FC"/>
          </w:tcPr>
          <w:p>
            <w:pPr>
              <w:spacing w:after="0"/>
              <w:rPr>
                <w:sz w:val="19"/>
                <w:szCs w:val="19"/>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July 15, 2020</w:t>
            </w: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August 4, 2020</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100" w:type="dxa"/>
            <w:vAlign w:val="bottom"/>
            <w:tcBorders>
              <w:bottom w:val="single" w:sz="8" w:color="CFF0FC"/>
            </w:tcBorders>
            <w:gridSpan w:val="3"/>
          </w:tcPr>
          <w:p>
            <w:pPr>
              <w:jc w:val="center"/>
              <w:ind w:right="160"/>
              <w:spacing w:after="0"/>
              <w:rPr>
                <w:sz w:val="20"/>
                <w:szCs w:val="20"/>
                <w:color w:val="auto"/>
              </w:rPr>
            </w:pPr>
            <w:r>
              <w:rPr>
                <w:rFonts w:ascii="Arial" w:cs="Arial" w:eastAsia="Arial" w:hAnsi="Arial"/>
                <w:sz w:val="18"/>
                <w:szCs w:val="18"/>
                <w:color w:val="auto"/>
                <w:w w:val="82"/>
              </w:rPr>
              <w:t>Base</w:t>
            </w:r>
          </w:p>
        </w:tc>
        <w:tc>
          <w:tcPr>
            <w:tcW w:w="20" w:type="dxa"/>
            <w:vAlign w:val="bottom"/>
            <w:tcBorders>
              <w:bottom w:val="single" w:sz="8" w:color="CFF0FC"/>
            </w:tcBorders>
          </w:tcPr>
          <w:p>
            <w:pPr>
              <w:spacing w:after="0"/>
              <w:rPr>
                <w:sz w:val="19"/>
                <w:szCs w:val="19"/>
                <w:color w:val="auto"/>
              </w:rPr>
            </w:pPr>
          </w:p>
        </w:tc>
        <w:tc>
          <w:tcPr>
            <w:tcW w:w="1820" w:type="dxa"/>
            <w:vAlign w:val="bottom"/>
            <w:tcBorders>
              <w:bottom w:val="single" w:sz="8" w:color="CFF0FC"/>
            </w:tcBorders>
            <w:gridSpan w:val="3"/>
          </w:tcPr>
          <w:p>
            <w:pPr>
              <w:jc w:val="right"/>
              <w:ind w:right="120"/>
              <w:spacing w:after="0"/>
              <w:rPr>
                <w:sz w:val="20"/>
                <w:szCs w:val="20"/>
                <w:color w:val="auto"/>
              </w:rPr>
            </w:pPr>
            <w:r>
              <w:rPr>
                <w:rFonts w:ascii="Arial" w:cs="Arial" w:eastAsia="Arial" w:hAnsi="Arial"/>
                <w:sz w:val="18"/>
                <w:szCs w:val="18"/>
                <w:color w:val="auto"/>
              </w:rPr>
              <w:t>September 15, 2020</w:t>
            </w:r>
          </w:p>
        </w:tc>
        <w:tc>
          <w:tcPr>
            <w:tcW w:w="20" w:type="dxa"/>
            <w:vAlign w:val="bottom"/>
            <w:tcBorders>
              <w:bottom w:val="single" w:sz="8" w:color="CFF0FC"/>
            </w:tcBorders>
          </w:tcPr>
          <w:p>
            <w:pPr>
              <w:spacing w:after="0"/>
              <w:rPr>
                <w:sz w:val="19"/>
                <w:szCs w:val="19"/>
                <w:color w:val="auto"/>
              </w:rPr>
            </w:pPr>
          </w:p>
        </w:tc>
        <w:tc>
          <w:tcPr>
            <w:tcW w:w="18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October 15, 2020</w:t>
            </w:r>
          </w:p>
        </w:tc>
        <w:tc>
          <w:tcPr>
            <w:tcW w:w="10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Dividends Declared</w:t>
            </w:r>
          </w:p>
        </w:tc>
        <w:tc>
          <w:tcPr>
            <w:tcW w:w="3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7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8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60" w:type="dxa"/>
            <w:vAlign w:val="bottom"/>
            <w:gridSpan w:val="5"/>
            <w:vMerge w:val="restart"/>
          </w:tcPr>
          <w:p>
            <w:pPr>
              <w:ind w:left="130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2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60" w:type="dxa"/>
            <w:vAlign w:val="bottom"/>
            <w:gridSpan w:val="5"/>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460" w:type="dxa"/>
            <w:vAlign w:val="bottom"/>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60" w:type="dxa"/>
            <w:vAlign w:val="bottom"/>
            <w:tcBorders>
              <w:bottom w:val="single" w:sz="8" w:color="auto"/>
            </w:tcBorders>
            <w:gridSpan w:val="5"/>
          </w:tcPr>
          <w:p>
            <w:pPr>
              <w:ind w:left="1320"/>
              <w:spacing w:after="0"/>
              <w:rPr>
                <w:sz w:val="20"/>
                <w:szCs w:val="20"/>
                <w:color w:val="auto"/>
              </w:rPr>
            </w:pPr>
            <w:r>
              <w:rPr>
                <w:rFonts w:ascii="Arial" w:cs="Arial" w:eastAsia="Arial" w:hAnsi="Arial"/>
                <w:sz w:val="14"/>
                <w:szCs w:val="14"/>
                <w:b w:val="1"/>
                <w:bCs w:val="1"/>
                <w:color w:val="auto"/>
              </w:rPr>
              <w:t>September 30, 2019</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46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gridSpan w:val="3"/>
          </w:tcPr>
          <w:p>
            <w:pPr>
              <w:jc w:val="center"/>
              <w:ind w:right="140"/>
              <w:spacing w:after="0" w:line="155" w:lineRule="exact"/>
              <w:rPr>
                <w:sz w:val="20"/>
                <w:szCs w:val="20"/>
                <w:color w:val="auto"/>
              </w:rPr>
            </w:pPr>
            <w:r>
              <w:rPr>
                <w:rFonts w:ascii="Arial" w:cs="Arial" w:eastAsia="Arial" w:hAnsi="Arial"/>
                <w:sz w:val="14"/>
                <w:szCs w:val="14"/>
                <w:b w:val="1"/>
                <w:bCs w:val="1"/>
                <w:color w:val="auto"/>
                <w:w w:val="94"/>
              </w:rPr>
              <w:t>Dividend</w:t>
            </w:r>
          </w:p>
        </w:tc>
        <w:tc>
          <w:tcPr>
            <w:tcW w:w="20" w:type="dxa"/>
            <w:vAlign w:val="bottom"/>
          </w:tcPr>
          <w:p>
            <w:pPr>
              <w:spacing w:after="0"/>
              <w:rPr>
                <w:sz w:val="13"/>
                <w:szCs w:val="13"/>
                <w:color w:val="auto"/>
              </w:rPr>
            </w:pPr>
          </w:p>
        </w:tc>
        <w:tc>
          <w:tcPr>
            <w:tcW w:w="1820" w:type="dxa"/>
            <w:vAlign w:val="bottom"/>
            <w:gridSpan w:val="3"/>
          </w:tcPr>
          <w:p>
            <w:pPr>
              <w:ind w:left="460"/>
              <w:spacing w:after="0" w:line="155" w:lineRule="exact"/>
              <w:rPr>
                <w:sz w:val="20"/>
                <w:szCs w:val="20"/>
                <w:color w:val="auto"/>
              </w:rPr>
            </w:pPr>
            <w:r>
              <w:rPr>
                <w:rFonts w:ascii="Arial" w:cs="Arial" w:eastAsia="Arial" w:hAnsi="Arial"/>
                <w:sz w:val="14"/>
                <w:szCs w:val="14"/>
                <w:b w:val="1"/>
                <w:bCs w:val="1"/>
                <w:color w:val="auto"/>
              </w:rPr>
              <w:t>Record Date</w:t>
            </w:r>
          </w:p>
        </w:tc>
        <w:tc>
          <w:tcPr>
            <w:tcW w:w="20" w:type="dxa"/>
            <w:vAlign w:val="bottom"/>
          </w:tcPr>
          <w:p>
            <w:pPr>
              <w:spacing w:after="0"/>
              <w:rPr>
                <w:sz w:val="13"/>
                <w:szCs w:val="13"/>
                <w:color w:val="auto"/>
              </w:rPr>
            </w:pPr>
          </w:p>
        </w:tc>
        <w:tc>
          <w:tcPr>
            <w:tcW w:w="1820" w:type="dxa"/>
            <w:vAlign w:val="bottom"/>
          </w:tcPr>
          <w:p>
            <w:pPr>
              <w:jc w:val="right"/>
              <w:ind w:right="393"/>
              <w:spacing w:after="0" w:line="155" w:lineRule="exact"/>
              <w:rPr>
                <w:sz w:val="20"/>
                <w:szCs w:val="20"/>
                <w:color w:val="auto"/>
              </w:rPr>
            </w:pPr>
            <w:r>
              <w:rPr>
                <w:rFonts w:ascii="Arial" w:cs="Arial" w:eastAsia="Arial" w:hAnsi="Arial"/>
                <w:sz w:val="14"/>
                <w:szCs w:val="14"/>
                <w:b w:val="1"/>
                <w:bCs w:val="1"/>
                <w:color w:val="auto"/>
              </w:rPr>
              <w:t>Payment Date</w:t>
            </w:r>
          </w:p>
        </w:tc>
        <w:tc>
          <w:tcPr>
            <w:tcW w:w="100" w:type="dxa"/>
            <w:vAlign w:val="bottom"/>
          </w:tcPr>
          <w:p>
            <w:pPr>
              <w:spacing w:after="0"/>
              <w:rPr>
                <w:sz w:val="13"/>
                <w:szCs w:val="13"/>
                <w:color w:val="auto"/>
              </w:rPr>
            </w:pPr>
          </w:p>
        </w:tc>
        <w:tc>
          <w:tcPr>
            <w:tcW w:w="124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w w:val="94"/>
              </w:rPr>
              <w:t>Dividend per Share</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February 20, 2019</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gridSpan w:val="2"/>
            <w:shd w:val="clear" w:color="auto" w:fill="CFF0FC"/>
          </w:tcPr>
          <w:p>
            <w:pPr>
              <w:jc w:val="center"/>
              <w:ind w:right="20"/>
              <w:spacing w:after="0"/>
              <w:rPr>
                <w:sz w:val="20"/>
                <w:szCs w:val="20"/>
                <w:color w:val="auto"/>
              </w:rPr>
            </w:pPr>
            <w:r>
              <w:rPr>
                <w:rFonts w:ascii="Arial" w:cs="Arial" w:eastAsia="Arial" w:hAnsi="Arial"/>
                <w:sz w:val="18"/>
                <w:szCs w:val="18"/>
                <w:color w:val="auto"/>
                <w:w w:val="89"/>
              </w:rPr>
              <w:t>Supplemental</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7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February 28, 2019</w:t>
            </w: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March 29, 2019</w:t>
            </w:r>
          </w:p>
        </w:tc>
        <w:tc>
          <w:tcPr>
            <w:tcW w:w="10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0.12</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February 20, 2019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gridSpan w:val="3"/>
          </w:tcPr>
          <w:p>
            <w:pPr>
              <w:jc w:val="center"/>
              <w:ind w:right="140"/>
              <w:spacing w:after="0"/>
              <w:rPr>
                <w:sz w:val="20"/>
                <w:szCs w:val="20"/>
                <w:color w:val="auto"/>
              </w:rPr>
            </w:pPr>
            <w:r>
              <w:rPr>
                <w:rFonts w:ascii="Arial" w:cs="Arial" w:eastAsia="Arial" w:hAnsi="Arial"/>
                <w:sz w:val="18"/>
                <w:szCs w:val="18"/>
                <w:color w:val="auto"/>
                <w:w w:val="87"/>
              </w:rPr>
              <w:t>Base</w:t>
            </w:r>
          </w:p>
        </w:tc>
        <w:tc>
          <w:tcPr>
            <w:tcW w:w="20" w:type="dxa"/>
            <w:vAlign w:val="bottom"/>
          </w:tcPr>
          <w:p>
            <w:pPr>
              <w:spacing w:after="0"/>
              <w:rPr>
                <w:sz w:val="19"/>
                <w:szCs w:val="19"/>
                <w:color w:val="auto"/>
              </w:rPr>
            </w:pPr>
          </w:p>
        </w:tc>
        <w:tc>
          <w:tcPr>
            <w:tcW w:w="1820" w:type="dxa"/>
            <w:vAlign w:val="bottom"/>
            <w:gridSpan w:val="3"/>
          </w:tcPr>
          <w:p>
            <w:pPr>
              <w:jc w:val="right"/>
              <w:ind w:right="100"/>
              <w:spacing w:after="0"/>
              <w:rPr>
                <w:sz w:val="20"/>
                <w:szCs w:val="20"/>
                <w:color w:val="auto"/>
              </w:rPr>
            </w:pPr>
            <w:r>
              <w:rPr>
                <w:rFonts w:ascii="Arial" w:cs="Arial" w:eastAsia="Arial" w:hAnsi="Arial"/>
                <w:sz w:val="18"/>
                <w:szCs w:val="18"/>
                <w:color w:val="auto"/>
              </w:rPr>
              <w:t>March 15, 2019</w:t>
            </w:r>
          </w:p>
        </w:tc>
        <w:tc>
          <w:tcPr>
            <w:tcW w:w="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April 15, 2019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0.39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shd w:val="clear" w:color="auto" w:fill="CFF0FC"/>
          </w:tcPr>
          <w:p>
            <w:pPr>
              <w:spacing w:after="0"/>
              <w:rPr>
                <w:sz w:val="20"/>
                <w:szCs w:val="20"/>
                <w:color w:val="auto"/>
              </w:rPr>
            </w:pPr>
            <w:r>
              <w:rPr>
                <w:rFonts w:ascii="Arial" w:cs="Arial" w:eastAsia="Arial" w:hAnsi="Arial"/>
                <w:sz w:val="18"/>
                <w:szCs w:val="18"/>
                <w:color w:val="auto"/>
              </w:rPr>
              <w:t>May 2, 2019</w:t>
            </w:r>
          </w:p>
        </w:tc>
        <w:tc>
          <w:tcPr>
            <w:tcW w:w="300" w:type="dxa"/>
            <w:vAlign w:val="bottom"/>
            <w:shd w:val="clear" w:color="auto" w:fill="CFF0FC"/>
          </w:tcPr>
          <w:p>
            <w:pPr>
              <w:spacing w:after="0"/>
              <w:rPr>
                <w:sz w:val="19"/>
                <w:szCs w:val="19"/>
                <w:color w:val="auto"/>
              </w:rPr>
            </w:pPr>
          </w:p>
        </w:tc>
        <w:tc>
          <w:tcPr>
            <w:tcW w:w="1120" w:type="dxa"/>
            <w:vAlign w:val="bottom"/>
            <w:gridSpan w:val="4"/>
            <w:shd w:val="clear" w:color="auto" w:fill="CFF0FC"/>
          </w:tcPr>
          <w:p>
            <w:pPr>
              <w:jc w:val="center"/>
              <w:ind w:right="120"/>
              <w:spacing w:after="0"/>
              <w:rPr>
                <w:sz w:val="20"/>
                <w:szCs w:val="20"/>
                <w:color w:val="auto"/>
              </w:rPr>
            </w:pPr>
            <w:r>
              <w:rPr>
                <w:rFonts w:ascii="Arial" w:cs="Arial" w:eastAsia="Arial" w:hAnsi="Arial"/>
                <w:sz w:val="18"/>
                <w:szCs w:val="18"/>
                <w:color w:val="auto"/>
                <w:w w:val="90"/>
              </w:rPr>
              <w:t>Supplemental</w:t>
            </w:r>
          </w:p>
        </w:tc>
        <w:tc>
          <w:tcPr>
            <w:tcW w:w="20" w:type="dxa"/>
            <w:vAlign w:val="bottom"/>
            <w:shd w:val="clear" w:color="auto" w:fill="CFF0FC"/>
          </w:tcPr>
          <w:p>
            <w:pPr>
              <w:spacing w:after="0"/>
              <w:rPr>
                <w:sz w:val="19"/>
                <w:szCs w:val="19"/>
                <w:color w:val="auto"/>
              </w:rPr>
            </w:pPr>
          </w:p>
        </w:tc>
        <w:tc>
          <w:tcPr>
            <w:tcW w:w="182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May 31, 2019</w:t>
            </w:r>
          </w:p>
        </w:tc>
        <w:tc>
          <w:tcPr>
            <w:tcW w:w="20" w:type="dxa"/>
            <w:vAlign w:val="bottom"/>
            <w:shd w:val="clear" w:color="auto" w:fill="CFF0FC"/>
          </w:tcPr>
          <w:p>
            <w:pPr>
              <w:spacing w:after="0"/>
              <w:rPr>
                <w:sz w:val="19"/>
                <w:szCs w:val="19"/>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June 28, 2019</w:t>
            </w: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60" w:type="dxa"/>
            <w:vAlign w:val="bottom"/>
          </w:tcPr>
          <w:p>
            <w:pPr>
              <w:spacing w:after="0"/>
              <w:rPr>
                <w:sz w:val="20"/>
                <w:szCs w:val="20"/>
                <w:color w:val="auto"/>
              </w:rPr>
            </w:pPr>
            <w:r>
              <w:rPr>
                <w:rFonts w:ascii="Arial" w:cs="Arial" w:eastAsia="Arial" w:hAnsi="Arial"/>
                <w:sz w:val="18"/>
                <w:szCs w:val="18"/>
                <w:color w:val="auto"/>
              </w:rPr>
              <w:t>May 2, 2019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gridSpan w:val="3"/>
          </w:tcPr>
          <w:p>
            <w:pPr>
              <w:jc w:val="center"/>
              <w:ind w:right="140"/>
              <w:spacing w:after="0"/>
              <w:rPr>
                <w:sz w:val="20"/>
                <w:szCs w:val="20"/>
                <w:color w:val="auto"/>
              </w:rPr>
            </w:pPr>
            <w:r>
              <w:rPr>
                <w:rFonts w:ascii="Arial" w:cs="Arial" w:eastAsia="Arial" w:hAnsi="Arial"/>
                <w:sz w:val="18"/>
                <w:szCs w:val="18"/>
                <w:color w:val="auto"/>
                <w:w w:val="87"/>
              </w:rPr>
              <w:t>Base</w:t>
            </w:r>
          </w:p>
        </w:tc>
        <w:tc>
          <w:tcPr>
            <w:tcW w:w="20" w:type="dxa"/>
            <w:vAlign w:val="bottom"/>
          </w:tcPr>
          <w:p>
            <w:pPr>
              <w:spacing w:after="0"/>
              <w:rPr>
                <w:sz w:val="19"/>
                <w:szCs w:val="19"/>
                <w:color w:val="auto"/>
              </w:rPr>
            </w:pPr>
          </w:p>
        </w:tc>
        <w:tc>
          <w:tcPr>
            <w:tcW w:w="1820" w:type="dxa"/>
            <w:vAlign w:val="bottom"/>
            <w:gridSpan w:val="3"/>
          </w:tcPr>
          <w:p>
            <w:pPr>
              <w:jc w:val="right"/>
              <w:ind w:right="100"/>
              <w:spacing w:after="0"/>
              <w:rPr>
                <w:sz w:val="20"/>
                <w:szCs w:val="20"/>
                <w:color w:val="auto"/>
              </w:rPr>
            </w:pPr>
            <w:r>
              <w:rPr>
                <w:rFonts w:ascii="Arial" w:cs="Arial" w:eastAsia="Arial" w:hAnsi="Arial"/>
                <w:sz w:val="18"/>
                <w:szCs w:val="18"/>
                <w:color w:val="auto"/>
              </w:rPr>
              <w:t>June 14, 2019</w:t>
            </w:r>
          </w:p>
        </w:tc>
        <w:tc>
          <w:tcPr>
            <w:tcW w:w="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July 15, 2019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0.39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shd w:val="clear" w:color="auto" w:fill="CFF0FC"/>
          </w:tcPr>
          <w:p>
            <w:pPr>
              <w:spacing w:after="0"/>
              <w:rPr>
                <w:sz w:val="20"/>
                <w:szCs w:val="20"/>
                <w:color w:val="auto"/>
              </w:rPr>
            </w:pPr>
            <w:r>
              <w:rPr>
                <w:rFonts w:ascii="Arial" w:cs="Arial" w:eastAsia="Arial" w:hAnsi="Arial"/>
                <w:sz w:val="18"/>
                <w:szCs w:val="18"/>
                <w:color w:val="auto"/>
              </w:rPr>
              <w:t>July 31, 2019</w:t>
            </w:r>
          </w:p>
        </w:tc>
        <w:tc>
          <w:tcPr>
            <w:tcW w:w="300" w:type="dxa"/>
            <w:vAlign w:val="bottom"/>
            <w:shd w:val="clear" w:color="auto" w:fill="CFF0FC"/>
          </w:tcPr>
          <w:p>
            <w:pPr>
              <w:spacing w:after="0"/>
              <w:rPr>
                <w:sz w:val="19"/>
                <w:szCs w:val="19"/>
                <w:color w:val="auto"/>
              </w:rPr>
            </w:pPr>
          </w:p>
        </w:tc>
        <w:tc>
          <w:tcPr>
            <w:tcW w:w="1120" w:type="dxa"/>
            <w:vAlign w:val="bottom"/>
            <w:gridSpan w:val="4"/>
            <w:shd w:val="clear" w:color="auto" w:fill="CFF0FC"/>
          </w:tcPr>
          <w:p>
            <w:pPr>
              <w:jc w:val="center"/>
              <w:ind w:right="120"/>
              <w:spacing w:after="0"/>
              <w:rPr>
                <w:sz w:val="20"/>
                <w:szCs w:val="20"/>
                <w:color w:val="auto"/>
              </w:rPr>
            </w:pPr>
            <w:r>
              <w:rPr>
                <w:rFonts w:ascii="Arial" w:cs="Arial" w:eastAsia="Arial" w:hAnsi="Arial"/>
                <w:sz w:val="18"/>
                <w:szCs w:val="18"/>
                <w:color w:val="auto"/>
                <w:w w:val="90"/>
              </w:rPr>
              <w:t>Supplemental</w:t>
            </w:r>
          </w:p>
        </w:tc>
        <w:tc>
          <w:tcPr>
            <w:tcW w:w="20" w:type="dxa"/>
            <w:vAlign w:val="bottom"/>
            <w:shd w:val="clear" w:color="auto" w:fill="CFF0FC"/>
          </w:tcPr>
          <w:p>
            <w:pPr>
              <w:spacing w:after="0"/>
              <w:rPr>
                <w:sz w:val="19"/>
                <w:szCs w:val="19"/>
                <w:color w:val="auto"/>
              </w:rPr>
            </w:pPr>
          </w:p>
        </w:tc>
        <w:tc>
          <w:tcPr>
            <w:tcW w:w="182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August 30, 2019</w:t>
            </w:r>
          </w:p>
        </w:tc>
        <w:tc>
          <w:tcPr>
            <w:tcW w:w="20" w:type="dxa"/>
            <w:vAlign w:val="bottom"/>
            <w:shd w:val="clear" w:color="auto" w:fill="CFF0FC"/>
          </w:tcPr>
          <w:p>
            <w:pPr>
              <w:spacing w:after="0"/>
              <w:rPr>
                <w:sz w:val="19"/>
                <w:szCs w:val="19"/>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September 30, 2019</w:t>
            </w: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July 31, 2019</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100" w:type="dxa"/>
            <w:vAlign w:val="bottom"/>
            <w:tcBorders>
              <w:bottom w:val="single" w:sz="8" w:color="CFF0FC"/>
            </w:tcBorders>
            <w:gridSpan w:val="3"/>
          </w:tcPr>
          <w:p>
            <w:pPr>
              <w:jc w:val="center"/>
              <w:ind w:right="140"/>
              <w:spacing w:after="0"/>
              <w:rPr>
                <w:sz w:val="20"/>
                <w:szCs w:val="20"/>
                <w:color w:val="auto"/>
              </w:rPr>
            </w:pPr>
            <w:r>
              <w:rPr>
                <w:rFonts w:ascii="Arial" w:cs="Arial" w:eastAsia="Arial" w:hAnsi="Arial"/>
                <w:sz w:val="18"/>
                <w:szCs w:val="18"/>
                <w:color w:val="auto"/>
                <w:w w:val="87"/>
              </w:rPr>
              <w:t>Base</w:t>
            </w:r>
          </w:p>
        </w:tc>
        <w:tc>
          <w:tcPr>
            <w:tcW w:w="20" w:type="dxa"/>
            <w:vAlign w:val="bottom"/>
            <w:tcBorders>
              <w:bottom w:val="single" w:sz="8" w:color="CFF0FC"/>
            </w:tcBorders>
          </w:tcPr>
          <w:p>
            <w:pPr>
              <w:spacing w:after="0"/>
              <w:rPr>
                <w:sz w:val="19"/>
                <w:szCs w:val="19"/>
                <w:color w:val="auto"/>
              </w:rPr>
            </w:pPr>
          </w:p>
        </w:tc>
        <w:tc>
          <w:tcPr>
            <w:tcW w:w="1820" w:type="dxa"/>
            <w:vAlign w:val="bottom"/>
            <w:tcBorders>
              <w:bottom w:val="single" w:sz="8" w:color="CFF0FC"/>
            </w:tcBorders>
            <w:gridSpan w:val="3"/>
          </w:tcPr>
          <w:p>
            <w:pPr>
              <w:jc w:val="right"/>
              <w:ind w:right="100"/>
              <w:spacing w:after="0"/>
              <w:rPr>
                <w:sz w:val="20"/>
                <w:szCs w:val="20"/>
                <w:color w:val="auto"/>
              </w:rPr>
            </w:pPr>
            <w:r>
              <w:rPr>
                <w:rFonts w:ascii="Arial" w:cs="Arial" w:eastAsia="Arial" w:hAnsi="Arial"/>
                <w:sz w:val="18"/>
                <w:szCs w:val="18"/>
                <w:color w:val="auto"/>
              </w:rPr>
              <w:t>September 13, 2019</w:t>
            </w:r>
          </w:p>
        </w:tc>
        <w:tc>
          <w:tcPr>
            <w:tcW w:w="20" w:type="dxa"/>
            <w:vAlign w:val="bottom"/>
            <w:tcBorders>
              <w:bottom w:val="single" w:sz="8" w:color="CFF0FC"/>
            </w:tcBorders>
          </w:tcPr>
          <w:p>
            <w:pPr>
              <w:spacing w:after="0"/>
              <w:rPr>
                <w:sz w:val="19"/>
                <w:szCs w:val="19"/>
                <w:color w:val="auto"/>
              </w:rPr>
            </w:pPr>
          </w:p>
        </w:tc>
        <w:tc>
          <w:tcPr>
            <w:tcW w:w="18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October 15, 2019</w:t>
            </w:r>
          </w:p>
        </w:tc>
        <w:tc>
          <w:tcPr>
            <w:tcW w:w="10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Dividends Declared</w:t>
            </w:r>
          </w:p>
        </w:tc>
        <w:tc>
          <w:tcPr>
            <w:tcW w:w="3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7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8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255"/>
        <w:spacing w:after="0" w:line="277" w:lineRule="auto"/>
        <w:rPr>
          <w:sz w:val="20"/>
          <w:szCs w:val="20"/>
          <w:color w:val="auto"/>
        </w:rPr>
      </w:pPr>
      <w:r>
        <w:rPr>
          <w:rFonts w:ascii="Arial" w:cs="Arial" w:eastAsia="Arial" w:hAnsi="Arial"/>
          <w:sz w:val="18"/>
          <w:szCs w:val="18"/>
          <w:color w:val="auto"/>
        </w:rPr>
        <w:t>The dividends declared during the three and nine months ended September 30, 2020 and 2019 were derived from net investment income, determined on a tax basis.</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12. Financial Highlights</w:t>
      </w:r>
    </w:p>
    <w:p>
      <w:pPr>
        <w:spacing w:after="0" w:line="121" w:lineRule="exact"/>
        <w:rPr>
          <w:sz w:val="20"/>
          <w:szCs w:val="20"/>
          <w:color w:val="auto"/>
        </w:rPr>
      </w:pPr>
    </w:p>
    <w:p>
      <w:pPr>
        <w:ind w:right="240" w:firstLine="255"/>
        <w:spacing w:after="0" w:line="308" w:lineRule="auto"/>
        <w:rPr>
          <w:sz w:val="20"/>
          <w:szCs w:val="20"/>
          <w:color w:val="auto"/>
        </w:rPr>
      </w:pPr>
      <w:r>
        <w:rPr>
          <w:rFonts w:ascii="Arial" w:cs="Arial" w:eastAsia="Arial" w:hAnsi="Arial"/>
          <w:sz w:val="17"/>
          <w:szCs w:val="17"/>
          <w:color w:val="auto"/>
        </w:rPr>
        <w:t>The following per share data and ratios have been derived from information provided in the consolidated financial statements. The following are the financial highlights for one share of common stock outstanding during the nine months ended September 30, 2020 and 2019.</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September 30, 2020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September 30, 2019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 xml:space="preserve">Per Share Data </w:t>
            </w:r>
            <w:r>
              <w:rPr>
                <w:rFonts w:ascii="Arial" w:cs="Arial" w:eastAsia="Arial" w:hAnsi="Arial"/>
                <w:sz w:val="15"/>
                <w:szCs w:val="15"/>
                <w:b w:val="1"/>
                <w:bCs w:val="1"/>
                <w:color w:val="auto"/>
              </w:rPr>
              <w:t>(6)</w:t>
            </w:r>
          </w:p>
        </w:tc>
        <w:tc>
          <w:tcPr>
            <w:tcW w:w="9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7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7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11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16.83</w:t>
            </w:r>
          </w:p>
        </w:tc>
        <w:tc>
          <w:tcPr>
            <w:tcW w:w="300" w:type="dxa"/>
            <w:vAlign w:val="bottom"/>
          </w:tcPr>
          <w:p>
            <w:pPr>
              <w:spacing w:after="0"/>
              <w:rPr>
                <w:sz w:val="19"/>
                <w:szCs w:val="19"/>
                <w:color w:val="auto"/>
              </w:rPr>
            </w:pP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16.25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36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 xml:space="preserve">Net investment income </w:t>
            </w:r>
            <w:r>
              <w:rPr>
                <w:rFonts w:ascii="Arial" w:cs="Arial" w:eastAsia="Arial" w:hAnsi="Arial"/>
                <w:sz w:val="15"/>
                <w:szCs w:val="15"/>
                <w:color w:val="auto"/>
              </w:rPr>
              <w:t>(1)</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1.70</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1.43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Net realized and unrealized gain </w:t>
            </w:r>
            <w:r>
              <w:rPr>
                <w:rFonts w:ascii="Arial" w:cs="Arial" w:eastAsia="Arial" w:hAnsi="Arial"/>
                <w:sz w:val="15"/>
                <w:szCs w:val="15"/>
                <w:color w:val="auto"/>
              </w:rPr>
              <w:t>(1)</w:t>
            </w:r>
          </w:p>
        </w:tc>
        <w:tc>
          <w:tcPr>
            <w:tcW w:w="9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0.15</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Pr>
          <w:p>
            <w:pPr>
              <w:ind w:left="220"/>
              <w:spacing w:after="0"/>
              <w:rPr>
                <w:sz w:val="20"/>
                <w:szCs w:val="20"/>
                <w:color w:val="auto"/>
              </w:rPr>
            </w:pPr>
            <w:r>
              <w:rPr>
                <w:rFonts w:ascii="Arial" w:cs="Arial" w:eastAsia="Arial" w:hAnsi="Arial"/>
                <w:sz w:val="18"/>
                <w:szCs w:val="18"/>
                <w:color w:val="auto"/>
              </w:rPr>
              <w:t>Total from operations</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1.86</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1.77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stock, net of</w:t>
            </w: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 xml:space="preserve">offering costs </w:t>
            </w:r>
            <w:r>
              <w:rPr>
                <w:rFonts w:ascii="Arial" w:cs="Arial" w:eastAsia="Arial" w:hAnsi="Arial"/>
                <w:sz w:val="15"/>
                <w:szCs w:val="15"/>
                <w:color w:val="auto"/>
              </w:rPr>
              <w:t>(2)</w:t>
            </w:r>
          </w:p>
        </w:tc>
        <w:tc>
          <w:tcPr>
            <w:tcW w:w="9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3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0.03</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 xml:space="preserve">Repurchase of common stock </w:t>
            </w:r>
            <w:r>
              <w:rPr>
                <w:rFonts w:ascii="Arial" w:cs="Arial" w:eastAsia="Arial" w:hAnsi="Arial"/>
                <w:sz w:val="15"/>
                <w:szCs w:val="15"/>
                <w:color w:val="auto"/>
              </w:rPr>
              <w:t>(2)</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0.01</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Repurchase of debt </w:t>
            </w:r>
            <w:r>
              <w:rPr>
                <w:rFonts w:ascii="Arial" w:cs="Arial" w:eastAsia="Arial" w:hAnsi="Arial"/>
                <w:sz w:val="15"/>
                <w:szCs w:val="15"/>
                <w:color w:val="auto"/>
              </w:rPr>
              <w:t>(2)</w:t>
            </w: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Dividends declared from net</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tcPr>
          <w:p>
            <w:pPr>
              <w:ind w:left="120"/>
              <w:spacing w:after="0"/>
              <w:rPr>
                <w:sz w:val="20"/>
                <w:szCs w:val="20"/>
                <w:color w:val="auto"/>
              </w:rPr>
            </w:pPr>
            <w:r>
              <w:rPr>
                <w:rFonts w:ascii="Arial" w:cs="Arial" w:eastAsia="Arial" w:hAnsi="Arial"/>
                <w:sz w:val="18"/>
                <w:szCs w:val="18"/>
                <w:color w:val="auto"/>
              </w:rPr>
              <w:t xml:space="preserve">investment income </w:t>
            </w:r>
            <w:r>
              <w:rPr>
                <w:rFonts w:ascii="Arial" w:cs="Arial" w:eastAsia="Arial" w:hAnsi="Arial"/>
                <w:sz w:val="15"/>
                <w:szCs w:val="15"/>
                <w:color w:val="auto"/>
              </w:rPr>
              <w:t>(2)</w:t>
            </w: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gridSpan w:val="2"/>
          </w:tcPr>
          <w:p>
            <w:pPr>
              <w:jc w:val="right"/>
              <w:ind w:right="260"/>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80" w:type="dxa"/>
            <w:vAlign w:val="bottom"/>
            <w:gridSpan w:val="2"/>
          </w:tcPr>
          <w:p>
            <w:pPr>
              <w:jc w:val="right"/>
              <w:ind w:right="12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increase in net</w:t>
            </w:r>
          </w:p>
        </w:tc>
        <w:tc>
          <w:tcPr>
            <w:tcW w:w="9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7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7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assets</w:t>
            </w:r>
          </w:p>
        </w:tc>
        <w:tc>
          <w:tcPr>
            <w:tcW w:w="92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0.04</w:t>
            </w:r>
          </w:p>
        </w:tc>
        <w:tc>
          <w:tcPr>
            <w:tcW w:w="3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0.46</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Net Asset Value, End of Period</w:t>
            </w:r>
          </w:p>
        </w:tc>
        <w:tc>
          <w:tcPr>
            <w:tcW w:w="92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16.87</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16.72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Per share market value at end of</w:t>
            </w:r>
          </w:p>
        </w:tc>
        <w:tc>
          <w:tcPr>
            <w:tcW w:w="9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7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7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period</w:t>
            </w:r>
          </w:p>
        </w:tc>
        <w:tc>
          <w:tcPr>
            <w:tcW w:w="112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17.21</w:t>
            </w:r>
          </w:p>
        </w:tc>
        <w:tc>
          <w:tcPr>
            <w:tcW w:w="300" w:type="dxa"/>
            <w:vAlign w:val="bottom"/>
            <w:shd w:val="clear" w:color="auto" w:fill="CFF0FC"/>
          </w:tcPr>
          <w:p>
            <w:pPr>
              <w:spacing w:after="0"/>
              <w:rPr>
                <w:sz w:val="20"/>
                <w:szCs w:val="20"/>
                <w:color w:val="auto"/>
              </w:rPr>
            </w:pPr>
          </w:p>
        </w:tc>
        <w:tc>
          <w:tcPr>
            <w:tcW w:w="3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20.98</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 xml:space="preserve">Total return based on market value </w:t>
            </w:r>
            <w:r>
              <w:rPr>
                <w:rFonts w:ascii="Arial" w:cs="Arial" w:eastAsia="Arial" w:hAnsi="Arial"/>
                <w:sz w:val="15"/>
                <w:szCs w:val="15"/>
                <w:color w:val="auto"/>
              </w:rPr>
              <w:t>(3)</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gridSpan w:val="2"/>
          </w:tcPr>
          <w:p>
            <w:pPr>
              <w:jc w:val="right"/>
              <w:ind w:right="100"/>
              <w:spacing w:after="0"/>
              <w:rPr>
                <w:sz w:val="20"/>
                <w:szCs w:val="20"/>
                <w:color w:val="auto"/>
              </w:rPr>
            </w:pPr>
            <w:r>
              <w:rPr>
                <w:rFonts w:ascii="Arial" w:cs="Arial" w:eastAsia="Arial" w:hAnsi="Arial"/>
                <w:sz w:val="18"/>
                <w:szCs w:val="18"/>
                <w:color w:val="auto"/>
              </w:rPr>
              <w:t>(11.50)%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gridSpan w:val="2"/>
          </w:tcPr>
          <w:p>
            <w:pPr>
              <w:jc w:val="right"/>
              <w:ind w:right="40"/>
              <w:spacing w:after="0"/>
              <w:rPr>
                <w:sz w:val="20"/>
                <w:szCs w:val="20"/>
                <w:color w:val="auto"/>
              </w:rPr>
            </w:pPr>
            <w:r>
              <w:rPr>
                <w:rFonts w:ascii="Arial" w:cs="Arial" w:eastAsia="Arial" w:hAnsi="Arial"/>
                <w:sz w:val="18"/>
                <w:szCs w:val="18"/>
                <w:color w:val="auto"/>
              </w:rPr>
              <w:t>23.38%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Total return based on net asset</w:t>
            </w: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 xml:space="preserve">value </w:t>
            </w:r>
            <w:r>
              <w:rPr>
                <w:rFonts w:ascii="Arial" w:cs="Arial" w:eastAsia="Arial" w:hAnsi="Arial"/>
                <w:sz w:val="15"/>
                <w:szCs w:val="15"/>
                <w:color w:val="auto"/>
              </w:rPr>
              <w:t>(4)</w:t>
            </w:r>
          </w:p>
        </w:tc>
        <w:tc>
          <w:tcPr>
            <w:tcW w:w="9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10.87%</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11.14%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Shares Outstanding, End of Period</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67,628,140</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66,293,373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 xml:space="preserve">Ratios / Supplemental Data </w:t>
            </w:r>
            <w:r>
              <w:rPr>
                <w:rFonts w:ascii="Arial" w:cs="Arial" w:eastAsia="Arial" w:hAnsi="Arial"/>
                <w:sz w:val="15"/>
                <w:szCs w:val="15"/>
                <w:b w:val="1"/>
                <w:bCs w:val="1"/>
                <w:color w:val="auto"/>
              </w:rPr>
              <w:t>(5)</w:t>
            </w: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Ratio of net expenses to average</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tcPr>
          <w:p>
            <w:pPr>
              <w:ind w:left="120"/>
              <w:spacing w:after="0"/>
              <w:rPr>
                <w:sz w:val="20"/>
                <w:szCs w:val="20"/>
                <w:color w:val="auto"/>
              </w:rPr>
            </w:pPr>
            <w:r>
              <w:rPr>
                <w:rFonts w:ascii="Arial" w:cs="Arial" w:eastAsia="Arial" w:hAnsi="Arial"/>
                <w:sz w:val="18"/>
                <w:szCs w:val="18"/>
                <w:color w:val="auto"/>
              </w:rPr>
              <w:t>net assets</w:t>
            </w: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gridSpan w:val="2"/>
          </w:tcPr>
          <w:p>
            <w:pPr>
              <w:jc w:val="right"/>
              <w:ind w:right="160"/>
              <w:spacing w:after="0"/>
              <w:rPr>
                <w:sz w:val="20"/>
                <w:szCs w:val="20"/>
                <w:color w:val="auto"/>
              </w:rPr>
            </w:pPr>
            <w:r>
              <w:rPr>
                <w:rFonts w:ascii="Arial" w:cs="Arial" w:eastAsia="Arial" w:hAnsi="Arial"/>
                <w:sz w:val="18"/>
                <w:szCs w:val="18"/>
                <w:color w:val="auto"/>
              </w:rPr>
              <w:t>11.40%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80" w:type="dxa"/>
            <w:vAlign w:val="bottom"/>
            <w:gridSpan w:val="2"/>
          </w:tcPr>
          <w:p>
            <w:pPr>
              <w:jc w:val="right"/>
              <w:ind w:right="40"/>
              <w:spacing w:after="0"/>
              <w:rPr>
                <w:sz w:val="20"/>
                <w:szCs w:val="20"/>
                <w:color w:val="auto"/>
              </w:rPr>
            </w:pPr>
            <w:r>
              <w:rPr>
                <w:rFonts w:ascii="Arial" w:cs="Arial" w:eastAsia="Arial" w:hAnsi="Arial"/>
                <w:sz w:val="18"/>
                <w:szCs w:val="18"/>
                <w:color w:val="auto"/>
              </w:rPr>
              <w:t>11.10%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Ratio of net investment income</w:t>
            </w: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 average net assets</w:t>
            </w:r>
          </w:p>
        </w:tc>
        <w:tc>
          <w:tcPr>
            <w:tcW w:w="9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13.91%</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Portfolio turnover</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gridSpan w:val="2"/>
          </w:tcPr>
          <w:p>
            <w:pPr>
              <w:jc w:val="right"/>
              <w:ind w:right="160"/>
              <w:spacing w:after="0"/>
              <w:rPr>
                <w:sz w:val="20"/>
                <w:szCs w:val="20"/>
                <w:color w:val="auto"/>
              </w:rPr>
            </w:pPr>
            <w:r>
              <w:rPr>
                <w:rFonts w:ascii="Arial" w:cs="Arial" w:eastAsia="Arial" w:hAnsi="Arial"/>
                <w:sz w:val="18"/>
                <w:szCs w:val="18"/>
                <w:color w:val="auto"/>
              </w:rPr>
              <w:t>28.67%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gridSpan w:val="2"/>
          </w:tcPr>
          <w:p>
            <w:pPr>
              <w:jc w:val="right"/>
              <w:ind w:right="40"/>
              <w:spacing w:after="0"/>
              <w:rPr>
                <w:sz w:val="20"/>
                <w:szCs w:val="20"/>
                <w:color w:val="auto"/>
              </w:rPr>
            </w:pPr>
            <w:r>
              <w:rPr>
                <w:rFonts w:ascii="Arial" w:cs="Arial" w:eastAsia="Arial" w:hAnsi="Arial"/>
                <w:sz w:val="18"/>
                <w:szCs w:val="18"/>
                <w:color w:val="auto"/>
              </w:rPr>
              <w:t>34.44%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Net assets, end of period</w:t>
            </w:r>
          </w:p>
        </w:tc>
        <w:tc>
          <w:tcPr>
            <w:tcW w:w="112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1,141,220</w:t>
            </w:r>
          </w:p>
        </w:tc>
        <w:tc>
          <w:tcPr>
            <w:tcW w:w="30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1,108,258</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00" w:hanging="49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per share data was derived by using the weighted average shares outstanding during the period.</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per share data was derived by using the actual shares outstanding at the date of the relevant transactions.</w:t>
      </w:r>
    </w:p>
    <w:p>
      <w:pPr>
        <w:spacing w:after="0" w:line="9" w:lineRule="exact"/>
        <w:rPr>
          <w:rFonts w:ascii="Arial" w:cs="Arial" w:eastAsia="Arial" w:hAnsi="Arial"/>
          <w:sz w:val="18"/>
          <w:szCs w:val="18"/>
          <w:color w:val="auto"/>
        </w:rPr>
      </w:pPr>
    </w:p>
    <w:p>
      <w:pPr>
        <w:ind w:left="500" w:hanging="492"/>
        <w:spacing w:after="0" w:line="250"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Total return based on market value is calculated as the change in market value per share during the period plus declared dividends per share, divided by the beginning market value per share.</w:t>
      </w:r>
    </w:p>
    <w:p>
      <w:pPr>
        <w:ind w:left="500" w:right="360" w:hanging="492"/>
        <w:spacing w:after="0" w:line="250"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Total return based on net asset value is calculated as the change in net asset value per share during the period plus declared dividends per share, divided by the beginning net asset value per share.</w:t>
      </w:r>
    </w:p>
    <w:p>
      <w:pPr>
        <w:ind w:left="500" w:hanging="49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ratios reflect an annualized amount.</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Table may not sum due to rounding.</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121" w:lineRule="exact"/>
        <w:rPr>
          <w:sz w:val="20"/>
          <w:szCs w:val="20"/>
          <w:color w:val="auto"/>
        </w:rPr>
      </w:pPr>
    </w:p>
    <w:p>
      <w:pPr>
        <w:ind w:right="280" w:firstLine="255"/>
        <w:spacing w:after="0" w:line="286" w:lineRule="auto"/>
        <w:rPr>
          <w:sz w:val="20"/>
          <w:szCs w:val="20"/>
          <w:color w:val="auto"/>
        </w:rPr>
      </w:pPr>
      <w:r>
        <w:rPr>
          <w:rFonts w:ascii="Arial" w:cs="Arial" w:eastAsia="Arial" w:hAnsi="Arial"/>
          <w:sz w:val="17"/>
          <w:szCs w:val="17"/>
          <w:color w:val="auto"/>
        </w:rPr>
        <w:t>The Company’s management has evaluated subsequent events through the date of issuance of the consolidated financial statements included herein. There have been no subsequent events that occurred during such period that would require disclosure in this Form 10-Q or would be required to be recognized in the consolidated financial statements as of and for the three and nine months ended September 30, 2020.</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486" w:right="39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180" w:firstLine="255"/>
        <w:spacing w:after="0" w:line="263" w:lineRule="auto"/>
        <w:rPr>
          <w:sz w:val="20"/>
          <w:szCs w:val="20"/>
          <w:color w:val="auto"/>
        </w:rPr>
      </w:pPr>
      <w:r>
        <w:rPr>
          <w:rFonts w:ascii="Arial" w:cs="Arial" w:eastAsia="Arial" w:hAnsi="Arial"/>
          <w:sz w:val="18"/>
          <w:szCs w:val="18"/>
          <w:i w:val="1"/>
          <w:iCs w:val="1"/>
          <w:color w:val="auto"/>
        </w:rPr>
        <w:t>The information contained in this section should be read in conjunction with the consolidated financial statements and notes thereto appearing elsewhere in this report. This discussion also should be read in conjunction with the “Cautionary Statement Regarding Forward Looking Statements” set forth on page 3 of this Quarterly Report on Form 10-Q.</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255"/>
        <w:spacing w:after="0" w:line="255" w:lineRule="auto"/>
        <w:rPr>
          <w:sz w:val="20"/>
          <w:szCs w:val="20"/>
          <w:color w:val="auto"/>
        </w:rPr>
      </w:pPr>
      <w:r>
        <w:rPr>
          <w:rFonts w:ascii="Arial" w:cs="Arial" w:eastAsia="Arial" w:hAnsi="Arial"/>
          <w:sz w:val="18"/>
          <w:szCs w:val="18"/>
          <w:color w:val="auto"/>
        </w:rPr>
        <w:t>Sixth Street Specialty Lending, Inc. (formerly known as TPG Specialty Lending, Inc.) is a Delaware corporation formed on July 21, 2010. Effective June 15, 2020, we changed our name from TPG Specialty Lending, Inc. to Sixth Street Specialty Lending, Inc. The Adviser is our external manager. We have three wholly owned subsidiaries, TC Lending, LLC, a Delaware limited liability company, which holds a California finance lender and broker license, Sixth Street SL SPV, LLC (formerly known as TPG SL SPV, LLC), a Delaware limited liability company, in which we hold assets that were previously used to support our asset-backed credit facility, and Sixth Street SL Holding, LLC (formerly known as TSL MR, LLC), a Delaware limited liability company, in which we hold certain investments.</w:t>
      </w:r>
    </w:p>
    <w:p>
      <w:pPr>
        <w:spacing w:after="0" w:line="192" w:lineRule="exact"/>
        <w:rPr>
          <w:sz w:val="20"/>
          <w:szCs w:val="20"/>
          <w:color w:val="auto"/>
        </w:rPr>
      </w:pPr>
    </w:p>
    <w:p>
      <w:pPr>
        <w:ind w:right="100" w:firstLine="255"/>
        <w:spacing w:after="0" w:line="277" w:lineRule="auto"/>
        <w:rPr>
          <w:sz w:val="20"/>
          <w:szCs w:val="20"/>
          <w:color w:val="auto"/>
        </w:rPr>
      </w:pPr>
      <w:r>
        <w:rPr>
          <w:rFonts w:ascii="Arial" w:cs="Arial" w:eastAsia="Arial" w:hAnsi="Arial"/>
          <w:sz w:val="18"/>
          <w:szCs w:val="18"/>
          <w:color w:val="auto"/>
        </w:rPr>
        <w:t>We have elected to be regulated as a BDC under the 1940 Act and as a RIC under the Code. We made our BDC election on April 15, 2011. As a result, we are required to comply with various statutory and regulatory requirements, such as:</w:t>
      </w:r>
    </w:p>
    <w:p>
      <w:pPr>
        <w:spacing w:after="0" w:line="62" w:lineRule="exact"/>
        <w:rPr>
          <w:sz w:val="20"/>
          <w:szCs w:val="20"/>
          <w:color w:val="auto"/>
        </w:rPr>
      </w:pPr>
    </w:p>
    <w:p>
      <w:pPr>
        <w:ind w:left="500" w:hanging="249"/>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requirement to invest at least 70% of our assets in “qualifying assets”;</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source of income limitations;</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asset diversification requirements; and</w:t>
      </w:r>
    </w:p>
    <w:p>
      <w:pPr>
        <w:spacing w:after="0" w:line="117" w:lineRule="exact"/>
        <w:rPr>
          <w:rFonts w:ascii="Arial" w:cs="Arial" w:eastAsia="Arial" w:hAnsi="Arial"/>
          <w:sz w:val="18"/>
          <w:szCs w:val="18"/>
          <w:color w:val="auto"/>
        </w:rPr>
      </w:pPr>
    </w:p>
    <w:p>
      <w:pPr>
        <w:ind w:left="500" w:right="360" w:hanging="249"/>
        <w:spacing w:after="0" w:line="277"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requirement to distribute (or be treated as distributing) in each taxable year at least 90% of our investment company taxable income and tax-exempt interest for that taxable year.</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shares are currently listed on the NYSE under the symbol “TSLX.”</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Framework</w:t>
      </w:r>
    </w:p>
    <w:p>
      <w:pPr>
        <w:spacing w:after="0" w:line="121" w:lineRule="exact"/>
        <w:rPr>
          <w:sz w:val="20"/>
          <w:szCs w:val="20"/>
          <w:color w:val="auto"/>
        </w:rPr>
      </w:pPr>
    </w:p>
    <w:p>
      <w:pPr>
        <w:ind w:right="80" w:firstLine="255"/>
        <w:spacing w:after="0" w:line="275" w:lineRule="auto"/>
        <w:rPr>
          <w:sz w:val="20"/>
          <w:szCs w:val="20"/>
          <w:color w:val="auto"/>
        </w:rPr>
      </w:pPr>
      <w:r>
        <w:rPr>
          <w:rFonts w:ascii="Arial" w:cs="Arial" w:eastAsia="Arial" w:hAnsi="Arial"/>
          <w:sz w:val="17"/>
          <w:szCs w:val="17"/>
          <w:color w:val="auto"/>
        </w:rPr>
        <w:t>We are a specialty finance company focused on lending to middle-market companies. Since we began our investment activities in July 2011, through September 30, 2020, we have originated more than $14.6 billion aggregate principal amount of investments and retained approximately $6.8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and unsecured loans and investments in corporate bonds and equity securities.</w:t>
      </w:r>
    </w:p>
    <w:p>
      <w:pPr>
        <w:spacing w:after="0" w:line="176" w:lineRule="exact"/>
        <w:rPr>
          <w:sz w:val="20"/>
          <w:szCs w:val="20"/>
          <w:color w:val="auto"/>
        </w:rPr>
      </w:pPr>
    </w:p>
    <w:p>
      <w:pPr>
        <w:ind w:right="80" w:firstLine="255"/>
        <w:spacing w:after="0" w:line="259" w:lineRule="auto"/>
        <w:rPr>
          <w:sz w:val="20"/>
          <w:szCs w:val="20"/>
          <w:color w:val="auto"/>
        </w:rPr>
      </w:pPr>
      <w:r>
        <w:rPr>
          <w:rFonts w:ascii="Arial" w:cs="Arial" w:eastAsia="Arial" w:hAnsi="Arial"/>
          <w:sz w:val="18"/>
          <w:szCs w:val="18"/>
          <w:color w:val="auto"/>
        </w:rPr>
        <w:t>By “middle-market companies,” we mean companies that have annual EBITDA, which we believe is a useful proxy for cash flow, of $10 million to $250 million, although we may invest in larger or smaller companies on occasion. As of September 30, 2020, our core portfolio companies, which exclude certain investments that fall outside of our typical borrower profile and represent 82.5% of our total investments based on fair value, had weighted average annual revenue of $116.8 million and weighted average annual EBITDA of $36.0 million.</w:t>
      </w:r>
    </w:p>
    <w:p>
      <w:pPr>
        <w:spacing w:after="0" w:line="187" w:lineRule="exact"/>
        <w:rPr>
          <w:sz w:val="20"/>
          <w:szCs w:val="20"/>
          <w:color w:val="auto"/>
        </w:rPr>
      </w:pPr>
    </w:p>
    <w:p>
      <w:pPr>
        <w:ind w:firstLine="255"/>
        <w:spacing w:after="0" w:line="257" w:lineRule="auto"/>
        <w:rPr>
          <w:sz w:val="20"/>
          <w:szCs w:val="20"/>
          <w:color w:val="auto"/>
        </w:rPr>
      </w:pPr>
      <w:r>
        <w:rPr>
          <w:rFonts w:ascii="Arial" w:cs="Arial" w:eastAsia="Arial" w:hAnsi="Arial"/>
          <w:sz w:val="18"/>
          <w:szCs w:val="18"/>
          <w:color w:val="auto"/>
        </w:rPr>
        <w:t>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88" w:lineRule="exact"/>
        <w:rPr>
          <w:sz w:val="20"/>
          <w:szCs w:val="20"/>
          <w:color w:val="auto"/>
        </w:rPr>
      </w:pPr>
    </w:p>
    <w:p>
      <w:pPr>
        <w:jc w:val="both"/>
        <w:ind w:right="120" w:firstLine="255"/>
        <w:spacing w:after="0" w:line="263" w:lineRule="auto"/>
        <w:rPr>
          <w:sz w:val="20"/>
          <w:szCs w:val="20"/>
          <w:color w:val="auto"/>
        </w:rPr>
      </w:pPr>
      <w:r>
        <w:rPr>
          <w:rFonts w:ascii="Arial" w:cs="Arial" w:eastAsia="Arial" w:hAnsi="Arial"/>
          <w:sz w:val="18"/>
          <w:szCs w:val="18"/>
          <w:color w:val="auto"/>
        </w:rPr>
        <w:t>The debt in which we invest typically is not rated by any rating agency, but if these instruments were rated, they would likely receive a rating of below investment grade (that is, below BBB- or Baa3 as defined by Standard &amp; Poor’s and Moody’s Investors Services, respectively), which is often referred to as “junk.”</w:t>
      </w:r>
    </w:p>
    <w:p>
      <w:pPr>
        <w:spacing w:after="0" w:line="184" w:lineRule="exact"/>
        <w:rPr>
          <w:sz w:val="20"/>
          <w:szCs w:val="20"/>
          <w:color w:val="auto"/>
        </w:rPr>
      </w:pPr>
    </w:p>
    <w:p>
      <w:pPr>
        <w:ind w:right="40" w:firstLine="255"/>
        <w:spacing w:after="0" w:line="342" w:lineRule="auto"/>
        <w:rPr>
          <w:sz w:val="20"/>
          <w:szCs w:val="20"/>
          <w:color w:val="auto"/>
        </w:rPr>
      </w:pPr>
      <w:r>
        <w:rPr>
          <w:rFonts w:ascii="Arial" w:cs="Arial" w:eastAsia="Arial" w:hAnsi="Arial"/>
          <w:sz w:val="16"/>
          <w:szCs w:val="16"/>
          <w:color w:val="auto"/>
        </w:rPr>
        <w:t>The companies in which we invest use our capital to support organic growth, acquisitions, market or product expansion and recapitalizations (including restructurings). As of September 30, 2020, the largest single investment based on fair value represented 3.8% of our total investment portfolio.</w:t>
      </w:r>
    </w:p>
    <w:p>
      <w:pPr>
        <w:spacing w:after="0" w:line="124" w:lineRule="exact"/>
        <w:rPr>
          <w:sz w:val="20"/>
          <w:szCs w:val="20"/>
          <w:color w:val="auto"/>
        </w:rPr>
      </w:pPr>
    </w:p>
    <w:p>
      <w:pPr>
        <w:jc w:val="center"/>
        <w:ind w:right="340"/>
        <w:spacing w:after="0"/>
        <w:rPr>
          <w:sz w:val="20"/>
          <w:szCs w:val="20"/>
          <w:color w:val="auto"/>
        </w:rPr>
      </w:pPr>
      <w:r>
        <w:rPr>
          <w:rFonts w:ascii="Arial" w:cs="Arial" w:eastAsia="Arial" w:hAnsi="Arial"/>
          <w:sz w:val="17"/>
          <w:szCs w:val="17"/>
          <w:color w:val="auto"/>
        </w:rPr>
        <w:t>As of September 30, 2020, the average investment size in each of our portfolio companies was approximately $30.0 million based on fair value.</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7" w:name="page48"/>
    <w:bookmarkEnd w:id="47"/>
    <w:p>
      <w:pPr>
        <w:ind w:left="260"/>
        <w:spacing w:after="0"/>
        <w:rPr>
          <w:sz w:val="20"/>
          <w:szCs w:val="20"/>
          <w:color w:val="auto"/>
        </w:rPr>
      </w:pPr>
      <w:r>
        <w:rPr>
          <w:rFonts w:ascii="Arial" w:cs="Arial" w:eastAsia="Arial" w:hAnsi="Arial"/>
          <w:sz w:val="17"/>
          <w:szCs w:val="17"/>
          <w:color w:val="auto"/>
        </w:rPr>
        <w:t>Through our Adviser, we consider potential investments utilizing a four-tiered investment framework and against our existing portfolio as a whole:</w:t>
      </w:r>
    </w:p>
    <w:p>
      <w:pPr>
        <w:spacing w:after="0" w:line="237" w:lineRule="exact"/>
        <w:rPr>
          <w:sz w:val="20"/>
          <w:szCs w:val="20"/>
          <w:color w:val="auto"/>
        </w:rPr>
      </w:pPr>
    </w:p>
    <w:p>
      <w:pPr>
        <w:ind w:right="20" w:firstLine="255"/>
        <w:spacing w:after="0" w:line="259" w:lineRule="auto"/>
        <w:rPr>
          <w:sz w:val="20"/>
          <w:szCs w:val="20"/>
          <w:color w:val="auto"/>
        </w:rPr>
      </w:pPr>
      <w:r>
        <w:rPr>
          <w:rFonts w:ascii="Arial" w:cs="Arial" w:eastAsia="Arial" w:hAnsi="Arial"/>
          <w:sz w:val="18"/>
          <w:szCs w:val="18"/>
          <w:i w:val="1"/>
          <w:iCs w:val="1"/>
          <w:color w:val="auto"/>
        </w:rPr>
        <w:t xml:space="preserve">Business and sector selection. </w:t>
      </w:r>
      <w:r>
        <w:rPr>
          <w:rFonts w:ascii="Arial" w:cs="Arial" w:eastAsia="Arial" w:hAnsi="Arial"/>
          <w:sz w:val="18"/>
          <w:szCs w:val="18"/>
          <w:color w:val="auto"/>
        </w:rPr>
        <w:t>We focus on companies with enterprise value between $50 million and $1 billion. When reviewing potential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we 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w:t>
      </w:r>
    </w:p>
    <w:p>
      <w:pPr>
        <w:spacing w:after="0" w:line="187" w:lineRule="exact"/>
        <w:rPr>
          <w:sz w:val="20"/>
          <w:szCs w:val="20"/>
          <w:color w:val="auto"/>
        </w:rPr>
      </w:pPr>
    </w:p>
    <w:p>
      <w:pPr>
        <w:ind w:right="60" w:firstLine="255"/>
        <w:spacing w:after="0" w:line="263" w:lineRule="auto"/>
        <w:rPr>
          <w:sz w:val="20"/>
          <w:szCs w:val="20"/>
          <w:color w:val="auto"/>
        </w:rPr>
      </w:pPr>
      <w:r>
        <w:rPr>
          <w:rFonts w:ascii="Arial" w:cs="Arial" w:eastAsia="Arial" w:hAnsi="Arial"/>
          <w:sz w:val="18"/>
          <w:szCs w:val="18"/>
          <w:color w:val="auto"/>
        </w:rPr>
        <w:t>We currently do not limit our focus to any specific industry and we may invest in larger or smaller companies on occasion. We classify the industries of our portfolio companies by end-market (such as healthcare, and business services) and not by the products or services (such as software) directed to those end-markets.</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September 30, 2020, the largest industry represented 22.9% of our total investment portfolio based on fair value.</w:t>
      </w:r>
    </w:p>
    <w:p>
      <w:pPr>
        <w:spacing w:after="0" w:line="225" w:lineRule="exact"/>
        <w:rPr>
          <w:sz w:val="20"/>
          <w:szCs w:val="20"/>
          <w:color w:val="auto"/>
        </w:rPr>
      </w:pPr>
    </w:p>
    <w:p>
      <w:pPr>
        <w:ind w:right="120" w:firstLine="255"/>
        <w:spacing w:after="0" w:line="272" w:lineRule="auto"/>
        <w:rPr>
          <w:sz w:val="20"/>
          <w:szCs w:val="20"/>
          <w:color w:val="auto"/>
        </w:rPr>
      </w:pPr>
      <w:r>
        <w:rPr>
          <w:rFonts w:ascii="Arial" w:cs="Arial" w:eastAsia="Arial" w:hAnsi="Arial"/>
          <w:sz w:val="17"/>
          <w:szCs w:val="17"/>
          <w:i w:val="1"/>
          <w:iCs w:val="1"/>
          <w:color w:val="auto"/>
        </w:rPr>
        <w:t xml:space="preserve">Investment Structuring. </w:t>
      </w:r>
      <w:r>
        <w:rPr>
          <w:rFonts w:ascii="Arial" w:cs="Arial" w:eastAsia="Arial" w:hAnsi="Arial"/>
          <w:sz w:val="17"/>
          <w:szCs w:val="17"/>
          <w:color w:val="auto"/>
        </w:rPr>
        <w:t>We focus on investing at the top of the capital structure and protecting that position. As of September 30, 2020, approximately</w:t>
      </w:r>
      <w:r>
        <w:rPr>
          <w:rFonts w:ascii="Arial" w:cs="Arial" w:eastAsia="Arial" w:hAnsi="Arial"/>
          <w:sz w:val="17"/>
          <w:szCs w:val="17"/>
          <w:i w:val="1"/>
          <w:iCs w:val="1"/>
          <w:color w:val="auto"/>
        </w:rPr>
        <w:t xml:space="preserve"> </w:t>
      </w:r>
      <w:r>
        <w:rPr>
          <w:rFonts w:ascii="Arial" w:cs="Arial" w:eastAsia="Arial" w:hAnsi="Arial"/>
          <w:sz w:val="17"/>
          <w:szCs w:val="17"/>
          <w:color w:val="auto"/>
        </w:rPr>
        <w:t>95.4% of our portfolio was invested in secured debt, including 95.0% in first-lien debt investments. We carefully perform diligence and 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six years after origination. For the three months ended September 30, 2020, the weighted average term on new investment commitments in new portfolio companies was 3.8 years.</w:t>
      </w:r>
    </w:p>
    <w:p>
      <w:pPr>
        <w:spacing w:after="0" w:line="177" w:lineRule="exact"/>
        <w:rPr>
          <w:sz w:val="20"/>
          <w:szCs w:val="20"/>
          <w:color w:val="auto"/>
        </w:rPr>
      </w:pPr>
    </w:p>
    <w:p>
      <w:pPr>
        <w:ind w:right="160" w:firstLine="255"/>
        <w:spacing w:after="0" w:line="277" w:lineRule="auto"/>
        <w:rPr>
          <w:sz w:val="20"/>
          <w:szCs w:val="20"/>
          <w:color w:val="auto"/>
        </w:rPr>
      </w:pPr>
      <w:r>
        <w:rPr>
          <w:rFonts w:ascii="Arial" w:cs="Arial" w:eastAsia="Arial" w:hAnsi="Arial"/>
          <w:sz w:val="18"/>
          <w:szCs w:val="18"/>
          <w:i w:val="1"/>
          <w:iCs w:val="1"/>
          <w:color w:val="auto"/>
        </w:rPr>
        <w:t xml:space="preserve">Deal Dynamics. </w:t>
      </w:r>
      <w:r>
        <w:rPr>
          <w:rFonts w:ascii="Arial" w:cs="Arial" w:eastAsia="Arial" w:hAnsi="Arial"/>
          <w:sz w:val="18"/>
          <w:szCs w:val="18"/>
          <w:color w:val="auto"/>
        </w:rPr>
        <w:t>We focus on, among other deal dynamics, direct origination of investments, where we identify and lead the investment transaction. A</w:t>
      </w:r>
      <w:r>
        <w:rPr>
          <w:rFonts w:ascii="Arial" w:cs="Arial" w:eastAsia="Arial" w:hAnsi="Arial"/>
          <w:sz w:val="18"/>
          <w:szCs w:val="18"/>
          <w:i w:val="1"/>
          <w:iCs w:val="1"/>
          <w:color w:val="auto"/>
        </w:rPr>
        <w:t xml:space="preserve"> </w:t>
      </w:r>
      <w:r>
        <w:rPr>
          <w:rFonts w:ascii="Arial" w:cs="Arial" w:eastAsia="Arial" w:hAnsi="Arial"/>
          <w:sz w:val="18"/>
          <w:szCs w:val="18"/>
          <w:color w:val="auto"/>
        </w:rPr>
        <w:t>substantial majority of our portfolio investments are sourced through our direct or proprietary relationships.</w:t>
      </w:r>
    </w:p>
    <w:p>
      <w:pPr>
        <w:spacing w:after="0" w:line="170" w:lineRule="exact"/>
        <w:rPr>
          <w:sz w:val="20"/>
          <w:szCs w:val="20"/>
          <w:color w:val="auto"/>
        </w:rPr>
      </w:pPr>
    </w:p>
    <w:p>
      <w:pPr>
        <w:ind w:right="60" w:firstLine="255"/>
        <w:spacing w:after="0" w:line="275" w:lineRule="auto"/>
        <w:rPr>
          <w:sz w:val="20"/>
          <w:szCs w:val="20"/>
          <w:color w:val="auto"/>
        </w:rPr>
      </w:pPr>
      <w:r>
        <w:rPr>
          <w:rFonts w:ascii="Arial" w:cs="Arial" w:eastAsia="Arial" w:hAnsi="Arial"/>
          <w:sz w:val="17"/>
          <w:szCs w:val="17"/>
          <w:i w:val="1"/>
          <w:iCs w:val="1"/>
          <w:color w:val="auto"/>
        </w:rPr>
        <w:t xml:space="preserve">Risk Mitigation. </w:t>
      </w:r>
      <w:r>
        <w:rPr>
          <w:rFonts w:ascii="Arial" w:cs="Arial" w:eastAsia="Arial" w:hAnsi="Arial"/>
          <w:sz w:val="17"/>
          <w:szCs w:val="17"/>
          <w:color w:val="auto"/>
        </w:rPr>
        <w:t>We seek to mitigate non-credit-related risk on our returns in several ways, including call protection provisions to protect future interest</w:t>
      </w:r>
      <w:r>
        <w:rPr>
          <w:rFonts w:ascii="Arial" w:cs="Arial" w:eastAsia="Arial" w:hAnsi="Arial"/>
          <w:sz w:val="17"/>
          <w:szCs w:val="17"/>
          <w:i w:val="1"/>
          <w:iCs w:val="1"/>
          <w:color w:val="auto"/>
        </w:rPr>
        <w:t xml:space="preserve"> </w:t>
      </w:r>
      <w:r>
        <w:rPr>
          <w:rFonts w:ascii="Arial" w:cs="Arial" w:eastAsia="Arial" w:hAnsi="Arial"/>
          <w:sz w:val="17"/>
          <w:szCs w:val="17"/>
          <w:color w:val="auto"/>
        </w:rPr>
        <w:t>income. As of September 30, 2020, we had call protection on 67.6% of our debt investments based on fair value, with weighted average call prices of 106.5% for the first year, 104.0% for the second year and 101.3% for the third year, in each case from the date of the initial investment. As of September 30, 2020, 98.9% of our debt investments based on fair value bore interest at floating rates (when including investment specific hedges), with 98.8% of these subject to interest rate floors, which we believe helps act as a portfolio-wide hedge against inflation.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Relationship with our Adviser and Sixth Street</w:t>
      </w:r>
    </w:p>
    <w:p>
      <w:pPr>
        <w:spacing w:after="0" w:line="117" w:lineRule="exact"/>
        <w:rPr>
          <w:sz w:val="20"/>
          <w:szCs w:val="20"/>
          <w:color w:val="auto"/>
        </w:rPr>
      </w:pPr>
    </w:p>
    <w:p>
      <w:pPr>
        <w:ind w:right="260" w:firstLine="255"/>
        <w:spacing w:after="0" w:line="255" w:lineRule="auto"/>
        <w:rPr>
          <w:sz w:val="20"/>
          <w:szCs w:val="20"/>
          <w:color w:val="auto"/>
        </w:rPr>
      </w:pPr>
      <w:r>
        <w:rPr>
          <w:rFonts w:ascii="Arial" w:cs="Arial" w:eastAsia="Arial" w:hAnsi="Arial"/>
          <w:sz w:val="18"/>
          <w:szCs w:val="18"/>
          <w:color w:val="auto"/>
        </w:rPr>
        <w:t>Our Adviser is a Delaware limited liability company. Our Adviser acts as our investment adviser and administrator and is a registered investment adviser with the SEC under the Advisers Act. Our Adviser sources and manages our portfolio through a dedicated team of investment professionals predominately focused on us.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are made by our Investment Review Committee, which includes senior personnel of our Adviser and Sixth Street Partners, LLC, or “Sixth Street”.</w:t>
      </w:r>
    </w:p>
    <w:p>
      <w:pPr>
        <w:spacing w:after="0" w:line="192" w:lineRule="exact"/>
        <w:rPr>
          <w:sz w:val="20"/>
          <w:szCs w:val="20"/>
          <w:color w:val="auto"/>
        </w:rPr>
      </w:pPr>
    </w:p>
    <w:p>
      <w:pPr>
        <w:ind w:firstLine="255"/>
        <w:spacing w:after="0" w:line="288" w:lineRule="auto"/>
        <w:rPr>
          <w:sz w:val="20"/>
          <w:szCs w:val="20"/>
          <w:color w:val="auto"/>
        </w:rPr>
      </w:pPr>
      <w:r>
        <w:rPr>
          <w:rFonts w:ascii="Arial" w:cs="Arial" w:eastAsia="Arial" w:hAnsi="Arial"/>
          <w:sz w:val="16"/>
          <w:szCs w:val="16"/>
          <w:color w:val="auto"/>
        </w:rPr>
        <w:t>Sixth Street is a global investment business with approximately $48 billion of assets under management as of October 31, 2020. Sixth Street’s core platforms include Sixth Street Specialty Lending, Sixth Street Specialty Lending Europe, which is aimed at European middle-market loan originations, Sixth Street TAO, which has the flexibility to invest across all of Sixth Street’s private credit market investments, Sixth Street Opportunities, which focuses on actively managed opportunistic investments across the credit cycle, Sixth Street Credit Market Strategies, which is the firm’s “public-side” credit investment platform focused on investment opportunities in broadly syndicated leveraged loan markets, Sixth Street Growth, which provides financing solutions to growing companies, Sixth Street Fundamental Strategies, which primarily invests in secondary credit, and Sixth Street Agriculture, which invests in niche agricultural opportunities. Sixth Street has a long-term oriented, highly flexible capital base that allows it to invest across industries, geographies, capital structures and asset classes. Sixth Street has extensive experience with highly complex, global public and private investments executed through primary originations, secondary market purchases and restructurings, and has a team of over 315 investment and operating professionals. As of September 30, 2020, thirty-two (32) of these personnel are dedicated to our business, including twenty-four (24) investment professionals.</w:t>
      </w:r>
    </w:p>
    <w:p>
      <w:pPr>
        <w:spacing w:after="0" w:line="168" w:lineRule="exact"/>
        <w:rPr>
          <w:sz w:val="20"/>
          <w:szCs w:val="20"/>
          <w:color w:val="auto"/>
        </w:rPr>
      </w:pPr>
    </w:p>
    <w:p>
      <w:pPr>
        <w:ind w:right="80" w:firstLine="255"/>
        <w:spacing w:after="0" w:line="277" w:lineRule="auto"/>
        <w:rPr>
          <w:sz w:val="20"/>
          <w:szCs w:val="20"/>
          <w:color w:val="auto"/>
        </w:rPr>
      </w:pPr>
      <w:r>
        <w:rPr>
          <w:rFonts w:ascii="Arial" w:cs="Arial" w:eastAsia="Arial" w:hAnsi="Arial"/>
          <w:sz w:val="18"/>
          <w:szCs w:val="18"/>
          <w:color w:val="auto"/>
        </w:rPr>
        <w:t>Sixth Street was in a strategic relationship with TPG Global, LLC, or TPG from 2009 to 2020. On May 1, 2020, Sixth Street and TPG agreed to evolve their relationship and become independent, unaffiliated businesses.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8" w:name="page49"/>
    <w:bookmarkEnd w:id="48"/>
    <w:p>
      <w:pPr>
        <w:ind w:right="20" w:firstLine="255"/>
        <w:spacing w:after="0" w:line="273" w:lineRule="auto"/>
        <w:rPr>
          <w:sz w:val="20"/>
          <w:szCs w:val="20"/>
          <w:color w:val="auto"/>
        </w:rPr>
      </w:pPr>
      <w:r>
        <w:rPr>
          <w:rFonts w:ascii="Arial" w:cs="Arial" w:eastAsia="Arial" w:hAnsi="Arial"/>
          <w:sz w:val="17"/>
          <w:szCs w:val="17"/>
          <w:color w:val="auto"/>
        </w:rPr>
        <w:t>Our Adviser consults with Sixth Street in connection with a substantial number of our investments. The Sixth Street platform provides us with a breadth of large and scalable investment resources. We believe we benefit from Sixth Street’s market expertise, insights into industry, sector and macroeconomic trends and intensive due diligence capabilities, which help us discern market conditions that vary across industries and credit cycles, identify favorable investment opportunities and manage our portfolio of investments. Sixth Street and its affiliates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w:t>
      </w:r>
    </w:p>
    <w:p>
      <w:pPr>
        <w:spacing w:after="0" w:line="178" w:lineRule="exact"/>
        <w:rPr>
          <w:sz w:val="20"/>
          <w:szCs w:val="20"/>
          <w:color w:val="auto"/>
        </w:rPr>
      </w:pPr>
    </w:p>
    <w:p>
      <w:pPr>
        <w:ind w:firstLine="255"/>
        <w:spacing w:after="0" w:line="272" w:lineRule="auto"/>
        <w:rPr>
          <w:sz w:val="20"/>
          <w:szCs w:val="20"/>
          <w:color w:val="auto"/>
        </w:rPr>
      </w:pPr>
      <w:r>
        <w:rPr>
          <w:rFonts w:ascii="Arial" w:cs="Arial" w:eastAsia="Arial" w:hAnsi="Arial"/>
          <w:sz w:val="17"/>
          <w:szCs w:val="17"/>
          <w:color w:val="auto"/>
        </w:rPr>
        <w:t>On December 16, 2014, we were granted an exemptive order from the SEC that allows us to co-invest, subject to certain conditions and to the extent the size of an investment opportunity exceeds the amount our Adviser has independently determined is appropriate to invest, with certain of our affiliates (including affiliates of Sixth Street) in middle-market loan origination activities for companies domiciled in the United States and certain “follow-on” investments in companies in which we have already co-invested pursuant to the order and remain invested. On January 16, 2020, we filed a further application for co-investment exemptive relief with the SEC to better align our existing co-investment relief with more recent SEC exemptive orders. There can be no assurance when or if the SEC will grant a further order in response to our application. Until such time a new order is granted, we will continue to operate under the terms of our current exemptive order.</w:t>
      </w:r>
    </w:p>
    <w:p>
      <w:pPr>
        <w:spacing w:after="0" w:line="177" w:lineRule="exact"/>
        <w:rPr>
          <w:sz w:val="20"/>
          <w:szCs w:val="20"/>
          <w:color w:val="auto"/>
        </w:rPr>
      </w:pPr>
    </w:p>
    <w:p>
      <w:pPr>
        <w:ind w:firstLine="255"/>
        <w:spacing w:after="0" w:line="259" w:lineRule="auto"/>
        <w:rPr>
          <w:sz w:val="20"/>
          <w:szCs w:val="20"/>
          <w:color w:val="auto"/>
        </w:rPr>
      </w:pPr>
      <w:r>
        <w:rPr>
          <w:rFonts w:ascii="Arial" w:cs="Arial" w:eastAsia="Arial" w:hAnsi="Arial"/>
          <w:sz w:val="18"/>
          <w:szCs w:val="18"/>
          <w:color w:val="auto"/>
        </w:rPr>
        <w:t>We believe our ability to co-invest with Sixth Street affiliates is particularly useful where we identify larger capital commitments than otherwise would be appropriate for us. We expect that with the ability to co-invest with Sixth Street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87" w:lineRule="exact"/>
        <w:rPr>
          <w:sz w:val="20"/>
          <w:szCs w:val="20"/>
          <w:color w:val="auto"/>
        </w:rPr>
      </w:pPr>
    </w:p>
    <w:p>
      <w:pPr>
        <w:jc w:val="both"/>
        <w:ind w:right="20" w:firstLine="255"/>
        <w:spacing w:after="0" w:line="311" w:lineRule="auto"/>
        <w:rPr>
          <w:sz w:val="20"/>
          <w:szCs w:val="20"/>
          <w:color w:val="auto"/>
        </w:rPr>
      </w:pPr>
      <w:r>
        <w:rPr>
          <w:rFonts w:ascii="Arial" w:cs="Arial" w:eastAsia="Arial" w:hAnsi="Arial"/>
          <w:sz w:val="16"/>
          <w:szCs w:val="16"/>
          <w:color w:val="auto"/>
        </w:rPr>
        <w:t>Under the terms of the Investment Advisory Agreement and Administration Agreement, the Adviser’s services are not exclusive, and the Adviser is free to furnish similar or other services to others, so long as its services to us are not impaired. Under the terms of the Investment Advisory Agreement, we will pay the Adviser the base management fee, or the Management Fee, and may also pay certain incentive fees, or the Incentive Fees.</w:t>
      </w:r>
    </w:p>
    <w:p>
      <w:pPr>
        <w:spacing w:after="0" w:line="149" w:lineRule="exact"/>
        <w:rPr>
          <w:sz w:val="20"/>
          <w:szCs w:val="20"/>
          <w:color w:val="auto"/>
        </w:rPr>
      </w:pPr>
    </w:p>
    <w:p>
      <w:pPr>
        <w:ind w:right="340" w:firstLine="255"/>
        <w:spacing w:after="0" w:line="259" w:lineRule="auto"/>
        <w:rPr>
          <w:sz w:val="20"/>
          <w:szCs w:val="20"/>
          <w:color w:val="auto"/>
        </w:rPr>
      </w:pPr>
      <w:r>
        <w:rPr>
          <w:rFonts w:ascii="Arial" w:cs="Arial" w:eastAsia="Arial" w:hAnsi="Arial"/>
          <w:sz w:val="18"/>
          <w:szCs w:val="18"/>
          <w:color w:val="auto"/>
        </w:rPr>
        <w:t>Under the terms of the Administration Agreement, the Adviser also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focus primarily on the direct origination of loans to middle-market companies domiciled in the United States.</w:t>
      </w:r>
    </w:p>
    <w:p>
      <w:pPr>
        <w:spacing w:after="0" w:line="225" w:lineRule="exact"/>
        <w:rPr>
          <w:sz w:val="20"/>
          <w:szCs w:val="20"/>
          <w:color w:val="auto"/>
        </w:rPr>
      </w:pPr>
    </w:p>
    <w:p>
      <w:pPr>
        <w:ind w:right="60" w:firstLine="255"/>
        <w:spacing w:after="0" w:line="311" w:lineRule="auto"/>
        <w:rPr>
          <w:sz w:val="20"/>
          <w:szCs w:val="20"/>
          <w:color w:val="auto"/>
        </w:rPr>
      </w:pPr>
      <w:r>
        <w:rPr>
          <w:rFonts w:ascii="Arial" w:cs="Arial" w:eastAsia="Arial" w:hAnsi="Arial"/>
          <w:sz w:val="16"/>
          <w:szCs w:val="16"/>
          <w:color w:val="auto"/>
        </w:rPr>
        <w:t>Our level of investment activity (both the number of investments and the size of each investment) can and does vary substantially from period to period depending on many factors, including the amount of debt and equity capital generally available to middle-market companies, the level of merger and acquisition activity for such companies, the general economic environment and the competitive environment for the types of investments we make.</w:t>
      </w:r>
    </w:p>
    <w:p>
      <w:pPr>
        <w:spacing w:after="0" w:line="149" w:lineRule="exact"/>
        <w:rPr>
          <w:sz w:val="20"/>
          <w:szCs w:val="20"/>
          <w:color w:val="auto"/>
        </w:rPr>
      </w:pPr>
    </w:p>
    <w:p>
      <w:pPr>
        <w:ind w:right="280" w:firstLine="255"/>
        <w:spacing w:after="0" w:line="277" w:lineRule="auto"/>
        <w:rPr>
          <w:sz w:val="20"/>
          <w:szCs w:val="20"/>
          <w:color w:val="auto"/>
        </w:rPr>
      </w:pPr>
      <w:r>
        <w:rPr>
          <w:rFonts w:ascii="Arial" w:cs="Arial" w:eastAsia="Arial" w:hAnsi="Arial"/>
          <w:sz w:val="18"/>
          <w:szCs w:val="18"/>
          <w:color w:val="auto"/>
        </w:rPr>
        <w:t>In addition, as part of our risk strategy on investments, we may reduce certain levels of investments through partial sales or syndication to additional investors.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firstLine="255"/>
        <w:spacing w:after="0" w:line="273" w:lineRule="auto"/>
        <w:rPr>
          <w:sz w:val="20"/>
          <w:szCs w:val="20"/>
          <w:color w:val="auto"/>
        </w:rPr>
      </w:pPr>
      <w:r>
        <w:rPr>
          <w:rFonts w:ascii="Arial" w:cs="Arial" w:eastAsia="Arial" w:hAnsi="Arial"/>
          <w:sz w:val="17"/>
          <w:szCs w:val="17"/>
          <w:color w:val="auto"/>
        </w:rPr>
        <w:t>We generate revenues primarily in the form of interest income from the investments we hold. In addition, we may generate income from dividends on direct equity investments, capital gains on the sale of investments and various loan origination and other fees. Our debt investments typically have a term of two to six years, and, as of September 30, 2020, 98.9% of these investments based on fair value bore interest at a floating rate (when including investment specific hedges), with 98.8% of these subject to interest rate floors. Interest on debt investments is generally payable quarterly or semiannually. Some of our debt investments provide for deferred interest payments or PIK interest. For the three and nine months ended September 30, 2020, 3.2% and 3.0%, respectively, of our total investment income was comprised of PIK interest.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9" w:name="page50"/>
    <w:bookmarkEnd w:id="49"/>
    <w:p>
      <w:pPr>
        <w:ind w:right="20" w:firstLine="255"/>
        <w:spacing w:after="0" w:line="271" w:lineRule="auto"/>
        <w:rPr>
          <w:sz w:val="20"/>
          <w:szCs w:val="20"/>
          <w:color w:val="auto"/>
        </w:rPr>
      </w:pPr>
      <w:r>
        <w:rPr>
          <w:rFonts w:ascii="Arial" w:cs="Arial" w:eastAsia="Arial" w:hAnsi="Arial"/>
          <w:sz w:val="17"/>
          <w:szCs w:val="17"/>
          <w:color w:val="auto"/>
        </w:rPr>
        <w:t>Changes in our net investment income are primarily driven by the spread between the payments we receive from our investments in our portfolio companies against our cost of funding, rather than by changes in interest rates. Our investment portfolio primarily consists of floating rate loans, and our credit facilities, 2022 Convertible Notes, 2023 Notes and 2024 Notes, after taking into account the effect of the interest rate swaps we have entered into in connection with these securities, all bear interest at floating rates. Macro trends in base interest rates like LIBOR or other alternate reference rates may affect our net investment income over the long term. However, because we generally originate loans to a small number of portfolio companies each quarter, and those investments also vary in size, our results in any given period—including the interest rate on investments that were sold or repaid in a period compared to the interest rate of new investments made during that period—often are idiosyncratic, and reflect the characteristics of the particular portfolio companies that we invested in or exited during the period and not necessarily any trends in our business.</w:t>
      </w:r>
    </w:p>
    <w:p>
      <w:pPr>
        <w:spacing w:after="0" w:line="178" w:lineRule="exact"/>
        <w:rPr>
          <w:sz w:val="20"/>
          <w:szCs w:val="20"/>
          <w:color w:val="auto"/>
        </w:rPr>
      </w:pPr>
    </w:p>
    <w:p>
      <w:pPr>
        <w:ind w:right="40" w:firstLine="255"/>
        <w:spacing w:after="0" w:line="296" w:lineRule="auto"/>
        <w:rPr>
          <w:sz w:val="20"/>
          <w:szCs w:val="20"/>
          <w:color w:val="auto"/>
        </w:rPr>
      </w:pPr>
      <w:r>
        <w:rPr>
          <w:rFonts w:ascii="Arial" w:cs="Arial" w:eastAsia="Arial" w:hAnsi="Arial"/>
          <w:sz w:val="16"/>
          <w:szCs w:val="16"/>
          <w:color w:val="auto"/>
        </w:rPr>
        <w:t>In addition to interest income, our net investment income is also driven by prepayment and other fees, which also can vary significantly from quarter to quarter. The level of prepayment fees is generally correlated to the movement in credit spreads and risk premiums, but also will vary based on corporate events that may take place at an individual portfolio company in a given period—e.g., merger and acquisition activity, initial public offerings and restructurings. As noted above, generally a small but varied number of portfolio companies may make prepayments in any quarter, meaning that changes in the amount of prepayment fees received can vary significantly between periods and can vary without regard to underlying credit trends.</w:t>
      </w:r>
    </w:p>
    <w:p>
      <w:pPr>
        <w:spacing w:after="0" w:line="161" w:lineRule="exact"/>
        <w:rPr>
          <w:sz w:val="20"/>
          <w:szCs w:val="20"/>
          <w:color w:val="auto"/>
        </w:rPr>
      </w:pPr>
    </w:p>
    <w:p>
      <w:pPr>
        <w:ind w:firstLine="255"/>
        <w:spacing w:after="0" w:line="275" w:lineRule="auto"/>
        <w:rPr>
          <w:sz w:val="20"/>
          <w:szCs w:val="20"/>
          <w:color w:val="auto"/>
        </w:rPr>
      </w:pPr>
      <w:r>
        <w:rPr>
          <w:rFonts w:ascii="Arial" w:cs="Arial" w:eastAsia="Arial" w:hAnsi="Arial"/>
          <w:sz w:val="17"/>
          <w:szCs w:val="17"/>
          <w:color w:val="auto"/>
        </w:rPr>
        <w:t>Loan origination fees, original issue discount and market discount or premium are capitalized, and we accrete or amortize such amounts as interest income using the effective interest method for term instruments and the straight-line method for revolving or delayed draw instruments. Repayments of our debt investments can reduce interest income from period to period. We record prepayment premiums on loans as interest income when earned. We also may generate revenue in the form of commitment, amendment, structuring, syndication or due diligence fees, fees for providing managerial assistance and consulting fees. The frequency or volume of these repayments may fluctuate significantly.</w:t>
      </w:r>
    </w:p>
    <w:p>
      <w:pPr>
        <w:spacing w:after="0" w:line="176" w:lineRule="exact"/>
        <w:rPr>
          <w:sz w:val="20"/>
          <w:szCs w:val="20"/>
          <w:color w:val="auto"/>
        </w:rPr>
      </w:pPr>
    </w:p>
    <w:p>
      <w:pPr>
        <w:ind w:right="140" w:firstLine="255"/>
        <w:spacing w:after="0" w:line="277" w:lineRule="auto"/>
        <w:rPr>
          <w:sz w:val="20"/>
          <w:szCs w:val="20"/>
          <w:color w:val="auto"/>
        </w:rPr>
      </w:pPr>
      <w:r>
        <w:rPr>
          <w:rFonts w:ascii="Arial" w:cs="Arial" w:eastAsia="Arial" w:hAnsi="Arial"/>
          <w:sz w:val="18"/>
          <w:szCs w:val="18"/>
          <w:color w:val="auto"/>
        </w:rPr>
        <w:t>Dividend income on common equity investments is recorded on the record date for private portfolio companies or on the ex-dividend date for publicly traded portfolio companies.</w:t>
      </w:r>
    </w:p>
    <w:p>
      <w:pPr>
        <w:spacing w:after="0" w:line="170" w:lineRule="exact"/>
        <w:rPr>
          <w:sz w:val="20"/>
          <w:szCs w:val="20"/>
          <w:color w:val="auto"/>
        </w:rPr>
      </w:pPr>
    </w:p>
    <w:p>
      <w:pPr>
        <w:ind w:right="260" w:firstLine="255"/>
        <w:spacing w:after="0" w:line="259" w:lineRule="auto"/>
        <w:rPr>
          <w:sz w:val="20"/>
          <w:szCs w:val="20"/>
          <w:color w:val="auto"/>
        </w:rPr>
      </w:pPr>
      <w:r>
        <w:rPr>
          <w:rFonts w:ascii="Arial" w:cs="Arial" w:eastAsia="Arial" w:hAnsi="Arial"/>
          <w:sz w:val="18"/>
          <w:szCs w:val="18"/>
          <w:color w:val="auto"/>
        </w:rPr>
        <w:t>Our portfolio activity also reflects the proceeds of sales of investments. We recognize realized gains or losses on investments based on the difference between the net proceeds from the disposition and the amortized cost basis of the investment without regard to unrealized gains or losses previously recognized. We record current period changes in fair value of investments that are measured at fair value as a component of the net change in unrealized gains (losses) on investments in the consolidated statements of operations.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right="120" w:firstLine="255"/>
        <w:spacing w:after="0" w:line="263" w:lineRule="auto"/>
        <w:rPr>
          <w:sz w:val="20"/>
          <w:szCs w:val="20"/>
          <w:color w:val="auto"/>
        </w:rPr>
      </w:pPr>
      <w:r>
        <w:rPr>
          <w:rFonts w:ascii="Arial" w:cs="Arial" w:eastAsia="Arial" w:hAnsi="Arial"/>
          <w:sz w:val="18"/>
          <w:szCs w:val="18"/>
          <w:color w:val="auto"/>
        </w:rPr>
        <w:t>Our primary operating expenses include the payment of fees to our Adviser under the Investment Advisory Agreement, expenses reimbursable under the Administration Agreement and other operating costs described below. Additionally, we pay interest expense on our outstanding debt. We bear all other costs and expenses of our operations, administration and transactions, including those relating to:</w:t>
      </w:r>
    </w:p>
    <w:p>
      <w:pPr>
        <w:spacing w:after="0" w:line="76" w:lineRule="exact"/>
        <w:rPr>
          <w:sz w:val="20"/>
          <w:szCs w:val="20"/>
          <w:color w:val="auto"/>
        </w:rPr>
      </w:pPr>
    </w:p>
    <w:p>
      <w:pPr>
        <w:ind w:left="500" w:hanging="249"/>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calculating individual asset values and our net asset value (including the cost and expenses of any independent valuation firms);</w:t>
      </w:r>
    </w:p>
    <w:p>
      <w:pPr>
        <w:spacing w:after="0" w:line="117" w:lineRule="exact"/>
        <w:rPr>
          <w:rFonts w:ascii="Arial" w:cs="Arial" w:eastAsia="Arial" w:hAnsi="Arial"/>
          <w:sz w:val="18"/>
          <w:szCs w:val="18"/>
          <w:color w:val="auto"/>
        </w:rPr>
      </w:pPr>
    </w:p>
    <w:p>
      <w:pPr>
        <w:ind w:left="500" w:right="320" w:hanging="249"/>
        <w:spacing w:after="0" w:line="263"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75" w:lineRule="exact"/>
        <w:rPr>
          <w:rFonts w:ascii="Arial" w:cs="Arial" w:eastAsia="Arial" w:hAnsi="Arial"/>
          <w:sz w:val="18"/>
          <w:szCs w:val="18"/>
          <w:color w:val="auto"/>
        </w:rPr>
      </w:pPr>
    </w:p>
    <w:p>
      <w:pPr>
        <w:ind w:left="500" w:hanging="249"/>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costs of any public offerings of our common stock and other securities, including registration and listing fees;</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Management Fee and any Incentive Fee;</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certain costs and expenses relating to distributions paid on our shares;</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administration fees payable under our Administration Agreement;</w:t>
      </w:r>
    </w:p>
    <w:p>
      <w:pPr>
        <w:spacing w:after="0" w:line="117" w:lineRule="exact"/>
        <w:rPr>
          <w:rFonts w:ascii="Arial" w:cs="Arial" w:eastAsia="Arial" w:hAnsi="Arial"/>
          <w:sz w:val="18"/>
          <w:szCs w:val="18"/>
          <w:color w:val="auto"/>
        </w:rPr>
      </w:pPr>
    </w:p>
    <w:p>
      <w:pPr>
        <w:ind w:left="500" w:right="80" w:hanging="249"/>
        <w:spacing w:after="0" w:line="257"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Compliance Officer, Chief Financial Officer and other professionals who provide operational and administrative services to us pursuant to the Administration Agreement (based on the percentage of time those individuals devote, on an estimated basis, to our business and affairs);</w:t>
      </w:r>
    </w:p>
    <w:p>
      <w:pPr>
        <w:spacing w:after="0" w:line="79" w:lineRule="exact"/>
        <w:rPr>
          <w:rFonts w:ascii="Arial" w:cs="Arial" w:eastAsia="Arial" w:hAnsi="Arial"/>
          <w:sz w:val="18"/>
          <w:szCs w:val="18"/>
          <w:color w:val="auto"/>
        </w:rPr>
      </w:pPr>
    </w:p>
    <w:p>
      <w:pPr>
        <w:ind w:left="500" w:hanging="249"/>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debt service and other costs of borrowings or other financing arrangements;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0" w:name="page51"/>
    <w:bookmarkEnd w:id="50"/>
    <w:p>
      <w:pPr>
        <w:ind w:left="500" w:hanging="249"/>
        <w:spacing w:after="0"/>
        <w:tabs>
          <w:tab w:leader="none" w:pos="5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Adviser’s allocable share of costs incurred in providing significant managerial assistance to those portfolio companies that request it;</w:t>
      </w:r>
    </w:p>
    <w:p>
      <w:pPr>
        <w:spacing w:after="0" w:line="128" w:lineRule="exact"/>
        <w:rPr>
          <w:rFonts w:ascii="Arial" w:cs="Arial" w:eastAsia="Arial" w:hAnsi="Arial"/>
          <w:sz w:val="17"/>
          <w:szCs w:val="17"/>
          <w:color w:val="auto"/>
        </w:rPr>
      </w:pPr>
    </w:p>
    <w:p>
      <w:pPr>
        <w:ind w:left="500" w:hanging="249"/>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amounts payable to third parties relating to, or associated with, making or holding investments;</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costs of hedging;</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commissions and other compensation payable to brokers or dealers;</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taxes;</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Independent Director fees and expenses;</w:t>
      </w:r>
    </w:p>
    <w:p>
      <w:pPr>
        <w:spacing w:after="0" w:line="117" w:lineRule="exact"/>
        <w:rPr>
          <w:rFonts w:ascii="Arial" w:cs="Arial" w:eastAsia="Arial" w:hAnsi="Arial"/>
          <w:sz w:val="18"/>
          <w:szCs w:val="18"/>
          <w:color w:val="auto"/>
        </w:rPr>
      </w:pPr>
    </w:p>
    <w:p>
      <w:pPr>
        <w:ind w:left="500" w:right="100" w:hanging="249"/>
        <w:spacing w:after="0" w:line="342" w:lineRule="auto"/>
        <w:tabs>
          <w:tab w:leader="none" w:pos="5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15" w:lineRule="exact"/>
        <w:rPr>
          <w:rFonts w:ascii="Arial" w:cs="Arial" w:eastAsia="Arial" w:hAnsi="Arial"/>
          <w:sz w:val="16"/>
          <w:szCs w:val="16"/>
          <w:color w:val="auto"/>
        </w:rPr>
      </w:pPr>
    </w:p>
    <w:p>
      <w:pPr>
        <w:ind w:left="500" w:hanging="249"/>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fidelity bond;</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directors and officers/errors and omissions liability insurance, and any other insurance premiums;</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indemnification payments;</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audit, accounting, consulting and legal costs; and</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other expenses reasonably incurred by us in connection with making investments and administering our business.</w:t>
      </w:r>
    </w:p>
    <w:p>
      <w:pPr>
        <w:spacing w:after="0" w:line="225" w:lineRule="exact"/>
        <w:rPr>
          <w:sz w:val="20"/>
          <w:szCs w:val="20"/>
          <w:color w:val="auto"/>
        </w:rPr>
      </w:pPr>
    </w:p>
    <w:p>
      <w:pPr>
        <w:ind w:right="100" w:firstLine="255"/>
        <w:spacing w:after="0" w:line="277" w:lineRule="auto"/>
        <w:rPr>
          <w:sz w:val="20"/>
          <w:szCs w:val="20"/>
          <w:color w:val="auto"/>
        </w:rPr>
      </w:pPr>
      <w:r>
        <w:rPr>
          <w:rFonts w:ascii="Arial" w:cs="Arial" w:eastAsia="Arial" w:hAnsi="Arial"/>
          <w:sz w:val="18"/>
          <w:szCs w:val="18"/>
          <w:color w:val="auto"/>
        </w:rPr>
        <w:t>We expect that during periods of asset growth, our general and administrative expenses will be relatively stable or will decline as a percentage of total assets, and will increase as a percentage of total assets during periods of asset declines.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Leverage</w:t>
      </w:r>
    </w:p>
    <w:p>
      <w:pPr>
        <w:spacing w:after="0" w:line="117" w:lineRule="exact"/>
        <w:rPr>
          <w:sz w:val="20"/>
          <w:szCs w:val="20"/>
          <w:color w:val="auto"/>
        </w:rPr>
      </w:pPr>
    </w:p>
    <w:p>
      <w:pPr>
        <w:ind w:right="40" w:firstLine="255"/>
        <w:spacing w:after="0" w:line="255" w:lineRule="auto"/>
        <w:rPr>
          <w:sz w:val="20"/>
          <w:szCs w:val="20"/>
          <w:color w:val="auto"/>
        </w:rPr>
      </w:pPr>
      <w:r>
        <w:rPr>
          <w:rFonts w:ascii="Arial" w:cs="Arial" w:eastAsia="Arial" w:hAnsi="Arial"/>
          <w:sz w:val="18"/>
          <w:szCs w:val="18"/>
          <w:color w:val="auto"/>
        </w:rPr>
        <w:t>While as a BDC the amount of leverage that we are permitted to use is limited in significant respects, we use leverage to increase our ability to make investments. The amount of leverage we use in any period depends on a variety of factors, including cash available for investing, the cost of financing and general economic and market conditions, however, under the 1940 Act, our total borrowings are limited so that our asset coverage ratio cannot fall below 150% immediately after any borrowing, as defined in the 1940 Act. In any period, our interest expense will depend largely on the extent of our borrowing and we expect interest expense will increase as we increase leverage over time within the limits of the 1940 Act. In addition, we may dedicate assets as collateral to financing facilities from time to time.</w:t>
      </w:r>
    </w:p>
    <w:p>
      <w:pPr>
        <w:spacing w:after="0" w:line="192" w:lineRule="exact"/>
        <w:rPr>
          <w:sz w:val="20"/>
          <w:szCs w:val="20"/>
          <w:color w:val="auto"/>
        </w:rPr>
      </w:pPr>
    </w:p>
    <w:p>
      <w:pPr>
        <w:ind w:firstLine="255"/>
        <w:spacing w:after="0" w:line="301" w:lineRule="auto"/>
        <w:rPr>
          <w:sz w:val="20"/>
          <w:szCs w:val="20"/>
          <w:color w:val="auto"/>
        </w:rPr>
      </w:pPr>
      <w:r>
        <w:rPr>
          <w:rFonts w:ascii="Arial" w:cs="Arial" w:eastAsia="Arial" w:hAnsi="Arial"/>
          <w:sz w:val="16"/>
          <w:szCs w:val="16"/>
          <w:color w:val="auto"/>
        </w:rPr>
        <w:t>On October 8, 2018, our stockholders approved the application of the minimum asset coverage ratio of 150% to us, as set forth in Section 61(a)(2) of the 1940 Act, as amended by the Small Business Credit Availability Act (SBCAA). As a result and subject to certain additional disclosure requirements, as of October 9, 2018, our minimum asset coverage ratio was reduced from 200% to 150%. In other words, pursuant to Section 61(a) of the 1940 Act, as amended by the SBCAA, we are permitted to potentially increase our maximum debt-to-equity ratio from an effective level of one-to-one to two-to-one.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Trends</w:t>
      </w:r>
    </w:p>
    <w:p>
      <w:pPr>
        <w:spacing w:after="0" w:line="117" w:lineRule="exact"/>
        <w:rPr>
          <w:sz w:val="20"/>
          <w:szCs w:val="20"/>
          <w:color w:val="auto"/>
        </w:rPr>
      </w:pPr>
    </w:p>
    <w:p>
      <w:pPr>
        <w:ind w:right="760" w:firstLine="255"/>
        <w:spacing w:after="0" w:line="342" w:lineRule="auto"/>
        <w:rPr>
          <w:sz w:val="20"/>
          <w:szCs w:val="20"/>
          <w:color w:val="auto"/>
        </w:rPr>
      </w:pPr>
      <w:r>
        <w:rPr>
          <w:rFonts w:ascii="Arial" w:cs="Arial" w:eastAsia="Arial" w:hAnsi="Arial"/>
          <w:sz w:val="16"/>
          <w:szCs w:val="16"/>
          <w:color w:val="auto"/>
        </w:rPr>
        <w:t>We believe trends in the middle-market lending environment, including the limited availability of capital, strong demand for debt capital and specialized lending requirements, are likely to continue to create favorable opportunities for us to invest at attractive risk-adjusted rates.</w:t>
      </w:r>
    </w:p>
    <w:p>
      <w:pPr>
        <w:spacing w:after="0" w:line="124" w:lineRule="exact"/>
        <w:rPr>
          <w:sz w:val="20"/>
          <w:szCs w:val="20"/>
          <w:color w:val="auto"/>
        </w:rPr>
      </w:pPr>
    </w:p>
    <w:p>
      <w:pPr>
        <w:ind w:right="60" w:firstLine="255"/>
        <w:spacing w:after="0" w:line="279" w:lineRule="auto"/>
        <w:rPr>
          <w:sz w:val="20"/>
          <w:szCs w:val="20"/>
          <w:color w:val="auto"/>
        </w:rPr>
      </w:pPr>
      <w:r>
        <w:rPr>
          <w:rFonts w:ascii="Arial" w:cs="Arial" w:eastAsia="Arial" w:hAnsi="Arial"/>
          <w:sz w:val="17"/>
          <w:szCs w:val="17"/>
          <w:color w:val="auto"/>
        </w:rPr>
        <w:t>The limited number of dedicated providers of capital to middle-market companies, combined with increases in required capital levels for regulated financial institutions, reduces the capacity of traditional lenders to serve middle-market companies. We believe that the limited availability of capital creates a significant opportunity for us to directly originate investments. We also believe that the large amount of uninvested capital held by private equity firms will continue to drive deal activity, which may in turn create additional demand for debt capital.</w:t>
      </w:r>
    </w:p>
    <w:p>
      <w:pPr>
        <w:spacing w:after="0" w:line="171" w:lineRule="exact"/>
        <w:rPr>
          <w:sz w:val="20"/>
          <w:szCs w:val="20"/>
          <w:color w:val="auto"/>
        </w:rPr>
      </w:pPr>
    </w:p>
    <w:p>
      <w:pPr>
        <w:ind w:right="220" w:firstLine="255"/>
        <w:spacing w:after="0" w:line="286" w:lineRule="auto"/>
        <w:rPr>
          <w:sz w:val="20"/>
          <w:szCs w:val="20"/>
          <w:color w:val="auto"/>
        </w:rPr>
      </w:pPr>
      <w:r>
        <w:rPr>
          <w:rFonts w:ascii="Arial" w:cs="Arial" w:eastAsia="Arial" w:hAnsi="Arial"/>
          <w:sz w:val="17"/>
          <w:szCs w:val="17"/>
          <w:color w:val="auto"/>
        </w:rPr>
        <w:t>The limited number of dedicated providers is further exacerbated by the specialized due diligence and underwriting capabilities, as well as extensive ongoing monitoring, required for middle-market lending. We believe middle-market lending is generally more labor-intensive than lending to larger companies due to smaller investment sizes and the lack of publicly available information on these companies.</w:t>
      </w:r>
    </w:p>
    <w:p>
      <w:pPr>
        <w:spacing w:after="0" w:line="1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449" w:right="419" w:bottom="1440" w:gutter="0" w:footer="0" w:header="0"/>
        </w:sectPr>
      </w:pPr>
    </w:p>
    <w:bookmarkStart w:id="51" w:name="page52"/>
    <w:bookmarkEnd w:id="51"/>
    <w:p>
      <w:pPr>
        <w:ind w:firstLine="255"/>
        <w:spacing w:after="0" w:line="301" w:lineRule="auto"/>
        <w:rPr>
          <w:sz w:val="20"/>
          <w:szCs w:val="20"/>
          <w:color w:val="auto"/>
        </w:rPr>
      </w:pPr>
      <w:r>
        <w:rPr>
          <w:rFonts w:ascii="Arial" w:cs="Arial" w:eastAsia="Arial" w:hAnsi="Arial"/>
          <w:sz w:val="16"/>
          <w:szCs w:val="16"/>
          <w:color w:val="auto"/>
        </w:rPr>
        <w:t>An imbalance between the supply of, and demand for, middle-market debt capital creates attractive pricing dynamics for investors such as BDCs. The negotiated nature of middle-market financings also generally provides for more favorable terms to the lenders, including stronger covenant and reporting packages, better call protection and lender-protective change of control provisions. We believe that BDCs have flexibility to develop loans that reflect each borrower’s distinct situation, provide long-term relationships and a potential source for future capital, which renders BDCs, including us, attractive lenders.</w:t>
      </w:r>
    </w:p>
    <w:p>
      <w:pPr>
        <w:spacing w:after="0" w:line="157" w:lineRule="exact"/>
        <w:rPr>
          <w:sz w:val="20"/>
          <w:szCs w:val="20"/>
          <w:color w:val="auto"/>
        </w:rPr>
      </w:pPr>
    </w:p>
    <w:p>
      <w:pPr>
        <w:ind w:right="20" w:firstLine="255"/>
        <w:spacing w:after="0" w:line="271" w:lineRule="auto"/>
        <w:rPr>
          <w:sz w:val="20"/>
          <w:szCs w:val="20"/>
          <w:color w:val="auto"/>
        </w:rPr>
      </w:pPr>
      <w:r>
        <w:rPr>
          <w:rFonts w:ascii="Arial" w:cs="Arial" w:eastAsia="Arial" w:hAnsi="Arial"/>
          <w:sz w:val="17"/>
          <w:szCs w:val="17"/>
          <w:color w:val="auto"/>
        </w:rPr>
        <w:t>In late 2019 and early 2020, the novel coronavirus SARS-CoV-2 and related respiratory disease COVID-19 emerged in China and spread rapidly across the world, including to the United States. This outbreak has led to, and for an unknown and potentially significant period of time will continue to lead to, disruptions in local, regional, national and global markets and economies affected thereby. To date, cross border commercial activity and market sentiment have been negatively impacted by the outbreak and government and other measures seeking to contain its spread. The federal government and the Federal Reserve, as well as foreign governments and central banks, have implemented significant fiscal and monetary policies in response to these disruptions, and additional government and regulatory responses may be possible. It is currently impossible to determine the scope of this or any future outbreak, how long any such outbreak and market disruption, volatility or uncertainty may last, the effect any governmental actions and changes in base interest rates will have or the full potential impact on us, our industry and our portfolio companies.</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121" w:lineRule="exact"/>
        <w:rPr>
          <w:sz w:val="20"/>
          <w:szCs w:val="20"/>
          <w:color w:val="auto"/>
        </w:rPr>
      </w:pPr>
    </w:p>
    <w:p>
      <w:pPr>
        <w:ind w:right="100" w:firstLine="255"/>
        <w:spacing w:after="0" w:line="286" w:lineRule="auto"/>
        <w:rPr>
          <w:sz w:val="20"/>
          <w:szCs w:val="20"/>
          <w:color w:val="auto"/>
        </w:rPr>
      </w:pPr>
      <w:r>
        <w:rPr>
          <w:rFonts w:ascii="Arial" w:cs="Arial" w:eastAsia="Arial" w:hAnsi="Arial"/>
          <w:sz w:val="17"/>
          <w:szCs w:val="17"/>
          <w:color w:val="auto"/>
        </w:rPr>
        <w:t>As of September 30, 2020, our portfolio based on fair value consisted of 95.0% first-lien debt investments, 0.4% second-lien debt investments, 0.5% mezzanine debt investments, and 4.1% equity and other investments. As of December 31, 2019, our portfolio based on fair value consisted of 96.5% first-lien debt investments, 0.6% second-lien debt investments, 0.1% mezzanine debt investments, and 2.8% equity and other investments.</w:t>
      </w:r>
    </w:p>
    <w:p>
      <w:pPr>
        <w:spacing w:after="0" w:line="165" w:lineRule="exact"/>
        <w:rPr>
          <w:sz w:val="20"/>
          <w:szCs w:val="20"/>
          <w:color w:val="auto"/>
        </w:rPr>
      </w:pPr>
    </w:p>
    <w:p>
      <w:pPr>
        <w:ind w:right="20" w:firstLine="255"/>
        <w:spacing w:after="0" w:line="311" w:lineRule="auto"/>
        <w:rPr>
          <w:sz w:val="20"/>
          <w:szCs w:val="20"/>
          <w:color w:val="auto"/>
        </w:rPr>
      </w:pPr>
      <w:r>
        <w:rPr>
          <w:rFonts w:ascii="Arial" w:cs="Arial" w:eastAsia="Arial" w:hAnsi="Arial"/>
          <w:sz w:val="16"/>
          <w:szCs w:val="16"/>
          <w:color w:val="auto"/>
        </w:rPr>
        <w:t>As of September 30, 2020 and December 31, 2019, our weighted average total yield of debt and income-producing securities at fair value (which includes interest income and amortization of fees and discounts) was 10.1% and 10.5%, respectively, and our weighted average total yield of debt and income-producing securities at amortized cost (which includes interest income and amortization of fees and discounts) was 10.2% and 10.7%, respectively.</w:t>
      </w:r>
    </w:p>
    <w:p>
      <w:pPr>
        <w:spacing w:after="0" w:line="149" w:lineRule="exact"/>
        <w:rPr>
          <w:sz w:val="20"/>
          <w:szCs w:val="20"/>
          <w:color w:val="auto"/>
        </w:rPr>
      </w:pPr>
    </w:p>
    <w:p>
      <w:pPr>
        <w:ind w:right="120" w:firstLine="255"/>
        <w:spacing w:after="0" w:line="277" w:lineRule="auto"/>
        <w:rPr>
          <w:sz w:val="20"/>
          <w:szCs w:val="20"/>
          <w:color w:val="auto"/>
        </w:rPr>
      </w:pPr>
      <w:r>
        <w:rPr>
          <w:rFonts w:ascii="Arial" w:cs="Arial" w:eastAsia="Arial" w:hAnsi="Arial"/>
          <w:sz w:val="18"/>
          <w:szCs w:val="18"/>
          <w:color w:val="auto"/>
        </w:rPr>
        <w:t>As of September 30, 2020 and December 31, 2019, we had investments in 70 and 63 portfolio companies, respectively, with an aggregate fair value of $2,100.8 million and $2,245.9 million, respectively.</w:t>
      </w:r>
    </w:p>
    <w:p>
      <w:pPr>
        <w:spacing w:after="0" w:line="170" w:lineRule="exact"/>
        <w:rPr>
          <w:sz w:val="20"/>
          <w:szCs w:val="20"/>
          <w:color w:val="auto"/>
        </w:rPr>
      </w:pPr>
    </w:p>
    <w:p>
      <w:pPr>
        <w:ind w:right="760" w:firstLine="255"/>
        <w:spacing w:after="0" w:line="342" w:lineRule="auto"/>
        <w:rPr>
          <w:sz w:val="20"/>
          <w:szCs w:val="20"/>
          <w:color w:val="auto"/>
        </w:rPr>
      </w:pPr>
      <w:r>
        <w:rPr>
          <w:rFonts w:ascii="Arial" w:cs="Arial" w:eastAsia="Arial" w:hAnsi="Arial"/>
          <w:sz w:val="16"/>
          <w:szCs w:val="16"/>
          <w:color w:val="auto"/>
        </w:rPr>
        <w:t>For the three months ended September 30, 2020, the principal amount of new investments funded was $332.3 million in twelve new portfolio companies and four existing portfolio companies. For this period, we had $253.1 million aggregate principal amount in exits and repayments.</w:t>
      </w:r>
    </w:p>
    <w:p>
      <w:pPr>
        <w:spacing w:after="0" w:line="124" w:lineRule="exact"/>
        <w:rPr>
          <w:sz w:val="20"/>
          <w:szCs w:val="20"/>
          <w:color w:val="auto"/>
        </w:rPr>
      </w:pPr>
    </w:p>
    <w:p>
      <w:pPr>
        <w:ind w:firstLine="255"/>
        <w:spacing w:after="0" w:line="308" w:lineRule="auto"/>
        <w:rPr>
          <w:sz w:val="20"/>
          <w:szCs w:val="20"/>
          <w:color w:val="auto"/>
        </w:rPr>
      </w:pPr>
      <w:r>
        <w:rPr>
          <w:rFonts w:ascii="Arial" w:cs="Arial" w:eastAsia="Arial" w:hAnsi="Arial"/>
          <w:sz w:val="17"/>
          <w:szCs w:val="17"/>
          <w:color w:val="auto"/>
        </w:rPr>
        <w:t>For the three months ended September 30, 2019, the principal amount of new investments funded was $309.1 million in seven new portfolio companies and four existing portfolio companies. For this period, we had $309.9 million aggregate principal amount in exits and repayments.</w:t>
      </w:r>
    </w:p>
    <w:p>
      <w:pPr>
        <w:spacing w:after="0" w:line="1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52" w:name="page53"/>
    <w:bookmarkEnd w:id="52"/>
    <w:p>
      <w:pPr>
        <w:ind w:right="500" w:firstLine="255"/>
        <w:spacing w:after="0" w:line="277" w:lineRule="auto"/>
        <w:rPr>
          <w:sz w:val="20"/>
          <w:szCs w:val="20"/>
          <w:color w:val="auto"/>
        </w:rPr>
      </w:pPr>
      <w:r>
        <w:rPr>
          <w:rFonts w:ascii="Arial" w:cs="Arial" w:eastAsia="Arial" w:hAnsi="Arial"/>
          <w:sz w:val="18"/>
          <w:szCs w:val="18"/>
          <w:color w:val="auto"/>
        </w:rPr>
        <w:t>Our investment activity for the three months ended September 30, 2020 and 2019 is presented below (information presented herein is at par value unless otherwise indicated).</w:t>
      </w:r>
    </w:p>
    <w:p>
      <w:pPr>
        <w:spacing w:after="0" w:line="243"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Three Months Ended</w:t>
            </w:r>
          </w:p>
        </w:tc>
      </w:tr>
      <w:tr>
        <w:trPr>
          <w:trHeight w:val="133"/>
        </w:trPr>
        <w:tc>
          <w:tcPr>
            <w:tcW w:w="5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jc w:val="right"/>
              <w:ind w:right="340"/>
              <w:spacing w:after="0" w:line="133" w:lineRule="exact"/>
              <w:rPr>
                <w:sz w:val="20"/>
                <w:szCs w:val="20"/>
                <w:color w:val="auto"/>
              </w:rPr>
            </w:pPr>
            <w:r>
              <w:rPr>
                <w:rFonts w:ascii="Arial" w:cs="Arial" w:eastAsia="Arial" w:hAnsi="Arial"/>
                <w:sz w:val="14"/>
                <w:szCs w:val="14"/>
                <w:b w:val="1"/>
                <w:bCs w:val="1"/>
                <w:color w:val="auto"/>
                <w:w w:val="91"/>
              </w:rPr>
              <w:t>September 30,</w:t>
            </w: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52"/>
              <w:spacing w:after="0" w:line="133" w:lineRule="exact"/>
              <w:rPr>
                <w:sz w:val="20"/>
                <w:szCs w:val="20"/>
                <w:color w:val="auto"/>
              </w:rPr>
            </w:pPr>
            <w:r>
              <w:rPr>
                <w:rFonts w:ascii="Arial" w:cs="Arial" w:eastAsia="Arial" w:hAnsi="Arial"/>
                <w:sz w:val="14"/>
                <w:szCs w:val="14"/>
                <w:b w:val="1"/>
                <w:bCs w:val="1"/>
                <w:color w:val="auto"/>
                <w:w w:val="89"/>
              </w:rPr>
              <w:t>September 30,</w:t>
            </w:r>
          </w:p>
        </w:tc>
        <w:tc>
          <w:tcPr>
            <w:tcW w:w="180" w:type="dxa"/>
            <w:vAlign w:val="bottom"/>
          </w:tcPr>
          <w:p>
            <w:pPr>
              <w:spacing w:after="0"/>
              <w:rPr>
                <w:sz w:val="11"/>
                <w:szCs w:val="11"/>
                <w:color w:val="auto"/>
              </w:rPr>
            </w:pPr>
          </w:p>
        </w:tc>
      </w:tr>
      <w:tr>
        <w:trPr>
          <w:trHeight w:val="171"/>
        </w:trPr>
        <w:tc>
          <w:tcPr>
            <w:tcW w:w="514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 in millions)</w:t>
            </w: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4"/>
                <w:szCs w:val="14"/>
                <w:color w:val="auto"/>
              </w:rPr>
            </w:pPr>
          </w:p>
        </w:tc>
      </w:tr>
      <w:tr>
        <w:trPr>
          <w:trHeight w:val="223"/>
        </w:trPr>
        <w:tc>
          <w:tcPr>
            <w:tcW w:w="5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New investment commitments:</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5140" w:type="dxa"/>
            <w:vAlign w:val="bottom"/>
          </w:tcPr>
          <w:p>
            <w:pPr>
              <w:ind w:left="240"/>
              <w:spacing w:after="0"/>
              <w:rPr>
                <w:sz w:val="20"/>
                <w:szCs w:val="20"/>
                <w:color w:val="auto"/>
              </w:rPr>
            </w:pPr>
            <w:r>
              <w:rPr>
                <w:rFonts w:ascii="Arial" w:cs="Arial" w:eastAsia="Arial" w:hAnsi="Arial"/>
                <w:sz w:val="18"/>
                <w:szCs w:val="18"/>
                <w:color w:val="auto"/>
              </w:rPr>
              <w:t>Gross originations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1,385.3</w:t>
            </w:r>
          </w:p>
        </w:tc>
        <w:tc>
          <w:tcPr>
            <w:tcW w:w="2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616.5</w:t>
            </w:r>
          </w:p>
        </w:tc>
        <w:tc>
          <w:tcPr>
            <w:tcW w:w="180" w:type="dxa"/>
            <w:vAlign w:val="bottom"/>
          </w:tcPr>
          <w:p>
            <w:pPr>
              <w:spacing w:after="0"/>
              <w:rPr>
                <w:sz w:val="19"/>
                <w:szCs w:val="19"/>
                <w:color w:val="auto"/>
              </w:rPr>
            </w:pPr>
          </w:p>
        </w:tc>
      </w:tr>
      <w:tr>
        <w:trPr>
          <w:trHeight w:val="229"/>
        </w:trPr>
        <w:tc>
          <w:tcPr>
            <w:tcW w:w="5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Less: Syndications/sell downs</w:t>
            </w: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949.8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260.9</w:t>
            </w:r>
          </w:p>
        </w:tc>
        <w:tc>
          <w:tcPr>
            <w:tcW w:w="180" w:type="dxa"/>
            <w:vAlign w:val="bottom"/>
            <w:shd w:val="clear" w:color="auto" w:fill="CFF0FC"/>
          </w:tcPr>
          <w:p>
            <w:pPr>
              <w:spacing w:after="0"/>
              <w:rPr>
                <w:sz w:val="19"/>
                <w:szCs w:val="19"/>
                <w:color w:val="auto"/>
              </w:rPr>
            </w:pPr>
          </w:p>
        </w:tc>
      </w:tr>
      <w:tr>
        <w:trPr>
          <w:trHeight w:val="223"/>
        </w:trPr>
        <w:tc>
          <w:tcPr>
            <w:tcW w:w="5140" w:type="dxa"/>
            <w:vAlign w:val="bottom"/>
          </w:tcPr>
          <w:p>
            <w:pPr>
              <w:ind w:left="480"/>
              <w:spacing w:after="0"/>
              <w:rPr>
                <w:sz w:val="20"/>
                <w:szCs w:val="20"/>
                <w:color w:val="auto"/>
              </w:rPr>
            </w:pPr>
            <w:r>
              <w:rPr>
                <w:rFonts w:ascii="Arial" w:cs="Arial" w:eastAsia="Arial" w:hAnsi="Arial"/>
                <w:sz w:val="18"/>
                <w:szCs w:val="18"/>
                <w:color w:val="auto"/>
              </w:rPr>
              <w:t>Total new investment commitments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435.5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355.6</w:t>
            </w:r>
          </w:p>
        </w:tc>
        <w:tc>
          <w:tcPr>
            <w:tcW w:w="180" w:type="dxa"/>
            <w:vAlign w:val="bottom"/>
          </w:tcPr>
          <w:p>
            <w:pPr>
              <w:spacing w:after="0"/>
              <w:rPr>
                <w:sz w:val="19"/>
                <w:szCs w:val="19"/>
                <w:color w:val="auto"/>
              </w:rPr>
            </w:pPr>
          </w:p>
        </w:tc>
      </w:tr>
      <w:tr>
        <w:trPr>
          <w:trHeight w:val="229"/>
        </w:trPr>
        <w:tc>
          <w:tcPr>
            <w:tcW w:w="5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Principal amount of investments funded:</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29"/>
        </w:trPr>
        <w:tc>
          <w:tcPr>
            <w:tcW w:w="5140" w:type="dxa"/>
            <w:vAlign w:val="bottom"/>
          </w:tcPr>
          <w:p>
            <w:pPr>
              <w:ind w:left="240"/>
              <w:spacing w:after="0"/>
              <w:rPr>
                <w:sz w:val="20"/>
                <w:szCs w:val="20"/>
                <w:color w:val="auto"/>
              </w:rPr>
            </w:pPr>
            <w:r>
              <w:rPr>
                <w:rFonts w:ascii="Arial" w:cs="Arial" w:eastAsia="Arial" w:hAnsi="Arial"/>
                <w:sz w:val="18"/>
                <w:szCs w:val="18"/>
                <w:color w:val="auto"/>
              </w:rPr>
              <w:t>First-lien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324.2</w:t>
            </w:r>
          </w:p>
        </w:tc>
        <w:tc>
          <w:tcPr>
            <w:tcW w:w="2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298.9</w:t>
            </w:r>
          </w:p>
        </w:tc>
        <w:tc>
          <w:tcPr>
            <w:tcW w:w="180" w:type="dxa"/>
            <w:vAlign w:val="bottom"/>
          </w:tcPr>
          <w:p>
            <w:pPr>
              <w:spacing w:after="0"/>
              <w:rPr>
                <w:sz w:val="19"/>
                <w:szCs w:val="19"/>
                <w:color w:val="auto"/>
              </w:rPr>
            </w:pPr>
          </w:p>
        </w:tc>
      </w:tr>
      <w:tr>
        <w:trPr>
          <w:trHeight w:val="230"/>
        </w:trPr>
        <w:tc>
          <w:tcPr>
            <w:tcW w:w="5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Second-lien</w:t>
            </w: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180" w:type="dxa"/>
            <w:vAlign w:val="bottom"/>
            <w:shd w:val="clear" w:color="auto" w:fill="CFF0FC"/>
          </w:tcPr>
          <w:p>
            <w:pPr>
              <w:spacing w:after="0"/>
              <w:rPr>
                <w:sz w:val="19"/>
                <w:szCs w:val="19"/>
                <w:color w:val="auto"/>
              </w:rPr>
            </w:pPr>
          </w:p>
        </w:tc>
      </w:tr>
      <w:tr>
        <w:trPr>
          <w:trHeight w:val="229"/>
        </w:trPr>
        <w:tc>
          <w:tcPr>
            <w:tcW w:w="5140" w:type="dxa"/>
            <w:vAlign w:val="bottom"/>
          </w:tcPr>
          <w:p>
            <w:pPr>
              <w:ind w:left="240"/>
              <w:spacing w:after="0"/>
              <w:rPr>
                <w:sz w:val="20"/>
                <w:szCs w:val="20"/>
                <w:color w:val="auto"/>
              </w:rPr>
            </w:pPr>
            <w:r>
              <w:rPr>
                <w:rFonts w:ascii="Arial" w:cs="Arial" w:eastAsia="Arial" w:hAnsi="Arial"/>
                <w:sz w:val="18"/>
                <w:szCs w:val="18"/>
                <w:color w:val="auto"/>
              </w:rPr>
              <w:t>Mezzanine</w:t>
            </w:r>
          </w:p>
        </w:tc>
        <w:tc>
          <w:tcPr>
            <w:tcW w:w="10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29"/>
        </w:trPr>
        <w:tc>
          <w:tcPr>
            <w:tcW w:w="5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Equity and other</w:t>
            </w: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FF0FC"/>
          </w:tcPr>
          <w:p>
            <w:pPr>
              <w:spacing w:after="0"/>
              <w:rPr>
                <w:sz w:val="19"/>
                <w:szCs w:val="19"/>
                <w:color w:val="auto"/>
              </w:rPr>
            </w:pPr>
          </w:p>
        </w:tc>
      </w:tr>
      <w:tr>
        <w:trPr>
          <w:trHeight w:val="223"/>
        </w:trPr>
        <w:tc>
          <w:tcPr>
            <w:tcW w:w="5140" w:type="dxa"/>
            <w:vAlign w:val="bottom"/>
          </w:tcPr>
          <w:p>
            <w:pPr>
              <w:ind w:left="48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332.3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309.1</w:t>
            </w:r>
          </w:p>
        </w:tc>
        <w:tc>
          <w:tcPr>
            <w:tcW w:w="180" w:type="dxa"/>
            <w:vAlign w:val="bottom"/>
          </w:tcPr>
          <w:p>
            <w:pPr>
              <w:spacing w:after="0"/>
              <w:rPr>
                <w:sz w:val="19"/>
                <w:szCs w:val="19"/>
                <w:color w:val="auto"/>
              </w:rPr>
            </w:pPr>
          </w:p>
        </w:tc>
      </w:tr>
      <w:tr>
        <w:trPr>
          <w:trHeight w:val="229"/>
        </w:trPr>
        <w:tc>
          <w:tcPr>
            <w:tcW w:w="5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Principal amount of investments sold or repaid:</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5140" w:type="dxa"/>
            <w:vAlign w:val="bottom"/>
          </w:tcPr>
          <w:p>
            <w:pPr>
              <w:ind w:left="240"/>
              <w:spacing w:after="0"/>
              <w:rPr>
                <w:sz w:val="20"/>
                <w:szCs w:val="20"/>
                <w:color w:val="auto"/>
              </w:rPr>
            </w:pPr>
            <w:r>
              <w:rPr>
                <w:rFonts w:ascii="Arial" w:cs="Arial" w:eastAsia="Arial" w:hAnsi="Arial"/>
                <w:sz w:val="18"/>
                <w:szCs w:val="18"/>
                <w:color w:val="auto"/>
              </w:rPr>
              <w:t>First-lien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247.6</w:t>
            </w:r>
          </w:p>
        </w:tc>
        <w:tc>
          <w:tcPr>
            <w:tcW w:w="2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305.8</w:t>
            </w:r>
          </w:p>
        </w:tc>
        <w:tc>
          <w:tcPr>
            <w:tcW w:w="180" w:type="dxa"/>
            <w:vAlign w:val="bottom"/>
          </w:tcPr>
          <w:p>
            <w:pPr>
              <w:spacing w:after="0"/>
              <w:rPr>
                <w:sz w:val="19"/>
                <w:szCs w:val="19"/>
                <w:color w:val="auto"/>
              </w:rPr>
            </w:pPr>
          </w:p>
        </w:tc>
      </w:tr>
      <w:tr>
        <w:trPr>
          <w:trHeight w:val="229"/>
        </w:trPr>
        <w:tc>
          <w:tcPr>
            <w:tcW w:w="5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Second-lien</w:t>
            </w: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r>
      <w:tr>
        <w:trPr>
          <w:trHeight w:val="230"/>
        </w:trPr>
        <w:tc>
          <w:tcPr>
            <w:tcW w:w="5140" w:type="dxa"/>
            <w:vAlign w:val="bottom"/>
          </w:tcPr>
          <w:p>
            <w:pPr>
              <w:ind w:left="240"/>
              <w:spacing w:after="0"/>
              <w:rPr>
                <w:sz w:val="20"/>
                <w:szCs w:val="20"/>
                <w:color w:val="auto"/>
              </w:rPr>
            </w:pPr>
            <w:r>
              <w:rPr>
                <w:rFonts w:ascii="Arial" w:cs="Arial" w:eastAsia="Arial" w:hAnsi="Arial"/>
                <w:sz w:val="18"/>
                <w:szCs w:val="18"/>
                <w:color w:val="auto"/>
              </w:rPr>
              <w:t>Mezzanine</w:t>
            </w:r>
          </w:p>
        </w:tc>
        <w:tc>
          <w:tcPr>
            <w:tcW w:w="10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29"/>
        </w:trPr>
        <w:tc>
          <w:tcPr>
            <w:tcW w:w="5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Equity and other</w:t>
            </w: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80" w:type="dxa"/>
            <w:vAlign w:val="bottom"/>
            <w:shd w:val="clear" w:color="auto" w:fill="CFF0FC"/>
          </w:tcPr>
          <w:p>
            <w:pPr>
              <w:spacing w:after="0"/>
              <w:rPr>
                <w:sz w:val="19"/>
                <w:szCs w:val="19"/>
                <w:color w:val="auto"/>
              </w:rPr>
            </w:pPr>
          </w:p>
        </w:tc>
      </w:tr>
      <w:tr>
        <w:trPr>
          <w:trHeight w:val="223"/>
        </w:trPr>
        <w:tc>
          <w:tcPr>
            <w:tcW w:w="51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253.1</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309.9</w:t>
            </w:r>
          </w:p>
        </w:tc>
        <w:tc>
          <w:tcPr>
            <w:tcW w:w="180" w:type="dxa"/>
            <w:vAlign w:val="bottom"/>
            <w:tcBorders>
              <w:bottom w:val="single" w:sz="8" w:color="CFF0FC"/>
            </w:tcBorders>
          </w:tcPr>
          <w:p>
            <w:pPr>
              <w:spacing w:after="0"/>
              <w:rPr>
                <w:sz w:val="19"/>
                <w:szCs w:val="19"/>
                <w:color w:val="auto"/>
              </w:rPr>
            </w:pPr>
          </w:p>
        </w:tc>
      </w:tr>
      <w:tr>
        <w:trPr>
          <w:trHeight w:val="205"/>
        </w:trPr>
        <w:tc>
          <w:tcPr>
            <w:tcW w:w="5140" w:type="dxa"/>
            <w:vAlign w:val="bottom"/>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Number of new investment commitments in</w:t>
            </w: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234"/>
        </w:trPr>
        <w:tc>
          <w:tcPr>
            <w:tcW w:w="514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new portfolio companies</w:t>
            </w:r>
          </w:p>
        </w:tc>
        <w:tc>
          <w:tcPr>
            <w:tcW w:w="1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FF0FC"/>
          </w:tcPr>
          <w:p>
            <w:pPr>
              <w:spacing w:after="0"/>
              <w:rPr>
                <w:sz w:val="20"/>
                <w:szCs w:val="20"/>
                <w:color w:val="auto"/>
              </w:rPr>
            </w:pPr>
          </w:p>
        </w:tc>
      </w:tr>
      <w:tr>
        <w:trPr>
          <w:trHeight w:val="211"/>
        </w:trPr>
        <w:tc>
          <w:tcPr>
            <w:tcW w:w="5140" w:type="dxa"/>
            <w:vAlign w:val="bottom"/>
          </w:tcPr>
          <w:p>
            <w:pPr>
              <w:spacing w:after="0"/>
              <w:rPr>
                <w:sz w:val="20"/>
                <w:szCs w:val="20"/>
                <w:color w:val="auto"/>
              </w:rPr>
            </w:pPr>
            <w:r>
              <w:rPr>
                <w:rFonts w:ascii="Arial" w:cs="Arial" w:eastAsia="Arial" w:hAnsi="Arial"/>
                <w:sz w:val="18"/>
                <w:szCs w:val="18"/>
                <w:b w:val="1"/>
                <w:bCs w:val="1"/>
                <w:color w:val="auto"/>
              </w:rPr>
              <w:t>Average new investment commitment amount in</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5140" w:type="dxa"/>
            <w:vAlign w:val="bottom"/>
          </w:tcPr>
          <w:p>
            <w:pPr>
              <w:ind w:left="140"/>
              <w:spacing w:after="0"/>
              <w:rPr>
                <w:sz w:val="20"/>
                <w:szCs w:val="20"/>
                <w:color w:val="auto"/>
              </w:rPr>
            </w:pPr>
            <w:r>
              <w:rPr>
                <w:rFonts w:ascii="Arial" w:cs="Arial" w:eastAsia="Arial" w:hAnsi="Arial"/>
                <w:sz w:val="18"/>
                <w:szCs w:val="18"/>
                <w:b w:val="1"/>
                <w:bCs w:val="1"/>
                <w:color w:val="auto"/>
              </w:rPr>
              <w:t>new portfolio companies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34.8</w:t>
            </w:r>
          </w:p>
        </w:tc>
        <w:tc>
          <w:tcPr>
            <w:tcW w:w="22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43.6</w:t>
            </w:r>
          </w:p>
        </w:tc>
        <w:tc>
          <w:tcPr>
            <w:tcW w:w="180" w:type="dxa"/>
            <w:vAlign w:val="bottom"/>
          </w:tcPr>
          <w:p>
            <w:pPr>
              <w:spacing w:after="0"/>
              <w:rPr>
                <w:sz w:val="20"/>
                <w:szCs w:val="20"/>
                <w:color w:val="auto"/>
              </w:rPr>
            </w:pPr>
          </w:p>
        </w:tc>
      </w:tr>
      <w:tr>
        <w:trPr>
          <w:trHeight w:val="211"/>
        </w:trPr>
        <w:tc>
          <w:tcPr>
            <w:tcW w:w="5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 average term for new investment</w:t>
            </w: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514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commitments in new portfolio companies</w:t>
            </w: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4"/>
        </w:trPr>
        <w:tc>
          <w:tcPr>
            <w:tcW w:w="514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(in years)</w:t>
            </w:r>
          </w:p>
        </w:tc>
        <w:tc>
          <w:tcPr>
            <w:tcW w:w="1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80" w:type="dxa"/>
            <w:vAlign w:val="bottom"/>
            <w:shd w:val="clear" w:color="auto" w:fill="CFF0FC"/>
          </w:tcPr>
          <w:p>
            <w:pPr>
              <w:spacing w:after="0"/>
              <w:rPr>
                <w:sz w:val="20"/>
                <w:szCs w:val="20"/>
                <w:color w:val="auto"/>
              </w:rPr>
            </w:pPr>
          </w:p>
        </w:tc>
      </w:tr>
      <w:tr>
        <w:trPr>
          <w:trHeight w:val="211"/>
        </w:trPr>
        <w:tc>
          <w:tcPr>
            <w:tcW w:w="5140" w:type="dxa"/>
            <w:vAlign w:val="bottom"/>
          </w:tcPr>
          <w:p>
            <w:pPr>
              <w:spacing w:after="0"/>
              <w:rPr>
                <w:sz w:val="20"/>
                <w:szCs w:val="20"/>
                <w:color w:val="auto"/>
              </w:rPr>
            </w:pPr>
            <w:r>
              <w:rPr>
                <w:rFonts w:ascii="Arial" w:cs="Arial" w:eastAsia="Arial" w:hAnsi="Arial"/>
                <w:sz w:val="18"/>
                <w:szCs w:val="18"/>
                <w:b w:val="1"/>
                <w:bCs w:val="1"/>
                <w:color w:val="auto"/>
              </w:rPr>
              <w:t>Percentage of new debt investment commitments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5140" w:type="dxa"/>
            <w:vAlign w:val="bottom"/>
          </w:tcPr>
          <w:p>
            <w:pPr>
              <w:ind w:left="140"/>
              <w:spacing w:after="0"/>
              <w:rPr>
                <w:sz w:val="20"/>
                <w:szCs w:val="20"/>
                <w:color w:val="auto"/>
              </w:rPr>
            </w:pPr>
            <w:r>
              <w:rPr>
                <w:rFonts w:ascii="Arial" w:cs="Arial" w:eastAsia="Arial" w:hAnsi="Arial"/>
                <w:sz w:val="18"/>
                <w:szCs w:val="18"/>
                <w:b w:val="1"/>
                <w:bCs w:val="1"/>
                <w:color w:val="auto"/>
              </w:rPr>
              <w:t xml:space="preserve">at floating rates </w:t>
            </w:r>
            <w:r>
              <w:rPr>
                <w:rFonts w:ascii="Arial" w:cs="Arial" w:eastAsia="Arial" w:hAnsi="Arial"/>
                <w:sz w:val="15"/>
                <w:szCs w:val="15"/>
                <w:b w:val="1"/>
                <w:bCs w:val="1"/>
                <w:color w:val="auto"/>
              </w:rPr>
              <w:t>(1)</w:t>
            </w:r>
          </w:p>
        </w:tc>
        <w:tc>
          <w:tcPr>
            <w:tcW w:w="10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r>
      <w:tr>
        <w:trPr>
          <w:trHeight w:val="211"/>
        </w:trPr>
        <w:tc>
          <w:tcPr>
            <w:tcW w:w="5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Percentage of new debt investment commitments</w:t>
            </w: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4"/>
        </w:trPr>
        <w:tc>
          <w:tcPr>
            <w:tcW w:w="514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at fixed rates</w:t>
            </w:r>
          </w:p>
        </w:tc>
        <w:tc>
          <w:tcPr>
            <w:tcW w:w="1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0.0%</w:t>
            </w:r>
          </w:p>
        </w:tc>
      </w:tr>
      <w:tr>
        <w:trPr>
          <w:trHeight w:val="211"/>
        </w:trPr>
        <w:tc>
          <w:tcPr>
            <w:tcW w:w="5140" w:type="dxa"/>
            <w:vAlign w:val="bottom"/>
          </w:tcPr>
          <w:p>
            <w:pPr>
              <w:spacing w:after="0"/>
              <w:rPr>
                <w:sz w:val="20"/>
                <w:szCs w:val="20"/>
                <w:color w:val="auto"/>
              </w:rPr>
            </w:pPr>
            <w:r>
              <w:rPr>
                <w:rFonts w:ascii="Arial" w:cs="Arial" w:eastAsia="Arial" w:hAnsi="Arial"/>
                <w:sz w:val="18"/>
                <w:szCs w:val="18"/>
                <w:b w:val="1"/>
                <w:bCs w:val="1"/>
                <w:color w:val="auto"/>
              </w:rPr>
              <w:t>Weighted average interest rate of new</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5140" w:type="dxa"/>
            <w:vAlign w:val="bottom"/>
          </w:tcPr>
          <w:p>
            <w:pPr>
              <w:ind w:left="140"/>
              <w:spacing w:after="0"/>
              <w:rPr>
                <w:sz w:val="20"/>
                <w:szCs w:val="20"/>
                <w:color w:val="auto"/>
              </w:rPr>
            </w:pPr>
            <w:r>
              <w:rPr>
                <w:rFonts w:ascii="Arial" w:cs="Arial" w:eastAsia="Arial" w:hAnsi="Arial"/>
                <w:sz w:val="18"/>
                <w:szCs w:val="18"/>
                <w:b w:val="1"/>
                <w:bCs w:val="1"/>
                <w:color w:val="auto"/>
              </w:rPr>
              <w:t>investment commitments</w:t>
            </w:r>
          </w:p>
        </w:tc>
        <w:tc>
          <w:tcPr>
            <w:tcW w:w="10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9.5%</w:t>
            </w:r>
          </w:p>
        </w:tc>
      </w:tr>
      <w:tr>
        <w:trPr>
          <w:trHeight w:val="211"/>
        </w:trPr>
        <w:tc>
          <w:tcPr>
            <w:tcW w:w="5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 average spread over LIBOR of new</w:t>
            </w: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4"/>
        </w:trPr>
        <w:tc>
          <w:tcPr>
            <w:tcW w:w="514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 xml:space="preserve">floating rate investment commitments </w:t>
            </w:r>
            <w:r>
              <w:rPr>
                <w:rFonts w:ascii="Arial" w:cs="Arial" w:eastAsia="Arial" w:hAnsi="Arial"/>
                <w:sz w:val="15"/>
                <w:szCs w:val="15"/>
                <w:b w:val="1"/>
                <w:bCs w:val="1"/>
                <w:color w:val="auto"/>
              </w:rPr>
              <w:t>(1)</w:t>
            </w:r>
          </w:p>
        </w:tc>
        <w:tc>
          <w:tcPr>
            <w:tcW w:w="1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10.1%</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7.6%</w:t>
            </w:r>
          </w:p>
        </w:tc>
      </w:tr>
      <w:tr>
        <w:trPr>
          <w:trHeight w:val="211"/>
        </w:trPr>
        <w:tc>
          <w:tcPr>
            <w:tcW w:w="5140" w:type="dxa"/>
            <w:vAlign w:val="bottom"/>
          </w:tcPr>
          <w:p>
            <w:pPr>
              <w:spacing w:after="0"/>
              <w:rPr>
                <w:sz w:val="20"/>
                <w:szCs w:val="20"/>
                <w:color w:val="auto"/>
              </w:rPr>
            </w:pPr>
            <w:r>
              <w:rPr>
                <w:rFonts w:ascii="Arial" w:cs="Arial" w:eastAsia="Arial" w:hAnsi="Arial"/>
                <w:sz w:val="18"/>
                <w:szCs w:val="18"/>
                <w:b w:val="1"/>
                <w:bCs w:val="1"/>
                <w:color w:val="auto"/>
              </w:rPr>
              <w:t>Weighted average interest rate on investments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5140" w:type="dxa"/>
            <w:vAlign w:val="bottom"/>
          </w:tcPr>
          <w:p>
            <w:pPr>
              <w:ind w:left="140"/>
              <w:spacing w:after="0"/>
              <w:rPr>
                <w:sz w:val="20"/>
                <w:szCs w:val="20"/>
                <w:color w:val="auto"/>
              </w:rPr>
            </w:pPr>
            <w:r>
              <w:rPr>
                <w:rFonts w:ascii="Arial" w:cs="Arial" w:eastAsia="Arial" w:hAnsi="Arial"/>
                <w:sz w:val="18"/>
                <w:szCs w:val="18"/>
                <w:b w:val="1"/>
                <w:bCs w:val="1"/>
                <w:color w:val="auto"/>
              </w:rPr>
              <w:t>fully sold or paid down</w:t>
            </w:r>
          </w:p>
        </w:tc>
        <w:tc>
          <w:tcPr>
            <w:tcW w:w="10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12.2%</w:t>
            </w:r>
          </w:p>
        </w:tc>
      </w:tr>
    </w:tbl>
    <w:p>
      <w:pPr>
        <w:spacing w:after="0" w:line="215" w:lineRule="exact"/>
        <w:rPr>
          <w:sz w:val="20"/>
          <w:szCs w:val="20"/>
          <w:color w:val="auto"/>
        </w:rPr>
      </w:pPr>
    </w:p>
    <w:p>
      <w:pPr>
        <w:ind w:left="500" w:right="20" w:hanging="492"/>
        <w:spacing w:after="0" w:line="277" w:lineRule="auto"/>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two fixed rate investments for the three months ended September 30, 2019, for which we entered into interest rate swap agreements to swap to floating rates.</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September 30, 2020 and December 31, 2019, our investments consisted of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40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180" w:type="dxa"/>
            <w:vAlign w:val="bottom"/>
          </w:tcPr>
          <w:p>
            <w:pPr>
              <w:spacing w:after="0"/>
              <w:rPr>
                <w:sz w:val="14"/>
                <w:szCs w:val="14"/>
                <w:color w:val="auto"/>
              </w:rPr>
            </w:pPr>
          </w:p>
        </w:tc>
        <w:tc>
          <w:tcPr>
            <w:tcW w:w="2480" w:type="dxa"/>
            <w:vAlign w:val="bottom"/>
            <w:gridSpan w:val="4"/>
          </w:tcPr>
          <w:p>
            <w:pPr>
              <w:jc w:val="right"/>
              <w:ind w:right="653"/>
              <w:spacing w:after="0"/>
              <w:rPr>
                <w:sz w:val="20"/>
                <w:szCs w:val="20"/>
                <w:color w:val="auto"/>
              </w:rPr>
            </w:pPr>
            <w:r>
              <w:rPr>
                <w:rFonts w:ascii="Arial" w:cs="Arial" w:eastAsia="Arial" w:hAnsi="Arial"/>
                <w:sz w:val="14"/>
                <w:szCs w:val="14"/>
                <w:b w:val="1"/>
                <w:bCs w:val="1"/>
                <w:color w:val="auto"/>
              </w:rPr>
              <w:t>September 30, 2020</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20" w:type="dxa"/>
            <w:vAlign w:val="bottom"/>
            <w:gridSpan w:val="5"/>
          </w:tcPr>
          <w:p>
            <w:pPr>
              <w:ind w:left="580"/>
              <w:spacing w:after="0"/>
              <w:rPr>
                <w:sz w:val="20"/>
                <w:szCs w:val="20"/>
                <w:color w:val="auto"/>
              </w:rPr>
            </w:pPr>
            <w:r>
              <w:rPr>
                <w:rFonts w:ascii="Arial" w:cs="Arial" w:eastAsia="Arial" w:hAnsi="Arial"/>
                <w:sz w:val="14"/>
                <w:szCs w:val="14"/>
                <w:b w:val="1"/>
                <w:bCs w:val="1"/>
                <w:color w:val="auto"/>
              </w:rPr>
              <w:t>December 31, 2019</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4400" w:type="dxa"/>
            <w:vAlign w:val="bottom"/>
            <w:tcBorders>
              <w:bottom w:val="single" w:sz="8" w:color="CFF0FC"/>
            </w:tcBorders>
            <w:vMerge w:val="continue"/>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215"/>
              <w:spacing w:after="0" w:line="155" w:lineRule="exact"/>
              <w:rPr>
                <w:sz w:val="20"/>
                <w:szCs w:val="20"/>
                <w:color w:val="auto"/>
              </w:rPr>
            </w:pPr>
            <w:r>
              <w:rPr>
                <w:rFonts w:ascii="Arial" w:cs="Arial" w:eastAsia="Arial" w:hAnsi="Arial"/>
                <w:sz w:val="14"/>
                <w:szCs w:val="14"/>
                <w:b w:val="1"/>
                <w:bCs w:val="1"/>
                <w:color w:val="auto"/>
              </w:rPr>
              <w:t>Fair Value</w:t>
            </w:r>
          </w:p>
        </w:tc>
        <w:tc>
          <w:tcPr>
            <w:tcW w:w="22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33"/>
              <w:spacing w:after="0" w:line="155" w:lineRule="exact"/>
              <w:rPr>
                <w:sz w:val="20"/>
                <w:szCs w:val="20"/>
                <w:color w:val="auto"/>
              </w:rPr>
            </w:pPr>
            <w:r>
              <w:rPr>
                <w:rFonts w:ascii="Arial" w:cs="Arial" w:eastAsia="Arial" w:hAnsi="Arial"/>
                <w:sz w:val="14"/>
                <w:szCs w:val="14"/>
                <w:b w:val="1"/>
                <w:bCs w:val="1"/>
                <w:color w:val="auto"/>
                <w:w w:val="94"/>
              </w:rPr>
              <w:t>Amortized Cost</w:t>
            </w:r>
          </w:p>
        </w:tc>
        <w:tc>
          <w:tcPr>
            <w:tcW w:w="24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215"/>
              <w:spacing w:after="0" w:line="155" w:lineRule="exact"/>
              <w:rPr>
                <w:sz w:val="20"/>
                <w:szCs w:val="20"/>
                <w:color w:val="auto"/>
              </w:rPr>
            </w:pPr>
            <w:r>
              <w:rPr>
                <w:rFonts w:ascii="Arial" w:cs="Arial" w:eastAsia="Arial" w:hAnsi="Arial"/>
                <w:sz w:val="14"/>
                <w:szCs w:val="14"/>
                <w:b w:val="1"/>
                <w:bCs w:val="1"/>
                <w:color w:val="auto"/>
              </w:rPr>
              <w:t>Fair Value</w:t>
            </w:r>
          </w:p>
        </w:tc>
        <w:tc>
          <w:tcPr>
            <w:tcW w:w="24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3"/>
              <w:spacing w:after="0" w:line="155" w:lineRule="exact"/>
              <w:rPr>
                <w:sz w:val="20"/>
                <w:szCs w:val="20"/>
                <w:color w:val="auto"/>
              </w:rPr>
            </w:pPr>
            <w:r>
              <w:rPr>
                <w:rFonts w:ascii="Arial" w:cs="Arial" w:eastAsia="Arial" w:hAnsi="Arial"/>
                <w:sz w:val="14"/>
                <w:szCs w:val="14"/>
                <w:b w:val="1"/>
                <w:bCs w:val="1"/>
                <w:color w:val="auto"/>
                <w:w w:val="92"/>
              </w:rPr>
              <w:t>Amortized Cost</w:t>
            </w:r>
          </w:p>
        </w:tc>
        <w:tc>
          <w:tcPr>
            <w:tcW w:w="120" w:type="dxa"/>
            <w:vAlign w:val="bottom"/>
            <w:tcBorders>
              <w:bottom w:val="single" w:sz="8" w:color="CFF0FC"/>
            </w:tcBorders>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1,995.3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1,980.6</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2,166.2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2,134.1</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Mezzanine debt investments</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Equity and other investments</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w:t>
            </w:r>
          </w:p>
        </w:tc>
        <w:tc>
          <w:tcPr>
            <w:tcW w:w="12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2,100.8</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2,099.6</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2,245.9</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2,238.0</w:t>
            </w:r>
          </w:p>
        </w:tc>
        <w:tc>
          <w:tcPr>
            <w:tcW w:w="120" w:type="dxa"/>
            <w:vAlign w:val="bottom"/>
            <w:tcBorders>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ind w:right="395"/>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4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57" w:right="319" w:bottom="1440" w:gutter="0" w:footer="0" w:header="0"/>
        </w:sectPr>
      </w:pPr>
    </w:p>
    <w:bookmarkStart w:id="53" w:name="page54"/>
    <w:bookmarkEnd w:id="53"/>
    <w:p>
      <w:pPr>
        <w:ind w:left="260"/>
        <w:spacing w:after="0"/>
        <w:rPr>
          <w:sz w:val="20"/>
          <w:szCs w:val="20"/>
          <w:color w:val="auto"/>
        </w:rPr>
      </w:pPr>
      <w:r>
        <w:rPr>
          <w:rFonts w:ascii="Arial" w:cs="Arial" w:eastAsia="Arial" w:hAnsi="Arial"/>
          <w:sz w:val="17"/>
          <w:szCs w:val="17"/>
          <w:color w:val="auto"/>
        </w:rPr>
        <w:t>The following tables show the fair value and amortized cost of our performing and non-accrual investments as of September 30, 2020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w:t>
      </w:r>
    </w:p>
    <w:p>
      <w:pPr>
        <w:spacing w:after="0" w:line="28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18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40" w:type="dxa"/>
            <w:vAlign w:val="bottom"/>
            <w:gridSpan w:val="6"/>
          </w:tcPr>
          <w:p>
            <w:pPr>
              <w:jc w:val="right"/>
              <w:ind w:right="1010"/>
              <w:spacing w:after="0"/>
              <w:rPr>
                <w:sz w:val="20"/>
                <w:szCs w:val="20"/>
                <w:color w:val="auto"/>
              </w:rPr>
            </w:pPr>
            <w:r>
              <w:rPr>
                <w:rFonts w:ascii="Arial" w:cs="Arial" w:eastAsia="Arial" w:hAnsi="Arial"/>
                <w:sz w:val="14"/>
                <w:szCs w:val="14"/>
                <w:b w:val="1"/>
                <w:bCs w:val="1"/>
                <w:color w:val="auto"/>
              </w:rPr>
              <w:t>September 30, 2020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60" w:type="dxa"/>
            <w:vAlign w:val="bottom"/>
            <w:gridSpan w:val="4"/>
          </w:tcPr>
          <w:p>
            <w:pPr>
              <w:jc w:val="right"/>
              <w:ind w:right="85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56"/>
        </w:trPr>
        <w:tc>
          <w:tcPr>
            <w:tcW w:w="4180" w:type="dxa"/>
            <w:vAlign w:val="bottom"/>
            <w:tcBorders>
              <w:bottom w:val="single" w:sz="8" w:color="CFF0FC"/>
            </w:tcBorders>
            <w:vMerge w:val="continue"/>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197"/>
              <w:spacing w:after="0" w:line="155" w:lineRule="exact"/>
              <w:rPr>
                <w:sz w:val="20"/>
                <w:szCs w:val="20"/>
                <w:color w:val="auto"/>
              </w:rPr>
            </w:pPr>
            <w:r>
              <w:rPr>
                <w:rFonts w:ascii="Arial" w:cs="Arial" w:eastAsia="Arial" w:hAnsi="Arial"/>
                <w:sz w:val="14"/>
                <w:szCs w:val="14"/>
                <w:b w:val="1"/>
                <w:bCs w:val="1"/>
                <w:color w:val="auto"/>
              </w:rPr>
              <w:t>Fair Value</w:t>
            </w:r>
          </w:p>
        </w:tc>
        <w:tc>
          <w:tcPr>
            <w:tcW w:w="300" w:type="dxa"/>
            <w:vAlign w:val="bottom"/>
            <w:tcBorders>
              <w:top w:val="single" w:sz="8" w:color="auto"/>
              <w:bottom w:val="single" w:sz="8" w:color="CFF0FC"/>
            </w:tcBorders>
            <w:gridSpan w:val="2"/>
          </w:tcPr>
          <w:p>
            <w:pPr>
              <w:spacing w:after="0"/>
              <w:rPr>
                <w:sz w:val="13"/>
                <w:szCs w:val="13"/>
                <w:color w:val="auto"/>
              </w:rPr>
            </w:pPr>
          </w:p>
        </w:tc>
        <w:tc>
          <w:tcPr>
            <w:tcW w:w="1180" w:type="dxa"/>
            <w:vAlign w:val="bottom"/>
            <w:tcBorders>
              <w:top w:val="single" w:sz="8" w:color="auto"/>
              <w:bottom w:val="single" w:sz="8" w:color="auto"/>
            </w:tcBorders>
            <w:gridSpan w:val="2"/>
          </w:tcPr>
          <w:p>
            <w:pPr>
              <w:jc w:val="right"/>
              <w:ind w:right="170"/>
              <w:spacing w:after="0" w:line="155" w:lineRule="exact"/>
              <w:rPr>
                <w:sz w:val="20"/>
                <w:szCs w:val="20"/>
                <w:color w:val="auto"/>
              </w:rPr>
            </w:pPr>
            <w:r>
              <w:rPr>
                <w:rFonts w:ascii="Arial" w:cs="Arial" w:eastAsia="Arial" w:hAnsi="Arial"/>
                <w:sz w:val="14"/>
                <w:szCs w:val="14"/>
                <w:b w:val="1"/>
                <w:bCs w:val="1"/>
                <w:color w:val="auto"/>
              </w:rPr>
              <w:t>Percentage</w:t>
            </w:r>
          </w:p>
        </w:tc>
        <w:tc>
          <w:tcPr>
            <w:tcW w:w="3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197"/>
              <w:spacing w:after="0" w:line="155" w:lineRule="exact"/>
              <w:rPr>
                <w:sz w:val="20"/>
                <w:szCs w:val="20"/>
                <w:color w:val="auto"/>
              </w:rPr>
            </w:pPr>
            <w:r>
              <w:rPr>
                <w:rFonts w:ascii="Arial" w:cs="Arial" w:eastAsia="Arial" w:hAnsi="Arial"/>
                <w:sz w:val="14"/>
                <w:szCs w:val="14"/>
                <w:b w:val="1"/>
                <w:bCs w:val="1"/>
                <w:color w:val="auto"/>
              </w:rPr>
              <w:t>Fair Value</w:t>
            </w:r>
          </w:p>
        </w:tc>
        <w:tc>
          <w:tcPr>
            <w:tcW w:w="280" w:type="dxa"/>
            <w:vAlign w:val="bottom"/>
            <w:tcBorders>
              <w:top w:val="single" w:sz="8" w:color="auto"/>
              <w:bottom w:val="single" w:sz="8" w:color="CFF0FC"/>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Percentage</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Performing</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2,081.1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99.1</w:t>
            </w:r>
          </w:p>
        </w:tc>
        <w:tc>
          <w:tcPr>
            <w:tcW w:w="3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87"/>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2,245.9</w:t>
            </w:r>
          </w:p>
        </w:tc>
        <w:tc>
          <w:tcPr>
            <w:tcW w:w="2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4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Non-accrual </w:t>
            </w:r>
            <w:r>
              <w:rPr>
                <w:rFonts w:ascii="Arial" w:cs="Arial" w:eastAsia="Arial" w:hAnsi="Arial"/>
                <w:sz w:val="15"/>
                <w:szCs w:val="15"/>
                <w:color w:val="auto"/>
              </w:rPr>
              <w:t>(1)</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0.9</w:t>
            </w:r>
          </w:p>
        </w:tc>
        <w:tc>
          <w:tcPr>
            <w:tcW w:w="3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80" w:type="dxa"/>
            <w:vAlign w:val="bottom"/>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2,100.8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540" w:type="dxa"/>
            <w:vAlign w:val="bottom"/>
            <w:gridSpan w:val="3"/>
            <w:shd w:val="clear" w:color="auto" w:fill="CFF0FC"/>
          </w:tcPr>
          <w:p>
            <w:pPr>
              <w:jc w:val="right"/>
              <w:ind w:right="110"/>
              <w:spacing w:after="0"/>
              <w:rPr>
                <w:sz w:val="20"/>
                <w:szCs w:val="20"/>
                <w:color w:val="auto"/>
              </w:rPr>
            </w:pPr>
            <w:r>
              <w:rPr>
                <w:rFonts w:ascii="Arial" w:cs="Arial" w:eastAsia="Arial" w:hAnsi="Arial"/>
                <w:sz w:val="18"/>
                <w:szCs w:val="18"/>
                <w:color w:val="auto"/>
              </w:rPr>
              <w:t>100.0%</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2,245.9</w:t>
            </w: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41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18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40" w:type="dxa"/>
            <w:vAlign w:val="bottom"/>
            <w:gridSpan w:val="6"/>
          </w:tcPr>
          <w:p>
            <w:pPr>
              <w:jc w:val="right"/>
              <w:ind w:right="1030"/>
              <w:spacing w:after="0"/>
              <w:rPr>
                <w:sz w:val="20"/>
                <w:szCs w:val="20"/>
                <w:color w:val="auto"/>
              </w:rPr>
            </w:pPr>
            <w:r>
              <w:rPr>
                <w:rFonts w:ascii="Arial" w:cs="Arial" w:eastAsia="Arial" w:hAnsi="Arial"/>
                <w:sz w:val="14"/>
                <w:szCs w:val="14"/>
                <w:b w:val="1"/>
                <w:bCs w:val="1"/>
                <w:color w:val="auto"/>
              </w:rPr>
              <w:t>September 30, 2020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60" w:type="dxa"/>
            <w:vAlign w:val="bottom"/>
            <w:gridSpan w:val="4"/>
          </w:tcPr>
          <w:p>
            <w:pPr>
              <w:jc w:val="right"/>
              <w:ind w:right="87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56"/>
        </w:trPr>
        <w:tc>
          <w:tcPr>
            <w:tcW w:w="4180" w:type="dxa"/>
            <w:vAlign w:val="bottom"/>
            <w:tcBorders>
              <w:bottom w:val="single" w:sz="8" w:color="CFF0FC"/>
            </w:tcBorders>
            <w:vMerge w:val="continue"/>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57"/>
              <w:spacing w:after="0" w:line="155" w:lineRule="exact"/>
              <w:rPr>
                <w:sz w:val="20"/>
                <w:szCs w:val="20"/>
                <w:color w:val="auto"/>
              </w:rPr>
            </w:pPr>
            <w:r>
              <w:rPr>
                <w:rFonts w:ascii="Arial" w:cs="Arial" w:eastAsia="Arial" w:hAnsi="Arial"/>
                <w:sz w:val="14"/>
                <w:szCs w:val="14"/>
                <w:b w:val="1"/>
                <w:bCs w:val="1"/>
                <w:color w:val="auto"/>
                <w:w w:val="90"/>
              </w:rPr>
              <w:t>Amortized Cost</w:t>
            </w:r>
          </w:p>
        </w:tc>
        <w:tc>
          <w:tcPr>
            <w:tcW w:w="28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Percentage</w:t>
            </w:r>
          </w:p>
        </w:tc>
        <w:tc>
          <w:tcPr>
            <w:tcW w:w="380" w:type="dxa"/>
            <w:vAlign w:val="bottom"/>
            <w:tcBorders>
              <w:bottom w:val="single" w:sz="8" w:color="CFF0FC"/>
            </w:tcBorders>
            <w:gridSpan w:val="2"/>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37"/>
              <w:spacing w:after="0" w:line="155" w:lineRule="exact"/>
              <w:rPr>
                <w:sz w:val="20"/>
                <w:szCs w:val="20"/>
                <w:color w:val="auto"/>
              </w:rPr>
            </w:pPr>
            <w:r>
              <w:rPr>
                <w:rFonts w:ascii="Arial" w:cs="Arial" w:eastAsia="Arial" w:hAnsi="Arial"/>
                <w:sz w:val="14"/>
                <w:szCs w:val="14"/>
                <w:b w:val="1"/>
                <w:bCs w:val="1"/>
                <w:color w:val="auto"/>
                <w:w w:val="92"/>
              </w:rPr>
              <w:t>Amortized Cost</w:t>
            </w:r>
          </w:p>
        </w:tc>
        <w:tc>
          <w:tcPr>
            <w:tcW w:w="280" w:type="dxa"/>
            <w:vAlign w:val="bottom"/>
            <w:tcBorders>
              <w:top w:val="single" w:sz="8" w:color="auto"/>
              <w:bottom w:val="single" w:sz="8" w:color="CFF0FC"/>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Percentage</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Performing</w:t>
            </w: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2,060.3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98.1</w:t>
            </w:r>
          </w:p>
        </w:tc>
        <w:tc>
          <w:tcPr>
            <w:tcW w:w="38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w w:val="87"/>
              </w:rPr>
              <w:t>%</w:t>
            </w:r>
          </w:p>
        </w:tc>
        <w:tc>
          <w:tcPr>
            <w:tcW w:w="10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2,238.0</w:t>
            </w:r>
          </w:p>
        </w:tc>
        <w:tc>
          <w:tcPr>
            <w:tcW w:w="2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4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Non-accrual </w:t>
            </w:r>
            <w:r>
              <w:rPr>
                <w:rFonts w:ascii="Arial" w:cs="Arial" w:eastAsia="Arial" w:hAnsi="Arial"/>
                <w:sz w:val="15"/>
                <w:szCs w:val="15"/>
                <w:color w:val="auto"/>
              </w:rPr>
              <w:t>(1)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0" w:type="dxa"/>
            <w:vAlign w:val="bottom"/>
            <w:tcBorders>
              <w:bottom w:val="single" w:sz="8" w:color="CFF0FC"/>
            </w:tcBorders>
          </w:tcPr>
          <w:p>
            <w:pPr>
              <w:spacing w:after="0"/>
              <w:rPr>
                <w:sz w:val="19"/>
                <w:szCs w:val="19"/>
                <w:color w:val="auto"/>
              </w:rPr>
            </w:pPr>
          </w:p>
        </w:tc>
        <w:tc>
          <w:tcPr>
            <w:tcW w:w="36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80" w:type="dxa"/>
            <w:vAlign w:val="bottom"/>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2,099.6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540" w:type="dxa"/>
            <w:vAlign w:val="bottom"/>
            <w:gridSpan w:val="3"/>
            <w:shd w:val="clear" w:color="auto" w:fill="CFF0FC"/>
          </w:tcPr>
          <w:p>
            <w:pPr>
              <w:jc w:val="right"/>
              <w:ind w:right="130"/>
              <w:spacing w:after="0"/>
              <w:rPr>
                <w:sz w:val="20"/>
                <w:szCs w:val="20"/>
                <w:color w:val="auto"/>
              </w:rPr>
            </w:pPr>
            <w:r>
              <w:rPr>
                <w:rFonts w:ascii="Arial" w:cs="Arial" w:eastAsia="Arial" w:hAnsi="Arial"/>
                <w:sz w:val="18"/>
                <w:szCs w:val="18"/>
                <w:color w:val="auto"/>
              </w:rPr>
              <w:t>100.0%</w:t>
            </w:r>
          </w:p>
        </w:tc>
        <w:tc>
          <w:tcPr>
            <w:tcW w:w="10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2,238.0</w:t>
            </w: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41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00" w:right="160" w:hanging="492"/>
        <w:spacing w:after="0" w:line="296" w:lineRule="auto"/>
        <w:tabs>
          <w:tab w:leader="none" w:pos="5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w:t>
      </w:r>
    </w:p>
    <w:p>
      <w:pPr>
        <w:spacing w:after="0" w:line="175" w:lineRule="exact"/>
        <w:rPr>
          <w:sz w:val="20"/>
          <w:szCs w:val="20"/>
          <w:color w:val="auto"/>
        </w:rPr>
      </w:pPr>
    </w:p>
    <w:p>
      <w:pPr>
        <w:ind w:right="80" w:firstLine="255"/>
        <w:spacing w:after="0" w:line="277" w:lineRule="auto"/>
        <w:rPr>
          <w:sz w:val="20"/>
          <w:szCs w:val="20"/>
          <w:color w:val="auto"/>
        </w:rPr>
      </w:pPr>
      <w:r>
        <w:rPr>
          <w:rFonts w:ascii="Arial" w:cs="Arial" w:eastAsia="Arial" w:hAnsi="Arial"/>
          <w:sz w:val="18"/>
          <w:szCs w:val="18"/>
          <w:color w:val="auto"/>
        </w:rPr>
        <w:t>The weighted average yields and interest rates of our performing debt investments at fair value as of September 30, 2020 and December 31, 2019 were as follows:</w:t>
      </w:r>
    </w:p>
    <w:p>
      <w:pPr>
        <w:spacing w:after="0" w:line="243"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17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6"/>
              </w:rPr>
              <w:t>September 30, 2020</w:t>
            </w:r>
          </w:p>
        </w:tc>
        <w:tc>
          <w:tcPr>
            <w:tcW w:w="15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9"/>
              </w:rPr>
              <w:t>December 31, 2019</w:t>
            </w:r>
          </w:p>
        </w:tc>
      </w:tr>
      <w:tr>
        <w:trPr>
          <w:trHeight w:val="209"/>
        </w:trPr>
        <w:tc>
          <w:tcPr>
            <w:tcW w:w="4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total yield of debt and income</w:t>
            </w:r>
          </w:p>
        </w:tc>
        <w:tc>
          <w:tcPr>
            <w:tcW w:w="138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r>
      <w:tr>
        <w:trPr>
          <w:trHeight w:val="230"/>
        </w:trPr>
        <w:tc>
          <w:tcPr>
            <w:tcW w:w="45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producing securities </w:t>
            </w:r>
            <w:r>
              <w:rPr>
                <w:rFonts w:ascii="Arial" w:cs="Arial" w:eastAsia="Arial" w:hAnsi="Arial"/>
                <w:sz w:val="15"/>
                <w:szCs w:val="15"/>
                <w:color w:val="auto"/>
              </w:rPr>
              <w:t>(1)</w:t>
            </w:r>
          </w:p>
        </w:tc>
        <w:tc>
          <w:tcPr>
            <w:tcW w:w="17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10.1%</w:t>
            </w:r>
          </w:p>
        </w:tc>
        <w:tc>
          <w:tcPr>
            <w:tcW w:w="1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10.5%</w:t>
            </w:r>
          </w:p>
        </w:tc>
      </w:tr>
      <w:tr>
        <w:trPr>
          <w:trHeight w:val="215"/>
        </w:trPr>
        <w:tc>
          <w:tcPr>
            <w:tcW w:w="4580" w:type="dxa"/>
            <w:vAlign w:val="bottom"/>
          </w:tcPr>
          <w:p>
            <w:pPr>
              <w:spacing w:after="0"/>
              <w:rPr>
                <w:sz w:val="20"/>
                <w:szCs w:val="20"/>
                <w:color w:val="auto"/>
              </w:rPr>
            </w:pPr>
            <w:r>
              <w:rPr>
                <w:rFonts w:ascii="Arial" w:cs="Arial" w:eastAsia="Arial" w:hAnsi="Arial"/>
                <w:sz w:val="18"/>
                <w:szCs w:val="18"/>
                <w:color w:val="auto"/>
              </w:rPr>
              <w:t>Weighted average interest rate of debt and income</w:t>
            </w: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4580" w:type="dxa"/>
            <w:vAlign w:val="bottom"/>
          </w:tcPr>
          <w:p>
            <w:pPr>
              <w:ind w:left="140"/>
              <w:spacing w:after="0"/>
              <w:rPr>
                <w:sz w:val="20"/>
                <w:szCs w:val="20"/>
                <w:color w:val="auto"/>
              </w:rPr>
            </w:pPr>
            <w:r>
              <w:rPr>
                <w:rFonts w:ascii="Arial" w:cs="Arial" w:eastAsia="Arial" w:hAnsi="Arial"/>
                <w:sz w:val="18"/>
                <w:szCs w:val="18"/>
                <w:color w:val="auto"/>
              </w:rPr>
              <w:t>producing securities</w:t>
            </w: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9.5%</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9.9%</w:t>
            </w:r>
          </w:p>
        </w:tc>
      </w:tr>
      <w:tr>
        <w:trPr>
          <w:trHeight w:val="215"/>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spread over LIBOR of all floating</w:t>
            </w:r>
          </w:p>
        </w:tc>
        <w:tc>
          <w:tcPr>
            <w:tcW w:w="13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45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rate investments </w:t>
            </w:r>
            <w:r>
              <w:rPr>
                <w:rFonts w:ascii="Arial" w:cs="Arial" w:eastAsia="Arial" w:hAnsi="Arial"/>
                <w:sz w:val="15"/>
                <w:szCs w:val="15"/>
                <w:color w:val="auto"/>
              </w:rPr>
              <w:t>(2)</w:t>
            </w:r>
          </w:p>
        </w:tc>
        <w:tc>
          <w:tcPr>
            <w:tcW w:w="17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9.3%</w:t>
            </w:r>
          </w:p>
        </w:tc>
        <w:tc>
          <w:tcPr>
            <w:tcW w:w="1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8.0%</w:t>
            </w:r>
          </w:p>
        </w:tc>
      </w:tr>
    </w:tbl>
    <w:p>
      <w:pPr>
        <w:spacing w:after="0" w:line="229" w:lineRule="exact"/>
        <w:rPr>
          <w:sz w:val="20"/>
          <w:szCs w:val="20"/>
          <w:color w:val="auto"/>
        </w:rPr>
      </w:pPr>
    </w:p>
    <w:p>
      <w:pPr>
        <w:ind w:left="500" w:hanging="492"/>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Weighted average total portfolio yield at fair value was 9.7% at September 30, 2020 and 10.3% at December 31, 2019.</w:t>
      </w:r>
    </w:p>
    <w:p>
      <w:pPr>
        <w:spacing w:after="0" w:line="49" w:lineRule="exact"/>
        <w:rPr>
          <w:rFonts w:ascii="Arial" w:cs="Arial" w:eastAsia="Arial" w:hAnsi="Arial"/>
          <w:sz w:val="18"/>
          <w:szCs w:val="18"/>
          <w:color w:val="auto"/>
        </w:rPr>
      </w:pPr>
    </w:p>
    <w:p>
      <w:pPr>
        <w:ind w:left="500" w:hanging="492"/>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Includes fixed rate investments for which we entered into interest rate swap agreements to swap to floating rates.</w:t>
      </w:r>
    </w:p>
    <w:p>
      <w:pPr>
        <w:spacing w:after="0" w:line="239" w:lineRule="exact"/>
        <w:rPr>
          <w:sz w:val="20"/>
          <w:szCs w:val="20"/>
          <w:color w:val="auto"/>
        </w:rPr>
      </w:pPr>
    </w:p>
    <w:p>
      <w:pPr>
        <w:jc w:val="both"/>
        <w:ind w:right="100" w:firstLine="255"/>
        <w:spacing w:after="0" w:line="263" w:lineRule="auto"/>
        <w:rPr>
          <w:sz w:val="20"/>
          <w:szCs w:val="20"/>
          <w:color w:val="auto"/>
        </w:rPr>
      </w:pPr>
      <w:r>
        <w:rPr>
          <w:rFonts w:ascii="Arial" w:cs="Arial" w:eastAsia="Arial" w:hAnsi="Arial"/>
          <w:sz w:val="18"/>
          <w:szCs w:val="18"/>
          <w:color w:val="auto"/>
        </w:rPr>
        <w:t>The Adviser monitors our portfolio companies on an ongoing basis. The Adviser monitors the financial trends of each portfolio company to determine if it is meeting its business plans and to assess the appropriate course of action for each company. The Adviser has a number of methods of evaluating and monitoring the performance and fair value of our investments, which may include the following:</w:t>
      </w:r>
    </w:p>
    <w:p>
      <w:pPr>
        <w:spacing w:after="0" w:line="76" w:lineRule="exact"/>
        <w:rPr>
          <w:sz w:val="20"/>
          <w:szCs w:val="20"/>
          <w:color w:val="auto"/>
        </w:rPr>
      </w:pPr>
    </w:p>
    <w:p>
      <w:pPr>
        <w:ind w:left="500" w:hanging="249"/>
        <w:spacing w:after="0"/>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assessment of success of the portfolio company in adhering to its business plan and compliance with covenants;</w:t>
      </w:r>
    </w:p>
    <w:p>
      <w:pPr>
        <w:spacing w:after="0" w:line="117" w:lineRule="exact"/>
        <w:rPr>
          <w:rFonts w:ascii="Arial" w:cs="Arial" w:eastAsia="Arial" w:hAnsi="Arial"/>
          <w:sz w:val="18"/>
          <w:szCs w:val="18"/>
          <w:color w:val="auto"/>
        </w:rPr>
      </w:pPr>
    </w:p>
    <w:p>
      <w:pPr>
        <w:ind w:left="500" w:right="40" w:hanging="249"/>
        <w:spacing w:after="0" w:line="277" w:lineRule="auto"/>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periodic and regular contact with portfolio company management and, if appropriate, the financial or strategic sponsor, to discuss financial position, requirements and accomplishments;</w:t>
      </w:r>
    </w:p>
    <w:p>
      <w:pPr>
        <w:spacing w:after="0" w:line="62" w:lineRule="exact"/>
        <w:rPr>
          <w:rFonts w:ascii="Arial" w:cs="Arial" w:eastAsia="Arial" w:hAnsi="Arial"/>
          <w:sz w:val="18"/>
          <w:szCs w:val="18"/>
          <w:color w:val="auto"/>
        </w:rPr>
      </w:pPr>
    </w:p>
    <w:p>
      <w:pPr>
        <w:ind w:left="500" w:hanging="249"/>
        <w:spacing w:after="0"/>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comparisons to other companies in the industry;</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and</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for portfolio companies.</w:t>
      </w:r>
    </w:p>
    <w:p>
      <w:pPr>
        <w:spacing w:after="0" w:line="225" w:lineRule="exact"/>
        <w:rPr>
          <w:sz w:val="20"/>
          <w:szCs w:val="20"/>
          <w:color w:val="auto"/>
        </w:rPr>
      </w:pPr>
    </w:p>
    <w:p>
      <w:pPr>
        <w:ind w:firstLine="255"/>
        <w:spacing w:after="0" w:line="263" w:lineRule="auto"/>
        <w:rPr>
          <w:sz w:val="20"/>
          <w:szCs w:val="20"/>
          <w:color w:val="auto"/>
        </w:rPr>
      </w:pPr>
      <w:r>
        <w:rPr>
          <w:rFonts w:ascii="Arial" w:cs="Arial" w:eastAsia="Arial" w:hAnsi="Arial"/>
          <w:sz w:val="18"/>
          <w:szCs w:val="18"/>
          <w:color w:val="auto"/>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p>
    <w:p>
      <w:pPr>
        <w:spacing w:after="0" w:line="76" w:lineRule="exact"/>
        <w:rPr>
          <w:sz w:val="20"/>
          <w:szCs w:val="20"/>
          <w:color w:val="auto"/>
        </w:rPr>
      </w:pPr>
    </w:p>
    <w:p>
      <w:pPr>
        <w:jc w:val="both"/>
        <w:ind w:left="500" w:right="620" w:hanging="249"/>
        <w:spacing w:after="0" w:line="263" w:lineRule="auto"/>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investment is rated 1 if, in the opinion of the Adviser, it is performing as agreed and there are no concerns about the portfolio company’s performance or ability to meet covenant requirements. For these investments, the Adviser generally prepares monthly reports on investment performance and intensive quarterly asset reviews.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82" w:right="379" w:bottom="1440" w:gutter="0" w:footer="0" w:header="0"/>
        </w:sectPr>
      </w:pPr>
    </w:p>
    <w:bookmarkStart w:id="54" w:name="page55"/>
    <w:bookmarkEnd w:id="54"/>
    <w:p>
      <w:pPr>
        <w:ind w:left="500" w:right="160" w:hanging="249"/>
        <w:spacing w:after="0" w:line="263" w:lineRule="auto"/>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portfolio company.</w:t>
      </w:r>
    </w:p>
    <w:p>
      <w:pPr>
        <w:spacing w:after="0" w:line="75" w:lineRule="exact"/>
        <w:rPr>
          <w:rFonts w:ascii="Arial" w:cs="Arial" w:eastAsia="Arial" w:hAnsi="Arial"/>
          <w:sz w:val="18"/>
          <w:szCs w:val="18"/>
          <w:color w:val="auto"/>
        </w:rPr>
      </w:pPr>
    </w:p>
    <w:p>
      <w:pPr>
        <w:ind w:left="500" w:right="240" w:hanging="249"/>
        <w:spacing w:after="0" w:line="263" w:lineRule="auto"/>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investment will be assigned a rating of 3 if it is paying its obligations to us as agreed but a material covenant violation is expected. For these investments, in addition to monthly reports and quarterly asset reviews, the Adviser also adds the investment to its “watch list” and researches any areas of concern with the objective of early intervention with the portfolio company.</w:t>
      </w:r>
    </w:p>
    <w:p>
      <w:pPr>
        <w:spacing w:after="0" w:line="75" w:lineRule="exact"/>
        <w:rPr>
          <w:rFonts w:ascii="Arial" w:cs="Arial" w:eastAsia="Arial" w:hAnsi="Arial"/>
          <w:sz w:val="18"/>
          <w:szCs w:val="18"/>
          <w:color w:val="auto"/>
        </w:rPr>
      </w:pPr>
    </w:p>
    <w:p>
      <w:pPr>
        <w:ind w:left="500" w:right="140" w:hanging="249"/>
        <w:spacing w:after="0" w:line="255" w:lineRule="auto"/>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investment will be assigned a rating of 4 if a material covenant has been violated, but the company is making its scheduled payments on its obligations to us. For these investments, the Adviser generally prepares a bi-monthly asset review email and generally has monthly meetings with the portfolio company’s senior management. For investments where there have been material defaults, including bankruptcy filings, failures to achieve financial performance requirements or failure to maintain liquidity or loan-to-value requirements, the Adviser often will take immediate action to protect its position. These remedies may include negotiating for additional collateral, modifying investment terms or structure, or payment of amendment and waiver fees.</w:t>
      </w:r>
    </w:p>
    <w:p>
      <w:pPr>
        <w:spacing w:after="0" w:line="84" w:lineRule="exact"/>
        <w:rPr>
          <w:rFonts w:ascii="Arial" w:cs="Arial" w:eastAsia="Arial" w:hAnsi="Arial"/>
          <w:sz w:val="18"/>
          <w:szCs w:val="18"/>
          <w:color w:val="auto"/>
        </w:rPr>
      </w:pPr>
    </w:p>
    <w:p>
      <w:pPr>
        <w:ind w:left="500" w:right="320" w:hanging="249"/>
        <w:spacing w:after="0" w:line="279" w:lineRule="auto"/>
        <w:tabs>
          <w:tab w:leader="none" w:pos="5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 rating of 5 indicates an investment is in default on its interest and/or principal payments. For these investments, our Adviser reviews the investments on a bi-monthly basis and, where possible, pursues workouts that achieve an early resolution to avoid further deterioration of our investment. The Adviser retains legal counsel and takes actions to preserve our rights, which may include working with the portfolio company to have the default cured, to have the investment restructured or to have the investment repaid through a consensual workout.</w:t>
      </w:r>
    </w:p>
    <w:p>
      <w:pPr>
        <w:spacing w:after="0" w:line="171" w:lineRule="exact"/>
        <w:rPr>
          <w:sz w:val="20"/>
          <w:szCs w:val="20"/>
          <w:color w:val="auto"/>
        </w:rPr>
      </w:pPr>
    </w:p>
    <w:p>
      <w:pPr>
        <w:jc w:val="both"/>
        <w:ind w:right="160" w:firstLine="255"/>
        <w:spacing w:after="0" w:line="286" w:lineRule="auto"/>
        <w:rPr>
          <w:sz w:val="20"/>
          <w:szCs w:val="20"/>
          <w:color w:val="auto"/>
        </w:rPr>
      </w:pPr>
      <w:r>
        <w:rPr>
          <w:rFonts w:ascii="Arial" w:cs="Arial" w:eastAsia="Arial" w:hAnsi="Arial"/>
          <w:sz w:val="17"/>
          <w:szCs w:val="17"/>
          <w:color w:val="auto"/>
        </w:rPr>
        <w:t>The following table shows the distribution of our investments on the 1 to 5 investment performance rating scale at fair value as of September 30, 2020 and December 31, 2019. Investment performance ratings are accurate only as of those dates and may change due to subsequent developments relating to a portfolio company’s business or financial condition, market conditions or developments, and other factors.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Investment</w:t>
            </w:r>
          </w:p>
        </w:tc>
        <w:tc>
          <w:tcPr>
            <w:tcW w:w="320" w:type="dxa"/>
            <w:vAlign w:val="bottom"/>
            <w:tcBorders>
              <w:bottom w:val="single" w:sz="8" w:color="auto"/>
            </w:tcBorders>
          </w:tcPr>
          <w:p>
            <w:pPr>
              <w:spacing w:after="0"/>
              <w:rPr>
                <w:sz w:val="14"/>
                <w:szCs w:val="14"/>
                <w:color w:val="auto"/>
              </w:rPr>
            </w:pPr>
          </w:p>
        </w:tc>
        <w:tc>
          <w:tcPr>
            <w:tcW w:w="3420" w:type="dxa"/>
            <w:vAlign w:val="bottom"/>
            <w:tcBorders>
              <w:bottom w:val="single" w:sz="8" w:color="auto"/>
            </w:tcBorders>
            <w:gridSpan w:val="3"/>
          </w:tcPr>
          <w:p>
            <w:pPr>
              <w:ind w:left="1180"/>
              <w:spacing w:after="0"/>
              <w:rPr>
                <w:sz w:val="20"/>
                <w:szCs w:val="20"/>
                <w:color w:val="auto"/>
              </w:rPr>
            </w:pPr>
            <w:r>
              <w:rPr>
                <w:rFonts w:ascii="Arial" w:cs="Arial" w:eastAsia="Arial" w:hAnsi="Arial"/>
                <w:sz w:val="14"/>
                <w:szCs w:val="14"/>
                <w:b w:val="1"/>
                <w:bCs w:val="1"/>
                <w:color w:val="auto"/>
              </w:rPr>
              <w:t>September 30, 2020</w:t>
            </w:r>
          </w:p>
        </w:tc>
        <w:tc>
          <w:tcPr>
            <w:tcW w:w="4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w w:val="93"/>
              </w:rPr>
              <w:t>December 31, 2019</w:t>
            </w:r>
          </w:p>
        </w:tc>
        <w:tc>
          <w:tcPr>
            <w:tcW w:w="14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2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640" w:type="dxa"/>
            <w:vAlign w:val="bottom"/>
          </w:tcPr>
          <w:p>
            <w:pPr>
              <w:jc w:val="center"/>
              <w:ind w:right="257"/>
              <w:spacing w:after="0" w:line="147" w:lineRule="exact"/>
              <w:rPr>
                <w:sz w:val="20"/>
                <w:szCs w:val="20"/>
                <w:color w:val="auto"/>
              </w:rPr>
            </w:pPr>
            <w:r>
              <w:rPr>
                <w:rFonts w:ascii="Arial" w:cs="Arial" w:eastAsia="Arial" w:hAnsi="Arial"/>
                <w:sz w:val="14"/>
                <w:szCs w:val="14"/>
                <w:b w:val="1"/>
                <w:bCs w:val="1"/>
                <w:color w:val="auto"/>
                <w:w w:val="91"/>
              </w:rPr>
              <w:t>Investments at</w:t>
            </w:r>
          </w:p>
        </w:tc>
        <w:tc>
          <w:tcPr>
            <w:tcW w:w="3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20" w:type="dxa"/>
            <w:vAlign w:val="bottom"/>
            <w:gridSpan w:val="4"/>
          </w:tcPr>
          <w:p>
            <w:pPr>
              <w:jc w:val="center"/>
              <w:ind w:right="820"/>
              <w:spacing w:after="0" w:line="147" w:lineRule="exact"/>
              <w:rPr>
                <w:sz w:val="20"/>
                <w:szCs w:val="20"/>
                <w:color w:val="auto"/>
              </w:rPr>
            </w:pPr>
            <w:r>
              <w:rPr>
                <w:rFonts w:ascii="Arial" w:cs="Arial" w:eastAsia="Arial" w:hAnsi="Arial"/>
                <w:sz w:val="14"/>
                <w:szCs w:val="14"/>
                <w:b w:val="1"/>
                <w:bCs w:val="1"/>
                <w:color w:val="auto"/>
                <w:w w:val="91"/>
              </w:rPr>
              <w:t>Investments at</w:t>
            </w: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Performance</w:t>
            </w:r>
          </w:p>
        </w:tc>
        <w:tc>
          <w:tcPr>
            <w:tcW w:w="320" w:type="dxa"/>
            <w:vAlign w:val="bottom"/>
          </w:tcPr>
          <w:p>
            <w:pPr>
              <w:spacing w:after="0"/>
              <w:rPr>
                <w:sz w:val="14"/>
                <w:szCs w:val="14"/>
                <w:color w:val="auto"/>
              </w:rPr>
            </w:pPr>
          </w:p>
        </w:tc>
        <w:tc>
          <w:tcPr>
            <w:tcW w:w="1640" w:type="dxa"/>
            <w:vAlign w:val="bottom"/>
          </w:tcPr>
          <w:p>
            <w:pPr>
              <w:jc w:val="center"/>
              <w:ind w:right="237"/>
              <w:spacing w:after="0"/>
              <w:rPr>
                <w:sz w:val="20"/>
                <w:szCs w:val="20"/>
                <w:color w:val="auto"/>
              </w:rPr>
            </w:pPr>
            <w:r>
              <w:rPr>
                <w:rFonts w:ascii="Arial" w:cs="Arial" w:eastAsia="Arial" w:hAnsi="Arial"/>
                <w:sz w:val="14"/>
                <w:szCs w:val="14"/>
                <w:b w:val="1"/>
                <w:bCs w:val="1"/>
                <w:color w:val="auto"/>
                <w:w w:val="95"/>
              </w:rPr>
              <w:t>Fair Value</w:t>
            </w:r>
          </w:p>
        </w:tc>
        <w:tc>
          <w:tcPr>
            <w:tcW w:w="320" w:type="dxa"/>
            <w:vAlign w:val="bottom"/>
          </w:tcPr>
          <w:p>
            <w:pPr>
              <w:spacing w:after="0"/>
              <w:rPr>
                <w:sz w:val="14"/>
                <w:szCs w:val="14"/>
                <w:color w:val="auto"/>
              </w:rPr>
            </w:pPr>
          </w:p>
        </w:tc>
        <w:tc>
          <w:tcPr>
            <w:tcW w:w="1460" w:type="dxa"/>
            <w:vAlign w:val="bottom"/>
          </w:tcPr>
          <w:p>
            <w:pPr>
              <w:jc w:val="center"/>
              <w:ind w:left="388"/>
              <w:spacing w:after="0"/>
              <w:rPr>
                <w:sz w:val="20"/>
                <w:szCs w:val="20"/>
                <w:color w:val="auto"/>
              </w:rPr>
            </w:pPr>
            <w:r>
              <w:rPr>
                <w:rFonts w:ascii="Arial" w:cs="Arial" w:eastAsia="Arial" w:hAnsi="Arial"/>
                <w:sz w:val="14"/>
                <w:szCs w:val="14"/>
                <w:b w:val="1"/>
                <w:bCs w:val="1"/>
                <w:color w:val="auto"/>
                <w:w w:val="90"/>
              </w:rPr>
              <w:t>Percentage of</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20" w:type="dxa"/>
            <w:vAlign w:val="bottom"/>
            <w:gridSpan w:val="4"/>
          </w:tcPr>
          <w:p>
            <w:pPr>
              <w:jc w:val="center"/>
              <w:ind w:right="800"/>
              <w:spacing w:after="0"/>
              <w:rPr>
                <w:sz w:val="20"/>
                <w:szCs w:val="20"/>
                <w:color w:val="auto"/>
              </w:rPr>
            </w:pPr>
            <w:r>
              <w:rPr>
                <w:rFonts w:ascii="Arial" w:cs="Arial" w:eastAsia="Arial" w:hAnsi="Arial"/>
                <w:sz w:val="14"/>
                <w:szCs w:val="14"/>
                <w:b w:val="1"/>
                <w:bCs w:val="1"/>
                <w:color w:val="auto"/>
                <w:w w:val="95"/>
              </w:rPr>
              <w:t>Fair Value</w:t>
            </w:r>
          </w:p>
        </w:tc>
        <w:tc>
          <w:tcPr>
            <w:tcW w:w="16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7"/>
              </w:rPr>
              <w:t>Percentage of</w:t>
            </w:r>
          </w:p>
        </w:tc>
        <w:tc>
          <w:tcPr>
            <w:tcW w:w="0" w:type="dxa"/>
            <w:vAlign w:val="bottom"/>
          </w:tcPr>
          <w:p>
            <w:pPr>
              <w:spacing w:after="0"/>
              <w:rPr>
                <w:sz w:val="1"/>
                <w:szCs w:val="1"/>
                <w:color w:val="auto"/>
              </w:rPr>
            </w:pPr>
          </w:p>
        </w:tc>
      </w:tr>
      <w:tr>
        <w:trPr>
          <w:trHeight w:val="171"/>
        </w:trPr>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Rating</w:t>
            </w:r>
          </w:p>
        </w:tc>
        <w:tc>
          <w:tcPr>
            <w:tcW w:w="32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center"/>
              <w:ind w:right="237"/>
              <w:spacing w:after="0"/>
              <w:rPr>
                <w:sz w:val="20"/>
                <w:szCs w:val="20"/>
                <w:color w:val="auto"/>
              </w:rPr>
            </w:pPr>
            <w:r>
              <w:rPr>
                <w:rFonts w:ascii="Arial" w:cs="Arial" w:eastAsia="Arial" w:hAnsi="Arial"/>
                <w:sz w:val="14"/>
                <w:szCs w:val="14"/>
                <w:b w:val="1"/>
                <w:bCs w:val="1"/>
                <w:color w:val="auto"/>
                <w:w w:val="93"/>
              </w:rPr>
              <w:t>($ in millions)</w:t>
            </w:r>
          </w:p>
        </w:tc>
        <w:tc>
          <w:tcPr>
            <w:tcW w:w="320" w:type="dxa"/>
            <w:vAlign w:val="bottom"/>
            <w:tcBorders>
              <w:bottom w:val="single" w:sz="8" w:color="CFF0FC"/>
            </w:tcBorders>
          </w:tcPr>
          <w:p>
            <w:pPr>
              <w:spacing w:after="0"/>
              <w:rPr>
                <w:sz w:val="14"/>
                <w:szCs w:val="14"/>
                <w:color w:val="auto"/>
              </w:rPr>
            </w:pPr>
          </w:p>
        </w:tc>
        <w:tc>
          <w:tcPr>
            <w:tcW w:w="1460" w:type="dxa"/>
            <w:vAlign w:val="bottom"/>
            <w:tcBorders>
              <w:bottom w:val="single" w:sz="8" w:color="auto"/>
            </w:tcBorders>
          </w:tcPr>
          <w:p>
            <w:pPr>
              <w:jc w:val="center"/>
              <w:ind w:left="388"/>
              <w:spacing w:after="0"/>
              <w:rPr>
                <w:sz w:val="20"/>
                <w:szCs w:val="20"/>
                <w:color w:val="auto"/>
              </w:rPr>
            </w:pPr>
            <w:r>
              <w:rPr>
                <w:rFonts w:ascii="Arial" w:cs="Arial" w:eastAsia="Arial" w:hAnsi="Arial"/>
                <w:sz w:val="14"/>
                <w:szCs w:val="14"/>
                <w:b w:val="1"/>
                <w:bCs w:val="1"/>
                <w:color w:val="auto"/>
                <w:w w:val="92"/>
              </w:rPr>
              <w:t>Total Portfolio</w:t>
            </w:r>
          </w:p>
        </w:tc>
        <w:tc>
          <w:tcPr>
            <w:tcW w:w="480" w:type="dxa"/>
            <w:vAlign w:val="bottom"/>
            <w:tcBorders>
              <w:bottom w:val="single" w:sz="8" w:color="auto"/>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w w:val="91"/>
              </w:rPr>
              <w:t>in millions)</w:t>
            </w:r>
          </w:p>
        </w:tc>
        <w:tc>
          <w:tcPr>
            <w:tcW w:w="320" w:type="dxa"/>
            <w:vAlign w:val="bottom"/>
            <w:tcBorders>
              <w:bottom w:val="single" w:sz="8" w:color="CFF0FC"/>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w w:val="99"/>
              </w:rPr>
              <w:t>Total Portfolio</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920" w:type="dxa"/>
            <w:vAlign w:val="bottom"/>
            <w:shd w:val="clear" w:color="auto" w:fill="CFF0FC"/>
          </w:tcPr>
          <w:p>
            <w:pPr>
              <w:jc w:val="right"/>
              <w:ind w:right="776"/>
              <w:spacing w:after="0"/>
              <w:rPr>
                <w:sz w:val="20"/>
                <w:szCs w:val="20"/>
                <w:color w:val="auto"/>
              </w:rPr>
            </w:pPr>
            <w:r>
              <w:rPr>
                <w:rFonts w:ascii="Arial" w:cs="Arial" w:eastAsia="Arial" w:hAnsi="Arial"/>
                <w:sz w:val="18"/>
                <w:szCs w:val="18"/>
                <w:color w:val="auto"/>
              </w:rPr>
              <w:t>1</w:t>
            </w: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1,779.7</w:t>
            </w:r>
          </w:p>
        </w:tc>
        <w:tc>
          <w:tcPr>
            <w:tcW w:w="3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84.7%</w:t>
            </w: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528"/>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1,968.0</w:t>
            </w:r>
          </w:p>
        </w:tc>
        <w:tc>
          <w:tcPr>
            <w:tcW w:w="3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30"/>
        </w:trPr>
        <w:tc>
          <w:tcPr>
            <w:tcW w:w="1920" w:type="dxa"/>
            <w:vAlign w:val="bottom"/>
          </w:tcPr>
          <w:p>
            <w:pPr>
              <w:jc w:val="right"/>
              <w:ind w:right="776"/>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245.5</w:t>
            </w:r>
          </w:p>
        </w:tc>
        <w:tc>
          <w:tcPr>
            <w:tcW w:w="3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11.7</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230.0</w:t>
            </w: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920" w:type="dxa"/>
            <w:vAlign w:val="bottom"/>
            <w:shd w:val="clear" w:color="auto" w:fill="CFF0FC"/>
          </w:tcPr>
          <w:p>
            <w:pPr>
              <w:jc w:val="right"/>
              <w:ind w:right="776"/>
              <w:spacing w:after="0"/>
              <w:rPr>
                <w:sz w:val="20"/>
                <w:szCs w:val="20"/>
                <w:color w:val="auto"/>
              </w:rPr>
            </w:pPr>
            <w:r>
              <w:rPr>
                <w:rFonts w:ascii="Arial" w:cs="Arial" w:eastAsia="Arial" w:hAnsi="Arial"/>
                <w:sz w:val="18"/>
                <w:szCs w:val="18"/>
                <w:color w:val="auto"/>
              </w:rPr>
              <w:t>3</w:t>
            </w: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w:t>
            </w:r>
          </w:p>
        </w:tc>
        <w:tc>
          <w:tcPr>
            <w:tcW w:w="3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w:t>
            </w:r>
          </w:p>
        </w:tc>
        <w:tc>
          <w:tcPr>
            <w:tcW w:w="3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20" w:type="dxa"/>
            <w:vAlign w:val="bottom"/>
          </w:tcPr>
          <w:p>
            <w:pPr>
              <w:jc w:val="right"/>
              <w:ind w:right="776"/>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40" w:type="dxa"/>
            <w:vAlign w:val="bottom"/>
            <w:gridSpan w:val="3"/>
          </w:tcPr>
          <w:p>
            <w:pPr>
              <w:jc w:val="right"/>
              <w:ind w:right="80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920" w:type="dxa"/>
            <w:vAlign w:val="bottom"/>
            <w:shd w:val="clear" w:color="auto" w:fill="CFF0FC"/>
          </w:tcPr>
          <w:p>
            <w:pPr>
              <w:jc w:val="right"/>
              <w:ind w:right="776"/>
              <w:spacing w:after="0"/>
              <w:rPr>
                <w:sz w:val="20"/>
                <w:szCs w:val="20"/>
                <w:color w:val="auto"/>
              </w:rPr>
            </w:pPr>
            <w:r>
              <w:rPr>
                <w:rFonts w:ascii="Arial" w:cs="Arial" w:eastAsia="Arial" w:hAnsi="Arial"/>
                <w:sz w:val="18"/>
                <w:szCs w:val="18"/>
                <w:color w:val="auto"/>
              </w:rPr>
              <w:t>5</w:t>
            </w:r>
          </w:p>
        </w:tc>
        <w:tc>
          <w:tcPr>
            <w:tcW w:w="3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w:t>
            </w:r>
          </w:p>
        </w:tc>
        <w:tc>
          <w:tcPr>
            <w:tcW w:w="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w:t>
            </w:r>
          </w:p>
        </w:tc>
        <w:tc>
          <w:tcPr>
            <w:tcW w:w="146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4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Total</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2,100.8</w:t>
            </w:r>
          </w:p>
        </w:tc>
        <w:tc>
          <w:tcPr>
            <w:tcW w:w="3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680" w:type="dxa"/>
            <w:vAlign w:val="bottom"/>
          </w:tcPr>
          <w:p>
            <w:pPr>
              <w:jc w:val="right"/>
              <w:ind w:right="528"/>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2,245.9</w:t>
            </w: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00" w:hanging="492"/>
        <w:spacing w:after="0"/>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Includes investments with an amortized cost of $33.7 million for which the fair value as of September 30, 2020 was $0.</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Operating results for the three and nine months ended September 30, 2020 and 2019 were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8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40" w:type="dxa"/>
            <w:vAlign w:val="bottom"/>
            <w:gridSpan w:val="5"/>
          </w:tcPr>
          <w:p>
            <w:pPr>
              <w:ind w:left="380"/>
              <w:spacing w:after="0"/>
              <w:rPr>
                <w:sz w:val="20"/>
                <w:szCs w:val="20"/>
                <w:color w:val="auto"/>
              </w:rPr>
            </w:pPr>
            <w:r>
              <w:rPr>
                <w:rFonts w:ascii="Arial" w:cs="Arial" w:eastAsia="Arial" w:hAnsi="Arial"/>
                <w:sz w:val="14"/>
                <w:szCs w:val="14"/>
                <w:b w:val="1"/>
                <w:bCs w:val="1"/>
                <w:color w:val="auto"/>
              </w:rPr>
              <w:t>Nine Months Ended</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gridSpan w:val="3"/>
          </w:tcPr>
          <w:p>
            <w:pPr>
              <w:spacing w:after="0"/>
              <w:rPr>
                <w:sz w:val="2"/>
                <w:szCs w:val="2"/>
                <w:color w:val="auto"/>
              </w:rPr>
            </w:pPr>
          </w:p>
        </w:tc>
        <w:tc>
          <w:tcPr>
            <w:tcW w:w="1240" w:type="dxa"/>
            <w:vAlign w:val="bottom"/>
            <w:gridSpan w:val="3"/>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gridSpan w:val="3"/>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2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280" w:type="dxa"/>
            <w:vAlign w:val="bottom"/>
          </w:tcPr>
          <w:p>
            <w:pPr>
              <w:spacing w:after="0"/>
              <w:rPr>
                <w:sz w:val="11"/>
                <w:szCs w:val="11"/>
                <w:color w:val="auto"/>
              </w:rPr>
            </w:pPr>
          </w:p>
        </w:tc>
        <w:tc>
          <w:tcPr>
            <w:tcW w:w="1420" w:type="dxa"/>
            <w:vAlign w:val="bottom"/>
            <w:tcBorders>
              <w:top w:val="single" w:sz="8" w:color="auto"/>
            </w:tcBorders>
            <w:gridSpan w:val="3"/>
          </w:tcPr>
          <w:p>
            <w:pPr>
              <w:ind w:left="60"/>
              <w:spacing w:after="0" w:line="133" w:lineRule="exact"/>
              <w:rPr>
                <w:sz w:val="20"/>
                <w:szCs w:val="20"/>
                <w:color w:val="auto"/>
              </w:rPr>
            </w:pPr>
            <w:r>
              <w:rPr>
                <w:rFonts w:ascii="Arial" w:cs="Arial" w:eastAsia="Arial" w:hAnsi="Arial"/>
                <w:sz w:val="14"/>
                <w:szCs w:val="14"/>
                <w:b w:val="1"/>
                <w:bCs w:val="1"/>
                <w:color w:val="auto"/>
              </w:rPr>
              <w:t>September 30,</w:t>
            </w:r>
          </w:p>
        </w:tc>
        <w:tc>
          <w:tcPr>
            <w:tcW w:w="1020" w:type="dxa"/>
            <w:vAlign w:val="bottom"/>
            <w:tcBorders>
              <w:top w:val="single" w:sz="8" w:color="auto"/>
            </w:tcBorders>
            <w:gridSpan w:val="2"/>
          </w:tcPr>
          <w:p>
            <w:pPr>
              <w:jc w:val="right"/>
              <w:spacing w:after="0" w:line="133" w:lineRule="exact"/>
              <w:rPr>
                <w:sz w:val="20"/>
                <w:szCs w:val="20"/>
                <w:color w:val="auto"/>
              </w:rPr>
            </w:pPr>
            <w:r>
              <w:rPr>
                <w:rFonts w:ascii="Arial" w:cs="Arial" w:eastAsia="Arial" w:hAnsi="Arial"/>
                <w:sz w:val="14"/>
                <w:szCs w:val="14"/>
                <w:b w:val="1"/>
                <w:bCs w:val="1"/>
                <w:color w:val="auto"/>
                <w:w w:val="96"/>
              </w:rPr>
              <w:t>September 30,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Borders>
              <w:top w:val="single" w:sz="8" w:color="auto"/>
            </w:tcBorders>
            <w:gridSpan w:val="2"/>
          </w:tcPr>
          <w:p>
            <w:pPr>
              <w:jc w:val="right"/>
              <w:spacing w:after="0" w:line="133" w:lineRule="exact"/>
              <w:rPr>
                <w:sz w:val="20"/>
                <w:szCs w:val="20"/>
                <w:color w:val="auto"/>
              </w:rPr>
            </w:pPr>
            <w:r>
              <w:rPr>
                <w:rFonts w:ascii="Arial" w:cs="Arial" w:eastAsia="Arial" w:hAnsi="Arial"/>
                <w:sz w:val="14"/>
                <w:szCs w:val="14"/>
                <w:b w:val="1"/>
                <w:bCs w:val="1"/>
                <w:color w:val="auto"/>
                <w:w w:val="96"/>
              </w:rPr>
              <w:t>September 30,</w:t>
            </w:r>
          </w:p>
        </w:tc>
        <w:tc>
          <w:tcPr>
            <w:tcW w:w="4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jc w:val="right"/>
              <w:spacing w:after="0" w:line="133" w:lineRule="exact"/>
              <w:rPr>
                <w:sz w:val="20"/>
                <w:szCs w:val="20"/>
                <w:color w:val="auto"/>
              </w:rPr>
            </w:pPr>
            <w:r>
              <w:rPr>
                <w:rFonts w:ascii="Arial" w:cs="Arial" w:eastAsia="Arial" w:hAnsi="Arial"/>
                <w:sz w:val="14"/>
                <w:szCs w:val="14"/>
                <w:b w:val="1"/>
                <w:bCs w:val="1"/>
                <w:color w:val="auto"/>
                <w:w w:val="96"/>
              </w:rPr>
              <w:t>September 30,</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2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20" w:type="dxa"/>
            <w:vAlign w:val="bottom"/>
            <w:tcBorders>
              <w:bottom w:val="single" w:sz="8" w:color="CFF0FC"/>
            </w:tcBorders>
          </w:tcPr>
          <w:p>
            <w:pPr>
              <w:spacing w:after="0"/>
              <w:rPr>
                <w:sz w:val="5"/>
                <w:szCs w:val="5"/>
                <w:color w:val="auto"/>
              </w:rPr>
            </w:pPr>
          </w:p>
        </w:tc>
        <w:tc>
          <w:tcPr>
            <w:tcW w:w="280" w:type="dxa"/>
            <w:vAlign w:val="bottom"/>
            <w:tcBorders>
              <w:bottom w:val="single" w:sz="8" w:color="CFF0FC"/>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vMerge w:val="continue"/>
          </w:tcPr>
          <w:p>
            <w:pPr>
              <w:spacing w:after="0"/>
              <w:rPr>
                <w:sz w:val="5"/>
                <w:szCs w:val="5"/>
                <w:color w:val="auto"/>
              </w:rPr>
            </w:pPr>
          </w:p>
        </w:tc>
        <w:tc>
          <w:tcPr>
            <w:tcW w:w="400" w:type="dxa"/>
            <w:vAlign w:val="bottom"/>
            <w:tcBorders>
              <w:bottom w:val="single" w:sz="8" w:color="CFF0FC"/>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vMerge w:val="continue"/>
          </w:tcPr>
          <w:p>
            <w:pPr>
              <w:spacing w:after="0"/>
              <w:rPr>
                <w:sz w:val="5"/>
                <w:szCs w:val="5"/>
                <w:color w:val="auto"/>
              </w:rPr>
            </w:pPr>
          </w:p>
        </w:tc>
        <w:tc>
          <w:tcPr>
            <w:tcW w:w="220" w:type="dxa"/>
            <w:vAlign w:val="bottom"/>
            <w:tcBorders>
              <w:bottom w:val="single" w:sz="8" w:color="CFF0FC"/>
            </w:tcBorders>
          </w:tcPr>
          <w:p>
            <w:pPr>
              <w:spacing w:after="0"/>
              <w:rPr>
                <w:sz w:val="5"/>
                <w:szCs w:val="5"/>
                <w:color w:val="auto"/>
              </w:rPr>
            </w:pPr>
          </w:p>
        </w:tc>
        <w:tc>
          <w:tcPr>
            <w:tcW w:w="180" w:type="dxa"/>
            <w:vAlign w:val="bottom"/>
            <w:tcBorders>
              <w:bottom w:val="single" w:sz="8" w:color="CFF0FC"/>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vMerge w:val="continue"/>
          </w:tcPr>
          <w:p>
            <w:pPr>
              <w:spacing w:after="0"/>
              <w:rPr>
                <w:sz w:val="5"/>
                <w:szCs w:val="5"/>
                <w:color w:val="auto"/>
              </w:rPr>
            </w:pPr>
          </w:p>
        </w:tc>
        <w:tc>
          <w:tcPr>
            <w:tcW w:w="420" w:type="dxa"/>
            <w:vAlign w:val="bottom"/>
            <w:tcBorders>
              <w:bottom w:val="single" w:sz="8" w:color="CFF0FC"/>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FF0FC"/>
            </w:tcBorders>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Total investment income</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71.3</w:t>
            </w:r>
          </w:p>
        </w:tc>
        <w:tc>
          <w:tcPr>
            <w:tcW w:w="4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207.8</w:t>
            </w: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185.0</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Net expenses</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4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w:t>
            </w:r>
          </w:p>
        </w:tc>
        <w:tc>
          <w:tcPr>
            <w:tcW w:w="4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w:t>
            </w:r>
          </w:p>
        </w:tc>
        <w:tc>
          <w:tcPr>
            <w:tcW w:w="10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investment income before income taxes</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w:t>
            </w:r>
          </w:p>
        </w:tc>
        <w:tc>
          <w:tcPr>
            <w:tcW w:w="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118.2</w:t>
            </w: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97.4</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Less: Income taxes, including excise taxes</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4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4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investment income</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w:t>
            </w:r>
          </w:p>
        </w:tc>
        <w:tc>
          <w:tcPr>
            <w:tcW w:w="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114.2</w:t>
            </w: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94.5</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 xml:space="preserve">Net realized gains </w:t>
            </w:r>
            <w:r>
              <w:rPr>
                <w:rFonts w:ascii="Arial" w:cs="Arial" w:eastAsia="Arial" w:hAnsi="Arial"/>
                <w:sz w:val="15"/>
                <w:szCs w:val="15"/>
                <w:color w:val="auto"/>
              </w:rPr>
              <w:t>(1)</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11.0</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Net change in unrealized gains (losses) </w:t>
            </w:r>
            <w:r>
              <w:rPr>
                <w:rFonts w:ascii="Arial" w:cs="Arial" w:eastAsia="Arial" w:hAnsi="Arial"/>
                <w:sz w:val="15"/>
                <w:szCs w:val="15"/>
                <w:color w:val="auto"/>
              </w:rPr>
              <w:t>(1)</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w:t>
            </w:r>
          </w:p>
        </w:tc>
        <w:tc>
          <w:tcPr>
            <w:tcW w:w="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(11.5)</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20" w:type="dxa"/>
            <w:vAlign w:val="bottom"/>
          </w:tcPr>
          <w:p>
            <w:pPr>
              <w:ind w:left="240"/>
              <w:spacing w:after="0"/>
              <w:rPr>
                <w:sz w:val="20"/>
                <w:szCs w:val="20"/>
                <w:color w:val="auto"/>
              </w:rPr>
            </w:pPr>
            <w:r>
              <w:rPr>
                <w:rFonts w:ascii="Arial" w:cs="Arial" w:eastAsia="Arial" w:hAnsi="Arial"/>
                <w:sz w:val="18"/>
                <w:szCs w:val="18"/>
                <w:b w:val="1"/>
                <w:bCs w:val="1"/>
                <w:color w:val="auto"/>
                <w:w w:val="93"/>
              </w:rPr>
              <w:t>Net increase in net assets resulting from operations</w:t>
            </w: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81.9</w:t>
            </w:r>
          </w:p>
        </w:tc>
        <w:tc>
          <w:tcPr>
            <w:tcW w:w="4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124.6</w:t>
            </w:r>
          </w:p>
        </w:tc>
        <w:tc>
          <w:tcPr>
            <w:tcW w:w="4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 w:type="dxa"/>
            <w:vAlign w:val="bottom"/>
            <w:vMerge w:val="restart"/>
          </w:tcPr>
          <w:p>
            <w:pPr>
              <w:jc w:val="right"/>
              <w:ind w:right="50"/>
              <w:spacing w:after="0"/>
              <w:rPr>
                <w:sz w:val="20"/>
                <w:szCs w:val="20"/>
                <w:color w:val="auto"/>
              </w:rPr>
            </w:pPr>
            <w:r>
              <w:rPr>
                <w:rFonts w:ascii="Arial" w:cs="Arial" w:eastAsia="Arial" w:hAnsi="Arial"/>
                <w:sz w:val="18"/>
                <w:szCs w:val="18"/>
                <w:color w:val="auto"/>
                <w:w w:val="90"/>
              </w:rPr>
              <w:t>(1)</w:t>
            </w:r>
          </w:p>
        </w:tc>
        <w:tc>
          <w:tcPr>
            <w:tcW w:w="4640" w:type="dxa"/>
            <w:vAlign w:val="bottom"/>
            <w:gridSpan w:val="2"/>
            <w:vMerge w:val="restart"/>
          </w:tcPr>
          <w:p>
            <w:pPr>
              <w:ind w:left="140"/>
              <w:spacing w:after="0"/>
              <w:rPr>
                <w:sz w:val="20"/>
                <w:szCs w:val="20"/>
                <w:color w:val="auto"/>
              </w:rPr>
            </w:pPr>
            <w:r>
              <w:rPr>
                <w:rFonts w:ascii="Arial" w:cs="Arial" w:eastAsia="Arial" w:hAnsi="Arial"/>
                <w:sz w:val="18"/>
                <w:szCs w:val="18"/>
                <w:color w:val="auto"/>
              </w:rPr>
              <w:t>Includes foreign exchange hedging activity.</w:t>
            </w: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60" w:type="dxa"/>
            <w:vAlign w:val="bottom"/>
            <w:vMerge w:val="continue"/>
          </w:tcPr>
          <w:p>
            <w:pPr>
              <w:spacing w:after="0"/>
              <w:rPr>
                <w:sz w:val="24"/>
                <w:szCs w:val="24"/>
                <w:color w:val="auto"/>
              </w:rPr>
            </w:pPr>
          </w:p>
        </w:tc>
        <w:tc>
          <w:tcPr>
            <w:tcW w:w="464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ind w:right="493"/>
              <w:spacing w:after="0"/>
              <w:rPr>
                <w:sz w:val="20"/>
                <w:szCs w:val="20"/>
                <w:color w:val="auto"/>
              </w:rPr>
            </w:pPr>
            <w:r>
              <w:rPr>
                <w:rFonts w:ascii="Arial" w:cs="Arial" w:eastAsia="Arial" w:hAnsi="Arial"/>
                <w:sz w:val="18"/>
                <w:szCs w:val="18"/>
                <w:color w:val="auto"/>
              </w:rPr>
              <w:t>55</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4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449" w:right="31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3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gridSpan w:val="3"/>
          </w:tcPr>
          <w:p>
            <w:pPr>
              <w:jc w:val="right"/>
              <w:ind w:right="136"/>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80" w:type="dxa"/>
            <w:vAlign w:val="bottom"/>
            <w:gridSpan w:val="6"/>
          </w:tcPr>
          <w:p>
            <w:pPr>
              <w:ind w:left="4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6"/>
        </w:trPr>
        <w:tc>
          <w:tcPr>
            <w:tcW w:w="340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12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46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400" w:type="dxa"/>
            <w:vAlign w:val="bottom"/>
            <w:vMerge w:val="continue"/>
          </w:tcPr>
          <w:p>
            <w:pPr>
              <w:spacing w:after="0"/>
              <w:rPr>
                <w:sz w:val="11"/>
                <w:szCs w:val="11"/>
                <w:color w:val="auto"/>
              </w:rPr>
            </w:pPr>
          </w:p>
        </w:tc>
        <w:tc>
          <w:tcPr>
            <w:tcW w:w="1280" w:type="dxa"/>
            <w:vAlign w:val="bottom"/>
          </w:tcPr>
          <w:p>
            <w:pPr>
              <w:spacing w:after="0"/>
              <w:rPr>
                <w:sz w:val="11"/>
                <w:szCs w:val="11"/>
                <w:color w:val="auto"/>
              </w:rPr>
            </w:pPr>
          </w:p>
        </w:tc>
        <w:tc>
          <w:tcPr>
            <w:tcW w:w="1000" w:type="dxa"/>
            <w:vAlign w:val="bottom"/>
            <w:tcBorders>
              <w:top w:val="single" w:sz="8" w:color="auto"/>
            </w:tcBorders>
            <w:gridSpan w:val="2"/>
          </w:tcPr>
          <w:p>
            <w:pPr>
              <w:jc w:val="right"/>
              <w:spacing w:after="0" w:line="133" w:lineRule="exact"/>
              <w:rPr>
                <w:sz w:val="20"/>
                <w:szCs w:val="20"/>
                <w:color w:val="auto"/>
              </w:rPr>
            </w:pPr>
            <w:r>
              <w:rPr>
                <w:rFonts w:ascii="Arial" w:cs="Arial" w:eastAsia="Arial" w:hAnsi="Arial"/>
                <w:sz w:val="14"/>
                <w:szCs w:val="14"/>
                <w:b w:val="1"/>
                <w:bCs w:val="1"/>
                <w:color w:val="auto"/>
                <w:w w:val="96"/>
              </w:rPr>
              <w:t>September 30,</w:t>
            </w:r>
          </w:p>
        </w:tc>
        <w:tc>
          <w:tcPr>
            <w:tcW w:w="4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jc w:val="right"/>
              <w:spacing w:after="0" w:line="133" w:lineRule="exact"/>
              <w:rPr>
                <w:sz w:val="20"/>
                <w:szCs w:val="20"/>
                <w:color w:val="auto"/>
              </w:rPr>
            </w:pPr>
            <w:r>
              <w:rPr>
                <w:rFonts w:ascii="Arial" w:cs="Arial" w:eastAsia="Arial" w:hAnsi="Arial"/>
                <w:sz w:val="14"/>
                <w:szCs w:val="14"/>
                <w:b w:val="1"/>
                <w:bCs w:val="1"/>
                <w:color w:val="auto"/>
                <w:w w:val="96"/>
              </w:rPr>
              <w:t>September 30,</w:t>
            </w:r>
          </w:p>
        </w:tc>
        <w:tc>
          <w:tcPr>
            <w:tcW w:w="400" w:type="dxa"/>
            <w:vAlign w:val="bottom"/>
          </w:tcPr>
          <w:p>
            <w:pPr>
              <w:spacing w:after="0"/>
              <w:rPr>
                <w:sz w:val="11"/>
                <w:szCs w:val="11"/>
                <w:color w:val="auto"/>
              </w:rPr>
            </w:pPr>
          </w:p>
        </w:tc>
        <w:tc>
          <w:tcPr>
            <w:tcW w:w="1460" w:type="dxa"/>
            <w:vAlign w:val="bottom"/>
            <w:tcBorders>
              <w:top w:val="single" w:sz="8" w:color="auto"/>
            </w:tcBorders>
            <w:gridSpan w:val="3"/>
          </w:tcPr>
          <w:p>
            <w:pPr>
              <w:ind w:left="80"/>
              <w:spacing w:after="0" w:line="133" w:lineRule="exact"/>
              <w:rPr>
                <w:sz w:val="20"/>
                <w:szCs w:val="20"/>
                <w:color w:val="auto"/>
              </w:rPr>
            </w:pPr>
            <w:r>
              <w:rPr>
                <w:rFonts w:ascii="Arial" w:cs="Arial" w:eastAsia="Arial" w:hAnsi="Arial"/>
                <w:sz w:val="14"/>
                <w:szCs w:val="14"/>
                <w:b w:val="1"/>
                <w:bCs w:val="1"/>
                <w:color w:val="auto"/>
              </w:rPr>
              <w:t>September 30,</w:t>
            </w:r>
          </w:p>
        </w:tc>
        <w:tc>
          <w:tcPr>
            <w:tcW w:w="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right"/>
              <w:ind w:right="14"/>
              <w:spacing w:after="0" w:line="133" w:lineRule="exact"/>
              <w:rPr>
                <w:sz w:val="20"/>
                <w:szCs w:val="20"/>
                <w:color w:val="auto"/>
              </w:rPr>
            </w:pPr>
            <w:r>
              <w:rPr>
                <w:rFonts w:ascii="Arial" w:cs="Arial" w:eastAsia="Arial" w:hAnsi="Arial"/>
                <w:sz w:val="14"/>
                <w:szCs w:val="14"/>
                <w:b w:val="1"/>
                <w:bCs w:val="1"/>
                <w:color w:val="auto"/>
                <w:w w:val="96"/>
              </w:rPr>
              <w:t>September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276"/>
              <w:spacing w:after="0"/>
              <w:rPr>
                <w:sz w:val="20"/>
                <w:szCs w:val="20"/>
                <w:color w:val="auto"/>
              </w:rPr>
            </w:pPr>
            <w:r>
              <w:rPr>
                <w:rFonts w:ascii="Arial" w:cs="Arial" w:eastAsia="Arial" w:hAnsi="Arial"/>
                <w:sz w:val="14"/>
                <w:szCs w:val="14"/>
                <w:b w:val="1"/>
                <w:bCs w:val="1"/>
                <w:color w:val="auto"/>
              </w:rPr>
              <w:t>2020</w:t>
            </w: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ind w:right="296"/>
              <w:spacing w:after="0"/>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31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 from investments</w:t>
            </w:r>
          </w:p>
        </w:tc>
        <w:tc>
          <w:tcPr>
            <w:tcW w:w="1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62.8</w:t>
            </w:r>
          </w:p>
        </w:tc>
        <w:tc>
          <w:tcPr>
            <w:tcW w:w="40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ind w:right="476"/>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5"/>
              </w:rPr>
              <w:t>67.4</w:t>
            </w:r>
          </w:p>
        </w:tc>
        <w:tc>
          <w:tcPr>
            <w:tcW w:w="4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189.1</w:t>
            </w:r>
          </w:p>
        </w:tc>
        <w:tc>
          <w:tcPr>
            <w:tcW w:w="4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Dividend income</w:t>
            </w: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0.4</w:t>
            </w: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0.0</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Other income</w:t>
            </w:r>
          </w:p>
        </w:tc>
        <w:tc>
          <w:tcPr>
            <w:tcW w:w="1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40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4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0" w:type="dxa"/>
            <w:vAlign w:val="bottom"/>
          </w:tcPr>
          <w:p>
            <w:pPr>
              <w:ind w:left="240"/>
              <w:spacing w:after="0"/>
              <w:rPr>
                <w:sz w:val="20"/>
                <w:szCs w:val="20"/>
                <w:color w:val="auto"/>
              </w:rPr>
            </w:pPr>
            <w:r>
              <w:rPr>
                <w:rFonts w:ascii="Arial" w:cs="Arial" w:eastAsia="Arial" w:hAnsi="Arial"/>
                <w:sz w:val="18"/>
                <w:szCs w:val="18"/>
                <w:b w:val="1"/>
                <w:bCs w:val="1"/>
                <w:color w:val="auto"/>
              </w:rPr>
              <w:t>Total investment income</w:t>
            </w:r>
          </w:p>
        </w:tc>
        <w:tc>
          <w:tcPr>
            <w:tcW w:w="128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w:t>
            </w:r>
          </w:p>
        </w:tc>
        <w:tc>
          <w:tcPr>
            <w:tcW w:w="400" w:type="dxa"/>
            <w:vAlign w:val="bottom"/>
          </w:tcPr>
          <w:p>
            <w:pPr>
              <w:spacing w:after="0"/>
              <w:rPr>
                <w:sz w:val="19"/>
                <w:szCs w:val="19"/>
                <w:color w:val="auto"/>
              </w:rPr>
            </w:pPr>
          </w:p>
        </w:tc>
        <w:tc>
          <w:tcPr>
            <w:tcW w:w="660" w:type="dxa"/>
            <w:vAlign w:val="bottom"/>
            <w:tcBorders>
              <w:bottom w:val="single" w:sz="8" w:color="auto"/>
            </w:tcBorders>
          </w:tcPr>
          <w:p>
            <w:pPr>
              <w:jc w:val="right"/>
              <w:ind w:right="476"/>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70.1</w:t>
            </w:r>
          </w:p>
        </w:tc>
        <w:tc>
          <w:tcPr>
            <w:tcW w:w="400" w:type="dxa"/>
            <w:vAlign w:val="bottom"/>
          </w:tcPr>
          <w:p>
            <w:pPr>
              <w:spacing w:after="0"/>
              <w:rPr>
                <w:sz w:val="19"/>
                <w:szCs w:val="19"/>
                <w:color w:val="auto"/>
              </w:rPr>
            </w:pPr>
          </w:p>
        </w:tc>
        <w:tc>
          <w:tcPr>
            <w:tcW w:w="24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207.8</w:t>
            </w:r>
          </w:p>
        </w:tc>
        <w:tc>
          <w:tcPr>
            <w:tcW w:w="4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firstLine="255"/>
        <w:spacing w:after="0" w:line="287" w:lineRule="auto"/>
        <w:rPr>
          <w:sz w:val="20"/>
          <w:szCs w:val="20"/>
          <w:color w:val="auto"/>
        </w:rPr>
      </w:pPr>
      <w:r>
        <w:rPr>
          <w:rFonts w:ascii="Arial" w:cs="Arial" w:eastAsia="Arial" w:hAnsi="Arial"/>
          <w:sz w:val="16"/>
          <w:szCs w:val="16"/>
          <w:color w:val="auto"/>
        </w:rPr>
        <w:t>Interest from investments, which includes amortization of upfront fees and prepayment fees, decreased from $67.4 million for the three months ended September 30, 2019 to $62.8 million for the three months ended September 30, 2020. The decrease in interest from investments was primarily a result of a decline in effective LIBOR, taking into account the existence of LIBOR floors, and a decrease in prepayment fees. Accelerated amortization of upfront fees, which were primarily from unscheduled paydowns, increased from $3.3 million for the three months ended September 30, 2019 to $3.5 million for the three months ended September 30, 2020. Prepayment fees decreased from $8.0 million for the three months ended September 30, 2019 to $5.8 million for the three months ended September 30, 2020. The accelerated amortization of upfront fees and prepayment fees primarily resulted from full paydowns on seven portfolio investments and earning prepayment fees on five portfolio investments during the three months ended September 30, 2019. The accelerated amortization of upfront fees and prepayment fees primarily resulted from full paydowns on five portfolio investments, partial paydowns on three portfolio investments, and earning prepayment fees on seven portfolio investments during the three months ended September 30, 2020. Other income increased from $2.7 million for the three months ended September 30, 2019 to $8.1 million for the three months ended September 30, 2020, primarily due to higher amendment and other fees during the three months ended September 30, 2020 compared to the same period in 2019.</w:t>
      </w:r>
    </w:p>
    <w:p>
      <w:pPr>
        <w:spacing w:after="0" w:line="212" w:lineRule="exact"/>
        <w:rPr>
          <w:sz w:val="20"/>
          <w:szCs w:val="20"/>
          <w:color w:val="auto"/>
        </w:rPr>
      </w:pPr>
    </w:p>
    <w:p>
      <w:pPr>
        <w:ind w:right="20" w:firstLine="255"/>
        <w:spacing w:after="0" w:line="287" w:lineRule="auto"/>
        <w:rPr>
          <w:sz w:val="20"/>
          <w:szCs w:val="20"/>
          <w:color w:val="auto"/>
        </w:rPr>
      </w:pPr>
      <w:r>
        <w:rPr>
          <w:rFonts w:ascii="Arial" w:cs="Arial" w:eastAsia="Arial" w:hAnsi="Arial"/>
          <w:sz w:val="16"/>
          <w:szCs w:val="16"/>
          <w:color w:val="auto"/>
        </w:rPr>
        <w:t>Interest from investments, which includes amortization of upfront fees and prepayment fees, increased from $178.2 million for the nine months ended September 30, 2019 to $189.1 million for the nine months ended September 30, 2020. The increase in interest from investments was primarily a result of an increase in accelerated amortization of upfront fees and prepayment fees. Accelerated amortization of upfront fees, which were primarily from unscheduled paydowns, increased from $6.3 million for the nine months ended September 30, 2019 to $11.9 million for the nine months ended September 30, 2020. Prepayment fees increased from $11.0 million for the nine months ended September 30, 2019 to $19.6 million for the nine months ended September 30, 2020. The accelerated amortization of upfront fees and prepayment fees primarily resulted from full paydowns on twelve portfolio investments, one partial paydown, and earning prepayment fees on eight portfolio investments during the nine months ended September 30, 2019 and full paydowns on eleven portfolio investments, partial paydowns on seven portfolio investments, partial realizations of two portfolio investments and earning prepayment fees on thirteen portfolio investments during the nine months ended September 30, 2020. Other income increased from $6.8 million for the nine months ended September 30, 2019 to $17.4 million for the nine months ended September 30, 2020, primarily due to higher amendment, commitment, and other fees earned during the nine months ended September 30, 2020 compared to the same period in 2019.</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Operating expenses for the three and nine months ended September 30, 2020 and 2019 were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52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5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ind w:right="56"/>
              <w:spacing w:after="0"/>
              <w:rPr>
                <w:sz w:val="20"/>
                <w:szCs w:val="20"/>
                <w:color w:val="auto"/>
              </w:rPr>
            </w:pPr>
            <w:r>
              <w:rPr>
                <w:rFonts w:ascii="Arial" w:cs="Arial" w:eastAsia="Arial" w:hAnsi="Arial"/>
                <w:sz w:val="14"/>
                <w:szCs w:val="14"/>
                <w:b w:val="1"/>
                <w:bCs w:val="1"/>
                <w:color w:val="auto"/>
              </w:rPr>
              <w:t>Nine Months Ended</w:t>
            </w: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452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3"/>
          </w:tcPr>
          <w:p>
            <w:pPr>
              <w:ind w:left="60"/>
              <w:spacing w:after="0" w:line="133" w:lineRule="exact"/>
              <w:rPr>
                <w:sz w:val="20"/>
                <w:szCs w:val="20"/>
                <w:color w:val="auto"/>
              </w:rPr>
            </w:pPr>
            <w:r>
              <w:rPr>
                <w:rFonts w:ascii="Arial" w:cs="Arial" w:eastAsia="Arial" w:hAnsi="Arial"/>
                <w:sz w:val="14"/>
                <w:szCs w:val="14"/>
                <w:b w:val="1"/>
                <w:bCs w:val="1"/>
                <w:color w:val="auto"/>
              </w:rPr>
              <w:t>September 30,</w:t>
            </w:r>
          </w:p>
        </w:tc>
        <w:tc>
          <w:tcPr>
            <w:tcW w:w="1000" w:type="dxa"/>
            <w:vAlign w:val="bottom"/>
            <w:gridSpan w:val="2"/>
          </w:tcPr>
          <w:p>
            <w:pPr>
              <w:jc w:val="right"/>
              <w:spacing w:after="0" w:line="133" w:lineRule="exact"/>
              <w:rPr>
                <w:sz w:val="20"/>
                <w:szCs w:val="20"/>
                <w:color w:val="auto"/>
              </w:rPr>
            </w:pPr>
            <w:r>
              <w:rPr>
                <w:rFonts w:ascii="Arial" w:cs="Arial" w:eastAsia="Arial" w:hAnsi="Arial"/>
                <w:sz w:val="14"/>
                <w:szCs w:val="14"/>
                <w:b w:val="1"/>
                <w:bCs w:val="1"/>
                <w:color w:val="auto"/>
                <w:w w:val="93"/>
              </w:rPr>
              <w:t>September 30,</w:t>
            </w:r>
          </w:p>
        </w:tc>
        <w:tc>
          <w:tcPr>
            <w:tcW w:w="400" w:type="dxa"/>
            <w:vAlign w:val="bottom"/>
          </w:tcPr>
          <w:p>
            <w:pPr>
              <w:spacing w:after="0"/>
              <w:rPr>
                <w:sz w:val="11"/>
                <w:szCs w:val="11"/>
                <w:color w:val="auto"/>
              </w:rPr>
            </w:pPr>
          </w:p>
        </w:tc>
        <w:tc>
          <w:tcPr>
            <w:tcW w:w="1020" w:type="dxa"/>
            <w:vAlign w:val="bottom"/>
            <w:gridSpan w:val="2"/>
          </w:tcPr>
          <w:p>
            <w:pPr>
              <w:jc w:val="right"/>
              <w:spacing w:after="0" w:line="133" w:lineRule="exact"/>
              <w:rPr>
                <w:sz w:val="20"/>
                <w:szCs w:val="20"/>
                <w:color w:val="auto"/>
              </w:rPr>
            </w:pPr>
            <w:r>
              <w:rPr>
                <w:rFonts w:ascii="Arial" w:cs="Arial" w:eastAsia="Arial" w:hAnsi="Arial"/>
                <w:sz w:val="14"/>
                <w:szCs w:val="14"/>
                <w:b w:val="1"/>
                <w:bCs w:val="1"/>
                <w:color w:val="auto"/>
                <w:w w:val="96"/>
              </w:rPr>
              <w:t>September 30,</w:t>
            </w:r>
          </w:p>
        </w:tc>
        <w:tc>
          <w:tcPr>
            <w:tcW w:w="200" w:type="dxa"/>
            <w:vAlign w:val="bottom"/>
          </w:tcPr>
          <w:p>
            <w:pPr>
              <w:spacing w:after="0"/>
              <w:rPr>
                <w:sz w:val="11"/>
                <w:szCs w:val="11"/>
                <w:color w:val="auto"/>
              </w:rPr>
            </w:pPr>
          </w:p>
        </w:tc>
        <w:tc>
          <w:tcPr>
            <w:tcW w:w="1020" w:type="dxa"/>
            <w:vAlign w:val="bottom"/>
            <w:gridSpan w:val="2"/>
          </w:tcPr>
          <w:p>
            <w:pPr>
              <w:jc w:val="right"/>
              <w:spacing w:after="0" w:line="133" w:lineRule="exact"/>
              <w:rPr>
                <w:sz w:val="20"/>
                <w:szCs w:val="20"/>
                <w:color w:val="auto"/>
              </w:rPr>
            </w:pPr>
            <w:r>
              <w:rPr>
                <w:rFonts w:ascii="Arial" w:cs="Arial" w:eastAsia="Arial" w:hAnsi="Arial"/>
                <w:sz w:val="14"/>
                <w:szCs w:val="14"/>
                <w:b w:val="1"/>
                <w:bCs w:val="1"/>
                <w:color w:val="auto"/>
                <w:w w:val="96"/>
              </w:rPr>
              <w:t>September 30,</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ind w:right="274"/>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274"/>
              <w:spacing w:after="0"/>
              <w:rPr>
                <w:sz w:val="20"/>
                <w:szCs w:val="20"/>
                <w:color w:val="auto"/>
              </w:rPr>
            </w:pPr>
            <w:r>
              <w:rPr>
                <w:rFonts w:ascii="Arial" w:cs="Arial" w:eastAsia="Arial" w:hAnsi="Arial"/>
                <w:sz w:val="14"/>
                <w:szCs w:val="14"/>
                <w:b w:val="1"/>
                <w:bCs w:val="1"/>
                <w:color w:val="auto"/>
              </w:rPr>
              <w:t>2020</w:t>
            </w: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w:t>
            </w:r>
          </w:p>
        </w:tc>
        <w:tc>
          <w:tcPr>
            <w:tcW w:w="5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center"/>
              <w:ind w:right="76"/>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22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ind w:right="50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12.6</w:t>
            </w:r>
          </w:p>
        </w:tc>
        <w:tc>
          <w:tcPr>
            <w:tcW w:w="4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w:t>
            </w:r>
          </w:p>
        </w:tc>
        <w:tc>
          <w:tcPr>
            <w:tcW w:w="20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ind w:right="476"/>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35.7</w:t>
            </w:r>
          </w:p>
        </w:tc>
        <w:tc>
          <w:tcPr>
            <w:tcW w:w="100" w:type="dxa"/>
            <w:vAlign w:val="bottom"/>
            <w:tcBorders>
              <w:top w:val="single" w:sz="8" w:color="CFF0FC"/>
            </w:tcBorders>
            <w:shd w:val="clear" w:color="auto" w:fill="CFF0FC"/>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Management fees (net of waivers)</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7.8</w:t>
            </w: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7.9</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23.7</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1"/>
              </w:rPr>
              <w:t>21.9</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w w:val="99"/>
              </w:rPr>
              <w:t>Incentive fees related to pre-incentive fee net investment</w:t>
            </w:r>
          </w:p>
        </w:tc>
        <w:tc>
          <w:tcPr>
            <w:tcW w:w="5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income (net of waivers)</w:t>
            </w:r>
          </w:p>
        </w:tc>
        <w:tc>
          <w:tcPr>
            <w:tcW w:w="5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22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4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w:t>
            </w:r>
          </w:p>
        </w:tc>
        <w:tc>
          <w:tcPr>
            <w:tcW w:w="20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20.1</w:t>
            </w:r>
          </w:p>
        </w:tc>
        <w:tc>
          <w:tcPr>
            <w:tcW w:w="100" w:type="dxa"/>
            <w:vAlign w:val="bottom"/>
            <w:shd w:val="clear" w:color="auto" w:fill="CFF0FC"/>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9"/>
              </w:rPr>
              <w:t>Incentive fees related to realized/unrealized capital gains</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Professional fees</w:t>
            </w:r>
          </w:p>
        </w:tc>
        <w:tc>
          <w:tcPr>
            <w:tcW w:w="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FF0FC"/>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Directors fees</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0.1</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Other general and administrative</w:t>
            </w:r>
          </w:p>
        </w:tc>
        <w:tc>
          <w:tcPr>
            <w:tcW w:w="5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4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20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FF0FC"/>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b w:val="1"/>
                <w:bCs w:val="1"/>
                <w:color w:val="auto"/>
              </w:rPr>
              <w:t>Net Expenses</w:t>
            </w:r>
          </w:p>
        </w:tc>
        <w:tc>
          <w:tcPr>
            <w:tcW w:w="500" w:type="dxa"/>
            <w:vAlign w:val="bottom"/>
          </w:tcPr>
          <w:p>
            <w:pPr>
              <w:spacing w:after="0"/>
              <w:rPr>
                <w:sz w:val="19"/>
                <w:szCs w:val="19"/>
                <w:color w:val="auto"/>
              </w:rPr>
            </w:pPr>
          </w:p>
        </w:tc>
        <w:tc>
          <w:tcPr>
            <w:tcW w:w="240" w:type="dxa"/>
            <w:vAlign w:val="bottom"/>
            <w:tcBorders>
              <w:bottom w:val="single" w:sz="8" w:color="auto"/>
            </w:tcBorders>
          </w:tcPr>
          <w:p>
            <w:pPr>
              <w:jc w:val="center"/>
              <w:ind w:right="76"/>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220" w:type="dxa"/>
            <w:vAlign w:val="bottom"/>
          </w:tcPr>
          <w:p>
            <w:pPr>
              <w:spacing w:after="0"/>
              <w:rPr>
                <w:sz w:val="19"/>
                <w:szCs w:val="19"/>
                <w:color w:val="auto"/>
              </w:rPr>
            </w:pPr>
          </w:p>
        </w:tc>
        <w:tc>
          <w:tcPr>
            <w:tcW w:w="660" w:type="dxa"/>
            <w:vAlign w:val="bottom"/>
            <w:tcBorders>
              <w:bottom w:val="single" w:sz="8" w:color="auto"/>
            </w:tcBorders>
          </w:tcPr>
          <w:p>
            <w:pPr>
              <w:jc w:val="right"/>
              <w:ind w:right="507"/>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31.8</w:t>
            </w:r>
          </w:p>
        </w:tc>
        <w:tc>
          <w:tcPr>
            <w:tcW w:w="400" w:type="dxa"/>
            <w:vAlign w:val="bottom"/>
          </w:tcPr>
          <w:p>
            <w:pPr>
              <w:spacing w:after="0"/>
              <w:rPr>
                <w:sz w:val="19"/>
                <w:szCs w:val="19"/>
                <w:color w:val="auto"/>
              </w:rPr>
            </w:pPr>
          </w:p>
        </w:tc>
        <w:tc>
          <w:tcPr>
            <w:tcW w:w="24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w:t>
            </w:r>
          </w:p>
        </w:tc>
        <w:tc>
          <w:tcPr>
            <w:tcW w:w="200" w:type="dxa"/>
            <w:vAlign w:val="bottom"/>
          </w:tcPr>
          <w:p>
            <w:pPr>
              <w:spacing w:after="0"/>
              <w:rPr>
                <w:sz w:val="19"/>
                <w:szCs w:val="19"/>
                <w:color w:val="auto"/>
              </w:rPr>
            </w:pPr>
          </w:p>
        </w:tc>
        <w:tc>
          <w:tcPr>
            <w:tcW w:w="660" w:type="dxa"/>
            <w:vAlign w:val="bottom"/>
            <w:tcBorders>
              <w:bottom w:val="single" w:sz="8" w:color="auto"/>
            </w:tcBorders>
          </w:tcPr>
          <w:p>
            <w:pPr>
              <w:jc w:val="right"/>
              <w:ind w:right="476"/>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87.6</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740" w:type="dxa"/>
            <w:vAlign w:val="bottom"/>
            <w:gridSpan w:val="2"/>
          </w:tcPr>
          <w:p>
            <w:pPr>
              <w:jc w:val="center"/>
              <w:ind w:left="230"/>
              <w:spacing w:after="0"/>
              <w:rPr>
                <w:sz w:val="20"/>
                <w:szCs w:val="20"/>
                <w:color w:val="auto"/>
              </w:rPr>
            </w:pPr>
            <w:r>
              <w:rPr>
                <w:rFonts w:ascii="Arial" w:cs="Arial" w:eastAsia="Arial" w:hAnsi="Arial"/>
                <w:sz w:val="18"/>
                <w:szCs w:val="18"/>
                <w:color w:val="auto"/>
                <w:w w:val="89"/>
              </w:rPr>
              <w:t>56</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5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490" w:right="319" w:bottom="1440" w:gutter="0" w:footer="0" w:header="0"/>
        </w:sectPr>
      </w:pPr>
    </w:p>
    <w:bookmarkStart w:id="56" w:name="page57"/>
    <w:bookmarkEnd w:id="56"/>
    <w:p>
      <w:pPr>
        <w:ind w:left="260"/>
        <w:spacing w:after="0"/>
        <w:rPr>
          <w:sz w:val="20"/>
          <w:szCs w:val="20"/>
          <w:color w:val="auto"/>
        </w:rPr>
      </w:pPr>
      <w:r>
        <w:rPr>
          <w:rFonts w:ascii="Arial" w:cs="Arial" w:eastAsia="Arial" w:hAnsi="Arial"/>
          <w:sz w:val="18"/>
          <w:szCs w:val="18"/>
          <w:i w:val="1"/>
          <w:iCs w:val="1"/>
          <w:color w:val="auto"/>
        </w:rPr>
        <w:t>Interest</w:t>
      </w:r>
    </w:p>
    <w:p>
      <w:pPr>
        <w:spacing w:after="0" w:line="117" w:lineRule="exact"/>
        <w:rPr>
          <w:sz w:val="20"/>
          <w:szCs w:val="20"/>
          <w:color w:val="auto"/>
        </w:rPr>
      </w:pPr>
    </w:p>
    <w:p>
      <w:pPr>
        <w:ind w:right="40" w:firstLine="255"/>
        <w:spacing w:after="0" w:line="255" w:lineRule="auto"/>
        <w:rPr>
          <w:sz w:val="20"/>
          <w:szCs w:val="20"/>
          <w:color w:val="auto"/>
        </w:rPr>
      </w:pPr>
      <w:r>
        <w:rPr>
          <w:rFonts w:ascii="Arial" w:cs="Arial" w:eastAsia="Arial" w:hAnsi="Arial"/>
          <w:sz w:val="18"/>
          <w:szCs w:val="18"/>
          <w:color w:val="auto"/>
        </w:rPr>
        <w:t>Interest expense, including other debt financing expenses, decreased from $12.6 million for the three months ended September 30, 2019 to $8.4 million for the three months ended September 30, 2020. This decrease was primarily due to a decrease in the average interest rate on our debt outstanding from the three months ended September 30, 2019 to the three months ended September 30, 2020. The average interest rate on our debt outstanding decreased from 4.4% for three months ended September 30, 2019 to 2.4% for the three months ended September 30, 2020 primarily due to changes in LIBOR rates. The average debt outstanding increased from $946.0 million for the three months ended September 30, 2019 to $1,006.9 million for the three months ended September 30, 2020.</w:t>
      </w:r>
    </w:p>
    <w:p>
      <w:pPr>
        <w:spacing w:after="0" w:line="192" w:lineRule="exact"/>
        <w:rPr>
          <w:sz w:val="20"/>
          <w:szCs w:val="20"/>
          <w:color w:val="auto"/>
        </w:rPr>
      </w:pPr>
    </w:p>
    <w:p>
      <w:pPr>
        <w:ind w:firstLine="255"/>
        <w:spacing w:after="0" w:line="263" w:lineRule="auto"/>
        <w:rPr>
          <w:sz w:val="20"/>
          <w:szCs w:val="20"/>
          <w:color w:val="auto"/>
        </w:rPr>
      </w:pPr>
      <w:r>
        <w:rPr>
          <w:rFonts w:ascii="Arial" w:cs="Arial" w:eastAsia="Arial" w:hAnsi="Arial"/>
          <w:sz w:val="18"/>
          <w:szCs w:val="18"/>
          <w:color w:val="auto"/>
        </w:rPr>
        <w:t>Interest expense, including other debt financing expenses, decreased from $35.7 million for the nine months ended September 30, 2019 to $31.2 million for the nine months ended September 30, 2020. This decrease was primarily due to a decrease in the average interest rate on our debt outstanding from 4.6% for the nine months ended September 30, 2019 to 3.2% for the nine months ended September 30, 2020.</w:t>
      </w:r>
    </w:p>
    <w:p>
      <w:pPr>
        <w:spacing w:after="0" w:line="29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Management Fees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Management Fees decreased from $7.9 million for the three months ended September 30, 2019 to $7.8 million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2020 due to a decrease in average assets for the three months ended September 30, 2020 compared to the same period in 2019. The Adviser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did not waive any Management Fees for the three months ended September 30, 2020 or 2019.</w:t>
      </w:r>
    </w:p>
    <w:p>
      <w:pPr>
        <w:spacing w:after="0" w:line="211" w:lineRule="exact"/>
        <w:rPr>
          <w:sz w:val="20"/>
          <w:szCs w:val="20"/>
          <w:color w:val="auto"/>
        </w:rPr>
      </w:pPr>
    </w:p>
    <w:p>
      <w:pPr>
        <w:ind w:right="140" w:firstLine="255"/>
        <w:spacing w:after="0" w:line="263" w:lineRule="auto"/>
        <w:rPr>
          <w:sz w:val="20"/>
          <w:szCs w:val="20"/>
          <w:color w:val="auto"/>
        </w:rPr>
      </w:pPr>
      <w:r>
        <w:rPr>
          <w:rFonts w:ascii="Arial" w:cs="Arial" w:eastAsia="Arial" w:hAnsi="Arial"/>
          <w:sz w:val="18"/>
          <w:szCs w:val="18"/>
          <w:color w:val="auto"/>
        </w:rPr>
        <w:t>Management Fees increased from $21.9 million for the nine months ended September 30, 2019 to $23.7 million for the nine months ended September 30, 2020 due to an increase in average assets for the nine months ended September 30, 2020 compared to the same period in 2019. The Adviser did not waive any Management Fees for the nine months ended September 30, 2020 or 2019.</w:t>
      </w:r>
    </w:p>
    <w:p>
      <w:pPr>
        <w:spacing w:after="0" w:line="29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Incentive Fees</w:t>
      </w:r>
    </w:p>
    <w:p>
      <w:pPr>
        <w:spacing w:after="0" w:line="117" w:lineRule="exact"/>
        <w:rPr>
          <w:sz w:val="20"/>
          <w:szCs w:val="20"/>
          <w:color w:val="auto"/>
        </w:rPr>
      </w:pPr>
    </w:p>
    <w:p>
      <w:pPr>
        <w:ind w:right="140" w:firstLine="255"/>
        <w:spacing w:after="0" w:line="275" w:lineRule="auto"/>
        <w:rPr>
          <w:sz w:val="20"/>
          <w:szCs w:val="20"/>
          <w:color w:val="auto"/>
        </w:rPr>
      </w:pPr>
      <w:r>
        <w:rPr>
          <w:rFonts w:ascii="Arial" w:cs="Arial" w:eastAsia="Arial" w:hAnsi="Arial"/>
          <w:sz w:val="17"/>
          <w:szCs w:val="17"/>
          <w:color w:val="auto"/>
        </w:rPr>
        <w:t>Incentive Fees related to pre-Incentive Fee net investment income increased from $7.8 million for the three months ended September 30, 2019 to $8.7 million for the three months ended September 30, 2020. This increase resulted from an increase in other income partially offset by a decrease in interest from investments for the three months ended September 30, 2020. The Adviser did not waive any Incentive Fees related to pre-Incentive Fee net investment income for the three months ended September 30, 2020 or 2019. There were no Incentive Fees related to capital gains for each of the three months ended September 30, 2020 and 2019 due to cumulative realized losses on our investments.</w:t>
      </w:r>
    </w:p>
    <w:p>
      <w:pPr>
        <w:spacing w:after="0" w:line="176" w:lineRule="exact"/>
        <w:rPr>
          <w:sz w:val="20"/>
          <w:szCs w:val="20"/>
          <w:color w:val="auto"/>
        </w:rPr>
      </w:pPr>
    </w:p>
    <w:p>
      <w:pPr>
        <w:ind w:firstLine="255"/>
        <w:spacing w:after="0" w:line="275" w:lineRule="auto"/>
        <w:rPr>
          <w:sz w:val="20"/>
          <w:szCs w:val="20"/>
          <w:color w:val="auto"/>
        </w:rPr>
      </w:pPr>
      <w:r>
        <w:rPr>
          <w:rFonts w:ascii="Arial" w:cs="Arial" w:eastAsia="Arial" w:hAnsi="Arial"/>
          <w:sz w:val="17"/>
          <w:szCs w:val="17"/>
          <w:color w:val="auto"/>
        </w:rPr>
        <w:t>Incentive Fees related to pre-Incentive Fee net investment income increased from $20.1 million for the nine months ended September 30, 2019 to $24.2 million for the nine months ended September 30, 2020. This increase resulted from an increase in investment income resulting from higher interest and other income for the nine months ended September 30, 2020. The Adviser did not waive any Incentive Fees related to pre-Incentive Fee net investment income for the nine months ended September 30, 2020 or 2019. There were no Incentive Fees related to capital gains for each of the nine months ended September 30, 2020 and 2019 due to cumulative realized losses on our investments.</w:t>
      </w:r>
    </w:p>
    <w:p>
      <w:pPr>
        <w:spacing w:after="0" w:line="28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Professional Fees and Other General and Administrative Expenses</w:t>
      </w:r>
    </w:p>
    <w:p>
      <w:pPr>
        <w:spacing w:after="0" w:line="117" w:lineRule="exact"/>
        <w:rPr>
          <w:sz w:val="20"/>
          <w:szCs w:val="20"/>
          <w:color w:val="auto"/>
        </w:rPr>
      </w:pPr>
    </w:p>
    <w:p>
      <w:pPr>
        <w:ind w:right="120" w:firstLine="255"/>
        <w:spacing w:after="0" w:line="263" w:lineRule="auto"/>
        <w:rPr>
          <w:sz w:val="20"/>
          <w:szCs w:val="20"/>
          <w:color w:val="auto"/>
        </w:rPr>
      </w:pPr>
      <w:r>
        <w:rPr>
          <w:rFonts w:ascii="Arial" w:cs="Arial" w:eastAsia="Arial" w:hAnsi="Arial"/>
          <w:sz w:val="18"/>
          <w:szCs w:val="18"/>
          <w:color w:val="auto"/>
        </w:rPr>
        <w:t>Professional fees decreased from $1.8 million the three months ended September 30, 2019 to $1.6 million for the three months ended September 30, 2020 primarily due to lower legal fees. Other general and administrative fees decreased from $1.6 million for the three months ended September 30, 2019 to $1.5 million for the three months ended September 30, 2020.</w:t>
      </w:r>
    </w:p>
    <w:p>
      <w:pPr>
        <w:spacing w:after="0" w:line="184" w:lineRule="exact"/>
        <w:rPr>
          <w:sz w:val="20"/>
          <w:szCs w:val="20"/>
          <w:color w:val="auto"/>
        </w:rPr>
      </w:pPr>
    </w:p>
    <w:p>
      <w:pPr>
        <w:jc w:val="both"/>
        <w:ind w:right="140" w:firstLine="255"/>
        <w:spacing w:after="0" w:line="259" w:lineRule="auto"/>
        <w:rPr>
          <w:sz w:val="20"/>
          <w:szCs w:val="20"/>
          <w:color w:val="auto"/>
        </w:rPr>
      </w:pPr>
      <w:r>
        <w:rPr>
          <w:rFonts w:ascii="Arial" w:cs="Arial" w:eastAsia="Arial" w:hAnsi="Arial"/>
          <w:sz w:val="18"/>
          <w:szCs w:val="18"/>
          <w:color w:val="auto"/>
        </w:rPr>
        <w:t>Professional fees increased from $4.9 million for the nine months ended September 30, 2019 to $5.2 million for the nine months ended September 30, 2020 primarily due to higher legal fees, independent third-party valuation firm and sub-agent administration costs given a larger portfolio. Other general and administrative fees increased from $4.6 million for the nine months ended September 30, 2019 to $4.7 million for the nine months ended September 30, 2020.</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Including Excise Taxes</w:t>
      </w:r>
    </w:p>
    <w:p>
      <w:pPr>
        <w:spacing w:after="0" w:line="117" w:lineRule="exact"/>
        <w:rPr>
          <w:sz w:val="20"/>
          <w:szCs w:val="20"/>
          <w:color w:val="auto"/>
        </w:rPr>
      </w:pPr>
    </w:p>
    <w:p>
      <w:pPr>
        <w:ind w:right="140" w:firstLine="255"/>
        <w:spacing w:after="0" w:line="257" w:lineRule="auto"/>
        <w:rPr>
          <w:sz w:val="20"/>
          <w:szCs w:val="20"/>
          <w:color w:val="auto"/>
        </w:rPr>
      </w:pPr>
      <w:r>
        <w:rPr>
          <w:rFonts w:ascii="Arial" w:cs="Arial" w:eastAsia="Arial" w:hAnsi="Arial"/>
          <w:sz w:val="18"/>
          <w:szCs w:val="18"/>
          <w:color w:val="auto"/>
        </w:rPr>
        <w:t>We have elected to be treated as a RIC under Subchapter M of the Code, and we intend to operate in a manner so as to continue to qualify for the tax treatment applicable to RICs. To qualify as a RIC, we must, among other things, distribute to our stockholders in each taxable year generally at least 90% of our investment company taxable income, as defined by the Code, and net tax-exempt income for that taxable year. To maintain our RIC status, we, among other things, have made and intend to continue to make the requisite distributions to our stockholders, which generally relieve us from corporate-level U.S. federal income taxes.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90" w:right="379" w:bottom="1440" w:gutter="0" w:footer="0" w:header="0"/>
        </w:sectPr>
      </w:pPr>
    </w:p>
    <w:bookmarkStart w:id="57" w:name="page58"/>
    <w:bookmarkEnd w:id="57"/>
    <w:p>
      <w:pPr>
        <w:ind w:right="40" w:firstLine="255"/>
        <w:spacing w:after="0" w:line="279" w:lineRule="auto"/>
        <w:rPr>
          <w:sz w:val="20"/>
          <w:szCs w:val="20"/>
          <w:color w:val="auto"/>
        </w:rPr>
      </w:pPr>
      <w:r>
        <w:rPr>
          <w:rFonts w:ascii="Arial" w:cs="Arial" w:eastAsia="Arial" w:hAnsi="Arial"/>
          <w:sz w:val="17"/>
          <w:szCs w:val="17"/>
          <w:color w:val="auto"/>
        </w:rPr>
        <w:t>Depending on the level of taxable income earned in a tax year, we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we determine that our estimated current year annual taxable income will be in excess of estimated current year dividend distributions from such income, we accrue excise tax on estimated excess taxable income.</w:t>
      </w:r>
    </w:p>
    <w:p>
      <w:pPr>
        <w:spacing w:after="0" w:line="171" w:lineRule="exact"/>
        <w:rPr>
          <w:sz w:val="20"/>
          <w:szCs w:val="20"/>
          <w:color w:val="auto"/>
        </w:rPr>
      </w:pPr>
    </w:p>
    <w:p>
      <w:pPr>
        <w:ind w:right="300" w:firstLine="255"/>
        <w:spacing w:after="0" w:line="263" w:lineRule="auto"/>
        <w:rPr>
          <w:sz w:val="20"/>
          <w:szCs w:val="20"/>
          <w:color w:val="auto"/>
        </w:rPr>
      </w:pPr>
      <w:r>
        <w:rPr>
          <w:rFonts w:ascii="Arial" w:cs="Arial" w:eastAsia="Arial" w:hAnsi="Arial"/>
          <w:sz w:val="18"/>
          <w:szCs w:val="18"/>
          <w:color w:val="auto"/>
        </w:rPr>
        <w:t>For the three and nine months ended September 30, 2020, we recorded a net expense of $2.0 million and $4.0 million, respectively, for U.S. federal excise tax and other taxes. For the three and nine months ended September 30, 2019, we recorded a net expense of $1.6 million and $2.9 million, respectively, for U.S. federal excise tax and other taxes.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and Unrealized Gains and Losses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following table summarizes our net realized and unrealized gains (losses) for the three and nine months ended September 30, 2020 and 2019:</w:t>
      </w:r>
    </w:p>
    <w:p>
      <w:pPr>
        <w:spacing w:after="0" w:line="32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16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220" w:type="dxa"/>
            <w:vAlign w:val="bottom"/>
          </w:tcPr>
          <w:p>
            <w:pPr>
              <w:spacing w:after="0"/>
              <w:rPr>
                <w:sz w:val="14"/>
                <w:szCs w:val="14"/>
                <w:color w:val="auto"/>
              </w:rPr>
            </w:pPr>
          </w:p>
        </w:tc>
        <w:tc>
          <w:tcPr>
            <w:tcW w:w="214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6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33"/>
        </w:trPr>
        <w:tc>
          <w:tcPr>
            <w:tcW w:w="5160" w:type="dxa"/>
            <w:vAlign w:val="bottom"/>
            <w:vMerge w:val="continue"/>
          </w:tcPr>
          <w:p>
            <w:pPr>
              <w:spacing w:after="0"/>
              <w:rPr>
                <w:sz w:val="11"/>
                <w:szCs w:val="11"/>
                <w:color w:val="auto"/>
              </w:rPr>
            </w:pPr>
          </w:p>
        </w:tc>
        <w:tc>
          <w:tcPr>
            <w:tcW w:w="1200" w:type="dxa"/>
            <w:vAlign w:val="bottom"/>
            <w:tcBorders>
              <w:top w:val="single" w:sz="8" w:color="auto"/>
            </w:tcBorders>
            <w:gridSpan w:val="3"/>
          </w:tcPr>
          <w:p>
            <w:pPr>
              <w:jc w:val="right"/>
              <w:ind w:right="280"/>
              <w:spacing w:after="0" w:line="133" w:lineRule="exact"/>
              <w:rPr>
                <w:sz w:val="20"/>
                <w:szCs w:val="20"/>
                <w:color w:val="auto"/>
              </w:rPr>
            </w:pPr>
            <w:r>
              <w:rPr>
                <w:rFonts w:ascii="Arial" w:cs="Arial" w:eastAsia="Arial" w:hAnsi="Arial"/>
                <w:sz w:val="14"/>
                <w:szCs w:val="14"/>
                <w:b w:val="1"/>
                <w:bCs w:val="1"/>
                <w:color w:val="auto"/>
                <w:w w:val="93"/>
              </w:rPr>
              <w:t>September 30,</w:t>
            </w:r>
          </w:p>
        </w:tc>
        <w:tc>
          <w:tcPr>
            <w:tcW w:w="1040" w:type="dxa"/>
            <w:vAlign w:val="bottom"/>
            <w:tcBorders>
              <w:top w:val="single" w:sz="8" w:color="auto"/>
            </w:tcBorders>
            <w:gridSpan w:val="2"/>
          </w:tcPr>
          <w:p>
            <w:pPr>
              <w:jc w:val="right"/>
              <w:spacing w:after="0" w:line="133" w:lineRule="exact"/>
              <w:rPr>
                <w:sz w:val="20"/>
                <w:szCs w:val="20"/>
                <w:color w:val="auto"/>
              </w:rPr>
            </w:pPr>
            <w:r>
              <w:rPr>
                <w:rFonts w:ascii="Arial" w:cs="Arial" w:eastAsia="Arial" w:hAnsi="Arial"/>
                <w:sz w:val="14"/>
                <w:szCs w:val="14"/>
                <w:b w:val="1"/>
                <w:bCs w:val="1"/>
                <w:color w:val="auto"/>
                <w:w w:val="98"/>
              </w:rPr>
              <w:t>September 30,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Borders>
              <w:top w:val="single" w:sz="8" w:color="auto"/>
            </w:tcBorders>
            <w:gridSpan w:val="3"/>
          </w:tcPr>
          <w:p>
            <w:pPr>
              <w:jc w:val="right"/>
              <w:ind w:right="220"/>
              <w:spacing w:after="0" w:line="133" w:lineRule="exact"/>
              <w:rPr>
                <w:sz w:val="20"/>
                <w:szCs w:val="20"/>
                <w:color w:val="auto"/>
              </w:rPr>
            </w:pPr>
            <w:r>
              <w:rPr>
                <w:rFonts w:ascii="Arial" w:cs="Arial" w:eastAsia="Arial" w:hAnsi="Arial"/>
                <w:sz w:val="14"/>
                <w:szCs w:val="14"/>
                <w:b w:val="1"/>
                <w:bCs w:val="1"/>
                <w:color w:val="auto"/>
                <w:w w:val="96"/>
              </w:rPr>
              <w:t>September 30,</w:t>
            </w:r>
          </w:p>
        </w:tc>
        <w:tc>
          <w:tcPr>
            <w:tcW w:w="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right"/>
              <w:ind w:right="11"/>
              <w:spacing w:after="0" w:line="133" w:lineRule="exact"/>
              <w:rPr>
                <w:sz w:val="20"/>
                <w:szCs w:val="20"/>
                <w:color w:val="auto"/>
              </w:rPr>
            </w:pPr>
            <w:r>
              <w:rPr>
                <w:rFonts w:ascii="Arial" w:cs="Arial" w:eastAsia="Arial" w:hAnsi="Arial"/>
                <w:sz w:val="14"/>
                <w:szCs w:val="14"/>
                <w:b w:val="1"/>
                <w:bCs w:val="1"/>
                <w:color w:val="auto"/>
                <w:w w:val="96"/>
              </w:rPr>
              <w:t>September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1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Net realized gains on investments</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Net realized gains on extinguishment of debt</w:t>
            </w:r>
          </w:p>
        </w:tc>
        <w:tc>
          <w:tcPr>
            <w:tcW w:w="22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Net realized gains (losses) on foreign currency transactions</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(0.0)</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spacing w:after="0"/>
              <w:rPr>
                <w:sz w:val="20"/>
                <w:szCs w:val="20"/>
                <w:color w:val="auto"/>
              </w:rPr>
            </w:pPr>
            <w:r>
              <w:rPr>
                <w:rFonts w:ascii="Arial" w:cs="Arial" w:eastAsia="Arial" w:hAnsi="Arial"/>
                <w:sz w:val="18"/>
                <w:szCs w:val="18"/>
                <w:color w:val="auto"/>
              </w:rPr>
              <w:t>Net realized losses on foreign currency investments</w:t>
            </w:r>
          </w:p>
        </w:tc>
        <w:tc>
          <w:tcPr>
            <w:tcW w:w="22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Net realized gains on foreign currency borrowings</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spacing w:after="0"/>
              <w:rPr>
                <w:sz w:val="20"/>
                <w:szCs w:val="20"/>
                <w:color w:val="auto"/>
              </w:rPr>
            </w:pPr>
            <w:r>
              <w:rPr>
                <w:rFonts w:ascii="Arial" w:cs="Arial" w:eastAsia="Arial" w:hAnsi="Arial"/>
                <w:sz w:val="18"/>
                <w:szCs w:val="18"/>
                <w:color w:val="auto"/>
              </w:rPr>
              <w:t>Net realized gains on interest rate swaps</w:t>
            </w:r>
          </w:p>
        </w:tc>
        <w:tc>
          <w:tcPr>
            <w:tcW w:w="22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Realized Gains (Losses)</w:t>
            </w: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Change in unrealized gains on investments</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w:t>
            </w:r>
          </w:p>
        </w:tc>
        <w:tc>
          <w:tcPr>
            <w:tcW w:w="12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spacing w:after="0"/>
              <w:rPr>
                <w:sz w:val="20"/>
                <w:szCs w:val="20"/>
                <w:color w:val="auto"/>
              </w:rPr>
            </w:pPr>
            <w:r>
              <w:rPr>
                <w:rFonts w:ascii="Arial" w:cs="Arial" w:eastAsia="Arial" w:hAnsi="Arial"/>
                <w:sz w:val="18"/>
                <w:szCs w:val="18"/>
                <w:color w:val="auto"/>
              </w:rPr>
              <w:t>Change in unrealized losses on investments</w:t>
            </w:r>
          </w:p>
        </w:tc>
        <w:tc>
          <w:tcPr>
            <w:tcW w:w="22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(8.7)</w:t>
            </w:r>
          </w:p>
        </w:tc>
        <w:tc>
          <w:tcPr>
            <w:tcW w:w="24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(25.2)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(47.8)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05"/>
        </w:trPr>
        <w:tc>
          <w:tcPr>
            <w:tcW w:w="5160" w:type="dxa"/>
            <w:vAlign w:val="bottom"/>
            <w:tcBorders>
              <w:top w:val="single" w:sz="8" w:color="CFF0FC"/>
            </w:tcBorders>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Net Change in Unrealized Gains (Losses) on</w:t>
            </w:r>
          </w:p>
        </w:tc>
        <w:tc>
          <w:tcPr>
            <w:tcW w:w="22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6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Investments</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(15.9)</w:t>
            </w:r>
          </w:p>
        </w:tc>
        <w:tc>
          <w:tcPr>
            <w:tcW w:w="3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(6.7)</w:t>
            </w:r>
          </w:p>
        </w:tc>
        <w:tc>
          <w:tcPr>
            <w:tcW w:w="3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Unrealized gains (losses) on foreign currency borrowings</w:t>
            </w:r>
          </w:p>
        </w:tc>
        <w:tc>
          <w:tcPr>
            <w:tcW w:w="22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Unrealized gains (losses) on foreign currency cash</w:t>
            </w: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(0.0)</w:t>
            </w: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(0.0)</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Unrealized gains (losses) on interest rate swaps</w:t>
            </w:r>
          </w:p>
        </w:tc>
        <w:tc>
          <w:tcPr>
            <w:tcW w:w="22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160" w:type="dxa"/>
            <w:vAlign w:val="bottom"/>
            <w:tcBorders>
              <w:top w:val="single" w:sz="8" w:color="CFF0FC"/>
            </w:tcBorders>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Net Change in Unrealized Gains (Losses) on Foreign</w:t>
            </w:r>
          </w:p>
        </w:tc>
        <w:tc>
          <w:tcPr>
            <w:tcW w:w="22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6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Currency Transactions and Interest Rate Swaps</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(6.0)</w:t>
            </w:r>
          </w:p>
        </w:tc>
        <w:tc>
          <w:tcPr>
            <w:tcW w:w="2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Change in Unrealized Gains (Losses)</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(11.5)</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firstLine="255"/>
        <w:spacing w:after="0" w:line="290" w:lineRule="auto"/>
        <w:rPr>
          <w:sz w:val="20"/>
          <w:szCs w:val="20"/>
          <w:color w:val="auto"/>
        </w:rPr>
      </w:pPr>
      <w:r>
        <w:rPr>
          <w:rFonts w:ascii="Arial" w:cs="Arial" w:eastAsia="Arial" w:hAnsi="Arial"/>
          <w:sz w:val="16"/>
          <w:szCs w:val="16"/>
          <w:color w:val="auto"/>
        </w:rPr>
        <w:t>For the three and nine months ended September 30, 2020, we had net realized gains on investments of $11.1 million and $7.5 million, respectively, primarily driven by one investment. For the three and nine months ended September 30, 2020, we had net realized gains of $0.0 million and $0.7 million, respectively, on extinguishment of debt, as a result of our repurchases of our debt securities. For the three and nine months ended September 30, 2020, we had net realized gains of less than $0.1 million on foreign currency transactions and unrealized losses of less than $0.1 million on foreign currency transactions, respectively, primarily as a result of translating foreign currency related to our non-USD denominated investments. For the three and nine months ended September 30, 2020, we had net realized losses of $1.3 million and $1.1 million, respectively, on foreign currency investments. For the three and nine months ended September 30, 2020, we had net realized gains of $1.2 million and $1.0 million, respectively, on foreign currency borrowings. The net realized losses on foreign currency borrowings were a result of payments on our revolving credit facility.</w:t>
      </w:r>
    </w:p>
    <w:p>
      <w:pPr>
        <w:spacing w:after="0" w:line="165" w:lineRule="exact"/>
        <w:rPr>
          <w:sz w:val="20"/>
          <w:szCs w:val="20"/>
          <w:color w:val="auto"/>
        </w:rPr>
      </w:pPr>
    </w:p>
    <w:p>
      <w:pPr>
        <w:ind w:firstLine="255"/>
        <w:spacing w:after="0" w:line="254" w:lineRule="auto"/>
        <w:rPr>
          <w:sz w:val="20"/>
          <w:szCs w:val="20"/>
          <w:color w:val="auto"/>
        </w:rPr>
      </w:pPr>
      <w:r>
        <w:rPr>
          <w:rFonts w:ascii="Arial" w:cs="Arial" w:eastAsia="Arial" w:hAnsi="Arial"/>
          <w:sz w:val="18"/>
          <w:szCs w:val="18"/>
          <w:color w:val="auto"/>
        </w:rPr>
        <w:t>For the three months ended September 30, 2020 we had $44.5 million in unrealized gains on 58 portfolio company investments, which was offset by $8.7 million in unrealized losses on 13 portfolio company investments. Unrealized gains resulted from an increase in fair value, primarily due to tightening of credit spreads and positive portfolio company specific adjustments. Unrealized losses primarily resulted from the unwind of prior period unrealized gains due to realizations and negative credit-related adjustments. For the nine months ended September 30, 2020 we had $41.1 million in unrealized gains on 48 portfolio company investments, which was offset by $47.8 million in unrealized losses on 34 portfolio company investments. Unrealized gains resulted from an increase in fair value, primarily due to positive investment-related adjustments. Unrealized losses primarily resulted from a widening spread environment.</w:t>
      </w:r>
    </w:p>
    <w:p>
      <w:pPr>
        <w:spacing w:after="0" w:line="1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58" w:name="page59"/>
    <w:bookmarkEnd w:id="58"/>
    <w:p>
      <w:pPr>
        <w:ind w:right="20" w:firstLine="255"/>
        <w:spacing w:after="0" w:line="296" w:lineRule="auto"/>
        <w:rPr>
          <w:sz w:val="20"/>
          <w:szCs w:val="20"/>
          <w:color w:val="auto"/>
        </w:rPr>
      </w:pPr>
      <w:r>
        <w:rPr>
          <w:rFonts w:ascii="Arial" w:cs="Arial" w:eastAsia="Arial" w:hAnsi="Arial"/>
          <w:sz w:val="16"/>
          <w:szCs w:val="16"/>
          <w:color w:val="auto"/>
        </w:rPr>
        <w:t>For the three and nine months ended September 30, 2020 we had unrealized losses on foreign currency borrowings of $4.5 million and unrealized gains on foreign currency borrowings of $0.8 million, respectively, as a result of fluctuations in the AUD, CAD and EUR exchange rates. For the three and nine months ended September 30, 2020, we had unrealized losses on foreign currency cash of less than $0.1 and unrealized gains of less than $0.0 million, respectively. For the three and nine months ended September 30, 2020, we had unrealized losses on interest rate swaps of $1.5 million and unrealized gains on interest rate swaps of $8.2 million, respectively, due to fluctuations in interest rates and the periodic settlement of interest rate swaps.</w:t>
      </w:r>
    </w:p>
    <w:p>
      <w:pPr>
        <w:spacing w:after="0" w:line="161" w:lineRule="exact"/>
        <w:rPr>
          <w:sz w:val="20"/>
          <w:szCs w:val="20"/>
          <w:color w:val="auto"/>
        </w:rPr>
      </w:pPr>
    </w:p>
    <w:p>
      <w:pPr>
        <w:ind w:right="60" w:firstLine="255"/>
        <w:spacing w:after="0" w:line="291" w:lineRule="auto"/>
        <w:rPr>
          <w:sz w:val="20"/>
          <w:szCs w:val="20"/>
          <w:color w:val="auto"/>
        </w:rPr>
      </w:pPr>
      <w:r>
        <w:rPr>
          <w:rFonts w:ascii="Arial" w:cs="Arial" w:eastAsia="Arial" w:hAnsi="Arial"/>
          <w:sz w:val="16"/>
          <w:szCs w:val="16"/>
          <w:color w:val="auto"/>
        </w:rPr>
        <w:t>For the three and nine months ended September 30, 2019 we had net realized gains on investments of $4.9 million and $6.0 million, respectively. For the three and nine months ended September 30, 2019 we had net realized gains of $0.2 million and less than $0.1 million, respectively, on foreign currency transactions, primarily as a result of translating foreign currency related to our non-USD denominated investments. For the three and nine months ended September 30, 2019 we had net realized losses of less than $0.1 million and $0.1 million, respectively, on foreign currency investments. For the three and nine months ended September 30, 2019 we had net realized gains of less than $0.1 million and $0.1 million, respectively, on foreign currency borrowings. The net realized gains on foreign currency borrowings were a result of payments on our revolving credit facility. For both the three and nine months ended September 30, 2019 we had net realized gains of less than $0.1 million on interest rate swaps.</w:t>
      </w:r>
    </w:p>
    <w:p>
      <w:pPr>
        <w:spacing w:after="0" w:line="166" w:lineRule="exact"/>
        <w:rPr>
          <w:sz w:val="20"/>
          <w:szCs w:val="20"/>
          <w:color w:val="auto"/>
        </w:rPr>
      </w:pPr>
    </w:p>
    <w:p>
      <w:pPr>
        <w:ind w:firstLine="255"/>
        <w:spacing w:after="0" w:line="272" w:lineRule="auto"/>
        <w:rPr>
          <w:sz w:val="20"/>
          <w:szCs w:val="20"/>
          <w:color w:val="auto"/>
        </w:rPr>
      </w:pPr>
      <w:r>
        <w:rPr>
          <w:rFonts w:ascii="Arial" w:cs="Arial" w:eastAsia="Arial" w:hAnsi="Arial"/>
          <w:sz w:val="17"/>
          <w:szCs w:val="17"/>
          <w:color w:val="auto"/>
        </w:rPr>
        <w:t>For the three months ended September 30, 2019 we had $9.3 million in unrealized gains on 26 portfolio company investments, which was offset by $25.2 million in unrealized losses on 36 portfolio company investments. Unrealized gains resulted from an increase in fair value, primarily due to positive credit-related adjustments. Unrealized losses primarily resulted from reversal of prior period unrealized gains and in some instances negative credit-related adjustments. For the nine months ended September 30, 2019 we had $33.4 million in unrealized gains on 37 portfolio company investments, which was offset by $28.7 million in unrealized losses on 30 portfolio company investments. Unrealized gains resulted from an increase in fair value, primarily due to a tightening spread environment and positive investment-related adjustments. Unrealized losses primarily resulted from reversal of prior period unrealized gains and in some instances negative credit-related adjustments.</w:t>
      </w:r>
    </w:p>
    <w:p>
      <w:pPr>
        <w:spacing w:after="0" w:line="177" w:lineRule="exact"/>
        <w:rPr>
          <w:sz w:val="20"/>
          <w:szCs w:val="20"/>
          <w:color w:val="auto"/>
        </w:rPr>
      </w:pPr>
    </w:p>
    <w:p>
      <w:pPr>
        <w:ind w:right="40" w:firstLine="255"/>
        <w:spacing w:after="0" w:line="296" w:lineRule="auto"/>
        <w:rPr>
          <w:sz w:val="20"/>
          <w:szCs w:val="20"/>
          <w:color w:val="auto"/>
        </w:rPr>
      </w:pPr>
      <w:r>
        <w:rPr>
          <w:rFonts w:ascii="Arial" w:cs="Arial" w:eastAsia="Arial" w:hAnsi="Arial"/>
          <w:sz w:val="16"/>
          <w:szCs w:val="16"/>
          <w:color w:val="auto"/>
        </w:rPr>
        <w:t>For the three and nine months ended September 30, 2019, we had unrealized gains on foreign currency borrowings of $2.9 million and $0.8 million, respectively, as a result of fluctuations in the AUD, CAD and EUR exchange rates. For the three and nine months ended September 30, 2019 we had unrealized losses on foreign currency cash and forward contracts of less than $0.1 million and unrealized gains on foreign currency cash and forward contracts of less than $0.1 million, respectively. For the three and nine months ended September 30, 2019 we had unrealized gains on interest rate swaps of $1.5 million and $10.9 million, respectively, on interest rate swaps due to fluctuations in interest rates and the periodic settlement of interest rate swaps.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Realized Gross Internal Rate of Return</w:t>
      </w:r>
    </w:p>
    <w:p>
      <w:pPr>
        <w:spacing w:after="0" w:line="117" w:lineRule="exact"/>
        <w:rPr>
          <w:sz w:val="20"/>
          <w:szCs w:val="20"/>
          <w:color w:val="auto"/>
        </w:rPr>
      </w:pPr>
    </w:p>
    <w:p>
      <w:pPr>
        <w:jc w:val="both"/>
        <w:ind w:right="20" w:firstLine="255"/>
        <w:spacing w:after="0" w:line="286" w:lineRule="auto"/>
        <w:rPr>
          <w:sz w:val="20"/>
          <w:szCs w:val="20"/>
          <w:color w:val="auto"/>
        </w:rPr>
      </w:pPr>
      <w:r>
        <w:rPr>
          <w:rFonts w:ascii="Arial" w:cs="Arial" w:eastAsia="Arial" w:hAnsi="Arial"/>
          <w:sz w:val="17"/>
          <w:szCs w:val="17"/>
          <w:color w:val="auto"/>
        </w:rPr>
        <w:t>Since we began investing in 2011 through September 30, 2020, weighted by capital invested, our exited investments have generated an average realized gross internal rate of return to us of 18.7% (based on total capital invested of $4.6 billion and total proceeds from these exited investments of $5.8 billion). Ninety-seven percent of these exited investments resulted in a realized gross internal rate of return to us of 10% or greater.</w:t>
      </w:r>
    </w:p>
    <w:p>
      <w:pPr>
        <w:spacing w:after="0" w:line="165" w:lineRule="exact"/>
        <w:rPr>
          <w:sz w:val="20"/>
          <w:szCs w:val="20"/>
          <w:color w:val="auto"/>
        </w:rPr>
      </w:pPr>
    </w:p>
    <w:p>
      <w:pPr>
        <w:ind w:right="320" w:firstLine="255"/>
        <w:spacing w:after="0" w:line="263" w:lineRule="auto"/>
        <w:rPr>
          <w:sz w:val="20"/>
          <w:szCs w:val="20"/>
          <w:color w:val="auto"/>
        </w:rPr>
      </w:pPr>
      <w:r>
        <w:rPr>
          <w:rFonts w:ascii="Arial" w:cs="Arial" w:eastAsia="Arial" w:hAnsi="Arial"/>
          <w:sz w:val="18"/>
          <w:szCs w:val="18"/>
          <w:color w:val="auto"/>
        </w:rPr>
        <w:t>Gross IRR, with respect to an investment, is calculated based on the dates that we invested capital and dates we received distributions, regardless of when we made distributions to our stockholders. Initial investments are assumed to occur at time zero, and all cash flows are deemed to occur on the fifteenth of each month in which they occur.</w:t>
      </w:r>
    </w:p>
    <w:p>
      <w:pPr>
        <w:spacing w:after="0" w:line="184" w:lineRule="exact"/>
        <w:rPr>
          <w:sz w:val="20"/>
          <w:szCs w:val="20"/>
          <w:color w:val="auto"/>
        </w:rPr>
      </w:pPr>
    </w:p>
    <w:p>
      <w:pPr>
        <w:jc w:val="both"/>
        <w:ind w:right="140" w:firstLine="255"/>
        <w:spacing w:after="0" w:line="342" w:lineRule="auto"/>
        <w:rPr>
          <w:sz w:val="20"/>
          <w:szCs w:val="20"/>
          <w:color w:val="auto"/>
        </w:rPr>
      </w:pPr>
      <w:r>
        <w:rPr>
          <w:rFonts w:ascii="Arial" w:cs="Arial" w:eastAsia="Arial" w:hAnsi="Arial"/>
          <w:sz w:val="16"/>
          <w:szCs w:val="16"/>
          <w:color w:val="auto"/>
        </w:rPr>
        <w:t>Gross IRR reflects historical results relating to our past performance and is not necessarily indicative of our future results. In addition, gross IRR does not reflect the effect of Management Fees, expenses, Incentive Fees or taxes borne, or to be borne, by us or our stockholders, and would be lower if it did.</w:t>
      </w:r>
    </w:p>
    <w:p>
      <w:pPr>
        <w:spacing w:after="0" w:line="124" w:lineRule="exact"/>
        <w:rPr>
          <w:sz w:val="20"/>
          <w:szCs w:val="20"/>
          <w:color w:val="auto"/>
        </w:rPr>
      </w:pPr>
    </w:p>
    <w:p>
      <w:pPr>
        <w:ind w:right="20" w:firstLine="255"/>
        <w:spacing w:after="0" w:line="277" w:lineRule="auto"/>
        <w:rPr>
          <w:sz w:val="20"/>
          <w:szCs w:val="20"/>
          <w:color w:val="auto"/>
        </w:rPr>
      </w:pPr>
      <w:r>
        <w:rPr>
          <w:rFonts w:ascii="Arial" w:cs="Arial" w:eastAsia="Arial" w:hAnsi="Arial"/>
          <w:sz w:val="18"/>
          <w:szCs w:val="18"/>
          <w:color w:val="auto"/>
        </w:rPr>
        <w:t>Average gross IRR is the average of the gross IRR for each of our exited investments (each calculated as described above), weighted by the total capital invested for each of those investments.</w:t>
      </w:r>
    </w:p>
    <w:p>
      <w:pPr>
        <w:spacing w:after="0" w:line="170" w:lineRule="exact"/>
        <w:rPr>
          <w:sz w:val="20"/>
          <w:szCs w:val="20"/>
          <w:color w:val="auto"/>
        </w:rPr>
      </w:pPr>
    </w:p>
    <w:p>
      <w:pPr>
        <w:ind w:right="160" w:firstLine="255"/>
        <w:spacing w:after="0" w:line="277" w:lineRule="auto"/>
        <w:rPr>
          <w:sz w:val="20"/>
          <w:szCs w:val="20"/>
          <w:color w:val="auto"/>
        </w:rPr>
      </w:pPr>
      <w:r>
        <w:rPr>
          <w:rFonts w:ascii="Arial" w:cs="Arial" w:eastAsia="Arial" w:hAnsi="Arial"/>
          <w:sz w:val="18"/>
          <w:szCs w:val="18"/>
          <w:color w:val="auto"/>
        </w:rPr>
        <w:t>Average gross IRR on our exited investments reflects only invested and realized cash amounts as described above, and does not reflect any unrealized gains or losses in our portfolio.</w:t>
      </w:r>
    </w:p>
    <w:p>
      <w:pPr>
        <w:spacing w:after="0" w:line="170" w:lineRule="exact"/>
        <w:rPr>
          <w:sz w:val="20"/>
          <w:szCs w:val="20"/>
          <w:color w:val="auto"/>
        </w:rPr>
      </w:pPr>
    </w:p>
    <w:p>
      <w:pPr>
        <w:ind w:right="140" w:firstLine="255"/>
        <w:spacing w:after="0" w:line="286" w:lineRule="auto"/>
        <w:rPr>
          <w:sz w:val="20"/>
          <w:szCs w:val="20"/>
          <w:color w:val="auto"/>
        </w:rPr>
      </w:pPr>
      <w:r>
        <w:rPr>
          <w:rFonts w:ascii="Arial" w:cs="Arial" w:eastAsia="Arial" w:hAnsi="Arial"/>
          <w:sz w:val="17"/>
          <w:szCs w:val="17"/>
          <w:color w:val="auto"/>
        </w:rPr>
        <w:t>Internal rate of return, or IRR, is a measure of our discounted cash flows (inflows and outflows). Specifically, IRR is the discount rate at which the net present value of all cash flows is equal to zero. That is, IRR is the discount rate at which the present value of total capital invested in each of our investments is equal to the present value of all realized returns from that investment. Our IRR calculations are unaudited.</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9" w:name="page60"/>
    <w:bookmarkEnd w:id="59"/>
    <w:p>
      <w:pPr>
        <w:ind w:right="80" w:firstLine="255"/>
        <w:spacing w:after="0" w:line="311" w:lineRule="auto"/>
        <w:rPr>
          <w:sz w:val="20"/>
          <w:szCs w:val="20"/>
          <w:color w:val="auto"/>
        </w:rPr>
      </w:pPr>
      <w:r>
        <w:rPr>
          <w:rFonts w:ascii="Arial" w:cs="Arial" w:eastAsia="Arial" w:hAnsi="Arial"/>
          <w:sz w:val="16"/>
          <w:szCs w:val="16"/>
          <w:color w:val="auto"/>
        </w:rPr>
        <w:t>Capital invested, with respect to an investment, represents the aggregate cost basis allocable to the realized or unrealized portion of the investment, net of any upfront fees paid at closing for the term loan portion of the investment. Capital invested also includes realized losses on hedging activity, with respect to an investment, which represents any inception-to-date realized losses on foreign currency forward contracts allocable to the investment, if any.</w:t>
      </w:r>
    </w:p>
    <w:p>
      <w:pPr>
        <w:spacing w:after="0" w:line="149" w:lineRule="exact"/>
        <w:rPr>
          <w:sz w:val="20"/>
          <w:szCs w:val="20"/>
          <w:color w:val="auto"/>
        </w:rPr>
      </w:pPr>
    </w:p>
    <w:p>
      <w:pPr>
        <w:ind w:right="20" w:firstLine="255"/>
        <w:spacing w:after="0" w:line="301" w:lineRule="auto"/>
        <w:rPr>
          <w:sz w:val="20"/>
          <w:szCs w:val="20"/>
          <w:color w:val="auto"/>
        </w:rPr>
      </w:pPr>
      <w:r>
        <w:rPr>
          <w:rFonts w:ascii="Arial" w:cs="Arial" w:eastAsia="Arial" w:hAnsi="Arial"/>
          <w:sz w:val="16"/>
          <w:szCs w:val="16"/>
          <w:color w:val="auto"/>
        </w:rPr>
        <w:t>Realized returns, with respect to an investment, represents the total cash received with respect to each investment, including all amortization payments, interest, dividends, prepayment fees, upfront fees (except upfront fees paid at closing for the term loan portion of an investment), administrative fees, agent fees, amendment fees, accrued interest, and other fees and proceeds. Realized returns also include realized gains on hedging activity, with respect to an investment, which represents any inception-to-date realized gains on foreign currency forward contracts allocable to the investment, if any.</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Hedging</w:t>
      </w:r>
    </w:p>
    <w:p>
      <w:pPr>
        <w:spacing w:after="0" w:line="117" w:lineRule="exact"/>
        <w:rPr>
          <w:sz w:val="20"/>
          <w:szCs w:val="20"/>
          <w:color w:val="auto"/>
        </w:rPr>
      </w:pPr>
    </w:p>
    <w:p>
      <w:pPr>
        <w:ind w:right="160" w:firstLine="255"/>
        <w:spacing w:after="0" w:line="290" w:lineRule="auto"/>
        <w:rPr>
          <w:sz w:val="20"/>
          <w:szCs w:val="20"/>
          <w:color w:val="auto"/>
        </w:rPr>
      </w:pPr>
      <w:r>
        <w:rPr>
          <w:rFonts w:ascii="Arial" w:cs="Arial" w:eastAsia="Arial" w:hAnsi="Arial"/>
          <w:sz w:val="16"/>
          <w:szCs w:val="16"/>
          <w:color w:val="auto"/>
        </w:rPr>
        <w:t>We use interest rate swaps to hedge our fixed rate debt and certain fixed rate investments. We have designated certain interest rate swaps to be in a hedge accounting relationship. See Note 2 for additional disclosure regarding our accounting for derivative instruments designated in a hedge accounting relationship. See Note 5 for additional disclosure regarding these derivative instruments and the interest payments paid and received. See Note 7 for additional disclosure regarding the carrying value of our debt. Our current approach to hedging the foreign currency exposure in our non-U.S. dollar denominated investments is primarily to borrow the par amount in local currency under our Revolving Credit Facility to fund these investments. For the three and nine months ended September 30, 2020, we incurred $4.5 million of unrealized losses and $0.8 million of unrealized gains, respectively, on the translation of our non-U.S. dollar denominated debt into U.S. dollars; such amounts approximate the corresponding unrealized gains and losses on the translation of our non-U.S. dollar denominated investments into U.S. dollars for the three and nine months ended September 30, 2020.</w:t>
      </w:r>
    </w:p>
    <w:p>
      <w:pPr>
        <w:spacing w:after="0" w:line="165" w:lineRule="exact"/>
        <w:rPr>
          <w:sz w:val="20"/>
          <w:szCs w:val="20"/>
          <w:color w:val="auto"/>
        </w:rPr>
      </w:pPr>
    </w:p>
    <w:p>
      <w:pPr>
        <w:ind w:right="20" w:firstLine="255"/>
        <w:spacing w:after="0" w:line="286" w:lineRule="auto"/>
        <w:rPr>
          <w:sz w:val="20"/>
          <w:szCs w:val="20"/>
          <w:color w:val="auto"/>
        </w:rPr>
      </w:pPr>
      <w:r>
        <w:rPr>
          <w:rFonts w:ascii="Arial" w:cs="Arial" w:eastAsia="Arial" w:hAnsi="Arial"/>
          <w:sz w:val="17"/>
          <w:szCs w:val="17"/>
          <w:color w:val="auto"/>
        </w:rPr>
        <w:t>For the three and nine months ended September 30, 2019, we incurred $2.9 million and $0.8 million, respectively, of unrealized gains on the translation of our non-U.S. dollar denominated debt into U.S. dollars; such amounts approximate the corresponding unrealized gains and losses on the translation of our non-U.S. dollar denominated investments into U.S. dollars for the three and nine months ended September 30, 2019.</w:t>
      </w:r>
    </w:p>
    <w:p>
      <w:pPr>
        <w:spacing w:after="0" w:line="165" w:lineRule="exact"/>
        <w:rPr>
          <w:sz w:val="20"/>
          <w:szCs w:val="20"/>
          <w:color w:val="auto"/>
        </w:rPr>
      </w:pPr>
    </w:p>
    <w:p>
      <w:pPr>
        <w:jc w:val="both"/>
        <w:ind w:right="400" w:firstLine="255"/>
        <w:spacing w:after="0" w:line="286" w:lineRule="auto"/>
        <w:rPr>
          <w:sz w:val="20"/>
          <w:szCs w:val="20"/>
          <w:color w:val="auto"/>
        </w:rPr>
      </w:pPr>
      <w:r>
        <w:rPr>
          <w:rFonts w:ascii="Arial" w:cs="Arial" w:eastAsia="Arial" w:hAnsi="Arial"/>
          <w:sz w:val="17"/>
          <w:szCs w:val="17"/>
          <w:color w:val="auto"/>
        </w:rPr>
        <w:t>See Note 2 for additional disclosure regarding our accounting for foreign currency. See Note 7 for additional disclosure regarding the amounts of outstanding debt denominated in each foreign currency at September 30, 2020. See our consolidated schedule of investments for additional disclosure regarding the foreign currency amounts (in both par and fair value) of our non-U.S. dollar denominated investments.</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21" w:lineRule="exact"/>
        <w:rPr>
          <w:sz w:val="20"/>
          <w:szCs w:val="20"/>
          <w:color w:val="auto"/>
        </w:rPr>
      </w:pPr>
    </w:p>
    <w:p>
      <w:pPr>
        <w:ind w:right="100" w:firstLine="255"/>
        <w:spacing w:after="0" w:line="277" w:lineRule="auto"/>
        <w:rPr>
          <w:sz w:val="20"/>
          <w:szCs w:val="20"/>
          <w:color w:val="auto"/>
        </w:rPr>
      </w:pPr>
      <w:r>
        <w:rPr>
          <w:rFonts w:ascii="Arial" w:cs="Arial" w:eastAsia="Arial" w:hAnsi="Arial"/>
          <w:sz w:val="18"/>
          <w:szCs w:val="18"/>
          <w:color w:val="auto"/>
        </w:rPr>
        <w:t>Our liquidity and capital resources are derived primarily from proceeds from equity issuances, advances from our credit facilities, and cash flows from operations. The primary uses of our cash and cash equivalents are:</w:t>
      </w:r>
    </w:p>
    <w:p>
      <w:pPr>
        <w:spacing w:after="0" w:line="62" w:lineRule="exact"/>
        <w:rPr>
          <w:sz w:val="20"/>
          <w:szCs w:val="20"/>
          <w:color w:val="auto"/>
        </w:rPr>
      </w:pPr>
    </w:p>
    <w:p>
      <w:pPr>
        <w:ind w:left="500" w:hanging="249"/>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investments in portfolio companies and other investments and to comply with certain portfolio diversification requirements;</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cost of operations (including paying our Adviser);</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debt service, repayment, and other financing costs; and</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cash dividends to the holders of our shares.</w:t>
      </w:r>
    </w:p>
    <w:p>
      <w:pPr>
        <w:spacing w:after="0" w:line="225" w:lineRule="exact"/>
        <w:rPr>
          <w:sz w:val="20"/>
          <w:szCs w:val="20"/>
          <w:color w:val="auto"/>
        </w:rPr>
      </w:pPr>
    </w:p>
    <w:p>
      <w:pPr>
        <w:ind w:firstLine="255"/>
        <w:spacing w:after="0" w:line="289" w:lineRule="auto"/>
        <w:rPr>
          <w:sz w:val="20"/>
          <w:szCs w:val="20"/>
          <w:color w:val="auto"/>
        </w:rPr>
      </w:pPr>
      <w:r>
        <w:rPr>
          <w:rFonts w:ascii="Arial" w:cs="Arial" w:eastAsia="Arial" w:hAnsi="Arial"/>
          <w:sz w:val="16"/>
          <w:szCs w:val="16"/>
          <w:color w:val="auto"/>
        </w:rPr>
        <w:t>We intend to continue to generate cash primarily from cash flows from operations, future borrowings and future offerings of securities. We may from time to time enter into additional debt facilities, increase the size of existing facilities or issue debt securities. Any such incurrence or issuance would be subject to prevailing market conditions, our liquidity requirements, contractual and regulatory restrictions and other factors. In accordance with the 1940 Act, with certain limited exceptions, we are only allowed to incur borrowings, issue debt securities or issue preferred stock if immediately after the borrowing or issuance the ratio of total assets (less total liabilities other than indebtedness) to total indebtedness plus preferred stock, is at least 150%. For more information, see “Key Components of Our Results of Operations — Leverage” above. As of September 30, 2020 and December 31, 2019, our asset coverage ratio was 222.7% and 200.4%, respectively. We carefully consider our unfunded commitments for the purpose of planning our capital resources and ongoing liquidity, including our financial leverage. Further, we maintain sufficient borrowing capacity within the 150% asset coverage limitation under the 1940 Act and the asset coverage limitation under our credit facilities to cover any outstanding unfunded commitments we are required to fund.</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60" w:name="page61"/>
    <w:bookmarkEnd w:id="60"/>
    <w:p>
      <w:pPr>
        <w:ind w:right="200" w:firstLine="255"/>
        <w:spacing w:after="0" w:line="263" w:lineRule="auto"/>
        <w:rPr>
          <w:sz w:val="20"/>
          <w:szCs w:val="20"/>
          <w:color w:val="auto"/>
        </w:rPr>
      </w:pPr>
      <w:r>
        <w:rPr>
          <w:rFonts w:ascii="Arial" w:cs="Arial" w:eastAsia="Arial" w:hAnsi="Arial"/>
          <w:sz w:val="18"/>
          <w:szCs w:val="18"/>
          <w:color w:val="auto"/>
        </w:rPr>
        <w:t>Cash and cash equivalents as of September 30, 2020, taken together with cash available under our credit facilities, is expected to be sufficient for our investing activities and to conduct our operations in the near term. As of September 30, 2020, we had approximately $1.0 billion of availability on our Revolving Credit Facility, subject to asset coverage limitations.</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6"/>
          <w:szCs w:val="16"/>
          <w:color w:val="auto"/>
        </w:rPr>
        <w:t>As of September 30, 2020, we had $15.7 million in cash and cash equivalents, including $11.8 million of restricted cash, an increase of $1.6 million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from December 31, 2019. During the nine months ended September 30, 2020, we provided $289.0 million in cash from operating activities as a result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repayments and proceeds from investments of $720.7 million and an increase in net assets resulting from operations of $124.6 million, which was partially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offset by funding portfolio investments of $549.1 million, and other operating activity of $7.2 million. Lastly, cash used in financing activities was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$287.5 million during the period due to paydowns on our Revolving Credit Facility of $766.7 million, dividends paid of $97.1 million, repurchases of debt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$31.8 million, repurchases of common stock of $2.9 million, and deferred financing costs of $4.2 million, which was partially offset by borrowings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$615.2 million.</w:t>
      </w:r>
    </w:p>
    <w:p>
      <w:pPr>
        <w:spacing w:after="0" w:line="211" w:lineRule="exact"/>
        <w:rPr>
          <w:sz w:val="20"/>
          <w:szCs w:val="20"/>
          <w:color w:val="auto"/>
        </w:rPr>
      </w:pPr>
    </w:p>
    <w:p>
      <w:pPr>
        <w:ind w:right="260" w:firstLine="255"/>
        <w:spacing w:after="0" w:line="277" w:lineRule="auto"/>
        <w:rPr>
          <w:sz w:val="20"/>
          <w:szCs w:val="20"/>
          <w:color w:val="auto"/>
        </w:rPr>
      </w:pPr>
      <w:r>
        <w:rPr>
          <w:rFonts w:ascii="Arial" w:cs="Arial" w:eastAsia="Arial" w:hAnsi="Arial"/>
          <w:sz w:val="18"/>
          <w:szCs w:val="18"/>
          <w:color w:val="auto"/>
        </w:rPr>
        <w:t>As of September 30, 2020, we had $11.8 million of restricted cash pledged as collateral under our interest rate swap agreements, an increase of $2.5 million from December 31, 2019 primarily due to increases in the notional amount and fair value of our swaps.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w:t>
      </w:r>
    </w:p>
    <w:p>
      <w:pPr>
        <w:spacing w:after="0" w:line="117" w:lineRule="exact"/>
        <w:rPr>
          <w:sz w:val="20"/>
          <w:szCs w:val="20"/>
          <w:color w:val="auto"/>
        </w:rPr>
      </w:pPr>
    </w:p>
    <w:p>
      <w:pPr>
        <w:ind w:right="460" w:firstLine="255"/>
        <w:spacing w:after="0" w:line="342" w:lineRule="auto"/>
        <w:rPr>
          <w:sz w:val="20"/>
          <w:szCs w:val="20"/>
          <w:color w:val="auto"/>
        </w:rPr>
      </w:pPr>
      <w:r>
        <w:rPr>
          <w:rFonts w:ascii="Arial" w:cs="Arial" w:eastAsia="Arial" w:hAnsi="Arial"/>
          <w:sz w:val="16"/>
          <w:szCs w:val="16"/>
          <w:color w:val="auto"/>
        </w:rPr>
        <w:t>During the nine months ended September 30, 2020 and 2019, we also issued 1,310,513 and 880,556 shares of our common stock, respectively, to investors who have not opted out of our dividend reinvestment plan for proceeds of $21.2 million and $16.5 million, respectively.</w:t>
      </w:r>
    </w:p>
    <w:p>
      <w:pPr>
        <w:spacing w:after="0" w:line="124" w:lineRule="exact"/>
        <w:rPr>
          <w:sz w:val="20"/>
          <w:szCs w:val="20"/>
          <w:color w:val="auto"/>
        </w:rPr>
      </w:pPr>
    </w:p>
    <w:p>
      <w:pPr>
        <w:jc w:val="both"/>
        <w:ind w:right="60" w:firstLine="255"/>
        <w:spacing w:after="0" w:line="301" w:lineRule="auto"/>
        <w:rPr>
          <w:sz w:val="20"/>
          <w:szCs w:val="20"/>
          <w:color w:val="auto"/>
        </w:rPr>
      </w:pPr>
      <w:r>
        <w:rPr>
          <w:rFonts w:ascii="Arial" w:cs="Arial" w:eastAsia="Arial" w:hAnsi="Arial"/>
          <w:sz w:val="16"/>
          <w:szCs w:val="16"/>
          <w:color w:val="auto"/>
        </w:rPr>
        <w:t>On August 4, 2015, our Board authorized us to acquire up to $50 million in aggregate of our common stock from time to time over an initial six month period, and has continued to authorize the refreshment of the $50 million amount authorized under and extension of the stock repurchase program prior to its expiration since that time, most recently as of November 4, 2020. The amount and timing of stock repurchases under the program may vary depending on market conditions, and no assurance can be given that any particular amount of common stock will be repurchased.</w:t>
      </w:r>
    </w:p>
    <w:p>
      <w:pPr>
        <w:spacing w:after="0" w:line="157" w:lineRule="exact"/>
        <w:rPr>
          <w:sz w:val="20"/>
          <w:szCs w:val="20"/>
          <w:color w:val="auto"/>
        </w:rPr>
      </w:pPr>
    </w:p>
    <w:p>
      <w:pPr>
        <w:ind w:right="340" w:firstLine="255"/>
        <w:spacing w:after="0" w:line="263" w:lineRule="auto"/>
        <w:rPr>
          <w:sz w:val="20"/>
          <w:szCs w:val="20"/>
          <w:color w:val="auto"/>
        </w:rPr>
      </w:pPr>
      <w:r>
        <w:rPr>
          <w:rFonts w:ascii="Arial" w:cs="Arial" w:eastAsia="Arial" w:hAnsi="Arial"/>
          <w:sz w:val="18"/>
          <w:szCs w:val="18"/>
          <w:color w:val="auto"/>
        </w:rPr>
        <w:t>During the nine months ended September 30, 2020, we repurchased 206,964 shares at a weighted average price per share of $14.17 inclusive of commissions, for a total cost of $2.9 million. No shares were repurchased during the three months ended September 30, 2020, or during three and nine months ended September 30, 2019.</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Debt obligations consisted of the following as of September 30, 2020 and December 31, 2019:</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5"/>
          </w:tcPr>
          <w:p>
            <w:pPr>
              <w:ind w:left="620"/>
              <w:spacing w:after="0"/>
              <w:rPr>
                <w:sz w:val="20"/>
                <w:szCs w:val="20"/>
                <w:color w:val="auto"/>
              </w:rPr>
            </w:pPr>
            <w:r>
              <w:rPr>
                <w:rFonts w:ascii="Arial" w:cs="Arial" w:eastAsia="Arial" w:hAnsi="Arial"/>
                <w:sz w:val="14"/>
                <w:szCs w:val="14"/>
                <w:b w:val="1"/>
                <w:bCs w:val="1"/>
                <w:color w:val="auto"/>
              </w:rPr>
              <w:t>September 30, 2020</w:t>
            </w: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77"/>
        </w:trPr>
        <w:tc>
          <w:tcPr>
            <w:tcW w:w="38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rPr>
              <w:t>Aggregate Principal</w:t>
            </w:r>
          </w:p>
        </w:tc>
        <w:tc>
          <w:tcPr>
            <w:tcW w:w="160" w:type="dxa"/>
            <w:vAlign w:val="bottom"/>
          </w:tcPr>
          <w:p>
            <w:pPr>
              <w:spacing w:after="0"/>
              <w:rPr>
                <w:sz w:val="15"/>
                <w:szCs w:val="15"/>
                <w:color w:val="auto"/>
              </w:rPr>
            </w:pPr>
          </w:p>
        </w:tc>
        <w:tc>
          <w:tcPr>
            <w:tcW w:w="1120" w:type="dxa"/>
            <w:vAlign w:val="bottom"/>
          </w:tcPr>
          <w:p>
            <w:pPr>
              <w:jc w:val="right"/>
              <w:ind w:right="177"/>
              <w:spacing w:after="0"/>
              <w:rPr>
                <w:sz w:val="20"/>
                <w:szCs w:val="20"/>
                <w:color w:val="auto"/>
              </w:rPr>
            </w:pPr>
            <w:r>
              <w:rPr>
                <w:rFonts w:ascii="Arial" w:cs="Arial" w:eastAsia="Arial" w:hAnsi="Arial"/>
                <w:sz w:val="14"/>
                <w:szCs w:val="14"/>
                <w:b w:val="1"/>
                <w:bCs w:val="1"/>
                <w:color w:val="auto"/>
              </w:rPr>
              <w:t>Outstanding</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5"/>
                <w:szCs w:val="15"/>
                <w:color w:val="auto"/>
              </w:rPr>
            </w:pPr>
          </w:p>
        </w:tc>
        <w:tc>
          <w:tcPr>
            <w:tcW w:w="1100" w:type="dxa"/>
            <w:vAlign w:val="bottom"/>
          </w:tcPr>
          <w:p>
            <w:pPr>
              <w:jc w:val="center"/>
              <w:ind w:right="115"/>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5"/>
                <w:szCs w:val="15"/>
                <w:color w:val="auto"/>
              </w:rPr>
            </w:pPr>
          </w:p>
        </w:tc>
      </w:tr>
      <w:tr>
        <w:trPr>
          <w:trHeight w:val="194"/>
        </w:trPr>
        <w:tc>
          <w:tcPr>
            <w:tcW w:w="4200" w:type="dxa"/>
            <w:vAlign w:val="bottom"/>
            <w:gridSpan w:val="2"/>
          </w:tcPr>
          <w:p>
            <w:pPr>
              <w:spacing w:after="0"/>
              <w:rPr>
                <w:sz w:val="20"/>
                <w:szCs w:val="20"/>
                <w:color w:val="auto"/>
              </w:rPr>
            </w:pPr>
            <w:r>
              <w:rPr>
                <w:rFonts w:ascii="Arial" w:cs="Arial" w:eastAsia="Arial" w:hAnsi="Arial"/>
                <w:sz w:val="14"/>
                <w:szCs w:val="14"/>
                <w:color w:val="auto"/>
              </w:rPr>
              <w:t>($ in millions)</w:t>
            </w: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 Committed</w:t>
            </w:r>
          </w:p>
        </w:tc>
        <w:tc>
          <w:tcPr>
            <w:tcW w:w="160" w:type="dxa"/>
            <w:vAlign w:val="bottom"/>
          </w:tcPr>
          <w:p>
            <w:pPr>
              <w:spacing w:after="0"/>
              <w:rPr>
                <w:sz w:val="16"/>
                <w:szCs w:val="16"/>
                <w:color w:val="auto"/>
              </w:rPr>
            </w:pPr>
          </w:p>
        </w:tc>
        <w:tc>
          <w:tcPr>
            <w:tcW w:w="1120" w:type="dxa"/>
            <w:vAlign w:val="bottom"/>
          </w:tcPr>
          <w:p>
            <w:pPr>
              <w:jc w:val="right"/>
              <w:ind w:right="277"/>
              <w:spacing w:after="0"/>
              <w:rPr>
                <w:sz w:val="20"/>
                <w:szCs w:val="20"/>
                <w:color w:val="auto"/>
              </w:rPr>
            </w:pPr>
            <w:r>
              <w:rPr>
                <w:rFonts w:ascii="Arial" w:cs="Arial" w:eastAsia="Arial" w:hAnsi="Arial"/>
                <w:sz w:val="14"/>
                <w:szCs w:val="14"/>
                <w:b w:val="1"/>
                <w:bCs w:val="1"/>
                <w:color w:val="auto"/>
              </w:rPr>
              <w:t>Principal</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 xml:space="preserve">Available </w:t>
            </w:r>
            <w:r>
              <w:rPr>
                <w:rFonts w:ascii="Arial" w:cs="Arial" w:eastAsia="Arial" w:hAnsi="Arial"/>
                <w:sz w:val="12"/>
                <w:szCs w:val="12"/>
                <w:b w:val="1"/>
                <w:bCs w:val="1"/>
                <w:color w:val="auto"/>
                <w:w w:val="92"/>
              </w:rPr>
              <w:t>(1)</w:t>
            </w:r>
          </w:p>
        </w:tc>
        <w:tc>
          <w:tcPr>
            <w:tcW w:w="20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 xml:space="preserve">Value </w:t>
            </w:r>
            <w:r>
              <w:rPr>
                <w:rFonts w:ascii="Arial" w:cs="Arial" w:eastAsia="Arial" w:hAnsi="Arial"/>
                <w:sz w:val="12"/>
                <w:szCs w:val="12"/>
                <w:b w:val="1"/>
                <w:bCs w:val="1"/>
                <w:color w:val="auto"/>
                <w:w w:val="93"/>
              </w:rPr>
              <w:t>(2)(3)</w:t>
            </w:r>
          </w:p>
        </w:tc>
      </w:tr>
      <w:tr>
        <w:trPr>
          <w:trHeight w:val="223"/>
        </w:trPr>
        <w:tc>
          <w:tcPr>
            <w:tcW w:w="42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4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1,315.0</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291.3</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1,023.7</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279.9</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80" w:type="dxa"/>
            <w:vAlign w:val="bottom"/>
          </w:tcPr>
          <w:p>
            <w:pPr>
              <w:spacing w:after="0"/>
              <w:rPr>
                <w:sz w:val="20"/>
                <w:szCs w:val="20"/>
                <w:color w:val="auto"/>
              </w:rPr>
            </w:pPr>
            <w:r>
              <w:rPr>
                <w:rFonts w:ascii="Arial" w:cs="Arial" w:eastAsia="Arial" w:hAnsi="Arial"/>
                <w:sz w:val="18"/>
                <w:szCs w:val="18"/>
                <w:color w:val="auto"/>
                <w:w w:val="89"/>
              </w:rPr>
              <w:t>2022</w:t>
            </w:r>
          </w:p>
        </w:tc>
        <w:tc>
          <w:tcPr>
            <w:tcW w:w="3820" w:type="dxa"/>
            <w:vAlign w:val="bottom"/>
          </w:tcPr>
          <w:p>
            <w:pPr>
              <w:ind w:left="20"/>
              <w:spacing w:after="0"/>
              <w:rPr>
                <w:sz w:val="20"/>
                <w:szCs w:val="20"/>
                <w:color w:val="auto"/>
              </w:rPr>
            </w:pPr>
            <w:r>
              <w:rPr>
                <w:rFonts w:ascii="Arial" w:cs="Arial" w:eastAsia="Arial" w:hAnsi="Arial"/>
                <w:sz w:val="18"/>
                <w:szCs w:val="18"/>
                <w:color w:val="auto"/>
              </w:rPr>
              <w:t>Convertible Notes</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142.8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142.8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141.1</w:t>
            </w:r>
          </w:p>
        </w:tc>
        <w:tc>
          <w:tcPr>
            <w:tcW w:w="120" w:type="dxa"/>
            <w:vAlign w:val="bottom"/>
          </w:tcPr>
          <w:p>
            <w:pPr>
              <w:spacing w:after="0"/>
              <w:rPr>
                <w:sz w:val="19"/>
                <w:szCs w:val="19"/>
                <w:color w:val="auto"/>
              </w:rPr>
            </w:pPr>
          </w:p>
        </w:tc>
      </w:tr>
      <w:tr>
        <w:trPr>
          <w:trHeight w:val="230"/>
        </w:trPr>
        <w:tc>
          <w:tcPr>
            <w:tcW w:w="380" w:type="dxa"/>
            <w:vAlign w:val="bottom"/>
            <w:shd w:val="clear" w:color="auto" w:fill="CFF0FC"/>
          </w:tcPr>
          <w:p>
            <w:pPr>
              <w:spacing w:after="0"/>
              <w:rPr>
                <w:sz w:val="20"/>
                <w:szCs w:val="20"/>
                <w:color w:val="auto"/>
              </w:rPr>
            </w:pPr>
            <w:r>
              <w:rPr>
                <w:rFonts w:ascii="Arial" w:cs="Arial" w:eastAsia="Arial" w:hAnsi="Arial"/>
                <w:sz w:val="18"/>
                <w:szCs w:val="18"/>
                <w:color w:val="auto"/>
                <w:w w:val="89"/>
              </w:rPr>
              <w:t>2023</w:t>
            </w:r>
          </w:p>
        </w:tc>
        <w:tc>
          <w:tcPr>
            <w:tcW w:w="3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w:t>
            </w:r>
          </w:p>
        </w:tc>
        <w:tc>
          <w:tcPr>
            <w:tcW w:w="4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148.5</w:t>
            </w:r>
          </w:p>
        </w:tc>
        <w:tc>
          <w:tcPr>
            <w:tcW w:w="120" w:type="dxa"/>
            <w:vAlign w:val="bottom"/>
            <w:shd w:val="clear" w:color="auto" w:fill="CFF0FC"/>
          </w:tcPr>
          <w:p>
            <w:pPr>
              <w:spacing w:after="0"/>
              <w:rPr>
                <w:sz w:val="19"/>
                <w:szCs w:val="19"/>
                <w:color w:val="auto"/>
              </w:rPr>
            </w:pPr>
          </w:p>
        </w:tc>
      </w:tr>
      <w:tr>
        <w:trPr>
          <w:trHeight w:val="229"/>
        </w:trPr>
        <w:tc>
          <w:tcPr>
            <w:tcW w:w="380" w:type="dxa"/>
            <w:vAlign w:val="bottom"/>
          </w:tcPr>
          <w:p>
            <w:pPr>
              <w:spacing w:after="0"/>
              <w:rPr>
                <w:sz w:val="20"/>
                <w:szCs w:val="20"/>
                <w:color w:val="auto"/>
              </w:rPr>
            </w:pPr>
            <w:r>
              <w:rPr>
                <w:rFonts w:ascii="Arial" w:cs="Arial" w:eastAsia="Arial" w:hAnsi="Arial"/>
                <w:sz w:val="18"/>
                <w:szCs w:val="18"/>
                <w:color w:val="auto"/>
                <w:w w:val="89"/>
              </w:rPr>
              <w:t>2024</w:t>
            </w:r>
          </w:p>
        </w:tc>
        <w:tc>
          <w:tcPr>
            <w:tcW w:w="3820" w:type="dxa"/>
            <w:vAlign w:val="bottom"/>
          </w:tcPr>
          <w:p>
            <w:pPr>
              <w:ind w:left="20"/>
              <w:spacing w:after="0"/>
              <w:rPr>
                <w:sz w:val="20"/>
                <w:szCs w:val="20"/>
                <w:color w:val="auto"/>
              </w:rPr>
            </w:pPr>
            <w:r>
              <w:rPr>
                <w:rFonts w:ascii="Arial" w:cs="Arial" w:eastAsia="Arial" w:hAnsi="Arial"/>
                <w:sz w:val="18"/>
                <w:szCs w:val="18"/>
                <w:color w:val="auto"/>
              </w:rPr>
              <w:t>Notes</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347.5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347.5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359.9</w:t>
            </w:r>
          </w:p>
        </w:tc>
        <w:tc>
          <w:tcPr>
            <w:tcW w:w="120" w:type="dxa"/>
            <w:vAlign w:val="bottom"/>
          </w:tcPr>
          <w:p>
            <w:pPr>
              <w:spacing w:after="0"/>
              <w:rPr>
                <w:sz w:val="19"/>
                <w:szCs w:val="19"/>
                <w:color w:val="auto"/>
              </w:rPr>
            </w:pPr>
          </w:p>
        </w:tc>
      </w:tr>
      <w:tr>
        <w:trPr>
          <w:trHeight w:val="223"/>
        </w:trPr>
        <w:tc>
          <w:tcPr>
            <w:tcW w:w="4200" w:type="dxa"/>
            <w:vAlign w:val="bottom"/>
            <w:tcBorders>
              <w:top w:val="single" w:sz="8" w:color="CFF0FC"/>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b w:val="1"/>
                <w:bCs w:val="1"/>
                <w:color w:val="auto"/>
              </w:rPr>
              <w:t>Total Debt</w:t>
            </w:r>
          </w:p>
        </w:tc>
        <w:tc>
          <w:tcPr>
            <w:tcW w:w="4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1,955.3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931.6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1,023.7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929.4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left="500" w:right="840" w:hanging="492"/>
        <w:spacing w:after="0" w:line="258" w:lineRule="auto"/>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amount available may be subject to limitations related to the borrowing base under the Revolving Credit Facility and asset coverage requirements.</w:t>
      </w:r>
    </w:p>
    <w:p>
      <w:pPr>
        <w:spacing w:after="0" w:line="1" w:lineRule="exact"/>
        <w:rPr>
          <w:rFonts w:ascii="Arial" w:cs="Arial" w:eastAsia="Arial" w:hAnsi="Arial"/>
          <w:sz w:val="18"/>
          <w:szCs w:val="18"/>
          <w:color w:val="auto"/>
        </w:rPr>
      </w:pPr>
    </w:p>
    <w:p>
      <w:pPr>
        <w:ind w:left="500" w:right="140" w:hanging="492"/>
        <w:spacing w:after="0" w:line="250" w:lineRule="auto"/>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carrying values of the Revolving Credit Facility, 2022 Convertible Notes, 2023 Notes, and 2024 Notes are presented net of deferred financing costs and original issue discounts of $11.4 million, $1.7 million, $1.5 million and $5.7 million, respectively.</w:t>
      </w:r>
    </w:p>
    <w:p>
      <w:pPr>
        <w:ind w:left="500" w:hanging="492"/>
        <w:spacing w:after="0" w:line="260" w:lineRule="auto"/>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carrying value of the 2024 Notes is presented inclusive of an incremental $18.1 million, which represents an adjustment in the carrying value of the 2024 Notes resulting from a hedge accounting relationship.</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61" w:name="page62"/>
    <w:bookmarkEnd w:id="61"/>
    <w:tbl>
      <w:tblPr>
        <w:tblLayout w:type="fixed"/>
        <w:tblInd w:w="58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5"/>
          </w:tcPr>
          <w:p>
            <w:pPr>
              <w:ind w:left="640"/>
              <w:spacing w:after="0"/>
              <w:rPr>
                <w:sz w:val="20"/>
                <w:szCs w:val="20"/>
                <w:color w:val="auto"/>
              </w:rPr>
            </w:pPr>
            <w:r>
              <w:rPr>
                <w:rFonts w:ascii="Arial" w:cs="Arial" w:eastAsia="Arial" w:hAnsi="Arial"/>
                <w:sz w:val="14"/>
                <w:szCs w:val="14"/>
                <w:b w:val="1"/>
                <w:bCs w:val="1"/>
                <w:color w:val="auto"/>
              </w:rPr>
              <w:t>December 31, 2019</w:t>
            </w: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77"/>
        </w:trPr>
        <w:tc>
          <w:tcPr>
            <w:tcW w:w="38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rPr>
              <w:t>Aggregate Principal</w:t>
            </w:r>
          </w:p>
        </w:tc>
        <w:tc>
          <w:tcPr>
            <w:tcW w:w="160" w:type="dxa"/>
            <w:vAlign w:val="bottom"/>
          </w:tcPr>
          <w:p>
            <w:pPr>
              <w:spacing w:after="0"/>
              <w:rPr>
                <w:sz w:val="15"/>
                <w:szCs w:val="15"/>
                <w:color w:val="auto"/>
              </w:rPr>
            </w:pPr>
          </w:p>
        </w:tc>
        <w:tc>
          <w:tcPr>
            <w:tcW w:w="1120" w:type="dxa"/>
            <w:vAlign w:val="bottom"/>
          </w:tcPr>
          <w:p>
            <w:pPr>
              <w:jc w:val="right"/>
              <w:ind w:right="177"/>
              <w:spacing w:after="0"/>
              <w:rPr>
                <w:sz w:val="20"/>
                <w:szCs w:val="20"/>
                <w:color w:val="auto"/>
              </w:rPr>
            </w:pPr>
            <w:r>
              <w:rPr>
                <w:rFonts w:ascii="Arial" w:cs="Arial" w:eastAsia="Arial" w:hAnsi="Arial"/>
                <w:sz w:val="14"/>
                <w:szCs w:val="14"/>
                <w:b w:val="1"/>
                <w:bCs w:val="1"/>
                <w:color w:val="auto"/>
              </w:rPr>
              <w:t>Outstanding</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5"/>
                <w:szCs w:val="15"/>
                <w:color w:val="auto"/>
              </w:rPr>
            </w:pPr>
          </w:p>
        </w:tc>
        <w:tc>
          <w:tcPr>
            <w:tcW w:w="1100" w:type="dxa"/>
            <w:vAlign w:val="bottom"/>
          </w:tcPr>
          <w:p>
            <w:pPr>
              <w:jc w:val="center"/>
              <w:ind w:right="115"/>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5"/>
                <w:szCs w:val="15"/>
                <w:color w:val="auto"/>
              </w:rPr>
            </w:pPr>
          </w:p>
        </w:tc>
      </w:tr>
      <w:tr>
        <w:trPr>
          <w:trHeight w:val="208"/>
        </w:trPr>
        <w:tc>
          <w:tcPr>
            <w:tcW w:w="4200" w:type="dxa"/>
            <w:vAlign w:val="bottom"/>
            <w:gridSpan w:val="2"/>
          </w:tcPr>
          <w:p>
            <w:pPr>
              <w:spacing w:after="0"/>
              <w:rPr>
                <w:sz w:val="20"/>
                <w:szCs w:val="20"/>
                <w:color w:val="auto"/>
              </w:rPr>
            </w:pPr>
            <w:r>
              <w:rPr>
                <w:rFonts w:ascii="Arial" w:cs="Arial" w:eastAsia="Arial" w:hAnsi="Arial"/>
                <w:sz w:val="14"/>
                <w:szCs w:val="14"/>
                <w:color w:val="auto"/>
              </w:rPr>
              <w:t>($ in millions)</w:t>
            </w: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 Committed</w:t>
            </w:r>
          </w:p>
        </w:tc>
        <w:tc>
          <w:tcPr>
            <w:tcW w:w="160" w:type="dxa"/>
            <w:vAlign w:val="bottom"/>
          </w:tcPr>
          <w:p>
            <w:pPr>
              <w:spacing w:after="0"/>
              <w:rPr>
                <w:sz w:val="18"/>
                <w:szCs w:val="18"/>
                <w:color w:val="auto"/>
              </w:rPr>
            </w:pPr>
          </w:p>
        </w:tc>
        <w:tc>
          <w:tcPr>
            <w:tcW w:w="1120" w:type="dxa"/>
            <w:vAlign w:val="bottom"/>
          </w:tcPr>
          <w:p>
            <w:pPr>
              <w:jc w:val="right"/>
              <w:ind w:right="277"/>
              <w:spacing w:after="0"/>
              <w:rPr>
                <w:sz w:val="20"/>
                <w:szCs w:val="20"/>
                <w:color w:val="auto"/>
              </w:rPr>
            </w:pPr>
            <w:r>
              <w:rPr>
                <w:rFonts w:ascii="Arial" w:cs="Arial" w:eastAsia="Arial" w:hAnsi="Arial"/>
                <w:sz w:val="14"/>
                <w:szCs w:val="14"/>
                <w:b w:val="1"/>
                <w:bCs w:val="1"/>
                <w:color w:val="auto"/>
              </w:rPr>
              <w:t>Principal</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 xml:space="preserve">Available </w:t>
            </w:r>
            <w:r>
              <w:rPr>
                <w:rFonts w:ascii="Arial" w:cs="Arial" w:eastAsia="Arial" w:hAnsi="Arial"/>
                <w:sz w:val="12"/>
                <w:szCs w:val="12"/>
                <w:b w:val="1"/>
                <w:bCs w:val="1"/>
                <w:color w:val="auto"/>
                <w:w w:val="92"/>
              </w:rPr>
              <w:t>(1)</w:t>
            </w:r>
          </w:p>
        </w:tc>
        <w:tc>
          <w:tcPr>
            <w:tcW w:w="2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 xml:space="preserve">Value </w:t>
            </w:r>
            <w:r>
              <w:rPr>
                <w:rFonts w:ascii="Arial" w:cs="Arial" w:eastAsia="Arial" w:hAnsi="Arial"/>
                <w:sz w:val="12"/>
                <w:szCs w:val="12"/>
                <w:b w:val="1"/>
                <w:bCs w:val="1"/>
                <w:color w:val="auto"/>
                <w:w w:val="93"/>
              </w:rPr>
              <w:t>(2)(3)</w:t>
            </w:r>
          </w:p>
        </w:tc>
      </w:tr>
      <w:tr>
        <w:trPr>
          <w:trHeight w:val="223"/>
        </w:trPr>
        <w:tc>
          <w:tcPr>
            <w:tcW w:w="42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4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1,245.0</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495.7</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749.3</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485.8</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80" w:type="dxa"/>
            <w:vAlign w:val="bottom"/>
          </w:tcPr>
          <w:p>
            <w:pPr>
              <w:spacing w:after="0"/>
              <w:rPr>
                <w:sz w:val="20"/>
                <w:szCs w:val="20"/>
                <w:color w:val="auto"/>
              </w:rPr>
            </w:pPr>
            <w:r>
              <w:rPr>
                <w:rFonts w:ascii="Arial" w:cs="Arial" w:eastAsia="Arial" w:hAnsi="Arial"/>
                <w:sz w:val="18"/>
                <w:szCs w:val="18"/>
                <w:color w:val="auto"/>
                <w:w w:val="89"/>
              </w:rPr>
              <w:t>2022</w:t>
            </w:r>
          </w:p>
        </w:tc>
        <w:tc>
          <w:tcPr>
            <w:tcW w:w="3820" w:type="dxa"/>
            <w:vAlign w:val="bottom"/>
          </w:tcPr>
          <w:p>
            <w:pPr>
              <w:ind w:left="20"/>
              <w:spacing w:after="0"/>
              <w:rPr>
                <w:sz w:val="20"/>
                <w:szCs w:val="20"/>
                <w:color w:val="auto"/>
              </w:rPr>
            </w:pPr>
            <w:r>
              <w:rPr>
                <w:rFonts w:ascii="Arial" w:cs="Arial" w:eastAsia="Arial" w:hAnsi="Arial"/>
                <w:sz w:val="18"/>
                <w:szCs w:val="18"/>
                <w:color w:val="auto"/>
              </w:rPr>
              <w:t>Convertible Notes</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172.5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172.5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169.4</w:t>
            </w:r>
          </w:p>
        </w:tc>
        <w:tc>
          <w:tcPr>
            <w:tcW w:w="120" w:type="dxa"/>
            <w:vAlign w:val="bottom"/>
          </w:tcPr>
          <w:p>
            <w:pPr>
              <w:spacing w:after="0"/>
              <w:rPr>
                <w:sz w:val="19"/>
                <w:szCs w:val="19"/>
                <w:color w:val="auto"/>
              </w:rPr>
            </w:pPr>
          </w:p>
        </w:tc>
      </w:tr>
      <w:tr>
        <w:trPr>
          <w:trHeight w:val="229"/>
        </w:trPr>
        <w:tc>
          <w:tcPr>
            <w:tcW w:w="380" w:type="dxa"/>
            <w:vAlign w:val="bottom"/>
            <w:shd w:val="clear" w:color="auto" w:fill="CFF0FC"/>
          </w:tcPr>
          <w:p>
            <w:pPr>
              <w:spacing w:after="0"/>
              <w:rPr>
                <w:sz w:val="20"/>
                <w:szCs w:val="20"/>
                <w:color w:val="auto"/>
              </w:rPr>
            </w:pPr>
            <w:r>
              <w:rPr>
                <w:rFonts w:ascii="Arial" w:cs="Arial" w:eastAsia="Arial" w:hAnsi="Arial"/>
                <w:sz w:val="18"/>
                <w:szCs w:val="18"/>
                <w:color w:val="auto"/>
                <w:w w:val="89"/>
              </w:rPr>
              <w:t>2023</w:t>
            </w:r>
          </w:p>
        </w:tc>
        <w:tc>
          <w:tcPr>
            <w:tcW w:w="3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w:t>
            </w:r>
          </w:p>
        </w:tc>
        <w:tc>
          <w:tcPr>
            <w:tcW w:w="4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148.0</w:t>
            </w:r>
          </w:p>
        </w:tc>
        <w:tc>
          <w:tcPr>
            <w:tcW w:w="120" w:type="dxa"/>
            <w:vAlign w:val="bottom"/>
            <w:shd w:val="clear" w:color="auto" w:fill="CFF0FC"/>
          </w:tcPr>
          <w:p>
            <w:pPr>
              <w:spacing w:after="0"/>
              <w:rPr>
                <w:sz w:val="19"/>
                <w:szCs w:val="19"/>
                <w:color w:val="auto"/>
              </w:rPr>
            </w:pPr>
          </w:p>
        </w:tc>
      </w:tr>
      <w:tr>
        <w:trPr>
          <w:trHeight w:val="229"/>
        </w:trPr>
        <w:tc>
          <w:tcPr>
            <w:tcW w:w="380" w:type="dxa"/>
            <w:vAlign w:val="bottom"/>
          </w:tcPr>
          <w:p>
            <w:pPr>
              <w:spacing w:after="0"/>
              <w:rPr>
                <w:sz w:val="20"/>
                <w:szCs w:val="20"/>
                <w:color w:val="auto"/>
              </w:rPr>
            </w:pPr>
            <w:r>
              <w:rPr>
                <w:rFonts w:ascii="Arial" w:cs="Arial" w:eastAsia="Arial" w:hAnsi="Arial"/>
                <w:sz w:val="18"/>
                <w:szCs w:val="18"/>
                <w:color w:val="auto"/>
                <w:w w:val="89"/>
              </w:rPr>
              <w:t>2024</w:t>
            </w:r>
          </w:p>
        </w:tc>
        <w:tc>
          <w:tcPr>
            <w:tcW w:w="3820" w:type="dxa"/>
            <w:vAlign w:val="bottom"/>
          </w:tcPr>
          <w:p>
            <w:pPr>
              <w:ind w:left="20"/>
              <w:spacing w:after="0"/>
              <w:rPr>
                <w:sz w:val="20"/>
                <w:szCs w:val="20"/>
                <w:color w:val="auto"/>
              </w:rPr>
            </w:pPr>
            <w:r>
              <w:rPr>
                <w:rFonts w:ascii="Arial" w:cs="Arial" w:eastAsia="Arial" w:hAnsi="Arial"/>
                <w:sz w:val="18"/>
                <w:szCs w:val="18"/>
                <w:color w:val="auto"/>
              </w:rPr>
              <w:t>Notes</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300.0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300.0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291.3</w:t>
            </w:r>
          </w:p>
        </w:tc>
        <w:tc>
          <w:tcPr>
            <w:tcW w:w="120" w:type="dxa"/>
            <w:vAlign w:val="bottom"/>
          </w:tcPr>
          <w:p>
            <w:pPr>
              <w:spacing w:after="0"/>
              <w:rPr>
                <w:sz w:val="19"/>
                <w:szCs w:val="19"/>
                <w:color w:val="auto"/>
              </w:rPr>
            </w:pPr>
          </w:p>
        </w:tc>
      </w:tr>
      <w:tr>
        <w:trPr>
          <w:trHeight w:val="223"/>
        </w:trPr>
        <w:tc>
          <w:tcPr>
            <w:tcW w:w="4200" w:type="dxa"/>
            <w:vAlign w:val="bottom"/>
            <w:tcBorders>
              <w:top w:val="single" w:sz="8" w:color="CFF0FC"/>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b w:val="1"/>
                <w:bCs w:val="1"/>
                <w:color w:val="auto"/>
              </w:rPr>
              <w:t>Total Debt</w:t>
            </w:r>
          </w:p>
        </w:tc>
        <w:tc>
          <w:tcPr>
            <w:tcW w:w="4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1,867.5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1,118.2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749.3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1,094.5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left="500" w:right="900" w:hanging="492"/>
        <w:spacing w:after="0" w:line="258" w:lineRule="auto"/>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amount available may be subject to limitations related to the borrowing base under the Revolving Credit Facility and asset coverage requirements.</w:t>
      </w:r>
    </w:p>
    <w:p>
      <w:pPr>
        <w:spacing w:after="0" w:line="1" w:lineRule="exact"/>
        <w:rPr>
          <w:rFonts w:ascii="Arial" w:cs="Arial" w:eastAsia="Arial" w:hAnsi="Arial"/>
          <w:sz w:val="18"/>
          <w:szCs w:val="18"/>
          <w:color w:val="auto"/>
        </w:rPr>
      </w:pPr>
    </w:p>
    <w:p>
      <w:pPr>
        <w:ind w:left="500" w:right="200" w:hanging="492"/>
        <w:spacing w:after="0" w:line="250" w:lineRule="auto"/>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carrying values of the Revolving Credit Facility, 2022 Convertible Notes, 2023 Notes, and 2024 Notes are presented net of deferred financing costs and original issue discounts of $10.0 million, $3.1 million, $2.0 million and $6.9 million, respectively.</w:t>
      </w:r>
    </w:p>
    <w:p>
      <w:pPr>
        <w:ind w:left="500" w:right="540" w:hanging="492"/>
        <w:spacing w:after="0" w:line="260" w:lineRule="auto"/>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carrying value of the 2024 Notes is presented net of $1.8 million, which represents an adjustment in the carrying value of the 2024 Notes resulting from a hedge accounting relationship.</w:t>
      </w:r>
    </w:p>
    <w:p>
      <w:pPr>
        <w:spacing w:after="0" w:line="185" w:lineRule="exact"/>
        <w:rPr>
          <w:sz w:val="20"/>
          <w:szCs w:val="20"/>
          <w:color w:val="auto"/>
        </w:rPr>
      </w:pPr>
    </w:p>
    <w:p>
      <w:pPr>
        <w:ind w:right="20" w:firstLine="255"/>
        <w:spacing w:after="0" w:line="277" w:lineRule="auto"/>
        <w:rPr>
          <w:sz w:val="20"/>
          <w:szCs w:val="20"/>
          <w:color w:val="auto"/>
        </w:rPr>
      </w:pPr>
      <w:r>
        <w:rPr>
          <w:rFonts w:ascii="Arial" w:cs="Arial" w:eastAsia="Arial" w:hAnsi="Arial"/>
          <w:sz w:val="18"/>
          <w:szCs w:val="18"/>
          <w:color w:val="auto"/>
        </w:rPr>
        <w:t>As of September 30, 2020 and December 31, 2019, we were in compliance with the terms of our debt arrangements. We intend to continue to utilize our credit facilities to fund investments and for other general corporate purposes.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17" w:lineRule="exact"/>
        <w:rPr>
          <w:sz w:val="20"/>
          <w:szCs w:val="20"/>
          <w:color w:val="auto"/>
        </w:rPr>
      </w:pPr>
    </w:p>
    <w:p>
      <w:pPr>
        <w:ind w:right="220" w:firstLine="255"/>
        <w:spacing w:after="0" w:line="263" w:lineRule="auto"/>
        <w:rPr>
          <w:sz w:val="20"/>
          <w:szCs w:val="20"/>
          <w:color w:val="auto"/>
        </w:rPr>
      </w:pPr>
      <w:r>
        <w:rPr>
          <w:rFonts w:ascii="Arial" w:cs="Arial" w:eastAsia="Arial" w:hAnsi="Arial"/>
          <w:sz w:val="18"/>
          <w:szCs w:val="18"/>
          <w:color w:val="auto"/>
        </w:rPr>
        <w:t>On August 23, 2012, we entered into a senior secured revolving credit agreement with Truist Bank (as successor by merger to SunTrust Bank), as administrative agent, and J.P. Morgan Chase Bank, N.A., as syndication agent, and certain other lenders (as amended and restated, the “Revolving Credit Facility”).</w:t>
      </w:r>
    </w:p>
    <w:p>
      <w:pPr>
        <w:spacing w:after="0" w:line="184" w:lineRule="exact"/>
        <w:rPr>
          <w:sz w:val="20"/>
          <w:szCs w:val="20"/>
          <w:color w:val="auto"/>
        </w:rPr>
      </w:pPr>
    </w:p>
    <w:p>
      <w:pPr>
        <w:ind w:right="40" w:firstLine="255"/>
        <w:spacing w:after="0" w:line="311" w:lineRule="auto"/>
        <w:rPr>
          <w:sz w:val="20"/>
          <w:szCs w:val="20"/>
          <w:color w:val="auto"/>
        </w:rPr>
      </w:pPr>
      <w:r>
        <w:rPr>
          <w:rFonts w:ascii="Arial" w:cs="Arial" w:eastAsia="Arial" w:hAnsi="Arial"/>
          <w:sz w:val="16"/>
          <w:szCs w:val="16"/>
          <w:color w:val="auto"/>
        </w:rPr>
        <w:t>As of December 31, 2019, aggregate commitments under the facility were $1.245 billion. Pursuant to an amendment to the Revolving Credit Facility dated as of January 31, 2020 (the “Ninth Amendment”), the aggregate commitments under the facility were increased to $1.315 billion. The facility includes an uncommitted accordion feature that allows the Company, under certain circumstances, to increase the size of the facility to up to $1.750 billion.</w:t>
      </w:r>
    </w:p>
    <w:p>
      <w:pPr>
        <w:spacing w:after="0" w:line="149" w:lineRule="exact"/>
        <w:rPr>
          <w:sz w:val="20"/>
          <w:szCs w:val="20"/>
          <w:color w:val="auto"/>
        </w:rPr>
      </w:pPr>
    </w:p>
    <w:p>
      <w:pPr>
        <w:ind w:right="40" w:firstLine="255"/>
        <w:spacing w:after="0" w:line="342" w:lineRule="auto"/>
        <w:rPr>
          <w:sz w:val="20"/>
          <w:szCs w:val="20"/>
          <w:color w:val="auto"/>
        </w:rPr>
      </w:pPr>
      <w:r>
        <w:rPr>
          <w:rFonts w:ascii="Arial" w:cs="Arial" w:eastAsia="Arial" w:hAnsi="Arial"/>
          <w:sz w:val="16"/>
          <w:szCs w:val="16"/>
          <w:color w:val="auto"/>
        </w:rPr>
        <w:t>Pursuant to the Ninth Amendment, the revolving period, during which period we, subject to certain conditions, may make borrowings under the facility, was extended from February 14, 2023 to January 31, 2024 and the stated maturity date was extended from February 14, 2024 to January 31, 2025.</w:t>
      </w:r>
    </w:p>
    <w:p>
      <w:pPr>
        <w:spacing w:after="0" w:line="124" w:lineRule="exact"/>
        <w:rPr>
          <w:sz w:val="20"/>
          <w:szCs w:val="20"/>
          <w:color w:val="auto"/>
        </w:rPr>
      </w:pPr>
    </w:p>
    <w:p>
      <w:pPr>
        <w:jc w:val="both"/>
        <w:ind w:right="440" w:firstLine="255"/>
        <w:spacing w:after="0" w:line="263" w:lineRule="auto"/>
        <w:rPr>
          <w:sz w:val="20"/>
          <w:szCs w:val="20"/>
          <w:color w:val="auto"/>
        </w:rPr>
      </w:pPr>
      <w:r>
        <w:rPr>
          <w:rFonts w:ascii="Arial" w:cs="Arial" w:eastAsia="Arial" w:hAnsi="Arial"/>
          <w:sz w:val="18"/>
          <w:szCs w:val="18"/>
          <w:color w:val="auto"/>
        </w:rPr>
        <w:t>We may borrow amounts in U.S. dollars or certain other permitted currencies. As of September 30, 2020, we had outstanding debt denominated in Australian Dollars (AUD) of 51.6 million, Canadian Dollars (CAD) of 62.2 million, and Euro (EUR) of 8.3 million on our Revolving Credit Facility, included in the Outstanding Principal amount in the table above.</w:t>
      </w:r>
    </w:p>
    <w:p>
      <w:pPr>
        <w:spacing w:after="0" w:line="184" w:lineRule="exact"/>
        <w:rPr>
          <w:sz w:val="20"/>
          <w:szCs w:val="20"/>
          <w:color w:val="auto"/>
        </w:rPr>
      </w:pPr>
    </w:p>
    <w:p>
      <w:pPr>
        <w:ind w:firstLine="255"/>
        <w:spacing w:after="0" w:line="263" w:lineRule="auto"/>
        <w:rPr>
          <w:sz w:val="20"/>
          <w:szCs w:val="20"/>
          <w:color w:val="auto"/>
        </w:rPr>
      </w:pPr>
      <w:r>
        <w:rPr>
          <w:rFonts w:ascii="Arial" w:cs="Arial" w:eastAsia="Arial" w:hAnsi="Arial"/>
          <w:sz w:val="18"/>
          <w:szCs w:val="18"/>
          <w:color w:val="auto"/>
        </w:rPr>
        <w:t>The Revolving Credit Facility also provides for the issuance of letters of credit up to an aggregate amount of $75 million. As of September 30, 2020 and December 31, 2019, we had no outstanding letters of credit issued through the Revolving Credit Facility. The amount available for borrowing under the Revolving Credit Facility is reduced by any letters of credit issued through the Revolving Credit Facility.</w:t>
      </w:r>
    </w:p>
    <w:p>
      <w:pPr>
        <w:spacing w:after="0" w:line="184" w:lineRule="exact"/>
        <w:rPr>
          <w:sz w:val="20"/>
          <w:szCs w:val="20"/>
          <w:color w:val="auto"/>
        </w:rPr>
      </w:pPr>
    </w:p>
    <w:p>
      <w:pPr>
        <w:ind w:right="40" w:firstLine="255"/>
        <w:spacing w:after="0" w:line="255" w:lineRule="auto"/>
        <w:rPr>
          <w:sz w:val="20"/>
          <w:szCs w:val="20"/>
          <w:color w:val="auto"/>
        </w:rPr>
      </w:pPr>
      <w:r>
        <w:rPr>
          <w:rFonts w:ascii="Arial" w:cs="Arial" w:eastAsia="Arial" w:hAnsi="Arial"/>
          <w:sz w:val="18"/>
          <w:szCs w:val="18"/>
          <w:color w:val="auto"/>
        </w:rPr>
        <w:t>Amounts drawn under the Revolving Credit Facility, including amounts drawn in respect of letters of credit, bear interest at either LIBOR plus a margin of either 1.75% or 1.875%, or the base rate plus a margin of either 0.75% or 0.875%, in each case, based on the total amount of the borrowing base relative to the sum of the total commitments (or, if greater, the total exposure) under the Revolving Credit Facility plus certain other designated secured debt. We may elect either the LIBOR or base rate at the time of drawdown, and loans may be converted from one rate to another at any time, subject to certain conditions. We also pay a fee of 0.375% on undrawn amounts and, in respect of each undrawn letter of credit, a fee and interest rate equal to the then applicable margin while the letter of credit is outstanding.</w:t>
      </w:r>
    </w:p>
    <w:p>
      <w:pPr>
        <w:spacing w:after="0" w:line="192" w:lineRule="exact"/>
        <w:rPr>
          <w:sz w:val="20"/>
          <w:szCs w:val="20"/>
          <w:color w:val="auto"/>
        </w:rPr>
      </w:pPr>
    </w:p>
    <w:p>
      <w:pPr>
        <w:ind w:right="100" w:firstLine="255"/>
        <w:spacing w:after="0" w:line="263" w:lineRule="auto"/>
        <w:rPr>
          <w:sz w:val="20"/>
          <w:szCs w:val="20"/>
          <w:color w:val="auto"/>
        </w:rPr>
      </w:pPr>
      <w:r>
        <w:rPr>
          <w:rFonts w:ascii="Arial" w:cs="Arial" w:eastAsia="Arial" w:hAnsi="Arial"/>
          <w:sz w:val="18"/>
          <w:szCs w:val="18"/>
          <w:color w:val="auto"/>
        </w:rPr>
        <w:t>The Revolving Credit Facility is guaranteed by Sixth Street SL SPV, LLC, TC Lending, LLC and Sixth Street SL Holding, LLC. The Revolving Credit Facility is secured by a perfected first-priority security interest in substantially all the portfolio investments held by us and each guarantor. Proceeds from borrowings may be used for general corporate purposes, including the funding of portfolio investments.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62" w:name="page63"/>
    <w:bookmarkEnd w:id="62"/>
    <w:p>
      <w:pPr>
        <w:ind w:right="140" w:firstLine="255"/>
        <w:spacing w:after="0" w:line="277" w:lineRule="auto"/>
        <w:rPr>
          <w:sz w:val="20"/>
          <w:szCs w:val="20"/>
          <w:color w:val="auto"/>
        </w:rPr>
      </w:pPr>
      <w:r>
        <w:rPr>
          <w:rFonts w:ascii="Arial" w:cs="Arial" w:eastAsia="Arial" w:hAnsi="Arial"/>
          <w:sz w:val="18"/>
          <w:szCs w:val="18"/>
          <w:color w:val="auto"/>
        </w:rPr>
        <w:t>The Revolving Credit Facility includes customary events of default, as well as customary covenants, including restrictions on certain distributions and financial covenants. The financial covenants require:</w:t>
      </w:r>
    </w:p>
    <w:p>
      <w:pPr>
        <w:spacing w:after="0" w:line="62" w:lineRule="exact"/>
        <w:rPr>
          <w:sz w:val="20"/>
          <w:szCs w:val="20"/>
          <w:color w:val="auto"/>
        </w:rPr>
      </w:pPr>
    </w:p>
    <w:p>
      <w:pPr>
        <w:ind w:left="500" w:hanging="249"/>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 asset coverage ratio of no less than 1.5 to 1 on the last day of any fiscal quarter;</w:t>
      </w:r>
    </w:p>
    <w:p>
      <w:pPr>
        <w:spacing w:after="0" w:line="117" w:lineRule="exact"/>
        <w:rPr>
          <w:rFonts w:ascii="Arial" w:cs="Arial" w:eastAsia="Arial" w:hAnsi="Arial"/>
          <w:sz w:val="18"/>
          <w:szCs w:val="18"/>
          <w:color w:val="auto"/>
        </w:rPr>
      </w:pPr>
    </w:p>
    <w:p>
      <w:pPr>
        <w:ind w:left="500" w:right="260" w:hanging="249"/>
        <w:spacing w:after="0" w:line="375" w:lineRule="auto"/>
        <w:tabs>
          <w:tab w:leader="none" w:pos="500" w:val="left"/>
        </w:tabs>
        <w:numPr>
          <w:ilvl w:val="0"/>
          <w:numId w:val="46"/>
        </w:numPr>
        <w:rPr>
          <w:rFonts w:ascii="Arial" w:cs="Arial" w:eastAsia="Arial" w:hAnsi="Arial"/>
          <w:sz w:val="15"/>
          <w:szCs w:val="15"/>
          <w:color w:val="auto"/>
        </w:rPr>
      </w:pPr>
      <w:r>
        <w:rPr>
          <w:rFonts w:ascii="Arial" w:cs="Arial" w:eastAsia="Arial" w:hAnsi="Arial"/>
          <w:sz w:val="15"/>
          <w:szCs w:val="15"/>
          <w:color w:val="auto"/>
        </w:rPr>
        <w:t>a liquidity test under which we must not maintain cash and liquid investments of less than 10% of the covered debt amount for more than 30 consecutive business days under circumstances where our adjusted covered debt balance is greater than 90% of our adjusted borrowing base under the facility;</w:t>
      </w:r>
    </w:p>
    <w:p>
      <w:pPr>
        <w:ind w:left="500" w:hanging="249"/>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stockholders’ equity of at least $500 million plus 25% of the net proceeds of the sale of equity interests after January 31, 2020;</w:t>
      </w:r>
    </w:p>
    <w:p>
      <w:pPr>
        <w:spacing w:after="0" w:line="117" w:lineRule="exact"/>
        <w:rPr>
          <w:rFonts w:ascii="Arial" w:cs="Arial" w:eastAsia="Arial" w:hAnsi="Arial"/>
          <w:sz w:val="18"/>
          <w:szCs w:val="18"/>
          <w:color w:val="auto"/>
        </w:rPr>
      </w:pPr>
    </w:p>
    <w:p>
      <w:pPr>
        <w:ind w:left="500" w:hanging="249"/>
        <w:spacing w:after="0" w:line="259" w:lineRule="auto"/>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minimum asset coverage ratio of no less than 2 to 1 with respect to (i) the consolidated assets of the Company and the subsidiary guarantors (including certain limitations on the contribution of equity in financing subsidiaries) to (ii) the secured debt of the Company and its subsidiary guarantors plus unsecured senior securities of the Company and its subsidiary guarantors that mature within 90 days of the date of determination (the “Obligor Asset Coverage Ratio”); and</w:t>
      </w:r>
    </w:p>
    <w:p>
      <w:pPr>
        <w:spacing w:after="0" w:line="78" w:lineRule="exact"/>
        <w:rPr>
          <w:rFonts w:ascii="Arial" w:cs="Arial" w:eastAsia="Arial" w:hAnsi="Arial"/>
          <w:sz w:val="18"/>
          <w:szCs w:val="18"/>
          <w:color w:val="auto"/>
        </w:rPr>
      </w:pPr>
    </w:p>
    <w:p>
      <w:pPr>
        <w:ind w:left="500" w:right="100" w:hanging="249"/>
        <w:spacing w:after="0" w:line="342" w:lineRule="auto"/>
        <w:tabs>
          <w:tab w:leader="none" w:pos="5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minimum consolidated assets of the Company and the subsidiary guarantors (including certain limitations on the contribution of equity in financing subsidiaries), less total secured debt of the Company and the subsidiary guarantors, of at least $350 million at the last day of any fiscal quarter.</w:t>
      </w:r>
    </w:p>
    <w:p>
      <w:pPr>
        <w:spacing w:after="0" w:line="124" w:lineRule="exact"/>
        <w:rPr>
          <w:sz w:val="20"/>
          <w:szCs w:val="20"/>
          <w:color w:val="auto"/>
        </w:rPr>
      </w:pPr>
    </w:p>
    <w:p>
      <w:pPr>
        <w:ind w:right="200" w:firstLine="255"/>
        <w:spacing w:after="0" w:line="277" w:lineRule="auto"/>
        <w:rPr>
          <w:sz w:val="20"/>
          <w:szCs w:val="20"/>
          <w:color w:val="auto"/>
        </w:rPr>
      </w:pPr>
      <w:r>
        <w:rPr>
          <w:rFonts w:ascii="Arial" w:cs="Arial" w:eastAsia="Arial" w:hAnsi="Arial"/>
          <w:sz w:val="18"/>
          <w:szCs w:val="18"/>
          <w:color w:val="auto"/>
        </w:rPr>
        <w:t>The Revolving Credit Facility also contains certain additional concentration limits in connection with the calculation of the borrowing base, based on the Obligor Asset Coverage Ratio.</w:t>
      </w:r>
    </w:p>
    <w:p>
      <w:pPr>
        <w:spacing w:after="0" w:line="170" w:lineRule="exact"/>
        <w:rPr>
          <w:sz w:val="20"/>
          <w:szCs w:val="20"/>
          <w:color w:val="auto"/>
        </w:rPr>
      </w:pPr>
    </w:p>
    <w:p>
      <w:pPr>
        <w:ind w:right="680" w:firstLine="255"/>
        <w:spacing w:after="0" w:line="277" w:lineRule="auto"/>
        <w:rPr>
          <w:sz w:val="20"/>
          <w:szCs w:val="20"/>
          <w:color w:val="auto"/>
        </w:rPr>
      </w:pPr>
      <w:r>
        <w:rPr>
          <w:rFonts w:ascii="Arial" w:cs="Arial" w:eastAsia="Arial" w:hAnsi="Arial"/>
          <w:sz w:val="18"/>
          <w:szCs w:val="18"/>
          <w:color w:val="auto"/>
        </w:rPr>
        <w:t>Net proceeds received from the issuance of the 2022 Convertible Notes, 2023 Notes and 2024 Notes were used to pay down borrowings on the Revolving Credit Facility.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Convertible Notes</w:t>
      </w:r>
    </w:p>
    <w:p>
      <w:pPr>
        <w:spacing w:after="0" w:line="117" w:lineRule="exact"/>
        <w:rPr>
          <w:sz w:val="20"/>
          <w:szCs w:val="20"/>
          <w:color w:val="auto"/>
        </w:rPr>
      </w:pPr>
    </w:p>
    <w:p>
      <w:pPr>
        <w:ind w:right="100" w:firstLine="255"/>
        <w:spacing w:after="0" w:line="287" w:lineRule="auto"/>
        <w:rPr>
          <w:sz w:val="20"/>
          <w:szCs w:val="20"/>
          <w:color w:val="auto"/>
        </w:rPr>
      </w:pPr>
      <w:r>
        <w:rPr>
          <w:rFonts w:ascii="Arial" w:cs="Arial" w:eastAsia="Arial" w:hAnsi="Arial"/>
          <w:sz w:val="16"/>
          <w:szCs w:val="16"/>
          <w:color w:val="auto"/>
        </w:rPr>
        <w:t>In February 2017, we issued in a private offering $115 million aggregate principal amount convertible notes due August 2022 (the “2022 Convertible Notes”). The 2022 Convertible Notes were issued in a private placement only to qualified institutional buyers pursuant to Rule 144A under the Securities Act. The 2022 Convertible Notes are unsecured, and bear interest at a rate of 4.50% per year, payable semiannually. The 2022 Convertible Notes will mature on August 1, 2022. In certain circumstances, the 2022 Convertible Notes will be convertible into cash, shares of our common stock or a combination of cash and shares of our common stock, at our election, at an initial conversion rate of 46.8516 shares of common stock per $1,000 principal amount of 2022 Convertible Notes, which is equivalent to an initial conversion price of approximately $21.34 per share of our common stock, subject to customary anti-dilution adjustments. As of September 30, 2020, the estimated adjusted conversion price was approximately $19.91 per share of common stock. The sale of the 2022 Convertible Notes generated net proceeds of approximately $111.2 million. We used the net proceeds of the offering to pay down debt under the Revolving Credit Facility. In connection with the offering of 2022 Convertible Notes, we have entered into an interest rate swap to continue to align the interest rates of our liabilities with our investment portfolio, which consists of predominately floating rate loans. As a result of the swaps, our effective interest rate on the original issuance of 2022 Convertible Notes is three-month LIBOR plus 2.37%.</w:t>
      </w:r>
    </w:p>
    <w:p>
      <w:pPr>
        <w:spacing w:after="0" w:line="172" w:lineRule="exact"/>
        <w:rPr>
          <w:sz w:val="20"/>
          <w:szCs w:val="20"/>
          <w:color w:val="auto"/>
        </w:rPr>
      </w:pPr>
    </w:p>
    <w:p>
      <w:pPr>
        <w:ind w:right="180" w:firstLine="255"/>
        <w:spacing w:after="0" w:line="296" w:lineRule="auto"/>
        <w:rPr>
          <w:sz w:val="20"/>
          <w:szCs w:val="20"/>
          <w:color w:val="auto"/>
        </w:rPr>
      </w:pPr>
      <w:r>
        <w:rPr>
          <w:rFonts w:ascii="Arial" w:cs="Arial" w:eastAsia="Arial" w:hAnsi="Arial"/>
          <w:sz w:val="16"/>
          <w:szCs w:val="16"/>
          <w:color w:val="auto"/>
        </w:rPr>
        <w:t>In June 2018, we issued an additional $57.5 million aggregate principal amount of 2022 Convertible Notes. The additional 2022 Convertible Notes were issued with identical terms, and are fungible with and are part of a single series with the previously outstanding $115 million aggregate principal amount of our 2022 Convertible Notes issued in February 2017. In connection with the reopening of the 2022 Convertible Notes, we entered into interest rate swaps to continue to align the interest rates of its liabilities with its investment portfolio, which consists of predominately floating rate loans. As a result of the additional swaps, our effective interest rate on the additional 2022 Convertible Notes is approximately three-month LIBOR plus 1.60%.</w:t>
      </w:r>
    </w:p>
    <w:p>
      <w:pPr>
        <w:spacing w:after="0" w:line="161" w:lineRule="exact"/>
        <w:rPr>
          <w:sz w:val="20"/>
          <w:szCs w:val="20"/>
          <w:color w:val="auto"/>
        </w:rPr>
      </w:pPr>
    </w:p>
    <w:p>
      <w:pPr>
        <w:ind w:right="60" w:firstLine="255"/>
        <w:spacing w:after="0" w:line="291" w:lineRule="auto"/>
        <w:rPr>
          <w:sz w:val="20"/>
          <w:szCs w:val="20"/>
          <w:color w:val="auto"/>
        </w:rPr>
      </w:pPr>
      <w:r>
        <w:rPr>
          <w:rFonts w:ascii="Arial" w:cs="Arial" w:eastAsia="Arial" w:hAnsi="Arial"/>
          <w:sz w:val="16"/>
          <w:szCs w:val="16"/>
          <w:color w:val="auto"/>
        </w:rPr>
        <w:t>During the nine months ended September 30, 2020, we repurchased on the open market and extinguished $29.7 million in aggregate principal amount of the 2022 Convertible Notes for $29.5 million. These repurchases resulted in a gain on extinguishment of debt of less than $0.7 million. This gain is included in the extinguishment of debt in the accompanying consolidated statements of operations. In connection with the repurchases of the 2022 Convertible Notes, we entered into floating-to-fixed interest rate swaps with an aggregate notional amount equal to the amount of 2022 Convertible Notes repurchased, which has the effect of reducing the notional exposure of the fixed-to-floating interest rate swaps, which were entered into in connection with the issuance of the 2022 Convertible Notes, to match the current principal amount of the 2022 Convertible Notes outstanding. As a result of the swaps, our effective interest rate on the outstanding 2022 Convertible Notes is three-month LIBOR plus 2.11% (on a weighted-average basis).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3" w:name="page64"/>
    <w:bookmarkEnd w:id="63"/>
    <w:p>
      <w:pPr>
        <w:ind w:left="260"/>
        <w:spacing w:after="0"/>
        <w:rPr>
          <w:sz w:val="20"/>
          <w:szCs w:val="20"/>
          <w:color w:val="auto"/>
        </w:rPr>
      </w:pPr>
      <w:r>
        <w:rPr>
          <w:rFonts w:ascii="Arial" w:cs="Arial" w:eastAsia="Arial" w:hAnsi="Arial"/>
          <w:sz w:val="17"/>
          <w:szCs w:val="17"/>
          <w:color w:val="auto"/>
        </w:rPr>
        <w:t>Holders may convert their 2022 Convertible Notes at their option at any time prior to February 1, 2022 only under the following circumstances:</w:t>
      </w:r>
    </w:p>
    <w:p>
      <w:pPr>
        <w:spacing w:after="0" w:line="35" w:lineRule="exact"/>
        <w:rPr>
          <w:sz w:val="20"/>
          <w:szCs w:val="20"/>
          <w:color w:val="auto"/>
        </w:rPr>
      </w:pPr>
    </w:p>
    <w:p>
      <w:pPr>
        <w:ind w:right="40" w:firstLine="8"/>
        <w:spacing w:after="0" w:line="281" w:lineRule="auto"/>
        <w:tabs>
          <w:tab w:leader="none" w:pos="255" w:val="left"/>
        </w:tabs>
        <w:numPr>
          <w:ilvl w:val="0"/>
          <w:numId w:val="47"/>
        </w:numPr>
        <w:rPr>
          <w:rFonts w:ascii="Arial" w:cs="Arial" w:eastAsia="Arial" w:hAnsi="Arial"/>
          <w:sz w:val="16"/>
          <w:szCs w:val="16"/>
          <w:color w:val="auto"/>
        </w:rPr>
      </w:pPr>
      <w:r>
        <w:rPr>
          <w:rFonts w:ascii="Arial" w:cs="Arial" w:eastAsia="Arial" w:hAnsi="Arial"/>
          <w:sz w:val="16"/>
          <w:szCs w:val="16"/>
          <w:color w:val="auto"/>
        </w:rPr>
        <w:t>during any calendar quarter commencing after the calendar quarter ending on June 30, 2017 (and only during such calendar quarter), if the last reported sale price of the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w:t>
      </w:r>
    </w:p>
    <w:p>
      <w:pPr>
        <w:spacing w:after="0" w:line="1" w:lineRule="exact"/>
        <w:rPr>
          <w:rFonts w:ascii="Arial" w:cs="Arial" w:eastAsia="Arial" w:hAnsi="Arial"/>
          <w:sz w:val="16"/>
          <w:szCs w:val="16"/>
          <w:color w:val="auto"/>
        </w:rPr>
      </w:pPr>
    </w:p>
    <w:p>
      <w:pPr>
        <w:ind w:right="120" w:firstLine="8"/>
        <w:spacing w:after="0" w:line="292" w:lineRule="auto"/>
        <w:tabs>
          <w:tab w:leader="none" w:pos="255" w:val="left"/>
        </w:tabs>
        <w:numPr>
          <w:ilvl w:val="0"/>
          <w:numId w:val="47"/>
        </w:numPr>
        <w:rPr>
          <w:rFonts w:ascii="Arial" w:cs="Arial" w:eastAsia="Arial" w:hAnsi="Arial"/>
          <w:sz w:val="16"/>
          <w:szCs w:val="16"/>
          <w:color w:val="auto"/>
        </w:rPr>
      </w:pPr>
      <w:r>
        <w:rPr>
          <w:rFonts w:ascii="Arial" w:cs="Arial" w:eastAsia="Arial" w:hAnsi="Arial"/>
          <w:sz w:val="16"/>
          <w:szCs w:val="16"/>
          <w:color w:val="auto"/>
        </w:rPr>
        <w:t>during the five business day period after any five consecutive trading day period (the “measurement period”) in which the trading price (as defined in the indenture governing the 2022 Convertible Notes) per $1,000 principal amount of notes for each trading day of the measurement period was less than 98% of the product of the last reported sale price of our common stock and the conversion rate on each such trading day; or (3) upon the occurrence of specified corporate events. On or after February 1, 2022 until the close of business on the scheduled trading day immediately preceding the maturity date, holders may convert their notes at any time, regardless of the occurrence or nonoccurrence of any of the foregoing circumstances.</w:t>
      </w:r>
    </w:p>
    <w:p>
      <w:pPr>
        <w:spacing w:after="0" w:line="162"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8"/>
          <w:szCs w:val="18"/>
          <w:color w:val="auto"/>
        </w:rPr>
        <w:t>The 2022 Convertible Notes are our unsecured obligations and rank senior in right of payment to our future indebtedness that is expressly subordinated in right of payment to the 2022 Convertible Notes; equal in right of payment to our existing and future indebtedness that is not so subordinated; effectively junior in right of payment to any of our secured indebtedness (including unsecured indebtedness that we later secure) to the extent of the value of the assets securing such indebtedness; and structurally junior to all existing and future indebtedness (including trade payables) incurred by our subsidiaries, financing vehicles or similar facilities.</w:t>
      </w:r>
    </w:p>
    <w:p>
      <w:pPr>
        <w:spacing w:after="0" w:line="188" w:lineRule="exact"/>
        <w:rPr>
          <w:sz w:val="20"/>
          <w:szCs w:val="20"/>
          <w:color w:val="auto"/>
        </w:rPr>
      </w:pPr>
    </w:p>
    <w:p>
      <w:pPr>
        <w:ind w:right="160" w:firstLine="255"/>
        <w:spacing w:after="0" w:line="279" w:lineRule="auto"/>
        <w:rPr>
          <w:sz w:val="20"/>
          <w:szCs w:val="20"/>
          <w:color w:val="auto"/>
        </w:rPr>
      </w:pPr>
      <w:r>
        <w:rPr>
          <w:rFonts w:ascii="Arial" w:cs="Arial" w:eastAsia="Arial" w:hAnsi="Arial"/>
          <w:sz w:val="17"/>
          <w:szCs w:val="17"/>
          <w:color w:val="auto"/>
        </w:rPr>
        <w:t>The indenture governing the 2022 Convertible Notes contains certain covenants, including covenants requiring us to comply with the applicable asset coverage ratio requirement under the 1940 Act and to provide financial information to the holders of the 2022 Convertible Notes under certain circumstances. These covenants are subject to important limitations and exceptions that are described in the indenture governing the 2022 Convertible Notes. As of September 30, 2020, we were in compliance with the terms of the indenture governing the 2022 Convertible Notes.</w:t>
      </w:r>
    </w:p>
    <w:p>
      <w:pPr>
        <w:spacing w:after="0" w:line="171" w:lineRule="exact"/>
        <w:rPr>
          <w:sz w:val="20"/>
          <w:szCs w:val="20"/>
          <w:color w:val="auto"/>
        </w:rPr>
      </w:pPr>
    </w:p>
    <w:p>
      <w:pPr>
        <w:ind w:right="60" w:firstLine="255"/>
        <w:spacing w:after="0" w:line="289" w:lineRule="auto"/>
        <w:rPr>
          <w:sz w:val="20"/>
          <w:szCs w:val="20"/>
          <w:color w:val="auto"/>
        </w:rPr>
      </w:pPr>
      <w:r>
        <w:rPr>
          <w:rFonts w:ascii="Arial" w:cs="Arial" w:eastAsia="Arial" w:hAnsi="Arial"/>
          <w:sz w:val="16"/>
          <w:szCs w:val="16"/>
          <w:color w:val="auto"/>
        </w:rPr>
        <w:t>The 2022 Convertible Notes are accounted for in accordance with Accounting Standards Codification (“ASC”) Topic 470-20. Upon conversion of any of the 2022 Convertible Notes, we intend to pay the outstanding principal amount in cash and, to the extent that the conversion value exceeds the principal amount, we have the option to pay in cash or shares of our common stock (or a combination of cash and shares) in respect of the excess amount, subject to the requirements of the indenture governing the 2022 Convertible Notes. We have determined that the embedded conversion options in the 2022 Convertible Notes are not required to be separately accounted for as a derivative under U.S. GAAP. In accounting for the 2022 Convertible Notes, we estimated at the time of issuance separate debt and equity components of the 2022 Convertible Notes. An original issue discount equal to the equity components of the 2022 Convertible Notes was recorded in “additional paid-in capital” in the accompanying consolidated balance sheet. Additionally, the issuance costs associated with the 2022 Convertible Notes were allocated to the debt and equity components in proportion to the allocation of the proceeds and accounted for as deferred financing costs and equity issuance costs, respectively.</w:t>
      </w:r>
    </w:p>
    <w:p>
      <w:pPr>
        <w:spacing w:after="0" w:line="166" w:lineRule="exact"/>
        <w:rPr>
          <w:sz w:val="20"/>
          <w:szCs w:val="20"/>
          <w:color w:val="auto"/>
        </w:rPr>
      </w:pPr>
    </w:p>
    <w:p>
      <w:pPr>
        <w:ind w:right="80" w:firstLine="255"/>
        <w:spacing w:after="0" w:line="277" w:lineRule="auto"/>
        <w:rPr>
          <w:sz w:val="20"/>
          <w:szCs w:val="20"/>
          <w:color w:val="auto"/>
        </w:rPr>
      </w:pPr>
      <w:r>
        <w:rPr>
          <w:rFonts w:ascii="Arial" w:cs="Arial" w:eastAsia="Arial" w:hAnsi="Arial"/>
          <w:sz w:val="18"/>
          <w:szCs w:val="18"/>
          <w:color w:val="auto"/>
        </w:rPr>
        <w:t>As of September 30, 2020, the principal amount of the 2022 Convertible Notes exceeded the value of the underlying shares multiplied by the per share closing price of our common stock.</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2023 Notes</w:t>
      </w:r>
    </w:p>
    <w:p>
      <w:pPr>
        <w:spacing w:after="0" w:line="117" w:lineRule="exact"/>
        <w:rPr>
          <w:sz w:val="20"/>
          <w:szCs w:val="20"/>
          <w:color w:val="auto"/>
        </w:rPr>
      </w:pPr>
    </w:p>
    <w:p>
      <w:pPr>
        <w:ind w:right="20" w:firstLine="255"/>
        <w:spacing w:after="0" w:line="257" w:lineRule="auto"/>
        <w:rPr>
          <w:sz w:val="20"/>
          <w:szCs w:val="20"/>
          <w:color w:val="auto"/>
        </w:rPr>
      </w:pPr>
      <w:r>
        <w:rPr>
          <w:rFonts w:ascii="Arial" w:cs="Arial" w:eastAsia="Arial" w:hAnsi="Arial"/>
          <w:sz w:val="18"/>
          <w:szCs w:val="18"/>
          <w:color w:val="auto"/>
        </w:rPr>
        <w:t>In January 2018, we issued $150.0 million aggregate principal amount of unsecured notes that mature on January 22, 2023 (the “2023 Notes”). The principal amount of the 2023 Notes is payable at maturity. The 2023 Notes bear interest at a rate of 4.50% per year, payable semi-annually commencing on July 22, 2018, and may be redeemed in whole or in part at our option at any time at par plus a “make whole” premium. Total proceeds from the issuance of the 2023 Notes, net of underwriting discounts and offering costs, were $146.9 million. We used the net proceeds of the 2023 Notes to repay outstanding indebtedness under the Revolving Credit Facility.</w:t>
      </w:r>
    </w:p>
    <w:p>
      <w:pPr>
        <w:spacing w:after="0" w:line="188" w:lineRule="exact"/>
        <w:rPr>
          <w:sz w:val="20"/>
          <w:szCs w:val="20"/>
          <w:color w:val="auto"/>
        </w:rPr>
      </w:pPr>
    </w:p>
    <w:p>
      <w:pPr>
        <w:ind w:right="340" w:firstLine="255"/>
        <w:spacing w:after="0" w:line="263" w:lineRule="auto"/>
        <w:rPr>
          <w:sz w:val="20"/>
          <w:szCs w:val="20"/>
          <w:color w:val="auto"/>
        </w:rPr>
      </w:pPr>
      <w:r>
        <w:rPr>
          <w:rFonts w:ascii="Arial" w:cs="Arial" w:eastAsia="Arial" w:hAnsi="Arial"/>
          <w:sz w:val="18"/>
          <w:szCs w:val="18"/>
          <w:color w:val="auto"/>
        </w:rPr>
        <w:t>In connection with the 2023 Notes offering, we entered into an interest rate swap to continue to align the interest rates of our liabilities with our investment portfolio, which consists of predominately floating rate loans. As a result of the swap, our effective interest rate on the 2023 Notes is three-month LIBOR plus 1.99%.</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2024 Notes</w:t>
      </w:r>
    </w:p>
    <w:p>
      <w:pPr>
        <w:spacing w:after="0" w:line="117" w:lineRule="exact"/>
        <w:rPr>
          <w:sz w:val="20"/>
          <w:szCs w:val="20"/>
          <w:color w:val="auto"/>
        </w:rPr>
      </w:pPr>
    </w:p>
    <w:p>
      <w:pPr>
        <w:ind w:right="20" w:firstLine="255"/>
        <w:spacing w:after="0" w:line="275" w:lineRule="auto"/>
        <w:rPr>
          <w:sz w:val="20"/>
          <w:szCs w:val="20"/>
          <w:color w:val="auto"/>
        </w:rPr>
      </w:pPr>
      <w:r>
        <w:rPr>
          <w:rFonts w:ascii="Arial" w:cs="Arial" w:eastAsia="Arial" w:hAnsi="Arial"/>
          <w:sz w:val="17"/>
          <w:szCs w:val="17"/>
          <w:color w:val="auto"/>
        </w:rPr>
        <w:t>In November 2019, we issued $300.0 million aggregate principal amount of unsecured notes that mature on November 1, 2024 (the “2024 Notes”). The principal amount of the 2024 Notes is payable at maturity. The 2024 Notes bear interest at a rate of 3.875% per year, payable semi-annually commencing on May 1, 2020, and may be redeemed in whole or in part at our option at any time at par plus a “make whole” premium. Total proceeds from the issuance of the 2024 Notes, net of underwriting discounts, offering costs and original issue discount were $292.9 million. We used the net proceeds of the 2024 Notes to repay outstanding indebtedness under the Revolving Credit Facility.</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64" w:name="page65"/>
    <w:bookmarkEnd w:id="64"/>
    <w:p>
      <w:pPr>
        <w:ind w:right="40" w:firstLine="255"/>
        <w:spacing w:after="0" w:line="257" w:lineRule="auto"/>
        <w:rPr>
          <w:sz w:val="20"/>
          <w:szCs w:val="20"/>
          <w:color w:val="auto"/>
        </w:rPr>
      </w:pPr>
      <w:r>
        <w:rPr>
          <w:rFonts w:ascii="Arial" w:cs="Arial" w:eastAsia="Arial" w:hAnsi="Arial"/>
          <w:sz w:val="18"/>
          <w:szCs w:val="18"/>
          <w:color w:val="auto"/>
        </w:rPr>
        <w:t>On February 5, 2020, we issued an additional $50.0 million aggregate principal amount of unsecured notes that mature on November 1, 2024. The additional 2024 Notes are a further issuance of, fungible with, rank equally in right of payment with and have the same terms (other than the issue date and the public offering price) as the initial issuance of 2024 Notes. Total proceeds from the issuance of the additional 2024 Notes, net of underwriting discounts, offering costs and original issue premium were $50.1 million. We used the net proceeds of the 2024 Notes to repay outstanding indebtedness under the Revolving Credit Facility.</w:t>
      </w:r>
    </w:p>
    <w:p>
      <w:pPr>
        <w:spacing w:after="0" w:line="188" w:lineRule="exact"/>
        <w:rPr>
          <w:sz w:val="20"/>
          <w:szCs w:val="20"/>
          <w:color w:val="auto"/>
        </w:rPr>
      </w:pPr>
    </w:p>
    <w:p>
      <w:pPr>
        <w:ind w:firstLine="255"/>
        <w:spacing w:after="0" w:line="263" w:lineRule="auto"/>
        <w:rPr>
          <w:sz w:val="20"/>
          <w:szCs w:val="20"/>
          <w:color w:val="auto"/>
        </w:rPr>
      </w:pPr>
      <w:r>
        <w:rPr>
          <w:rFonts w:ascii="Arial" w:cs="Arial" w:eastAsia="Arial" w:hAnsi="Arial"/>
          <w:sz w:val="18"/>
          <w:szCs w:val="18"/>
          <w:color w:val="auto"/>
        </w:rPr>
        <w:t>In connection with the 2024 Notes offering and reopening of the 2024 Notes, we entered into interest rate swaps to continue to align the interest rates of our liabilities with our investment portfolio, which consists of predominately floating rate loans. As a result of the swaps, our effective interest rate on the 2024 Notes is three-month LIBOR plus 2.28% (on a weighted average basis).</w:t>
      </w:r>
    </w:p>
    <w:p>
      <w:pPr>
        <w:spacing w:after="0" w:line="184" w:lineRule="exact"/>
        <w:rPr>
          <w:sz w:val="20"/>
          <w:szCs w:val="20"/>
          <w:color w:val="auto"/>
        </w:rPr>
      </w:pPr>
    </w:p>
    <w:p>
      <w:pPr>
        <w:ind w:right="40" w:firstLine="255"/>
        <w:spacing w:after="0" w:line="254" w:lineRule="auto"/>
        <w:rPr>
          <w:sz w:val="20"/>
          <w:szCs w:val="20"/>
          <w:color w:val="auto"/>
        </w:rPr>
      </w:pPr>
      <w:r>
        <w:rPr>
          <w:rFonts w:ascii="Arial" w:cs="Arial" w:eastAsia="Arial" w:hAnsi="Arial"/>
          <w:sz w:val="18"/>
          <w:szCs w:val="18"/>
          <w:color w:val="auto"/>
        </w:rPr>
        <w:t>During the nine months ended September 30, 2020, we repurchased on the open market and extinguished $2.5 million in aggregate principal amount of the 2024 Notes for $2.4 million. These repurchases resulted in a gain on extinguishment of debt of less than $0.1 million. This gain is included in the extinguishment of debt in the accompanying consolidated statements of operations. In connection with the repurchase of the 2024 Notes, we entered into a floating-to-fixed interest rate swap with a notional amount equal to the amount of 2024 Notes repurchased, which has the effect of reducing the notional exposure of the fixed-to-floating interest rate swaps, which were entered into in connection with the issuance of the 2024 Notes, to match the current principal amount of the 2024 Notes outstanding. As a result of the swap, our effective interest rate on the outstanding 2024 Notes is three-month LIBOR plus 2.28% (on a weighted average basis).</w:t>
      </w: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Company Commitments</w:t>
      </w:r>
    </w:p>
    <w:p>
      <w:pPr>
        <w:spacing w:after="0" w:line="117" w:lineRule="exact"/>
        <w:rPr>
          <w:sz w:val="20"/>
          <w:szCs w:val="20"/>
          <w:color w:val="auto"/>
        </w:rPr>
      </w:pPr>
    </w:p>
    <w:p>
      <w:pPr>
        <w:ind w:firstLine="255"/>
        <w:spacing w:after="0" w:line="255" w:lineRule="auto"/>
        <w:rPr>
          <w:sz w:val="20"/>
          <w:szCs w:val="20"/>
          <w:color w:val="auto"/>
        </w:rPr>
      </w:pPr>
      <w:r>
        <w:rPr>
          <w:rFonts w:ascii="Arial" w:cs="Arial" w:eastAsia="Arial" w:hAnsi="Arial"/>
          <w:sz w:val="18"/>
          <w:szCs w:val="18"/>
          <w:color w:val="auto"/>
        </w:rPr>
        <w:t>From time to time, we may enter into commitments to fund investments. We incorporate these commitments into our assessment of our liquidity position. Our senior secured revolving loan commitments are generally available on a borrower’s demand and may remain outstanding until the maturity date of the applicable loan. Our senior secured term loan commitments are generally available on a borrower’s demand and, once drawn, generally have the same remaining term as the associated loan agreement. Undrawn senior secured term loan commitments generally have a shorter availability period than the term of the associated loan agreement. As of September 30, 2020 and December 31, 2019, we had the following commitments to fund investments in current portfolio companies:</w:t>
      </w:r>
    </w:p>
    <w:p>
      <w:pPr>
        <w:spacing w:after="0" w:line="198"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44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 in millions)</w:t>
            </w:r>
          </w:p>
        </w:tc>
        <w:tc>
          <w:tcPr>
            <w:tcW w:w="34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w w:val="90"/>
              </w:rPr>
              <w:t>September 30, 2020</w:t>
            </w: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w w:val="90"/>
              </w:rPr>
              <w:t>December 31, 2019</w:t>
            </w:r>
          </w:p>
        </w:tc>
        <w:tc>
          <w:tcPr>
            <w:tcW w:w="80" w:type="dxa"/>
            <w:vAlign w:val="bottom"/>
            <w:tcBorders>
              <w:bottom w:val="single" w:sz="8" w:color="CFF0FC"/>
            </w:tcBorders>
          </w:tcPr>
          <w:p>
            <w:pPr>
              <w:spacing w:after="0"/>
              <w:rPr>
                <w:sz w:val="14"/>
                <w:szCs w:val="14"/>
                <w:color w:val="auto"/>
              </w:rPr>
            </w:pPr>
          </w:p>
        </w:tc>
      </w:tr>
      <w:tr>
        <w:trPr>
          <w:trHeight w:val="209"/>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Alpha Midco, Inc. - Delayed Draw</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0.4</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19.6</w:t>
            </w:r>
          </w:p>
        </w:tc>
        <w:tc>
          <w:tcPr>
            <w:tcW w:w="80" w:type="dxa"/>
            <w:vAlign w:val="bottom"/>
            <w:shd w:val="clear" w:color="auto" w:fill="CFF0FC"/>
          </w:tcPr>
          <w:p>
            <w:pPr>
              <w:spacing w:after="0"/>
              <w:rPr>
                <w:sz w:val="18"/>
                <w:szCs w:val="18"/>
                <w:color w:val="auto"/>
              </w:rPr>
            </w:pPr>
          </w:p>
        </w:tc>
      </w:tr>
      <w:tr>
        <w:trPr>
          <w:trHeight w:val="213"/>
        </w:trPr>
        <w:tc>
          <w:tcPr>
            <w:tcW w:w="4440" w:type="dxa"/>
            <w:vAlign w:val="bottom"/>
          </w:tcPr>
          <w:p>
            <w:pPr>
              <w:spacing w:after="0"/>
              <w:rPr>
                <w:sz w:val="20"/>
                <w:szCs w:val="20"/>
                <w:color w:val="auto"/>
              </w:rPr>
            </w:pPr>
            <w:r>
              <w:rPr>
                <w:rFonts w:ascii="Arial" w:cs="Arial" w:eastAsia="Arial" w:hAnsi="Arial"/>
                <w:sz w:val="16"/>
                <w:szCs w:val="16"/>
                <w:color w:val="auto"/>
              </w:rPr>
              <w:t>AppStar Financial, LLC - Revolver</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w:t>
            </w:r>
          </w:p>
        </w:tc>
        <w:tc>
          <w:tcPr>
            <w:tcW w:w="80" w:type="dxa"/>
            <w:vAlign w:val="bottom"/>
          </w:tcPr>
          <w:p>
            <w:pPr>
              <w:spacing w:after="0"/>
              <w:rPr>
                <w:sz w:val="18"/>
                <w:szCs w:val="18"/>
                <w:color w:val="auto"/>
              </w:rPr>
            </w:pPr>
          </w:p>
        </w:tc>
      </w:tr>
      <w:tr>
        <w:trPr>
          <w:trHeight w:val="219"/>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AvidXchange, Inc. - Delayed Draw</w:t>
            </w: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w:t>
            </w:r>
          </w:p>
        </w:tc>
        <w:tc>
          <w:tcPr>
            <w:tcW w:w="80" w:type="dxa"/>
            <w:vAlign w:val="bottom"/>
            <w:shd w:val="clear" w:color="auto" w:fill="CFF0FC"/>
          </w:tcPr>
          <w:p>
            <w:pPr>
              <w:spacing w:after="0"/>
              <w:rPr>
                <w:sz w:val="19"/>
                <w:szCs w:val="19"/>
                <w:color w:val="auto"/>
              </w:rPr>
            </w:pPr>
          </w:p>
        </w:tc>
      </w:tr>
      <w:tr>
        <w:trPr>
          <w:trHeight w:val="213"/>
        </w:trPr>
        <w:tc>
          <w:tcPr>
            <w:tcW w:w="4440" w:type="dxa"/>
            <w:vAlign w:val="bottom"/>
          </w:tcPr>
          <w:p>
            <w:pPr>
              <w:spacing w:after="0"/>
              <w:rPr>
                <w:sz w:val="20"/>
                <w:szCs w:val="20"/>
                <w:color w:val="auto"/>
              </w:rPr>
            </w:pPr>
            <w:r>
              <w:rPr>
                <w:rFonts w:ascii="Arial" w:cs="Arial" w:eastAsia="Arial" w:hAnsi="Arial"/>
                <w:sz w:val="16"/>
                <w:szCs w:val="16"/>
                <w:color w:val="auto"/>
              </w:rPr>
              <w:t>Biohaven Pharmaceuticals, Inc. - Delayed Draw</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22.5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19"/>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BlueSnap, Inc. - Revolver</w:t>
            </w: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80" w:type="dxa"/>
            <w:vAlign w:val="bottom"/>
            <w:shd w:val="clear" w:color="auto" w:fill="CFF0FC"/>
          </w:tcPr>
          <w:p>
            <w:pPr>
              <w:spacing w:after="0"/>
              <w:rPr>
                <w:sz w:val="19"/>
                <w:szCs w:val="19"/>
                <w:color w:val="auto"/>
              </w:rPr>
            </w:pPr>
          </w:p>
        </w:tc>
      </w:tr>
      <w:tr>
        <w:trPr>
          <w:trHeight w:val="213"/>
        </w:trPr>
        <w:tc>
          <w:tcPr>
            <w:tcW w:w="4440" w:type="dxa"/>
            <w:vAlign w:val="bottom"/>
          </w:tcPr>
          <w:p>
            <w:pPr>
              <w:spacing w:after="0"/>
              <w:rPr>
                <w:sz w:val="20"/>
                <w:szCs w:val="20"/>
                <w:color w:val="auto"/>
              </w:rPr>
            </w:pPr>
            <w:r>
              <w:rPr>
                <w:rFonts w:ascii="Arial" w:cs="Arial" w:eastAsia="Arial" w:hAnsi="Arial"/>
                <w:sz w:val="16"/>
                <w:szCs w:val="16"/>
                <w:color w:val="auto"/>
              </w:rPr>
              <w:t>Centric Brands, Inc. - Revolver</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45.6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19"/>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ClearCompany, LLC - Delayed Draw</w:t>
            </w: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80" w:type="dxa"/>
            <w:vAlign w:val="bottom"/>
            <w:shd w:val="clear" w:color="auto" w:fill="CFF0FC"/>
          </w:tcPr>
          <w:p>
            <w:pPr>
              <w:spacing w:after="0"/>
              <w:rPr>
                <w:sz w:val="19"/>
                <w:szCs w:val="19"/>
                <w:color w:val="auto"/>
              </w:rPr>
            </w:pPr>
          </w:p>
        </w:tc>
      </w:tr>
      <w:tr>
        <w:trPr>
          <w:trHeight w:val="213"/>
        </w:trPr>
        <w:tc>
          <w:tcPr>
            <w:tcW w:w="4440" w:type="dxa"/>
            <w:vAlign w:val="bottom"/>
          </w:tcPr>
          <w:p>
            <w:pPr>
              <w:spacing w:after="0"/>
              <w:rPr>
                <w:sz w:val="20"/>
                <w:szCs w:val="20"/>
                <w:color w:val="auto"/>
              </w:rPr>
            </w:pPr>
            <w:r>
              <w:rPr>
                <w:rFonts w:ascii="Arial" w:cs="Arial" w:eastAsia="Arial" w:hAnsi="Arial"/>
                <w:sz w:val="16"/>
                <w:szCs w:val="16"/>
                <w:color w:val="auto"/>
              </w:rPr>
              <w:t>Clinicient, Inc. - Revolver</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4.0</w:t>
            </w:r>
          </w:p>
        </w:tc>
        <w:tc>
          <w:tcPr>
            <w:tcW w:w="80" w:type="dxa"/>
            <w:vAlign w:val="bottom"/>
          </w:tcPr>
          <w:p>
            <w:pPr>
              <w:spacing w:after="0"/>
              <w:rPr>
                <w:sz w:val="18"/>
                <w:szCs w:val="18"/>
                <w:color w:val="auto"/>
              </w:rPr>
            </w:pPr>
          </w:p>
        </w:tc>
      </w:tr>
      <w:tr>
        <w:trPr>
          <w:trHeight w:val="219"/>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DaySmart Holdings, LLC - Delayed Draw</w:t>
            </w: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17.5</w:t>
            </w:r>
          </w:p>
        </w:tc>
        <w:tc>
          <w:tcPr>
            <w:tcW w:w="80" w:type="dxa"/>
            <w:vAlign w:val="bottom"/>
            <w:shd w:val="clear" w:color="auto" w:fill="CFF0FC"/>
          </w:tcPr>
          <w:p>
            <w:pPr>
              <w:spacing w:after="0"/>
              <w:rPr>
                <w:sz w:val="19"/>
                <w:szCs w:val="19"/>
                <w:color w:val="auto"/>
              </w:rPr>
            </w:pPr>
          </w:p>
        </w:tc>
      </w:tr>
      <w:tr>
        <w:trPr>
          <w:trHeight w:val="213"/>
        </w:trPr>
        <w:tc>
          <w:tcPr>
            <w:tcW w:w="4440" w:type="dxa"/>
            <w:vAlign w:val="bottom"/>
          </w:tcPr>
          <w:p>
            <w:pPr>
              <w:spacing w:after="0"/>
              <w:rPr>
                <w:sz w:val="20"/>
                <w:szCs w:val="20"/>
                <w:color w:val="auto"/>
              </w:rPr>
            </w:pPr>
            <w:r>
              <w:rPr>
                <w:rFonts w:ascii="Arial" w:cs="Arial" w:eastAsia="Arial" w:hAnsi="Arial"/>
                <w:sz w:val="16"/>
                <w:szCs w:val="16"/>
                <w:color w:val="auto"/>
              </w:rPr>
              <w:t>DaySmart Holdings, LLC - Revolver</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5.0</w:t>
            </w:r>
          </w:p>
        </w:tc>
        <w:tc>
          <w:tcPr>
            <w:tcW w:w="80" w:type="dxa"/>
            <w:vAlign w:val="bottom"/>
          </w:tcPr>
          <w:p>
            <w:pPr>
              <w:spacing w:after="0"/>
              <w:rPr>
                <w:sz w:val="18"/>
                <w:szCs w:val="18"/>
                <w:color w:val="auto"/>
              </w:rPr>
            </w:pPr>
          </w:p>
        </w:tc>
      </w:tr>
      <w:tr>
        <w:trPr>
          <w:trHeight w:val="219"/>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Dye &amp; Durham Corp. - Revolver</w:t>
            </w: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80" w:type="dxa"/>
            <w:vAlign w:val="bottom"/>
            <w:shd w:val="clear" w:color="auto" w:fill="CFF0FC"/>
          </w:tcPr>
          <w:p>
            <w:pPr>
              <w:spacing w:after="0"/>
              <w:rPr>
                <w:sz w:val="19"/>
                <w:szCs w:val="19"/>
                <w:color w:val="auto"/>
              </w:rPr>
            </w:pPr>
          </w:p>
        </w:tc>
      </w:tr>
      <w:tr>
        <w:trPr>
          <w:trHeight w:val="213"/>
        </w:trPr>
        <w:tc>
          <w:tcPr>
            <w:tcW w:w="4440" w:type="dxa"/>
            <w:vAlign w:val="bottom"/>
          </w:tcPr>
          <w:p>
            <w:pPr>
              <w:spacing w:after="0"/>
              <w:rPr>
                <w:sz w:val="20"/>
                <w:szCs w:val="20"/>
                <w:color w:val="auto"/>
              </w:rPr>
            </w:pPr>
            <w:r>
              <w:rPr>
                <w:rFonts w:ascii="Arial" w:cs="Arial" w:eastAsia="Arial" w:hAnsi="Arial"/>
                <w:sz w:val="16"/>
                <w:szCs w:val="16"/>
                <w:color w:val="auto"/>
              </w:rPr>
              <w:t>Energy Alloys, LLC - Delayed Draw</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15.0</w:t>
            </w:r>
          </w:p>
        </w:tc>
        <w:tc>
          <w:tcPr>
            <w:tcW w:w="80" w:type="dxa"/>
            <w:vAlign w:val="bottom"/>
          </w:tcPr>
          <w:p>
            <w:pPr>
              <w:spacing w:after="0"/>
              <w:rPr>
                <w:sz w:val="18"/>
                <w:szCs w:val="18"/>
                <w:color w:val="auto"/>
              </w:rPr>
            </w:pPr>
          </w:p>
        </w:tc>
      </w:tr>
      <w:tr>
        <w:trPr>
          <w:trHeight w:val="219"/>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Energy Alloys, LLC - Revolver</w:t>
            </w: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r>
      <w:tr>
        <w:trPr>
          <w:trHeight w:val="213"/>
        </w:trPr>
        <w:tc>
          <w:tcPr>
            <w:tcW w:w="4440" w:type="dxa"/>
            <w:vAlign w:val="bottom"/>
          </w:tcPr>
          <w:p>
            <w:pPr>
              <w:spacing w:after="0"/>
              <w:rPr>
                <w:sz w:val="20"/>
                <w:szCs w:val="20"/>
                <w:color w:val="auto"/>
              </w:rPr>
            </w:pPr>
            <w:r>
              <w:rPr>
                <w:rFonts w:ascii="Arial" w:cs="Arial" w:eastAsia="Arial" w:hAnsi="Arial"/>
                <w:sz w:val="16"/>
                <w:szCs w:val="16"/>
                <w:color w:val="auto"/>
              </w:rPr>
              <w:t>Exela Receivables 1, LLC - Revolver</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19"/>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Factor Systems, Inc. - Delayed Draw</w:t>
            </w: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r>
      <w:tr>
        <w:trPr>
          <w:trHeight w:val="213"/>
        </w:trPr>
        <w:tc>
          <w:tcPr>
            <w:tcW w:w="4440" w:type="dxa"/>
            <w:vAlign w:val="bottom"/>
          </w:tcPr>
          <w:p>
            <w:pPr>
              <w:spacing w:after="0"/>
              <w:rPr>
                <w:sz w:val="20"/>
                <w:szCs w:val="20"/>
                <w:color w:val="auto"/>
              </w:rPr>
            </w:pPr>
            <w:r>
              <w:rPr>
                <w:rFonts w:ascii="Arial" w:cs="Arial" w:eastAsia="Arial" w:hAnsi="Arial"/>
                <w:sz w:val="16"/>
                <w:szCs w:val="16"/>
                <w:color w:val="auto"/>
              </w:rPr>
              <w:t>Ferrellgas, L.P. - Revolver</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30.0</w:t>
            </w:r>
          </w:p>
        </w:tc>
        <w:tc>
          <w:tcPr>
            <w:tcW w:w="80" w:type="dxa"/>
            <w:vAlign w:val="bottom"/>
          </w:tcPr>
          <w:p>
            <w:pPr>
              <w:spacing w:after="0"/>
              <w:rPr>
                <w:sz w:val="18"/>
                <w:szCs w:val="18"/>
                <w:color w:val="auto"/>
              </w:rPr>
            </w:pPr>
          </w:p>
        </w:tc>
      </w:tr>
      <w:tr>
        <w:trPr>
          <w:trHeight w:val="219"/>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ForeScout Technologies, Inc.</w:t>
            </w: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r>
      <w:tr>
        <w:trPr>
          <w:trHeight w:val="213"/>
        </w:trPr>
        <w:tc>
          <w:tcPr>
            <w:tcW w:w="4440" w:type="dxa"/>
            <w:vAlign w:val="bottom"/>
          </w:tcPr>
          <w:p>
            <w:pPr>
              <w:spacing w:after="0"/>
              <w:rPr>
                <w:sz w:val="20"/>
                <w:szCs w:val="20"/>
                <w:color w:val="auto"/>
              </w:rPr>
            </w:pPr>
            <w:r>
              <w:rPr>
                <w:rFonts w:ascii="Arial" w:cs="Arial" w:eastAsia="Arial" w:hAnsi="Arial"/>
                <w:sz w:val="16"/>
                <w:szCs w:val="16"/>
                <w:color w:val="auto"/>
              </w:rPr>
              <w:t>G Treasury SS, LLC - Delayed Draw</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3.8</w:t>
            </w:r>
          </w:p>
        </w:tc>
        <w:tc>
          <w:tcPr>
            <w:tcW w:w="80" w:type="dxa"/>
            <w:vAlign w:val="bottom"/>
          </w:tcPr>
          <w:p>
            <w:pPr>
              <w:spacing w:after="0"/>
              <w:rPr>
                <w:sz w:val="18"/>
                <w:szCs w:val="18"/>
                <w:color w:val="auto"/>
              </w:rPr>
            </w:pPr>
          </w:p>
        </w:tc>
      </w:tr>
      <w:tr>
        <w:trPr>
          <w:trHeight w:val="219"/>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Gainsight, Inc. - Delayed Draw</w:t>
            </w: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w:t>
            </w:r>
          </w:p>
        </w:tc>
        <w:tc>
          <w:tcPr>
            <w:tcW w:w="80" w:type="dxa"/>
            <w:vAlign w:val="bottom"/>
            <w:shd w:val="clear" w:color="auto" w:fill="CFF0FC"/>
          </w:tcPr>
          <w:p>
            <w:pPr>
              <w:spacing w:after="0"/>
              <w:rPr>
                <w:sz w:val="19"/>
                <w:szCs w:val="19"/>
                <w:color w:val="auto"/>
              </w:rPr>
            </w:pPr>
          </w:p>
        </w:tc>
      </w:tr>
      <w:tr>
        <w:trPr>
          <w:trHeight w:val="213"/>
        </w:trPr>
        <w:tc>
          <w:tcPr>
            <w:tcW w:w="4440" w:type="dxa"/>
            <w:vAlign w:val="bottom"/>
          </w:tcPr>
          <w:p>
            <w:pPr>
              <w:spacing w:after="0"/>
              <w:rPr>
                <w:sz w:val="20"/>
                <w:szCs w:val="20"/>
                <w:color w:val="auto"/>
              </w:rPr>
            </w:pPr>
            <w:r>
              <w:rPr>
                <w:rFonts w:ascii="Arial" w:cs="Arial" w:eastAsia="Arial" w:hAnsi="Arial"/>
                <w:sz w:val="16"/>
                <w:szCs w:val="16"/>
                <w:color w:val="auto"/>
              </w:rPr>
              <w:t>Integration Appliance, Inc. - Revolver</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2.6</w:t>
            </w:r>
          </w:p>
        </w:tc>
        <w:tc>
          <w:tcPr>
            <w:tcW w:w="80" w:type="dxa"/>
            <w:vAlign w:val="bottom"/>
          </w:tcPr>
          <w:p>
            <w:pPr>
              <w:spacing w:after="0"/>
              <w:rPr>
                <w:sz w:val="18"/>
                <w:szCs w:val="18"/>
                <w:color w:val="auto"/>
              </w:rPr>
            </w:pPr>
          </w:p>
        </w:tc>
      </w:tr>
      <w:tr>
        <w:trPr>
          <w:trHeight w:val="219"/>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IntelePeer Holdings, Inc. - Convertible Note</w:t>
            </w: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r>
      <w:tr>
        <w:trPr>
          <w:trHeight w:val="213"/>
        </w:trPr>
        <w:tc>
          <w:tcPr>
            <w:tcW w:w="4440" w:type="dxa"/>
            <w:vAlign w:val="bottom"/>
          </w:tcPr>
          <w:p>
            <w:pPr>
              <w:spacing w:after="0"/>
              <w:rPr>
                <w:sz w:val="20"/>
                <w:szCs w:val="20"/>
                <w:color w:val="auto"/>
              </w:rPr>
            </w:pPr>
            <w:r>
              <w:rPr>
                <w:rFonts w:ascii="Arial" w:cs="Arial" w:eastAsia="Arial" w:hAnsi="Arial"/>
                <w:sz w:val="16"/>
                <w:szCs w:val="16"/>
                <w:color w:val="auto"/>
              </w:rPr>
              <w:t>IntelePeer Holdings, Inc. - Delayed Draw</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3.5</w:t>
            </w:r>
          </w:p>
        </w:tc>
        <w:tc>
          <w:tcPr>
            <w:tcW w:w="80" w:type="dxa"/>
            <w:vAlign w:val="bottom"/>
          </w:tcPr>
          <w:p>
            <w:pPr>
              <w:spacing w:after="0"/>
              <w:rPr>
                <w:sz w:val="18"/>
                <w:szCs w:val="18"/>
                <w:color w:val="auto"/>
              </w:rPr>
            </w:pPr>
          </w:p>
        </w:tc>
      </w:tr>
      <w:tr>
        <w:trPr>
          <w:trHeight w:val="219"/>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IRGSE Holding Corp. - Revolver</w:t>
            </w: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80" w:type="dxa"/>
            <w:vAlign w:val="bottom"/>
            <w:shd w:val="clear" w:color="auto" w:fill="CFF0FC"/>
          </w:tcPr>
          <w:p>
            <w:pPr>
              <w:spacing w:after="0"/>
              <w:rPr>
                <w:sz w:val="19"/>
                <w:szCs w:val="19"/>
                <w:color w:val="auto"/>
              </w:rPr>
            </w:pPr>
          </w:p>
        </w:tc>
      </w:tr>
      <w:tr>
        <w:trPr>
          <w:trHeight w:val="213"/>
        </w:trPr>
        <w:tc>
          <w:tcPr>
            <w:tcW w:w="4440" w:type="dxa"/>
            <w:vAlign w:val="bottom"/>
          </w:tcPr>
          <w:p>
            <w:pPr>
              <w:spacing w:after="0"/>
              <w:rPr>
                <w:sz w:val="20"/>
                <w:szCs w:val="20"/>
                <w:color w:val="auto"/>
              </w:rPr>
            </w:pPr>
            <w:r>
              <w:rPr>
                <w:rFonts w:ascii="Arial" w:cs="Arial" w:eastAsia="Arial" w:hAnsi="Arial"/>
                <w:sz w:val="16"/>
                <w:szCs w:val="16"/>
                <w:color w:val="auto"/>
              </w:rPr>
              <w:t>Kyriba Corp. - Delayed Draw</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8.3</w:t>
            </w:r>
          </w:p>
        </w:tc>
        <w:tc>
          <w:tcPr>
            <w:tcW w:w="80" w:type="dxa"/>
            <w:vAlign w:val="bottom"/>
          </w:tcPr>
          <w:p>
            <w:pPr>
              <w:spacing w:after="0"/>
              <w:rPr>
                <w:sz w:val="18"/>
                <w:szCs w:val="18"/>
                <w:color w:val="auto"/>
              </w:rPr>
            </w:pPr>
          </w:p>
        </w:tc>
      </w:tr>
      <w:tr>
        <w:trPr>
          <w:trHeight w:val="219"/>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Kyriba Corp. - Revolver</w:t>
            </w: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80" w:type="dxa"/>
            <w:vAlign w:val="bottom"/>
            <w:shd w:val="clear" w:color="auto" w:fill="CFF0FC"/>
          </w:tcPr>
          <w:p>
            <w:pPr>
              <w:spacing w:after="0"/>
              <w:rPr>
                <w:sz w:val="19"/>
                <w:szCs w:val="19"/>
                <w:color w:val="auto"/>
              </w:rPr>
            </w:pPr>
          </w:p>
        </w:tc>
      </w:tr>
      <w:tr>
        <w:trPr>
          <w:trHeight w:val="213"/>
        </w:trPr>
        <w:tc>
          <w:tcPr>
            <w:tcW w:w="4440" w:type="dxa"/>
            <w:vAlign w:val="bottom"/>
          </w:tcPr>
          <w:p>
            <w:pPr>
              <w:spacing w:after="0"/>
              <w:rPr>
                <w:sz w:val="20"/>
                <w:szCs w:val="20"/>
                <w:color w:val="auto"/>
              </w:rPr>
            </w:pPr>
            <w:r>
              <w:rPr>
                <w:rFonts w:ascii="Arial" w:cs="Arial" w:eastAsia="Arial" w:hAnsi="Arial"/>
                <w:sz w:val="16"/>
                <w:szCs w:val="16"/>
                <w:color w:val="auto"/>
              </w:rPr>
              <w:t>Lithium Technologies, LLC - Revolver</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4.0</w:t>
            </w:r>
          </w:p>
        </w:tc>
        <w:tc>
          <w:tcPr>
            <w:tcW w:w="80" w:type="dxa"/>
            <w:vAlign w:val="bottom"/>
          </w:tcPr>
          <w:p>
            <w:pPr>
              <w:spacing w:after="0"/>
              <w:rPr>
                <w:sz w:val="18"/>
                <w:szCs w:val="18"/>
                <w:color w:val="auto"/>
              </w:rPr>
            </w:pPr>
          </w:p>
        </w:tc>
      </w:tr>
      <w:tr>
        <w:trPr>
          <w:trHeight w:val="219"/>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Lucidworks, Inc. - Revolver</w:t>
            </w: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w:t>
            </w:r>
          </w:p>
        </w:tc>
        <w:tc>
          <w:tcPr>
            <w:tcW w:w="80" w:type="dxa"/>
            <w:vAlign w:val="bottom"/>
            <w:shd w:val="clear" w:color="auto" w:fill="CFF0FC"/>
          </w:tcPr>
          <w:p>
            <w:pPr>
              <w:spacing w:after="0"/>
              <w:rPr>
                <w:sz w:val="19"/>
                <w:szCs w:val="19"/>
                <w:color w:val="auto"/>
              </w:rPr>
            </w:pPr>
          </w:p>
        </w:tc>
      </w:tr>
      <w:tr>
        <w:trPr>
          <w:trHeight w:val="213"/>
        </w:trPr>
        <w:tc>
          <w:tcPr>
            <w:tcW w:w="4440" w:type="dxa"/>
            <w:vAlign w:val="bottom"/>
          </w:tcPr>
          <w:p>
            <w:pPr>
              <w:spacing w:after="0"/>
              <w:rPr>
                <w:sz w:val="20"/>
                <w:szCs w:val="20"/>
                <w:color w:val="auto"/>
              </w:rPr>
            </w:pPr>
            <w:r>
              <w:rPr>
                <w:rFonts w:ascii="Arial" w:cs="Arial" w:eastAsia="Arial" w:hAnsi="Arial"/>
                <w:sz w:val="16"/>
                <w:szCs w:val="16"/>
                <w:color w:val="auto"/>
              </w:rPr>
              <w:t>Netwrix Corp. - Delayed Draw</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24.7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19"/>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Netwrix Corp. - Revolver</w:t>
            </w: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r>
      <w:tr>
        <w:trPr>
          <w:trHeight w:val="213"/>
        </w:trPr>
        <w:tc>
          <w:tcPr>
            <w:tcW w:w="4440" w:type="dxa"/>
            <w:vAlign w:val="bottom"/>
          </w:tcPr>
          <w:p>
            <w:pPr>
              <w:spacing w:after="0"/>
              <w:rPr>
                <w:sz w:val="20"/>
                <w:szCs w:val="20"/>
                <w:color w:val="auto"/>
              </w:rPr>
            </w:pPr>
            <w:r>
              <w:rPr>
                <w:rFonts w:ascii="Arial" w:cs="Arial" w:eastAsia="Arial" w:hAnsi="Arial"/>
                <w:sz w:val="16"/>
                <w:szCs w:val="16"/>
                <w:color w:val="auto"/>
              </w:rPr>
              <w:t>PageUp People, Ltd. - Revolver</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2.8</w:t>
            </w:r>
          </w:p>
        </w:tc>
        <w:tc>
          <w:tcPr>
            <w:tcW w:w="80" w:type="dxa"/>
            <w:vAlign w:val="bottom"/>
          </w:tcPr>
          <w:p>
            <w:pPr>
              <w:spacing w:after="0"/>
              <w:rPr>
                <w:sz w:val="18"/>
                <w:szCs w:val="18"/>
                <w:color w:val="auto"/>
              </w:rPr>
            </w:pPr>
          </w:p>
        </w:tc>
      </w:tr>
      <w:tr>
        <w:trPr>
          <w:trHeight w:val="219"/>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PayLease, LLC - Revolver</w:t>
            </w: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w:t>
            </w:r>
          </w:p>
        </w:tc>
        <w:tc>
          <w:tcPr>
            <w:tcW w:w="80" w:type="dxa"/>
            <w:vAlign w:val="bottom"/>
            <w:shd w:val="clear" w:color="auto" w:fill="CFF0FC"/>
          </w:tcPr>
          <w:p>
            <w:pPr>
              <w:spacing w:after="0"/>
              <w:rPr>
                <w:sz w:val="19"/>
                <w:szCs w:val="19"/>
                <w:color w:val="auto"/>
              </w:rPr>
            </w:pPr>
          </w:p>
        </w:tc>
      </w:tr>
      <w:tr>
        <w:trPr>
          <w:trHeight w:val="213"/>
        </w:trPr>
        <w:tc>
          <w:tcPr>
            <w:tcW w:w="4440" w:type="dxa"/>
            <w:vAlign w:val="bottom"/>
          </w:tcPr>
          <w:p>
            <w:pPr>
              <w:spacing w:after="0"/>
              <w:rPr>
                <w:sz w:val="20"/>
                <w:szCs w:val="20"/>
                <w:color w:val="auto"/>
              </w:rPr>
            </w:pPr>
            <w:r>
              <w:rPr>
                <w:rFonts w:ascii="Arial" w:cs="Arial" w:eastAsia="Arial" w:hAnsi="Arial"/>
                <w:sz w:val="16"/>
                <w:szCs w:val="16"/>
                <w:color w:val="auto"/>
              </w:rPr>
              <w:t>PayScale Holdings, Inc. - Delayed Draw</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7.7</w:t>
            </w:r>
          </w:p>
        </w:tc>
        <w:tc>
          <w:tcPr>
            <w:tcW w:w="80" w:type="dxa"/>
            <w:vAlign w:val="bottom"/>
          </w:tcPr>
          <w:p>
            <w:pPr>
              <w:spacing w:after="0"/>
              <w:rPr>
                <w:sz w:val="18"/>
                <w:szCs w:val="18"/>
                <w:color w:val="auto"/>
              </w:rPr>
            </w:pPr>
          </w:p>
        </w:tc>
      </w:tr>
      <w:tr>
        <w:trPr>
          <w:trHeight w:val="219"/>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PrimeRevenue, Inc. - Delayed Draw</w:t>
            </w: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r>
      <w:tr>
        <w:trPr>
          <w:trHeight w:val="213"/>
        </w:trPr>
        <w:tc>
          <w:tcPr>
            <w:tcW w:w="4440" w:type="dxa"/>
            <w:vAlign w:val="bottom"/>
          </w:tcPr>
          <w:p>
            <w:pPr>
              <w:spacing w:after="0"/>
              <w:rPr>
                <w:sz w:val="20"/>
                <w:szCs w:val="20"/>
                <w:color w:val="auto"/>
              </w:rPr>
            </w:pPr>
            <w:r>
              <w:rPr>
                <w:rFonts w:ascii="Arial" w:cs="Arial" w:eastAsia="Arial" w:hAnsi="Arial"/>
                <w:sz w:val="16"/>
                <w:szCs w:val="16"/>
                <w:color w:val="auto"/>
              </w:rPr>
              <w:t>PrimeRevenue, Inc. - Revolver</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6.3</w:t>
            </w:r>
          </w:p>
        </w:tc>
        <w:tc>
          <w:tcPr>
            <w:tcW w:w="80" w:type="dxa"/>
            <w:vAlign w:val="bottom"/>
          </w:tcPr>
          <w:p>
            <w:pPr>
              <w:spacing w:after="0"/>
              <w:rPr>
                <w:sz w:val="18"/>
                <w:szCs w:val="18"/>
                <w:color w:val="auto"/>
              </w:rPr>
            </w:pPr>
          </w:p>
        </w:tc>
      </w:tr>
      <w:tr>
        <w:trPr>
          <w:trHeight w:val="219"/>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ResMan, LLC - Delayed Draw</w:t>
            </w: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w:t>
            </w:r>
          </w:p>
        </w:tc>
        <w:tc>
          <w:tcPr>
            <w:tcW w:w="80" w:type="dxa"/>
            <w:vAlign w:val="bottom"/>
            <w:shd w:val="clear" w:color="auto" w:fill="CFF0FC"/>
          </w:tcPr>
          <w:p>
            <w:pPr>
              <w:spacing w:after="0"/>
              <w:rPr>
                <w:sz w:val="19"/>
                <w:szCs w:val="19"/>
                <w:color w:val="auto"/>
              </w:rPr>
            </w:pPr>
          </w:p>
        </w:tc>
      </w:tr>
      <w:tr>
        <w:trPr>
          <w:trHeight w:val="213"/>
        </w:trPr>
        <w:tc>
          <w:tcPr>
            <w:tcW w:w="4440" w:type="dxa"/>
            <w:vAlign w:val="bottom"/>
          </w:tcPr>
          <w:p>
            <w:pPr>
              <w:spacing w:after="0"/>
              <w:rPr>
                <w:sz w:val="20"/>
                <w:szCs w:val="20"/>
                <w:color w:val="auto"/>
              </w:rPr>
            </w:pPr>
            <w:r>
              <w:rPr>
                <w:rFonts w:ascii="Arial" w:cs="Arial" w:eastAsia="Arial" w:hAnsi="Arial"/>
                <w:sz w:val="16"/>
                <w:szCs w:val="16"/>
                <w:color w:val="auto"/>
              </w:rPr>
              <w:t>ResMan, LLC - Revolver</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w:t>
            </w:r>
          </w:p>
        </w:tc>
        <w:tc>
          <w:tcPr>
            <w:tcW w:w="80" w:type="dxa"/>
            <w:vAlign w:val="bottom"/>
          </w:tcPr>
          <w:p>
            <w:pPr>
              <w:spacing w:after="0"/>
              <w:rPr>
                <w:sz w:val="18"/>
                <w:szCs w:val="18"/>
                <w:color w:val="auto"/>
              </w:rPr>
            </w:pPr>
          </w:p>
        </w:tc>
      </w:tr>
      <w:tr>
        <w:trPr>
          <w:trHeight w:val="219"/>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Sprinklr - Delayed Draw Convertible Note</w:t>
            </w: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r>
      <w:tr>
        <w:trPr>
          <w:trHeight w:val="213"/>
        </w:trPr>
        <w:tc>
          <w:tcPr>
            <w:tcW w:w="4440" w:type="dxa"/>
            <w:vAlign w:val="bottom"/>
          </w:tcPr>
          <w:p>
            <w:pPr>
              <w:spacing w:after="0"/>
              <w:rPr>
                <w:sz w:val="20"/>
                <w:szCs w:val="20"/>
                <w:color w:val="auto"/>
              </w:rPr>
            </w:pPr>
            <w:r>
              <w:rPr>
                <w:rFonts w:ascii="Arial" w:cs="Arial" w:eastAsia="Arial" w:hAnsi="Arial"/>
                <w:sz w:val="16"/>
                <w:szCs w:val="16"/>
                <w:color w:val="auto"/>
              </w:rPr>
              <w:t>TherapeuticsMD, Inc. - Delayed Draw A1</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7.5</w:t>
            </w:r>
          </w:p>
        </w:tc>
        <w:tc>
          <w:tcPr>
            <w:tcW w:w="80" w:type="dxa"/>
            <w:vAlign w:val="bottom"/>
          </w:tcPr>
          <w:p>
            <w:pPr>
              <w:spacing w:after="0"/>
              <w:rPr>
                <w:sz w:val="18"/>
                <w:szCs w:val="18"/>
                <w:color w:val="auto"/>
              </w:rPr>
            </w:pPr>
          </w:p>
        </w:tc>
      </w:tr>
      <w:tr>
        <w:trPr>
          <w:trHeight w:val="219"/>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TherapeuticsMD, Inc. - Delayed Draw A2</w:t>
            </w: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w:t>
            </w:r>
          </w:p>
        </w:tc>
        <w:tc>
          <w:tcPr>
            <w:tcW w:w="80" w:type="dxa"/>
            <w:vAlign w:val="bottom"/>
            <w:shd w:val="clear" w:color="auto" w:fill="CFF0FC"/>
          </w:tcPr>
          <w:p>
            <w:pPr>
              <w:spacing w:after="0"/>
              <w:rPr>
                <w:sz w:val="19"/>
                <w:szCs w:val="19"/>
                <w:color w:val="auto"/>
              </w:rPr>
            </w:pPr>
          </w:p>
        </w:tc>
      </w:tr>
      <w:tr>
        <w:trPr>
          <w:trHeight w:val="213"/>
        </w:trPr>
        <w:tc>
          <w:tcPr>
            <w:tcW w:w="4440" w:type="dxa"/>
            <w:vAlign w:val="bottom"/>
          </w:tcPr>
          <w:p>
            <w:pPr>
              <w:spacing w:after="0"/>
              <w:rPr>
                <w:sz w:val="20"/>
                <w:szCs w:val="20"/>
                <w:color w:val="auto"/>
              </w:rPr>
            </w:pPr>
            <w:r>
              <w:rPr>
                <w:rFonts w:ascii="Arial" w:cs="Arial" w:eastAsia="Arial" w:hAnsi="Arial"/>
                <w:sz w:val="16"/>
                <w:szCs w:val="16"/>
                <w:color w:val="auto"/>
              </w:rPr>
              <w:t>Valant Medical Solutions, Inc. - Delayed Draw</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2.6</w:t>
            </w:r>
          </w:p>
        </w:tc>
        <w:tc>
          <w:tcPr>
            <w:tcW w:w="80" w:type="dxa"/>
            <w:vAlign w:val="bottom"/>
          </w:tcPr>
          <w:p>
            <w:pPr>
              <w:spacing w:after="0"/>
              <w:rPr>
                <w:sz w:val="18"/>
                <w:szCs w:val="18"/>
                <w:color w:val="auto"/>
              </w:rPr>
            </w:pPr>
          </w:p>
        </w:tc>
      </w:tr>
      <w:tr>
        <w:trPr>
          <w:trHeight w:val="219"/>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Valant Medical Solutions, Inc. - Revolver</w:t>
            </w: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80" w:type="dxa"/>
            <w:vAlign w:val="bottom"/>
            <w:shd w:val="clear" w:color="auto" w:fill="CFF0FC"/>
          </w:tcPr>
          <w:p>
            <w:pPr>
              <w:spacing w:after="0"/>
              <w:rPr>
                <w:sz w:val="19"/>
                <w:szCs w:val="19"/>
                <w:color w:val="auto"/>
              </w:rPr>
            </w:pPr>
          </w:p>
        </w:tc>
      </w:tr>
      <w:tr>
        <w:trPr>
          <w:trHeight w:val="213"/>
        </w:trPr>
        <w:tc>
          <w:tcPr>
            <w:tcW w:w="4440" w:type="dxa"/>
            <w:vAlign w:val="bottom"/>
          </w:tcPr>
          <w:p>
            <w:pPr>
              <w:spacing w:after="0"/>
              <w:rPr>
                <w:sz w:val="20"/>
                <w:szCs w:val="20"/>
                <w:color w:val="auto"/>
              </w:rPr>
            </w:pPr>
            <w:r>
              <w:rPr>
                <w:rFonts w:ascii="Arial" w:cs="Arial" w:eastAsia="Arial" w:hAnsi="Arial"/>
                <w:sz w:val="16"/>
                <w:szCs w:val="16"/>
                <w:color w:val="auto"/>
                <w:w w:val="99"/>
              </w:rPr>
              <w:t>Verdad Resources Intermediate Holdings, LLC - Delayed Draw</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7.8</w:t>
            </w:r>
          </w:p>
        </w:tc>
        <w:tc>
          <w:tcPr>
            <w:tcW w:w="80" w:type="dxa"/>
            <w:vAlign w:val="bottom"/>
          </w:tcPr>
          <w:p>
            <w:pPr>
              <w:spacing w:after="0"/>
              <w:rPr>
                <w:sz w:val="18"/>
                <w:szCs w:val="18"/>
                <w:color w:val="auto"/>
              </w:rPr>
            </w:pPr>
          </w:p>
        </w:tc>
      </w:tr>
      <w:tr>
        <w:trPr>
          <w:trHeight w:val="219"/>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WideOrbit, Inc. - Revolver</w:t>
            </w:r>
          </w:p>
        </w:tc>
        <w:tc>
          <w:tcPr>
            <w:tcW w:w="3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4.8</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r>
      <w:tr>
        <w:trPr>
          <w:trHeight w:val="210"/>
        </w:trPr>
        <w:tc>
          <w:tcPr>
            <w:tcW w:w="4440" w:type="dxa"/>
            <w:vAlign w:val="bottom"/>
          </w:tcPr>
          <w:p>
            <w:pPr>
              <w:ind w:left="240"/>
              <w:spacing w:after="0" w:line="210" w:lineRule="exact"/>
              <w:rPr>
                <w:sz w:val="20"/>
                <w:szCs w:val="20"/>
                <w:color w:val="auto"/>
              </w:rPr>
            </w:pPr>
            <w:r>
              <w:rPr>
                <w:rFonts w:ascii="Arial" w:cs="Arial" w:eastAsia="Arial" w:hAnsi="Arial"/>
                <w:sz w:val="15"/>
                <w:szCs w:val="15"/>
                <w:b w:val="1"/>
                <w:bCs w:val="1"/>
                <w:color w:val="auto"/>
              </w:rPr>
              <w:t xml:space="preserve">Total Portfolio Company Commitments </w:t>
            </w:r>
            <w:r>
              <w:rPr>
                <w:rFonts w:ascii="Arial" w:cs="Arial" w:eastAsia="Arial" w:hAnsi="Arial"/>
                <w:sz w:val="24"/>
                <w:szCs w:val="24"/>
                <w:b w:val="1"/>
                <w:bCs w:val="1"/>
                <w:color w:val="auto"/>
                <w:vertAlign w:val="superscript"/>
              </w:rPr>
              <w:t>(1)</w:t>
            </w: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250.0</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187.1</w:t>
            </w:r>
          </w:p>
        </w:tc>
        <w:tc>
          <w:tcPr>
            <w:tcW w:w="80" w:type="dxa"/>
            <w:vAlign w:val="bottom"/>
          </w:tcPr>
          <w:p>
            <w:pPr>
              <w:spacing w:after="0"/>
              <w:rPr>
                <w:sz w:val="18"/>
                <w:szCs w:val="18"/>
                <w:color w:val="auto"/>
              </w:rPr>
            </w:pPr>
          </w:p>
        </w:tc>
      </w:tr>
      <w:tr>
        <w:trPr>
          <w:trHeight w:val="20"/>
        </w:trPr>
        <w:tc>
          <w:tcPr>
            <w:tcW w:w="4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500" w:right="300" w:hanging="492"/>
        <w:spacing w:after="0" w:line="263" w:lineRule="auto"/>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the full amount of our commitments to fund investments on such date. Commitments may be subject to limitations on borrowings set forth in the agreements between us and the applicable portfolio company. As a result, portfolio companies may not be eligible to borrow the full commitment amount on such date.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86" w:right="35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i w:val="1"/>
          <w:iCs w:val="1"/>
          <w:color w:val="auto"/>
        </w:rPr>
        <w:t>Other Commitments and Contingencies</w:t>
      </w:r>
    </w:p>
    <w:p>
      <w:pPr>
        <w:spacing w:after="0" w:line="117" w:lineRule="exact"/>
        <w:rPr>
          <w:sz w:val="20"/>
          <w:szCs w:val="20"/>
          <w:color w:val="auto"/>
        </w:rPr>
      </w:pPr>
    </w:p>
    <w:p>
      <w:pPr>
        <w:ind w:right="220" w:firstLine="255"/>
        <w:spacing w:after="0" w:line="277" w:lineRule="auto"/>
        <w:rPr>
          <w:sz w:val="20"/>
          <w:szCs w:val="20"/>
          <w:color w:val="auto"/>
        </w:rPr>
      </w:pPr>
      <w:r>
        <w:rPr>
          <w:rFonts w:ascii="Arial" w:cs="Arial" w:eastAsia="Arial" w:hAnsi="Arial"/>
          <w:sz w:val="18"/>
          <w:szCs w:val="18"/>
          <w:color w:val="auto"/>
        </w:rPr>
        <w:t>As of September 30, 2020 and December 31, 2019, we did not have any unfunded commitments to fund new investments to new borrowers that were not current portfolio companies as of such date.</w:t>
      </w:r>
    </w:p>
    <w:p>
      <w:pPr>
        <w:spacing w:after="0" w:line="170" w:lineRule="exact"/>
        <w:rPr>
          <w:sz w:val="20"/>
          <w:szCs w:val="20"/>
          <w:color w:val="auto"/>
        </w:rPr>
      </w:pPr>
    </w:p>
    <w:p>
      <w:pPr>
        <w:ind w:right="20" w:firstLine="255"/>
        <w:spacing w:after="0" w:line="277" w:lineRule="auto"/>
        <w:rPr>
          <w:sz w:val="20"/>
          <w:szCs w:val="20"/>
          <w:color w:val="auto"/>
        </w:rPr>
      </w:pPr>
      <w:r>
        <w:rPr>
          <w:rFonts w:ascii="Arial" w:cs="Arial" w:eastAsia="Arial" w:hAnsi="Arial"/>
          <w:sz w:val="18"/>
          <w:szCs w:val="18"/>
          <w:color w:val="auto"/>
        </w:rPr>
        <w:t>We have certain contracts under which we have material future commitments. Under the Investment Advisory Agreement, our Adviser provides us with investment advisory and management services. For these services, we pay the Management Fee and the Incentive Fee.</w:t>
      </w:r>
    </w:p>
    <w:p>
      <w:pPr>
        <w:spacing w:after="0" w:line="170" w:lineRule="exact"/>
        <w:rPr>
          <w:sz w:val="20"/>
          <w:szCs w:val="20"/>
          <w:color w:val="auto"/>
        </w:rPr>
      </w:pPr>
    </w:p>
    <w:p>
      <w:pPr>
        <w:ind w:right="40" w:firstLine="255"/>
        <w:spacing w:after="0" w:line="269" w:lineRule="auto"/>
        <w:rPr>
          <w:sz w:val="20"/>
          <w:szCs w:val="20"/>
          <w:color w:val="auto"/>
        </w:rPr>
      </w:pPr>
      <w:r>
        <w:rPr>
          <w:rFonts w:ascii="Arial" w:cs="Arial" w:eastAsia="Arial" w:hAnsi="Arial"/>
          <w:sz w:val="17"/>
          <w:szCs w:val="17"/>
          <w:color w:val="auto"/>
        </w:rPr>
        <w:t>Under the Administration Agreement, our Adviser furnishes us with office facilities and equipment, provides us clerical, bookkeeping and record keeping services at such facilities and provides us with other administrative services necessary to conduct our day-to-day operations. We reimburse our Adviser or its affiliates for the allocable portion (subject to the review and approval of our Board) of expenses incurred by it in performing its obligations under the Administration Agreement, and the fees and expenses associated with performing compliance functions. Such reimbursable amounts include the allocable portion of the compensation of our Chief Compliance Officer, Chief Financial Officer and other professionals who provide operational and administrative services to us pursuant to the Administration Agreement. We reimburse the Adviser (or its affiliates) for the allocable portion of the compensation paid by the Adviser (or its affiliates) to such individuals based on a percentage of time those individuals devote, on an estimated basis, to our business and affairs. We may also reimburse the Adviser or its affiliates for the allocable portion of overhead expenses (including rent, office equipment and utilities) attributable thereto. Our Adviser also offers on our behalf significant managerial assistance to those portfolio companies to which we are required to offer to provide such assistance.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 summary of our contractual payment obligations as of September 30, 2020 is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6"/>
          </w:tcPr>
          <w:p>
            <w:pPr>
              <w:jc w:val="center"/>
              <w:ind w:right="30"/>
              <w:spacing w:after="0"/>
              <w:rPr>
                <w:sz w:val="20"/>
                <w:szCs w:val="20"/>
                <w:color w:val="auto"/>
              </w:rPr>
            </w:pPr>
            <w:r>
              <w:rPr>
                <w:rFonts w:ascii="Arial" w:cs="Arial" w:eastAsia="Arial" w:hAnsi="Arial"/>
                <w:sz w:val="14"/>
                <w:szCs w:val="14"/>
                <w:b w:val="1"/>
                <w:bCs w:val="1"/>
                <w:color w:val="auto"/>
                <w:w w:val="92"/>
              </w:rPr>
              <w:t>Payments Due by Period</w:t>
            </w: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5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ind w:left="60"/>
              <w:spacing w:after="0" w:line="147" w:lineRule="exact"/>
              <w:rPr>
                <w:sz w:val="20"/>
                <w:szCs w:val="20"/>
                <w:color w:val="auto"/>
              </w:rPr>
            </w:pPr>
            <w:r>
              <w:rPr>
                <w:rFonts w:ascii="Arial" w:cs="Arial" w:eastAsia="Arial" w:hAnsi="Arial"/>
                <w:sz w:val="14"/>
                <w:szCs w:val="14"/>
                <w:b w:val="1"/>
                <w:bCs w:val="1"/>
                <w:color w:val="auto"/>
              </w:rPr>
              <w:t>Less than</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1"/>
        </w:trPr>
        <w:tc>
          <w:tcPr>
            <w:tcW w:w="5160" w:type="dxa"/>
            <w:vAlign w:val="bottom"/>
          </w:tcPr>
          <w:p>
            <w:pPr>
              <w:spacing w:after="0"/>
              <w:rPr>
                <w:sz w:val="20"/>
                <w:szCs w:val="20"/>
                <w:color w:val="auto"/>
              </w:rPr>
            </w:pPr>
            <w:r>
              <w:rPr>
                <w:rFonts w:ascii="Arial" w:cs="Arial" w:eastAsia="Arial" w:hAnsi="Arial"/>
                <w:sz w:val="14"/>
                <w:szCs w:val="14"/>
                <w:color w:val="auto"/>
              </w:rPr>
              <w:t>($ in millions)</w:t>
            </w:r>
          </w:p>
        </w:tc>
        <w:tc>
          <w:tcPr>
            <w:tcW w:w="220" w:type="dxa"/>
            <w:vAlign w:val="bottom"/>
          </w:tcPr>
          <w:p>
            <w:pPr>
              <w:spacing w:after="0"/>
              <w:rPr>
                <w:sz w:val="14"/>
                <w:szCs w:val="14"/>
                <w:color w:val="auto"/>
              </w:rPr>
            </w:pPr>
          </w:p>
        </w:tc>
        <w:tc>
          <w:tcPr>
            <w:tcW w:w="780" w:type="dxa"/>
            <w:vAlign w:val="bottom"/>
          </w:tcPr>
          <w:p>
            <w:pPr>
              <w:jc w:val="right"/>
              <w:ind w:right="253"/>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ind w:left="160"/>
              <w:spacing w:after="0"/>
              <w:rPr>
                <w:sz w:val="20"/>
                <w:szCs w:val="20"/>
                <w:color w:val="auto"/>
              </w:rPr>
            </w:pPr>
            <w:r>
              <w:rPr>
                <w:rFonts w:ascii="Arial" w:cs="Arial" w:eastAsia="Arial" w:hAnsi="Arial"/>
                <w:sz w:val="14"/>
                <w:szCs w:val="14"/>
                <w:b w:val="1"/>
                <w:bCs w:val="1"/>
                <w:color w:val="auto"/>
              </w:rPr>
              <w:t>1 year</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1-3 years</w:t>
            </w:r>
          </w:p>
        </w:tc>
        <w:tc>
          <w:tcPr>
            <w:tcW w:w="16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3-5 years</w:t>
            </w:r>
          </w:p>
        </w:tc>
        <w:tc>
          <w:tcPr>
            <w:tcW w:w="10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After 5 years</w:t>
            </w:r>
          </w:p>
        </w:tc>
      </w:tr>
      <w:tr>
        <w:trPr>
          <w:trHeight w:val="223"/>
        </w:trPr>
        <w:tc>
          <w:tcPr>
            <w:tcW w:w="5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291.3</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ind w:left="660"/>
              <w:spacing w:after="0"/>
              <w:rPr>
                <w:sz w:val="20"/>
                <w:szCs w:val="20"/>
                <w:color w:val="auto"/>
              </w:rPr>
            </w:pPr>
            <w:r>
              <w:rPr>
                <w:rFonts w:ascii="Arial" w:cs="Arial" w:eastAsia="Arial" w:hAnsi="Arial"/>
                <w:sz w:val="18"/>
                <w:szCs w:val="18"/>
                <w:color w:val="auto"/>
                <w:w w:val="88"/>
              </w:rPr>
              <w:t>—</w:t>
            </w:r>
          </w:p>
        </w:tc>
        <w:tc>
          <w:tcPr>
            <w:tcW w:w="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291.3</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2022 Convertible Notes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142.8</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ind w:left="66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142.8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ind w:left="740"/>
              <w:spacing w:after="0"/>
              <w:rPr>
                <w:sz w:val="20"/>
                <w:szCs w:val="20"/>
                <w:color w:val="auto"/>
              </w:rPr>
            </w:pPr>
            <w:r>
              <w:rPr>
                <w:rFonts w:ascii="Arial" w:cs="Arial" w:eastAsia="Arial" w:hAnsi="Arial"/>
                <w:sz w:val="18"/>
                <w:szCs w:val="18"/>
                <w:color w:val="auto"/>
              </w:rPr>
              <w:t>—</w:t>
            </w:r>
          </w:p>
        </w:tc>
      </w:tr>
      <w:tr>
        <w:trPr>
          <w:trHeight w:val="229"/>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2023 Notes</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ind w:left="660"/>
              <w:spacing w:after="0"/>
              <w:rPr>
                <w:sz w:val="20"/>
                <w:szCs w:val="20"/>
                <w:color w:val="auto"/>
              </w:rPr>
            </w:pPr>
            <w:r>
              <w:rPr>
                <w:rFonts w:ascii="Arial" w:cs="Arial" w:eastAsia="Arial" w:hAnsi="Arial"/>
                <w:sz w:val="18"/>
                <w:szCs w:val="18"/>
                <w:color w:val="auto"/>
                <w:w w:val="88"/>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ind w:left="740"/>
              <w:spacing w:after="0"/>
              <w:rPr>
                <w:sz w:val="20"/>
                <w:szCs w:val="20"/>
                <w:color w:val="auto"/>
              </w:rPr>
            </w:pPr>
            <w:r>
              <w:rPr>
                <w:rFonts w:ascii="Arial" w:cs="Arial" w:eastAsia="Arial" w:hAnsi="Arial"/>
                <w:sz w:val="18"/>
                <w:szCs w:val="18"/>
                <w:color w:val="auto"/>
              </w:rPr>
              <w:t>—</w:t>
            </w: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2024 Notes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347.5</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ind w:left="66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347.5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ind w:left="740"/>
              <w:spacing w:after="0"/>
              <w:rPr>
                <w:sz w:val="20"/>
                <w:szCs w:val="20"/>
                <w:color w:val="auto"/>
              </w:rPr>
            </w:pPr>
            <w:r>
              <w:rPr>
                <w:rFonts w:ascii="Arial" w:cs="Arial" w:eastAsia="Arial" w:hAnsi="Arial"/>
                <w:sz w:val="18"/>
                <w:szCs w:val="18"/>
                <w:color w:val="auto"/>
              </w:rPr>
              <w:t>—</w:t>
            </w:r>
          </w:p>
        </w:tc>
      </w:tr>
      <w:tr>
        <w:trPr>
          <w:trHeight w:val="223"/>
        </w:trPr>
        <w:tc>
          <w:tcPr>
            <w:tcW w:w="51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Total Contractual Obligations</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931.6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ind w:left="660"/>
              <w:spacing w:after="0"/>
              <w:rPr>
                <w:sz w:val="20"/>
                <w:szCs w:val="20"/>
                <w:color w:val="auto"/>
              </w:rPr>
            </w:pPr>
            <w:r>
              <w:rPr>
                <w:rFonts w:ascii="Arial" w:cs="Arial" w:eastAsia="Arial" w:hAnsi="Arial"/>
                <w:sz w:val="18"/>
                <w:szCs w:val="18"/>
                <w:color w:val="auto"/>
                <w:w w:val="88"/>
              </w:rPr>
              <w:t>—</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638.8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100" w:firstLine="255"/>
        <w:spacing w:after="0" w:line="277" w:lineRule="auto"/>
        <w:rPr>
          <w:sz w:val="20"/>
          <w:szCs w:val="20"/>
          <w:color w:val="auto"/>
        </w:rPr>
      </w:pPr>
      <w:r>
        <w:rPr>
          <w:rFonts w:ascii="Arial" w:cs="Arial" w:eastAsia="Arial" w:hAnsi="Arial"/>
          <w:sz w:val="18"/>
          <w:szCs w:val="18"/>
          <w:color w:val="auto"/>
        </w:rPr>
        <w:t>In addition to the contractual payment obligations in the tables above, we also have commitments to fund investments and to pledge assets as collateral under the terms of our derivatives agreements.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117" w:lineRule="exact"/>
        <w:rPr>
          <w:sz w:val="20"/>
          <w:szCs w:val="20"/>
          <w:color w:val="auto"/>
        </w:rPr>
      </w:pPr>
    </w:p>
    <w:p>
      <w:pPr>
        <w:ind w:right="80" w:firstLine="255"/>
        <w:spacing w:after="0" w:line="342" w:lineRule="auto"/>
        <w:rPr>
          <w:sz w:val="20"/>
          <w:szCs w:val="20"/>
          <w:color w:val="auto"/>
        </w:rPr>
      </w:pPr>
      <w:r>
        <w:rPr>
          <w:rFonts w:ascii="Arial" w:cs="Arial" w:eastAsia="Arial" w:hAnsi="Arial"/>
          <w:sz w:val="16"/>
          <w:szCs w:val="16"/>
          <w:color w:val="auto"/>
        </w:rPr>
        <w:t>We have elected and qualified to be treated for U.S. federal income tax purposes as a RIC under subchapter M of the Code. To maintain our RIC status, we must distribute (or be treated as distributing) in each taxable year dividends for tax purposes equal to at least 90 percent of the sum of our:</w:t>
      </w:r>
    </w:p>
    <w:p>
      <w:pPr>
        <w:spacing w:after="0" w:line="16" w:lineRule="exact"/>
        <w:rPr>
          <w:sz w:val="20"/>
          <w:szCs w:val="20"/>
          <w:color w:val="auto"/>
        </w:rPr>
      </w:pPr>
    </w:p>
    <w:p>
      <w:pPr>
        <w:ind w:left="500" w:right="260" w:hanging="249"/>
        <w:spacing w:after="0" w:line="308" w:lineRule="auto"/>
        <w:tabs>
          <w:tab w:leader="none" w:pos="5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investment company taxable income (which is generally our ordinary income plus the excess of realized net short-term capital gains over realized net long-term capital losses), determined without regard to the deduction for dividends paid, for such taxable year; and</w:t>
      </w:r>
    </w:p>
    <w:p>
      <w:pPr>
        <w:spacing w:after="0" w:line="38" w:lineRule="exact"/>
        <w:rPr>
          <w:rFonts w:ascii="Arial" w:cs="Arial" w:eastAsia="Arial" w:hAnsi="Arial"/>
          <w:sz w:val="17"/>
          <w:szCs w:val="17"/>
          <w:color w:val="auto"/>
        </w:rPr>
      </w:pPr>
    </w:p>
    <w:p>
      <w:pPr>
        <w:ind w:left="500" w:right="320" w:hanging="249"/>
        <w:spacing w:after="0" w:line="277" w:lineRule="auto"/>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net tax-exempt interest income (which is the excess of our gross tax-exempt interest income over certain disallowed deductions) for such taxable year.</w:t>
      </w:r>
    </w:p>
    <w:p>
      <w:pPr>
        <w:spacing w:after="0" w:line="170" w:lineRule="exact"/>
        <w:rPr>
          <w:sz w:val="20"/>
          <w:szCs w:val="20"/>
          <w:color w:val="auto"/>
        </w:rPr>
      </w:pPr>
    </w:p>
    <w:p>
      <w:pPr>
        <w:ind w:right="80" w:firstLine="255"/>
        <w:spacing w:after="0" w:line="277" w:lineRule="auto"/>
        <w:rPr>
          <w:sz w:val="20"/>
          <w:szCs w:val="20"/>
          <w:color w:val="auto"/>
        </w:rPr>
      </w:pPr>
      <w:r>
        <w:rPr>
          <w:rFonts w:ascii="Arial" w:cs="Arial" w:eastAsia="Arial" w:hAnsi="Arial"/>
          <w:sz w:val="18"/>
          <w:szCs w:val="18"/>
          <w:color w:val="auto"/>
        </w:rPr>
        <w:t>As a RIC, we (but not our stockholders) generally will not be subject to U.S. federal income tax on investment company taxable income and net capital gains that we distribute to our stockholders.</w:t>
      </w:r>
    </w:p>
    <w:p>
      <w:pPr>
        <w:spacing w:after="0" w:line="170" w:lineRule="exact"/>
        <w:rPr>
          <w:sz w:val="20"/>
          <w:szCs w:val="20"/>
          <w:color w:val="auto"/>
        </w:rPr>
      </w:pPr>
    </w:p>
    <w:p>
      <w:pPr>
        <w:jc w:val="both"/>
        <w:ind w:right="260" w:firstLine="255"/>
        <w:spacing w:after="0" w:line="263" w:lineRule="auto"/>
        <w:rPr>
          <w:sz w:val="20"/>
          <w:szCs w:val="20"/>
          <w:color w:val="auto"/>
        </w:rPr>
      </w:pPr>
      <w:r>
        <w:rPr>
          <w:rFonts w:ascii="Arial" w:cs="Arial" w:eastAsia="Arial" w:hAnsi="Arial"/>
          <w:sz w:val="18"/>
          <w:szCs w:val="18"/>
          <w:color w:val="auto"/>
        </w:rPr>
        <w:t>We intend to distribute annually all or substantially all of such income. To the extent that we retain our net capital gains or any investment company taxable income, we generally will be subject to corporate-level U.S. federal income tax. We may choose to retain our net capital gains or any investment company taxable income, and pay the U.S. federal excise tax described below.</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7" w:name="page68"/>
    <w:bookmarkEnd w:id="67"/>
    <w:p>
      <w:pPr>
        <w:ind w:right="160" w:firstLine="255"/>
        <w:spacing w:after="0" w:line="263" w:lineRule="auto"/>
        <w:rPr>
          <w:sz w:val="20"/>
          <w:szCs w:val="20"/>
          <w:color w:val="auto"/>
        </w:rPr>
      </w:pPr>
      <w:r>
        <w:rPr>
          <w:rFonts w:ascii="Arial" w:cs="Arial" w:eastAsia="Arial" w:hAnsi="Arial"/>
          <w:sz w:val="18"/>
          <w:szCs w:val="18"/>
          <w:color w:val="auto"/>
        </w:rPr>
        <w:t>Amounts not distributed on a timely basis in accordance with a calendar year distribution requirement are subject to a nondeductible 4% U.S. federal excise tax payable by us. To avoid this tax, we must distribute (or be treated as distributing) during each calendar year an amount at least equal to the sum of:</w:t>
      </w:r>
    </w:p>
    <w:p>
      <w:pPr>
        <w:spacing w:after="0" w:line="76" w:lineRule="exact"/>
        <w:rPr>
          <w:sz w:val="20"/>
          <w:szCs w:val="20"/>
          <w:color w:val="auto"/>
        </w:rPr>
      </w:pPr>
    </w:p>
    <w:p>
      <w:pPr>
        <w:ind w:left="500" w:hanging="249"/>
        <w:spacing w:after="0"/>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98% of our net ordinary income excluding certain ordinary gains or losses for that calendar year;</w:t>
      </w:r>
    </w:p>
    <w:p>
      <w:pPr>
        <w:spacing w:after="0" w:line="117" w:lineRule="exact"/>
        <w:rPr>
          <w:rFonts w:ascii="Arial" w:cs="Arial" w:eastAsia="Arial" w:hAnsi="Arial"/>
          <w:sz w:val="18"/>
          <w:szCs w:val="18"/>
          <w:color w:val="auto"/>
        </w:rPr>
      </w:pPr>
    </w:p>
    <w:p>
      <w:pPr>
        <w:ind w:left="500" w:right="180" w:hanging="249"/>
        <w:spacing w:after="0" w:line="277" w:lineRule="auto"/>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98.2% of our capital gain net income, adjusted for certain ordinary gains and losses, recognized for the twelve-month period ending on October 31 of that calendar year; and</w:t>
      </w:r>
    </w:p>
    <w:p>
      <w:pPr>
        <w:spacing w:after="0" w:line="62" w:lineRule="exact"/>
        <w:rPr>
          <w:rFonts w:ascii="Arial" w:cs="Arial" w:eastAsia="Arial" w:hAnsi="Arial"/>
          <w:sz w:val="18"/>
          <w:szCs w:val="18"/>
          <w:color w:val="auto"/>
        </w:rPr>
      </w:pPr>
    </w:p>
    <w:p>
      <w:pPr>
        <w:ind w:left="500" w:hanging="249"/>
        <w:spacing w:after="0"/>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100% of any income or gains recognized, but not distributed, in preceding years.</w:t>
      </w:r>
    </w:p>
    <w:p>
      <w:pPr>
        <w:spacing w:after="0" w:line="225" w:lineRule="exact"/>
        <w:rPr>
          <w:sz w:val="20"/>
          <w:szCs w:val="20"/>
          <w:color w:val="auto"/>
        </w:rPr>
      </w:pPr>
    </w:p>
    <w:p>
      <w:pPr>
        <w:ind w:right="60" w:firstLine="255"/>
        <w:spacing w:after="0" w:line="263" w:lineRule="auto"/>
        <w:rPr>
          <w:sz w:val="20"/>
          <w:szCs w:val="20"/>
          <w:color w:val="auto"/>
        </w:rPr>
      </w:pPr>
      <w:r>
        <w:rPr>
          <w:rFonts w:ascii="Arial" w:cs="Arial" w:eastAsia="Arial" w:hAnsi="Arial"/>
          <w:sz w:val="18"/>
          <w:szCs w:val="18"/>
          <w:color w:val="auto"/>
        </w:rPr>
        <w:t>While we intend to distribute any income and capital gains in the manner necessary to minimize imposition of the 4% U.S. federal excise tax, sufficient amounts of our taxable income and capital gains may not be distributed to avoid entirely the imposition of this tax. In that event, we will be liable for this tax only on the amount by which we do not meet the foregoing distribution requirement.</w:t>
      </w:r>
    </w:p>
    <w:p>
      <w:pPr>
        <w:spacing w:after="0" w:line="184" w:lineRule="exact"/>
        <w:rPr>
          <w:sz w:val="20"/>
          <w:szCs w:val="20"/>
          <w:color w:val="auto"/>
        </w:rPr>
      </w:pPr>
    </w:p>
    <w:p>
      <w:pPr>
        <w:ind w:firstLine="255"/>
        <w:spacing w:after="0" w:line="263" w:lineRule="auto"/>
        <w:rPr>
          <w:sz w:val="20"/>
          <w:szCs w:val="20"/>
          <w:color w:val="auto"/>
        </w:rPr>
      </w:pPr>
      <w:r>
        <w:rPr>
          <w:rFonts w:ascii="Arial" w:cs="Arial" w:eastAsia="Arial" w:hAnsi="Arial"/>
          <w:sz w:val="18"/>
          <w:szCs w:val="18"/>
          <w:color w:val="auto"/>
        </w:rPr>
        <w:t>We intend to pay quarterly dividends to our stockholders out of assets legally available for distribution. All dividends will be paid at the discretion of our Board and will depend on our earnings, financial condition, maintenance of our RIC status, compliance with applicable BDC regulations and such other factors as our Board may deem relevant from time to time.</w:t>
      </w:r>
    </w:p>
    <w:p>
      <w:pPr>
        <w:spacing w:after="0" w:line="184" w:lineRule="exact"/>
        <w:rPr>
          <w:sz w:val="20"/>
          <w:szCs w:val="20"/>
          <w:color w:val="auto"/>
        </w:rPr>
      </w:pPr>
    </w:p>
    <w:p>
      <w:pPr>
        <w:ind w:right="60" w:firstLine="255"/>
        <w:spacing w:after="0" w:line="259" w:lineRule="auto"/>
        <w:rPr>
          <w:sz w:val="20"/>
          <w:szCs w:val="20"/>
          <w:color w:val="auto"/>
        </w:rPr>
      </w:pPr>
      <w:r>
        <w:rPr>
          <w:rFonts w:ascii="Arial" w:cs="Arial" w:eastAsia="Arial" w:hAnsi="Arial"/>
          <w:sz w:val="18"/>
          <w:szCs w:val="18"/>
          <w:color w:val="auto"/>
        </w:rPr>
        <w:t>To the extent our current taxable earnings for a year fall below the total amount of our distributions for that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carefully and should not assume that the source of any distribution is our ordinary income or gains.</w:t>
      </w:r>
    </w:p>
    <w:p>
      <w:pPr>
        <w:spacing w:after="0" w:line="187" w:lineRule="exact"/>
        <w:rPr>
          <w:sz w:val="20"/>
          <w:szCs w:val="20"/>
          <w:color w:val="auto"/>
        </w:rPr>
      </w:pPr>
    </w:p>
    <w:p>
      <w:pPr>
        <w:ind w:right="60" w:firstLine="255"/>
        <w:spacing w:after="0" w:line="279" w:lineRule="auto"/>
        <w:rPr>
          <w:sz w:val="20"/>
          <w:szCs w:val="20"/>
          <w:color w:val="auto"/>
        </w:rPr>
      </w:pPr>
      <w:r>
        <w:rPr>
          <w:rFonts w:ascii="Arial" w:cs="Arial" w:eastAsia="Arial" w:hAnsi="Arial"/>
          <w:sz w:val="17"/>
          <w:szCs w:val="17"/>
          <w:color w:val="auto"/>
        </w:rPr>
        <w:t>We have adopted an “opt out” dividend reinvestment plan for our common stockholders. As a result, if we declare a cash dividend or other distribution, each stockholder that has not “opted out” of our dividend reinvestment plan will have their dividends or distributions automatically reinvested in additional shares of our common stock rather than receiving cash dividends. Stockholders who receive distributions in the form of shares of common stock will be subject to the same U.S. federal, state and local tax consequences as if they received cash distributions.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Related-Party Transactions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have entered into a number of business relationships with affiliated or related parties, including the following:</w:t>
      </w:r>
    </w:p>
    <w:p>
      <w:pPr>
        <w:spacing w:after="0" w:line="117" w:lineRule="exact"/>
        <w:rPr>
          <w:sz w:val="20"/>
          <w:szCs w:val="20"/>
          <w:color w:val="auto"/>
        </w:rPr>
      </w:pPr>
    </w:p>
    <w:p>
      <w:pPr>
        <w:ind w:left="500" w:hanging="249"/>
        <w:spacing w:after="0"/>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Investment Advisory Agreement;</w:t>
      </w:r>
    </w:p>
    <w:p>
      <w:pPr>
        <w:spacing w:after="0" w:line="117" w:lineRule="exact"/>
        <w:rPr>
          <w:rFonts w:ascii="Arial" w:cs="Arial" w:eastAsia="Arial" w:hAnsi="Arial"/>
          <w:sz w:val="18"/>
          <w:szCs w:val="18"/>
          <w:color w:val="auto"/>
        </w:rPr>
      </w:pPr>
    </w:p>
    <w:p>
      <w:pPr>
        <w:ind w:left="500" w:hanging="249"/>
        <w:spacing w:after="0"/>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Administration Agreement; and</w:t>
      </w:r>
    </w:p>
    <w:p>
      <w:pPr>
        <w:spacing w:after="0" w:line="117" w:lineRule="exact"/>
        <w:rPr>
          <w:rFonts w:ascii="Arial" w:cs="Arial" w:eastAsia="Arial" w:hAnsi="Arial"/>
          <w:sz w:val="18"/>
          <w:szCs w:val="18"/>
          <w:color w:val="auto"/>
        </w:rPr>
      </w:pPr>
    </w:p>
    <w:p>
      <w:pPr>
        <w:ind w:left="500" w:right="140" w:hanging="249"/>
        <w:spacing w:after="0" w:line="277" w:lineRule="auto"/>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license agreement with an affiliate of TPG to use the TPG name and logo, royalty free, for an agreed upon period of time. Other than with respect to this limited license, we have no legal right to use the TPG name as a trademark.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120" w:firstLine="255"/>
        <w:spacing w:after="0" w:line="257" w:lineRule="auto"/>
        <w:rPr>
          <w:sz w:val="20"/>
          <w:szCs w:val="20"/>
          <w:color w:val="auto"/>
        </w:rPr>
      </w:pPr>
      <w:r>
        <w:rPr>
          <w:rFonts w:ascii="Arial" w:cs="Arial" w:eastAsia="Arial" w:hAnsi="Arial"/>
          <w:sz w:val="18"/>
          <w:szCs w:val="18"/>
          <w:color w:val="auto"/>
        </w:rPr>
        <w:t>The preparation of our consolidated financial statements requires us to make estimates and assumptions that affect the reported amounts of assets, liabilities, revenues, and expenses. Changes in the economic environment, financial markets, and any other parameters used in determining such estimates could cause actual results to differ. Our critical accounting policies, including those relating to the valuation of our investment portfolio, are described in our Annual Report on Form 10-K for the year ended December 31, 2019, filed with the SEC on February 19, 2020, and elsewhere in our filings with the SEC.</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are subject to financial market risks, including valuation risk, interest rate risk and currency risk.</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Risk</w:t>
      </w:r>
    </w:p>
    <w:p>
      <w:pPr>
        <w:spacing w:after="0" w:line="117" w:lineRule="exact"/>
        <w:rPr>
          <w:sz w:val="20"/>
          <w:szCs w:val="20"/>
          <w:color w:val="auto"/>
        </w:rPr>
      </w:pPr>
    </w:p>
    <w:p>
      <w:pPr>
        <w:ind w:right="40" w:firstLine="255"/>
        <w:spacing w:after="0" w:line="255" w:lineRule="auto"/>
        <w:rPr>
          <w:sz w:val="20"/>
          <w:szCs w:val="20"/>
          <w:color w:val="auto"/>
        </w:rPr>
      </w:pPr>
      <w:r>
        <w:rPr>
          <w:rFonts w:ascii="Arial" w:cs="Arial" w:eastAsia="Arial" w:hAnsi="Arial"/>
          <w:sz w:val="18"/>
          <w:szCs w:val="18"/>
          <w:color w:val="auto"/>
        </w:rPr>
        <w:t>We have invested, and plan to continue to invest, primarily in illiquid debt and equity securities of private companies. Most of our investments will not have a readily available market price, and we value these investments at fair value as determined in good faith by our Board in accordance with our valuation policy. There is no single standard for determining fair value. As a result, determining fair value requires that judgment be applied to the specific facts and circumstances of each portfolio investment while employing a consistently applied valuation process for the types of investments we make. If we were required to liquidate a portfolio investment in a forced or liquidation sale, we may realize amounts that are different from the amounts presented and such differences could be material.</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firstLine="255"/>
        <w:spacing w:after="0" w:line="311" w:lineRule="auto"/>
        <w:rPr>
          <w:sz w:val="20"/>
          <w:szCs w:val="20"/>
          <w:color w:val="auto"/>
        </w:rPr>
      </w:pPr>
      <w:r>
        <w:rPr>
          <w:rFonts w:ascii="Arial" w:cs="Arial" w:eastAsia="Arial" w:hAnsi="Arial"/>
          <w:sz w:val="16"/>
          <w:szCs w:val="16"/>
          <w:color w:val="auto"/>
        </w:rPr>
        <w:t>Interest rate sensitivity refers to the change in earnings that may result from changes in the level of interest rates. We also fund portions of our investments with borrowings. Our net investment income is affected by the difference between the rate at which we invest and the rate at which we borrow. Accordingly, we cannot assure you that a significant change in market interest rates will not have a material adverse effect on our net investment income.</w:t>
      </w:r>
    </w:p>
    <w:p>
      <w:pPr>
        <w:spacing w:after="0" w:line="149" w:lineRule="exact"/>
        <w:rPr>
          <w:sz w:val="20"/>
          <w:szCs w:val="20"/>
          <w:color w:val="auto"/>
        </w:rPr>
      </w:pPr>
    </w:p>
    <w:p>
      <w:pPr>
        <w:ind w:right="500" w:firstLine="255"/>
        <w:spacing w:after="0" w:line="263" w:lineRule="auto"/>
        <w:rPr>
          <w:sz w:val="20"/>
          <w:szCs w:val="20"/>
          <w:color w:val="auto"/>
        </w:rPr>
      </w:pPr>
      <w:r>
        <w:rPr>
          <w:rFonts w:ascii="Arial" w:cs="Arial" w:eastAsia="Arial" w:hAnsi="Arial"/>
          <w:sz w:val="18"/>
          <w:szCs w:val="18"/>
          <w:color w:val="auto"/>
        </w:rPr>
        <w:t>We regularly measure our exposure to interest rate risk. We assess interest rate risk and manage our interest rate exposure on an ongoing basis by comparing our interest rate-sensitive assets to our interest rate-sensitive liabilities. Based on that review, we determine whether or not any hedging transactions are necessary to mitigate exposure to changes in interest rates.</w:t>
      </w:r>
    </w:p>
    <w:p>
      <w:pPr>
        <w:spacing w:after="0" w:line="184" w:lineRule="exact"/>
        <w:rPr>
          <w:sz w:val="20"/>
          <w:szCs w:val="20"/>
          <w:color w:val="auto"/>
        </w:rPr>
      </w:pPr>
    </w:p>
    <w:p>
      <w:pPr>
        <w:jc w:val="both"/>
        <w:ind w:right="40" w:firstLine="255"/>
        <w:spacing w:after="0" w:line="259" w:lineRule="auto"/>
        <w:rPr>
          <w:sz w:val="20"/>
          <w:szCs w:val="20"/>
          <w:color w:val="auto"/>
        </w:rPr>
      </w:pPr>
      <w:r>
        <w:rPr>
          <w:rFonts w:ascii="Arial" w:cs="Arial" w:eastAsia="Arial" w:hAnsi="Arial"/>
          <w:sz w:val="18"/>
          <w:szCs w:val="18"/>
          <w:color w:val="auto"/>
        </w:rPr>
        <w:t>As of September 30, 2020, 98.9% of our debt investments based on fair value in our portfolio bore interest at floating rates (when including investment specific hedges), with 98.8% of these subject to interest rate floors. Our credit facilities also bear interest at floating rates, and in connection with our 2022 Convertible Notes, 2023 Notes and 2024 Notes, which bear interest at fixed rates, we entered into fixed-to-floating interest rate swaps in order to continue to align the interest rates of our liabilities with our investment portfolio.</w:t>
      </w:r>
    </w:p>
    <w:p>
      <w:pPr>
        <w:spacing w:after="0" w:line="187" w:lineRule="exact"/>
        <w:rPr>
          <w:sz w:val="20"/>
          <w:szCs w:val="20"/>
          <w:color w:val="auto"/>
        </w:rPr>
      </w:pPr>
    </w:p>
    <w:p>
      <w:pPr>
        <w:ind w:right="140" w:firstLine="255"/>
        <w:spacing w:after="0" w:line="263" w:lineRule="auto"/>
        <w:rPr>
          <w:sz w:val="20"/>
          <w:szCs w:val="20"/>
          <w:color w:val="auto"/>
        </w:rPr>
      </w:pPr>
      <w:r>
        <w:rPr>
          <w:rFonts w:ascii="Arial" w:cs="Arial" w:eastAsia="Arial" w:hAnsi="Arial"/>
          <w:sz w:val="18"/>
          <w:szCs w:val="18"/>
          <w:color w:val="auto"/>
        </w:rPr>
        <w:t>Assuming that our consolidated balance sheet as of September 30, 2020 were to remain constant and that we took no actions to alter our existing interest rate sensitivity, the following table shows the annualized impact of hypothetical base rate changes in interest rates (considering interest rate floors for floating rate instruments):</w:t>
      </w:r>
    </w:p>
    <w:p>
      <w:pPr>
        <w:spacing w:after="0" w:line="19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180" w:type="dxa"/>
            <w:vAlign w:val="bottom"/>
          </w:tcPr>
          <w:p>
            <w:pPr>
              <w:spacing w:after="0"/>
              <w:rPr>
                <w:sz w:val="20"/>
                <w:szCs w:val="20"/>
                <w:color w:val="auto"/>
              </w:rPr>
            </w:pPr>
            <w:r>
              <w:rPr>
                <w:rFonts w:ascii="Arial" w:cs="Arial" w:eastAsia="Arial" w:hAnsi="Arial"/>
                <w:sz w:val="14"/>
                <w:szCs w:val="14"/>
                <w:color w:val="auto"/>
              </w:rPr>
              <w:t>($ in millions)</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4180" w:type="dxa"/>
            <w:vAlign w:val="bottom"/>
          </w:tcPr>
          <w:p>
            <w:pPr>
              <w:spacing w:after="0"/>
              <w:rPr>
                <w:sz w:val="20"/>
                <w:szCs w:val="20"/>
                <w:color w:val="auto"/>
              </w:rPr>
            </w:pPr>
            <w:r>
              <w:rPr>
                <w:rFonts w:ascii="Arial" w:cs="Arial" w:eastAsia="Arial" w:hAnsi="Arial"/>
                <w:sz w:val="14"/>
                <w:szCs w:val="14"/>
                <w:b w:val="1"/>
                <w:bCs w:val="1"/>
                <w:color w:val="auto"/>
              </w:rPr>
              <w:t>Basis Point Change</w:t>
            </w:r>
          </w:p>
        </w:tc>
        <w:tc>
          <w:tcPr>
            <w:tcW w:w="140" w:type="dxa"/>
            <w:vAlign w:val="bottom"/>
          </w:tcPr>
          <w:p>
            <w:pPr>
              <w:spacing w:after="0"/>
              <w:rPr>
                <w:sz w:val="14"/>
                <w:szCs w:val="14"/>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8"/>
              </w:rPr>
              <w:t>Interest Income</w:t>
            </w:r>
          </w:p>
        </w:tc>
        <w:tc>
          <w:tcPr>
            <w:tcW w:w="80" w:type="dxa"/>
            <w:vAlign w:val="bottom"/>
          </w:tcPr>
          <w:p>
            <w:pPr>
              <w:spacing w:after="0"/>
              <w:rPr>
                <w:sz w:val="14"/>
                <w:szCs w:val="14"/>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2"/>
              </w:rPr>
              <w:t>Interest Expense</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Net Interest Income</w:t>
            </w:r>
          </w:p>
        </w:tc>
      </w:tr>
      <w:tr>
        <w:trPr>
          <w:trHeight w:val="223"/>
        </w:trPr>
        <w:tc>
          <w:tcPr>
            <w:tcW w:w="4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Up 300 basis points</w:t>
            </w:r>
          </w:p>
        </w:tc>
        <w:tc>
          <w:tcPr>
            <w:tcW w:w="14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4180" w:type="dxa"/>
            <w:vAlign w:val="bottom"/>
          </w:tcPr>
          <w:p>
            <w:pPr>
              <w:spacing w:after="0"/>
              <w:rPr>
                <w:sz w:val="20"/>
                <w:szCs w:val="20"/>
                <w:color w:val="auto"/>
              </w:rPr>
            </w:pPr>
            <w:r>
              <w:rPr>
                <w:rFonts w:ascii="Arial" w:cs="Arial" w:eastAsia="Arial" w:hAnsi="Arial"/>
                <w:sz w:val="18"/>
                <w:szCs w:val="18"/>
                <w:color w:val="auto"/>
              </w:rPr>
              <w:t>Up 200 basis points</w:t>
            </w:r>
          </w:p>
        </w:tc>
        <w:tc>
          <w:tcPr>
            <w:tcW w:w="58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22.3</w:t>
            </w:r>
          </w:p>
        </w:tc>
        <w:tc>
          <w:tcPr>
            <w:tcW w:w="140" w:type="dxa"/>
            <w:vAlign w:val="bottom"/>
          </w:tcPr>
          <w:p>
            <w:pPr>
              <w:spacing w:after="0"/>
              <w:rPr>
                <w:sz w:val="19"/>
                <w:szCs w:val="19"/>
                <w:color w:val="auto"/>
              </w:rPr>
            </w:pPr>
          </w:p>
        </w:tc>
        <w:tc>
          <w:tcPr>
            <w:tcW w:w="52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18.6</w:t>
            </w:r>
          </w:p>
        </w:tc>
        <w:tc>
          <w:tcPr>
            <w:tcW w:w="140" w:type="dxa"/>
            <w:vAlign w:val="bottom"/>
          </w:tcPr>
          <w:p>
            <w:pPr>
              <w:spacing w:after="0"/>
              <w:rPr>
                <w:sz w:val="19"/>
                <w:szCs w:val="19"/>
                <w:color w:val="auto"/>
              </w:rPr>
            </w:pPr>
          </w:p>
        </w:tc>
        <w:tc>
          <w:tcPr>
            <w:tcW w:w="2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r>
      <w:tr>
        <w:trPr>
          <w:trHeight w:val="230"/>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Up 100 basis points</w:t>
            </w:r>
          </w:p>
        </w:tc>
        <w:tc>
          <w:tcPr>
            <w:tcW w:w="580" w:type="dxa"/>
            <w:vAlign w:val="bottom"/>
            <w:gridSpan w:val="2"/>
            <w:shd w:val="clear" w:color="auto" w:fill="CFF0FC"/>
          </w:tcPr>
          <w:p>
            <w:pPr>
              <w:jc w:val="right"/>
              <w:ind w:right="287"/>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87"/>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(5.3)</w:t>
            </w: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Down 25 basis points</w:t>
            </w:r>
          </w:p>
        </w:tc>
        <w:tc>
          <w:tcPr>
            <w:tcW w:w="58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(0.1)</w:t>
            </w:r>
          </w:p>
        </w:tc>
        <w:tc>
          <w:tcPr>
            <w:tcW w:w="52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(2.1)</w:t>
            </w:r>
          </w:p>
        </w:tc>
        <w:tc>
          <w:tcPr>
            <w:tcW w:w="2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r>
      <w:tr>
        <w:trPr>
          <w:trHeight w:val="230"/>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Down 50 basis points</w:t>
            </w:r>
          </w:p>
        </w:tc>
        <w:tc>
          <w:tcPr>
            <w:tcW w:w="580" w:type="dxa"/>
            <w:vAlign w:val="bottom"/>
            <w:gridSpan w:val="2"/>
            <w:shd w:val="clear" w:color="auto" w:fill="CFF0FC"/>
          </w:tcPr>
          <w:p>
            <w:pPr>
              <w:jc w:val="right"/>
              <w:ind w:right="287"/>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(0.2)</w:t>
            </w:r>
          </w:p>
        </w:tc>
        <w:tc>
          <w:tcPr>
            <w:tcW w:w="520" w:type="dxa"/>
            <w:vAlign w:val="bottom"/>
            <w:gridSpan w:val="2"/>
            <w:shd w:val="clear" w:color="auto" w:fill="CFF0FC"/>
          </w:tcPr>
          <w:p>
            <w:pPr>
              <w:jc w:val="right"/>
              <w:ind w:right="287"/>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(3.9)</w:t>
            </w:r>
          </w:p>
        </w:tc>
        <w:tc>
          <w:tcPr>
            <w:tcW w:w="28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FF0FC"/>
          </w:tcPr>
          <w:p>
            <w:pPr>
              <w:spacing w:after="0"/>
              <w:rPr>
                <w:sz w:val="19"/>
                <w:szCs w:val="19"/>
                <w:color w:val="auto"/>
              </w:rPr>
            </w:pPr>
          </w:p>
        </w:tc>
      </w:tr>
    </w:tbl>
    <w:p>
      <w:pPr>
        <w:spacing w:after="0" w:line="242" w:lineRule="exact"/>
        <w:rPr>
          <w:sz w:val="20"/>
          <w:szCs w:val="20"/>
          <w:color w:val="auto"/>
        </w:rPr>
      </w:pPr>
    </w:p>
    <w:p>
      <w:pPr>
        <w:ind w:firstLine="255"/>
        <w:spacing w:after="0" w:line="263" w:lineRule="auto"/>
        <w:rPr>
          <w:sz w:val="20"/>
          <w:szCs w:val="20"/>
          <w:color w:val="auto"/>
        </w:rPr>
      </w:pPr>
      <w:r>
        <w:rPr>
          <w:rFonts w:ascii="Arial" w:cs="Arial" w:eastAsia="Arial" w:hAnsi="Arial"/>
          <w:sz w:val="18"/>
          <w:szCs w:val="18"/>
          <w:color w:val="auto"/>
        </w:rPr>
        <w:t>Although we believe that this analysis is indicative of our existing sensitivity to interest rate changes, it does not adjust for changes in the credit market, credit quality, the size and composition of the assets in our portfolio and other business developments that could affect our net income. Accordingly, we cannot assure you that actual results would not differ materially from the analysis above.</w:t>
      </w:r>
    </w:p>
    <w:p>
      <w:pPr>
        <w:spacing w:after="0" w:line="184" w:lineRule="exact"/>
        <w:rPr>
          <w:sz w:val="20"/>
          <w:szCs w:val="20"/>
          <w:color w:val="auto"/>
        </w:rPr>
      </w:pPr>
    </w:p>
    <w:p>
      <w:pPr>
        <w:ind w:right="220" w:firstLine="255"/>
        <w:spacing w:after="0" w:line="259" w:lineRule="auto"/>
        <w:rPr>
          <w:sz w:val="20"/>
          <w:szCs w:val="20"/>
          <w:color w:val="auto"/>
        </w:rPr>
      </w:pPr>
      <w:r>
        <w:rPr>
          <w:rFonts w:ascii="Arial" w:cs="Arial" w:eastAsia="Arial" w:hAnsi="Arial"/>
          <w:sz w:val="18"/>
          <w:szCs w:val="18"/>
          <w:color w:val="auto"/>
        </w:rPr>
        <w:t>We may in the future hedge against interest rate fluctuations by using hedging instruments such as additional interest rate swaps, futures, options and forward contracts. While hedging activities may mitigate our exposure to adverse fluctuations in interest rates, certain hedging transactions that we may enter into in the future, such as interest rate swap agreements, may also limit our ability to participate in the benefits of changes in interest rates with respect to our portfolio investments.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i w:val="1"/>
          <w:iCs w:val="1"/>
          <w:color w:val="auto"/>
        </w:rPr>
        <w:t>Currency Risk</w:t>
      </w:r>
    </w:p>
    <w:p>
      <w:pPr>
        <w:spacing w:after="0" w:line="117" w:lineRule="exact"/>
        <w:rPr>
          <w:sz w:val="20"/>
          <w:szCs w:val="20"/>
          <w:color w:val="auto"/>
        </w:rPr>
      </w:pPr>
    </w:p>
    <w:p>
      <w:pPr>
        <w:ind w:firstLine="255"/>
        <w:spacing w:after="0" w:line="271" w:lineRule="auto"/>
        <w:rPr>
          <w:sz w:val="20"/>
          <w:szCs w:val="20"/>
          <w:color w:val="auto"/>
        </w:rPr>
      </w:pPr>
      <w:r>
        <w:rPr>
          <w:rFonts w:ascii="Arial" w:cs="Arial" w:eastAsia="Arial" w:hAnsi="Arial"/>
          <w:sz w:val="17"/>
          <w:szCs w:val="17"/>
          <w:color w:val="auto"/>
        </w:rPr>
        <w:t>From time to time, we may make investments that are denominated in a foreign currency. These investments are translated into U.S. dollars at each balance sheet date, exposing us to movements in foreign exchange rates. We may employ hedging techniques to minimize these risks, but we cannot assure you that such strategies will be effective or without risk to us. We may seek to utilize instruments such as, but not limited to, forward contracts to seek to hedge against fluctuations in the relative values of our portfolio positions from changes in currency exchange rates. We also have the ability to borrow in certain foreign currencies under our Revolving Credit Facility.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our Revolving Credit Facility, we may seek to utilize interest rate derivatives to hedge our exposure to changes in the associated rate.</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right="260" w:firstLine="255"/>
        <w:spacing w:after="0" w:line="296" w:lineRule="auto"/>
        <w:rPr>
          <w:sz w:val="20"/>
          <w:szCs w:val="20"/>
          <w:color w:val="auto"/>
        </w:rPr>
      </w:pPr>
      <w:r>
        <w:rPr>
          <w:rFonts w:ascii="Arial" w:cs="Arial" w:eastAsia="Arial" w:hAnsi="Arial"/>
          <w:sz w:val="16"/>
          <w:szCs w:val="16"/>
          <w:b w:val="1"/>
          <w:bCs w:val="1"/>
          <w:i w:val="1"/>
          <w:iCs w:val="1"/>
          <w:color w:val="auto"/>
        </w:rPr>
        <w:t xml:space="preserve">Evaluation of Disclosure Controls and Procedures. </w:t>
      </w:r>
      <w:r>
        <w:rPr>
          <w:rFonts w:ascii="Arial" w:cs="Arial" w:eastAsia="Arial" w:hAnsi="Arial"/>
          <w:sz w:val="16"/>
          <w:szCs w:val="16"/>
          <w:color w:val="auto"/>
        </w:rPr>
        <w:t>As of the end of the period covered by this report, we carried out an evaluation, under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supervision and with the participation of our management, including our Chief Executive Officer and Chief Financial Officer, of the effectiveness of the design and operation of our disclosure controls and procedures (as defined in Rule 13a-15 under the Exchange Act). Based on that evaluation, our Chief Executive Officer and Chief Financial Officer have concluded that our current disclosure controls and procedures are effective in timely alerting them to material information relating to us that is required to be disclosed by us in the reports we file or submit under the Exchange Act.</w:t>
      </w:r>
    </w:p>
    <w:p>
      <w:pPr>
        <w:spacing w:after="0" w:line="161" w:lineRule="exact"/>
        <w:rPr>
          <w:sz w:val="20"/>
          <w:szCs w:val="20"/>
          <w:color w:val="auto"/>
        </w:rPr>
      </w:pPr>
    </w:p>
    <w:p>
      <w:pPr>
        <w:jc w:val="both"/>
        <w:ind w:right="460" w:firstLine="255"/>
        <w:spacing w:after="0" w:line="263" w:lineRule="auto"/>
        <w:rPr>
          <w:sz w:val="20"/>
          <w:szCs w:val="20"/>
          <w:color w:val="auto"/>
        </w:rPr>
      </w:pPr>
      <w:r>
        <w:rPr>
          <w:rFonts w:ascii="Arial" w:cs="Arial" w:eastAsia="Arial" w:hAnsi="Arial"/>
          <w:sz w:val="18"/>
          <w:szCs w:val="18"/>
          <w:b w:val="1"/>
          <w:bCs w:val="1"/>
          <w:i w:val="1"/>
          <w:iCs w:val="1"/>
          <w:color w:val="auto"/>
        </w:rPr>
        <w:t xml:space="preserve">Changes in Internal Control over Financial Reporting. </w:t>
      </w:r>
      <w:r>
        <w:rPr>
          <w:rFonts w:ascii="Arial" w:cs="Arial" w:eastAsia="Arial" w:hAnsi="Arial"/>
          <w:sz w:val="18"/>
          <w:szCs w:val="18"/>
          <w:color w:val="auto"/>
        </w:rPr>
        <w:t>There have been no changes in our internal control over financial reporting that occurred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our most recently completed fiscal quarter that have materially affected, or are reasonably likely to materially affect, our internal control over financial reporting.</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80" w:firstLine="255"/>
        <w:spacing w:after="0" w:line="263" w:lineRule="auto"/>
        <w:rPr>
          <w:sz w:val="20"/>
          <w:szCs w:val="20"/>
          <w:color w:val="auto"/>
        </w:rPr>
      </w:pPr>
      <w:r>
        <w:rPr>
          <w:rFonts w:ascii="Arial" w:cs="Arial" w:eastAsia="Arial" w:hAnsi="Arial"/>
          <w:sz w:val="18"/>
          <w:szCs w:val="18"/>
          <w:color w:val="auto"/>
        </w:rPr>
        <w:t>From time to time, we may be a party to certain legal proceedings in the ordinary course of business, including proceedings relating to the enforcement of our rights under loans to or other contracts with our portfolio companies. We are not currently subject to any material legal proceedings, nor, to our knowledge, is any material legal proceeding threatened against us.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80" w:firstLine="255"/>
        <w:spacing w:after="0" w:line="257" w:lineRule="auto"/>
        <w:rPr>
          <w:sz w:val="20"/>
          <w:szCs w:val="20"/>
          <w:color w:val="auto"/>
        </w:rPr>
      </w:pPr>
      <w:r>
        <w:rPr>
          <w:rFonts w:ascii="Arial" w:cs="Arial" w:eastAsia="Arial" w:hAnsi="Arial"/>
          <w:sz w:val="18"/>
          <w:szCs w:val="18"/>
          <w:color w:val="auto"/>
        </w:rPr>
        <w:t>In addition to the other information set forth in this report, you should carefully consider the risk factors discussed in Part I, “Item 1A. Risk Factors” in our Annual Report on Form 10-K for the fiscal year ended December 31, 2019 and the risk factors set forth below, which could materially affect our business, financial condition and/or operating results. These risks are not the only risks facing our Company. Additional risks and uncertainties not currently known to us or that we currently deem to be immaterial also may materially and adversely affect our business, financial condition and/or operating results.</w:t>
      </w:r>
    </w:p>
    <w:p>
      <w:pPr>
        <w:spacing w:after="0" w:line="29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The COVID-19 pandemic has materially and adversely affected, and is likely to continue to materially and adversely affect, our portfolio companies and the results of our operations, including our financial results.</w:t>
      </w:r>
    </w:p>
    <w:p>
      <w:pPr>
        <w:spacing w:after="0" w:line="62" w:lineRule="exact"/>
        <w:rPr>
          <w:sz w:val="20"/>
          <w:szCs w:val="20"/>
          <w:color w:val="auto"/>
        </w:rPr>
      </w:pPr>
    </w:p>
    <w:p>
      <w:pPr>
        <w:ind w:firstLine="255"/>
        <w:spacing w:after="0" w:line="268" w:lineRule="auto"/>
        <w:rPr>
          <w:sz w:val="20"/>
          <w:szCs w:val="20"/>
          <w:color w:val="auto"/>
        </w:rPr>
      </w:pPr>
      <w:r>
        <w:rPr>
          <w:rFonts w:ascii="Arial" w:cs="Arial" w:eastAsia="Arial" w:hAnsi="Arial"/>
          <w:sz w:val="17"/>
          <w:szCs w:val="17"/>
          <w:color w:val="auto"/>
        </w:rPr>
        <w:t>In late 2019 and early 2020, the novel coronavirus SARS-CoV-2 and related respiratory disease COVID-19 emerged in China and spread rapidly across the world, including to the United States. This outbreak has led to, and for an unknown and potentially significant period of time will continue to lead to, disruptions in local, regional, national and global markets and economies affected thereby. To date, cross border commercial activity and market sentiment have been negatively impacted by the outbreak and government and other measures seeking to contain its spread. With respect to the U.S. credit markets, and middle market loans and the businesses of our portfolio companies in particular, this outbreak has resulted in, and is likely to continue to result in, among other things, government imposition of various forms of “stay at home” orders and the closing of “non-essential” businesses, resulting in significant disruption to the businesses of many middle-market loan borrowers including supply chains, demand and practical aspects of their operations, as well as in lay-offs of employees; rapidly evolving proposals and/or actions by state and federal governments to address problems being experienced by the markets and by businesses and the economy in general which will not necessarily adequately address the problems facing the loan market and middle market businesses; and liquidity issues. While these effects are hoped to be temporary, some effects could be persistent or even permanent. We cannot predict when, or if, the impacts of the COVID-19 pandemic may lessen. As a result, these conditions could result in (i) increased draws by some eligible borrowers on revolving lines of credit and/or (ii) increased requests by some borrowers for amendments and waivers of their credit agreements to avoid default, increased defaults by such borrowers and/or increased difficulty in obtaining refinancing at the maturity dates of their loans. Further, volatility and disruption of these markets has led to greater volatility in pricing and spreads, and may lead to difficulty in valuing loans during these periods. This outbreak and its effects are having, and the effects of any future outbreaks could have, an adverse impact on our portfolio companies and us and on the markets and the economy in general, and that impact could be material.</w:t>
      </w:r>
    </w:p>
    <w:p>
      <w:pPr>
        <w:spacing w:after="0" w:line="180" w:lineRule="exact"/>
        <w:rPr>
          <w:sz w:val="20"/>
          <w:szCs w:val="20"/>
          <w:color w:val="auto"/>
        </w:rPr>
      </w:pPr>
    </w:p>
    <w:p>
      <w:pPr>
        <w:jc w:val="both"/>
        <w:ind w:right="620" w:firstLine="255"/>
        <w:spacing w:after="0" w:line="263" w:lineRule="auto"/>
        <w:rPr>
          <w:sz w:val="20"/>
          <w:szCs w:val="20"/>
          <w:color w:val="auto"/>
        </w:rPr>
      </w:pPr>
      <w:r>
        <w:rPr>
          <w:rFonts w:ascii="Arial" w:cs="Arial" w:eastAsia="Arial" w:hAnsi="Arial"/>
          <w:sz w:val="18"/>
          <w:szCs w:val="18"/>
          <w:color w:val="auto"/>
        </w:rPr>
        <w:t>From an operational perspective, the effects of the COVID-19 pandemic could materially and adversely disrupt our business operations and the operations of the Adviser, including the guidelines and restrictions put in place by federal, state and local governments that may cause a potentially significant duration of remote working.</w:t>
      </w:r>
    </w:p>
    <w:p>
      <w:pPr>
        <w:spacing w:after="0" w:line="184" w:lineRule="exact"/>
        <w:rPr>
          <w:sz w:val="20"/>
          <w:szCs w:val="20"/>
          <w:color w:val="auto"/>
        </w:rPr>
      </w:pPr>
    </w:p>
    <w:p>
      <w:pPr>
        <w:ind w:right="80" w:firstLine="255"/>
        <w:spacing w:after="0" w:line="259" w:lineRule="auto"/>
        <w:rPr>
          <w:sz w:val="20"/>
          <w:szCs w:val="20"/>
          <w:color w:val="auto"/>
        </w:rPr>
      </w:pPr>
      <w:r>
        <w:rPr>
          <w:rFonts w:ascii="Arial" w:cs="Arial" w:eastAsia="Arial" w:hAnsi="Arial"/>
          <w:sz w:val="18"/>
          <w:szCs w:val="18"/>
          <w:color w:val="auto"/>
        </w:rPr>
        <w:t>Moreover, the effects of the COVID-19 pandemic may heighten the other risks described in the section entitled “Risk Factors” in our most recent Annual Report on Form 10-K and any subsequent report filed with the Securities and Exchange Commission. It is currently impossible to determine the scope of this or any future outbreak, how long any such outbreak, market disruption, volatility or uncertainty may last, the effect any governmental actions will have or the full potential impact on us, the Adviser and our portfolio companies.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i w:val="1"/>
          <w:iCs w:val="1"/>
          <w:color w:val="auto"/>
        </w:rPr>
        <w:t>We are currently operating in a period of disruption, volatility and uncertainty in the capital markets and in the economy generally.</w:t>
      </w:r>
    </w:p>
    <w:p>
      <w:pPr>
        <w:spacing w:after="0" w:line="117" w:lineRule="exact"/>
        <w:rPr>
          <w:sz w:val="20"/>
          <w:szCs w:val="20"/>
          <w:color w:val="auto"/>
        </w:rPr>
      </w:pPr>
    </w:p>
    <w:p>
      <w:pPr>
        <w:ind w:firstLine="255"/>
        <w:spacing w:after="0" w:line="270" w:lineRule="auto"/>
        <w:rPr>
          <w:sz w:val="20"/>
          <w:szCs w:val="20"/>
          <w:color w:val="auto"/>
        </w:rPr>
      </w:pPr>
      <w:r>
        <w:rPr>
          <w:rFonts w:ascii="Arial" w:cs="Arial" w:eastAsia="Arial" w:hAnsi="Arial"/>
          <w:sz w:val="17"/>
          <w:szCs w:val="17"/>
          <w:color w:val="auto"/>
        </w:rPr>
        <w:t>The U.S. capital markets have experienced extreme volatility and disruption following the spread of COVID-19 in the United States and globally. Some economists and major investment banks have expressed concern that the continued spread of the virus could lead to a world-wide economic downturn. Disruptions in the capital markets have increased the spread between the yields realized on risk-free and higher risk securities, resulting in illiquidity in parts of the capital markets. The federal government and the Federal Reserve, as well as foreign governments and central banks, have implemented significant fiscal and monetary policies in response to these disruptions, and additional government and regulatory responses may be possible. These actions, future market disruptions and illiquidity could have an adverse effect on our business, financial condition, results of operations and cash flows. Unfavorable economic conditions also could increase our funding costs, limit our access to the capital markets or result in a decision by lenders not to extend credit to us. These events could limit our investment originations and our ability to grow, and could have a material negative impact on our operating results and the fair values of our debt and equity investments.</w:t>
      </w:r>
    </w:p>
    <w:p>
      <w:pPr>
        <w:spacing w:after="0" w:line="181" w:lineRule="exact"/>
        <w:rPr>
          <w:sz w:val="20"/>
          <w:szCs w:val="20"/>
          <w:color w:val="auto"/>
        </w:rPr>
      </w:pPr>
    </w:p>
    <w:p>
      <w:pPr>
        <w:ind w:right="60" w:firstLine="255"/>
        <w:spacing w:after="0" w:line="257" w:lineRule="auto"/>
        <w:rPr>
          <w:sz w:val="20"/>
          <w:szCs w:val="20"/>
          <w:color w:val="auto"/>
        </w:rPr>
      </w:pPr>
      <w:r>
        <w:rPr>
          <w:rFonts w:ascii="Arial" w:cs="Arial" w:eastAsia="Arial" w:hAnsi="Arial"/>
          <w:sz w:val="18"/>
          <w:szCs w:val="18"/>
          <w:color w:val="auto"/>
        </w:rPr>
        <w:t>We believe that attractive investment opportunities may present themselves during this volatile period as in other periods of market volatility, and we may have opportunities to make investments at compelling values. However, periods of market disruption and instability, like the one we are experiencing currently, may adversely affect our access to sufficient debt and equity capital in order to take advantage of attractive investment opportunities that are created during these periods. In addition, the debt capital that will be available in the future, if any, may be at a higher cost and on less favorable terms and conditions.</w:t>
      </w:r>
    </w:p>
    <w:p>
      <w:pPr>
        <w:spacing w:after="0" w:line="188" w:lineRule="exact"/>
        <w:rPr>
          <w:sz w:val="20"/>
          <w:szCs w:val="20"/>
          <w:color w:val="auto"/>
        </w:rPr>
      </w:pPr>
    </w:p>
    <w:p>
      <w:pPr>
        <w:jc w:val="both"/>
        <w:ind w:right="420" w:firstLine="255"/>
        <w:spacing w:after="0" w:line="311" w:lineRule="auto"/>
        <w:rPr>
          <w:sz w:val="20"/>
          <w:szCs w:val="20"/>
          <w:color w:val="auto"/>
        </w:rPr>
      </w:pPr>
      <w:r>
        <w:rPr>
          <w:rFonts w:ascii="Arial" w:cs="Arial" w:eastAsia="Arial" w:hAnsi="Arial"/>
          <w:sz w:val="16"/>
          <w:szCs w:val="16"/>
          <w:i w:val="1"/>
          <w:iCs w:val="1"/>
          <w:color w:val="auto"/>
        </w:rPr>
        <w:t>In addition, pursuant to Section 61(a)(2)(C)(ii) of the 1940 Act, the principal risk factors associated with our senior securities are set forth below. However, since we already use leverage in optimizing our investment portfolio, the principal risk factors associated with our senior securities do not represent material changes to the risk factors previously disclosed in our Annual Report on Form 10-K for the fiscal year ended December 31, 2019.</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Legislation allows us to incur additional leverage.</w:t>
      </w:r>
    </w:p>
    <w:p>
      <w:pPr>
        <w:spacing w:after="0" w:line="117" w:lineRule="exact"/>
        <w:rPr>
          <w:sz w:val="20"/>
          <w:szCs w:val="20"/>
          <w:color w:val="auto"/>
        </w:rPr>
      </w:pPr>
    </w:p>
    <w:p>
      <w:pPr>
        <w:ind w:right="40" w:firstLine="255"/>
        <w:spacing w:after="0" w:line="301" w:lineRule="auto"/>
        <w:rPr>
          <w:sz w:val="20"/>
          <w:szCs w:val="20"/>
          <w:color w:val="auto"/>
        </w:rPr>
      </w:pPr>
      <w:r>
        <w:rPr>
          <w:rFonts w:ascii="Arial" w:cs="Arial" w:eastAsia="Arial" w:hAnsi="Arial"/>
          <w:sz w:val="16"/>
          <w:szCs w:val="16"/>
          <w:color w:val="auto"/>
        </w:rPr>
        <w:t>Under the 1940 Act, a BDC generally is not permitted to incur borrowings, issue debt securities or issue preferred stock unless immediately after the borrowing or issuance the ratio of total assets (less total liabilities other than indebtedness) to total indebtedness plus preferred stock is at least 200%. However, under the SBCAA, which became law in March 2018, BDCs have the ability to elect to become subject to a lower asset coverage requirement of 150%, subject to the receipt of the requisite board or stockholder approvals under the SBCAA and satisfaction of certain other conditions.</w:t>
      </w:r>
    </w:p>
    <w:p>
      <w:pPr>
        <w:spacing w:after="0" w:line="157" w:lineRule="exact"/>
        <w:rPr>
          <w:sz w:val="20"/>
          <w:szCs w:val="20"/>
          <w:color w:val="auto"/>
        </w:rPr>
      </w:pPr>
    </w:p>
    <w:p>
      <w:pPr>
        <w:jc w:val="both"/>
        <w:ind w:right="120" w:firstLine="255"/>
        <w:spacing w:after="0" w:line="279" w:lineRule="auto"/>
        <w:rPr>
          <w:sz w:val="20"/>
          <w:szCs w:val="20"/>
          <w:color w:val="auto"/>
        </w:rPr>
      </w:pPr>
      <w:r>
        <w:rPr>
          <w:rFonts w:ascii="Arial" w:cs="Arial" w:eastAsia="Arial" w:hAnsi="Arial"/>
          <w:sz w:val="17"/>
          <w:szCs w:val="17"/>
          <w:color w:val="auto"/>
        </w:rPr>
        <w:t>On October 8, 2018, our stockholders approved the application of the minimum asset coverage ratio of 150% to us, as set forth in Section 61(a)(2) of the 1940 Act, as amended by the SBCAA. As a result and subject to certain additional disclosure requirements, as of October 9, 2018, our minimum asset coverage ratio was reduced from 200% to 150%. In other words, pursuant to Section 61(a) of the 1940 Act, as amended by the SBCAA, we are permitted to potentially increase our maximum debt-to-equity ratio from an effective level of one-to-one to two-to-one.</w:t>
      </w:r>
    </w:p>
    <w:p>
      <w:pPr>
        <w:spacing w:after="0" w:line="171" w:lineRule="exact"/>
        <w:rPr>
          <w:sz w:val="20"/>
          <w:szCs w:val="20"/>
          <w:color w:val="auto"/>
        </w:rPr>
      </w:pPr>
    </w:p>
    <w:p>
      <w:pPr>
        <w:ind w:right="420" w:firstLine="255"/>
        <w:spacing w:after="0" w:line="277" w:lineRule="auto"/>
        <w:rPr>
          <w:sz w:val="20"/>
          <w:szCs w:val="20"/>
          <w:color w:val="auto"/>
        </w:rPr>
      </w:pPr>
      <w:r>
        <w:rPr>
          <w:rFonts w:ascii="Arial" w:cs="Arial" w:eastAsia="Arial" w:hAnsi="Arial"/>
          <w:sz w:val="18"/>
          <w:szCs w:val="18"/>
          <w:color w:val="auto"/>
        </w:rPr>
        <w:t>As a result, you may face increased investment risk. We may not be able to implement our strategy to utilize additional leverage successfully. Any impact on returns or equity or our business associated with additional leverage may not outweigh the additional risk.</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governing our operation as a BDC affect our ability to, and the way in which we, raise additional capital.</w:t>
      </w:r>
    </w:p>
    <w:p>
      <w:pPr>
        <w:spacing w:after="0" w:line="117" w:lineRule="exact"/>
        <w:rPr>
          <w:sz w:val="20"/>
          <w:szCs w:val="20"/>
          <w:color w:val="auto"/>
        </w:rPr>
      </w:pPr>
    </w:p>
    <w:p>
      <w:pPr>
        <w:ind w:right="160" w:firstLine="255"/>
        <w:spacing w:after="0" w:line="259" w:lineRule="auto"/>
        <w:rPr>
          <w:sz w:val="20"/>
          <w:szCs w:val="20"/>
          <w:color w:val="auto"/>
        </w:rPr>
      </w:pPr>
      <w:r>
        <w:rPr>
          <w:rFonts w:ascii="Arial" w:cs="Arial" w:eastAsia="Arial" w:hAnsi="Arial"/>
          <w:sz w:val="18"/>
          <w:szCs w:val="18"/>
          <w:color w:val="auto"/>
        </w:rPr>
        <w:t>The 1940 Act imposes numerous constraints on the operations of BDCs. For example, BDCs are required to invest at least 70% of their total assets in securities of nonpublic or thinly traded U.S. companies, cash, cash equivalents, U.S. government securities and other high-quality debt investments that mature in one year or less. These constraints may hinder the Adviser’s ability to take advantage of attractive investment opportunities and to achieve our investment objective.</w:t>
      </w:r>
    </w:p>
    <w:p>
      <w:pPr>
        <w:spacing w:after="0" w:line="187" w:lineRule="exact"/>
        <w:rPr>
          <w:sz w:val="20"/>
          <w:szCs w:val="20"/>
          <w:color w:val="auto"/>
        </w:rPr>
      </w:pPr>
    </w:p>
    <w:p>
      <w:pPr>
        <w:ind w:right="60" w:firstLine="255"/>
        <w:spacing w:after="0" w:line="263" w:lineRule="auto"/>
        <w:rPr>
          <w:sz w:val="20"/>
          <w:szCs w:val="20"/>
          <w:color w:val="auto"/>
        </w:rPr>
      </w:pPr>
      <w:r>
        <w:rPr>
          <w:rFonts w:ascii="Arial" w:cs="Arial" w:eastAsia="Arial" w:hAnsi="Arial"/>
          <w:sz w:val="18"/>
          <w:szCs w:val="18"/>
          <w:color w:val="auto"/>
        </w:rPr>
        <w:t>We may need to periodically access the debt and equity capital markets to raise cash to fund new investments in excess of our repayments, and we may also need to access the capital markets to refinance existing debt obligations to the extent such maturing obligations are not repaid with availability under our revolving credit facilities or cash flows from operations.</w:t>
      </w:r>
    </w:p>
    <w:p>
      <w:pPr>
        <w:spacing w:after="0" w:line="184" w:lineRule="exact"/>
        <w:rPr>
          <w:sz w:val="20"/>
          <w:szCs w:val="20"/>
          <w:color w:val="auto"/>
        </w:rPr>
      </w:pPr>
    </w:p>
    <w:p>
      <w:pPr>
        <w:ind w:firstLine="255"/>
        <w:spacing w:after="0" w:line="301" w:lineRule="auto"/>
        <w:rPr>
          <w:sz w:val="20"/>
          <w:szCs w:val="20"/>
          <w:color w:val="auto"/>
        </w:rPr>
      </w:pPr>
      <w:r>
        <w:rPr>
          <w:rFonts w:ascii="Arial" w:cs="Arial" w:eastAsia="Arial" w:hAnsi="Arial"/>
          <w:sz w:val="16"/>
          <w:szCs w:val="16"/>
          <w:color w:val="auto"/>
        </w:rPr>
        <w:t>Regulations governing our operation as a BDC affect our ability to raise additional capital, and the ways in which we can do so. Raising additional capital may expose us to risks, including the typical risks associated with leverage, and may result in dilution to our current stockholders. The 1940 Act limits our ability to incur borrowings and issue debt securities and preferred stock, which we refer to as senior securities, requiring that after any borrowing or issuance the ratio of total assets (less total liabilities other than indebtedness) to total indebtedness plus preferred stock, is at least 150%.</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72" w:name="page73"/>
    <w:bookmarkEnd w:id="72"/>
    <w:p>
      <w:pPr>
        <w:ind w:firstLine="255"/>
        <w:spacing w:after="0" w:line="271" w:lineRule="auto"/>
        <w:rPr>
          <w:sz w:val="20"/>
          <w:szCs w:val="20"/>
          <w:color w:val="auto"/>
        </w:rPr>
      </w:pPr>
      <w:r>
        <w:rPr>
          <w:rFonts w:ascii="Arial" w:cs="Arial" w:eastAsia="Arial" w:hAnsi="Arial"/>
          <w:sz w:val="17"/>
          <w:szCs w:val="17"/>
          <w:color w:val="auto"/>
        </w:rPr>
        <w:t>We may need to continue to borrow from financial institutions and issue additional securities to fund our growth. Unfavorable economic or capital market conditions may increase our funding costs, limit our access to the capital markets or could result in a decision by lenders not to extend credit to us. An inability to successfully access the capital markets may limit our ability to refinance our existing debt obligations as they come due and/or to fully execute our business strategy and could limit our ability to grow or cause us to have to shrink the size of our business, which could decrease our earnings, if any. Consequently, if the value of our assets declines or we are unable to access the capital markets we may be required to sell a portion of our investments and, depending on the nature of our leverage, repay a portion of our indebtedness at a time when this may be disadvantageous. Also, any amounts that we use to service our indebtedness would not be available for distributions to our common stockholders. If we borrow money or issue senior securities, we will be exposed to typical risks associated with leverage, including an increased risk of loss.</w:t>
      </w:r>
    </w:p>
    <w:p>
      <w:pPr>
        <w:spacing w:after="0" w:line="178" w:lineRule="exact"/>
        <w:rPr>
          <w:sz w:val="20"/>
          <w:szCs w:val="20"/>
          <w:color w:val="auto"/>
        </w:rPr>
      </w:pPr>
    </w:p>
    <w:p>
      <w:pPr>
        <w:ind w:right="100" w:firstLine="255"/>
        <w:spacing w:after="0" w:line="254" w:lineRule="auto"/>
        <w:rPr>
          <w:sz w:val="20"/>
          <w:szCs w:val="20"/>
          <w:color w:val="auto"/>
        </w:rPr>
      </w:pPr>
      <w:r>
        <w:rPr>
          <w:rFonts w:ascii="Arial" w:cs="Arial" w:eastAsia="Arial" w:hAnsi="Arial"/>
          <w:sz w:val="18"/>
          <w:szCs w:val="18"/>
          <w:color w:val="auto"/>
        </w:rPr>
        <w:t>If we issue preferred stock, the preferred stock would rank senior to common stock in our capital structure. Preferred stockholders would have separate voting rights on certain matters and may have other rights, preferences or privileges more favorable than those of our common stockholders. The issuance of preferred stock could have the effect of delaying, deferring or preventing a transaction or a change of control that might involve a premium price for holders of our common stock or otherwise be in your best interest. Holders of our common stock will directly or indirectly bear all of the costs associated with offering and servicing any preferred stock that we issue. In addition, any interests of preferred stockholders may not necessarily align with the interests of holders of our common stock and the rights of holders of shares of preferred stock to receive dividends would be senior to those of holders of shares of our common stock.</w:t>
      </w:r>
    </w:p>
    <w:p>
      <w:pPr>
        <w:spacing w:after="0" w:line="195" w:lineRule="exact"/>
        <w:rPr>
          <w:sz w:val="20"/>
          <w:szCs w:val="20"/>
          <w:color w:val="auto"/>
        </w:rPr>
      </w:pPr>
    </w:p>
    <w:p>
      <w:pPr>
        <w:ind w:firstLine="255"/>
        <w:spacing w:after="0" w:line="286" w:lineRule="auto"/>
        <w:rPr>
          <w:sz w:val="20"/>
          <w:szCs w:val="20"/>
          <w:color w:val="auto"/>
        </w:rPr>
      </w:pPr>
      <w:r>
        <w:rPr>
          <w:rFonts w:ascii="Arial" w:cs="Arial" w:eastAsia="Arial" w:hAnsi="Arial"/>
          <w:sz w:val="16"/>
          <w:szCs w:val="16"/>
          <w:color w:val="auto"/>
        </w:rPr>
        <w:t>Our Board may decide to issue additional common stock to finance our operations rather than issuing debt or other senior securities. However, we generally are not able to issue and sell our common stock at a price below net asset value per share. We may, however, elect to issue and sell our common stock, or warrants, options or rights to acquire our common stock, at a price below the then-current net asset value of our common stock if our Board determines that the sale is in our best interests and the best interests of our stockholders, and our stockholders have approved our policy and practice of making these sales within the preceding 12 months. Pursuant to approval granted at a special meeting of stockholders held on May 28, 2020, we are currently permitted to sell or otherwise issue shares of our common stock at a price below our then-current net asset value per share, subject to the approval of our Board and certain other conditions. Such stockholder approval expires on May 28, 2021. In any such case, the price at which our securities are to be issued and sold may not be less than a price that, in the determination of our Board, closely approximates the market value of those securities (less any distribution commission or discount). In the event we sell shares of our common stock at a price below net asset value per share, existing stockholders will experience net asset value dilution. This dilution would occur as a result of the sale of shares at a price below the then current net asset value per share of our common stock and would cause a proportionately greater decrease in the stockholders’ interest in our earnings and assets and their voting interest in us than the increase in our assets resulting from such issuance. As a result of any such dilution, our market price per share may decline. Because the number of shares of common stock that could be so issued and the timing of any issuance is not currently known, the actual dilutive effect cannot be predicted.</w:t>
      </w:r>
    </w:p>
    <w:p>
      <w:pPr>
        <w:spacing w:after="0" w:line="174" w:lineRule="exact"/>
        <w:rPr>
          <w:sz w:val="20"/>
          <w:szCs w:val="20"/>
          <w:color w:val="auto"/>
        </w:rPr>
      </w:pPr>
    </w:p>
    <w:p>
      <w:pPr>
        <w:ind w:right="20" w:firstLine="255"/>
        <w:spacing w:after="0" w:line="289" w:lineRule="auto"/>
        <w:rPr>
          <w:sz w:val="20"/>
          <w:szCs w:val="20"/>
          <w:color w:val="auto"/>
        </w:rPr>
      </w:pPr>
      <w:r>
        <w:rPr>
          <w:rFonts w:ascii="Arial" w:cs="Arial" w:eastAsia="Arial" w:hAnsi="Arial"/>
          <w:sz w:val="16"/>
          <w:szCs w:val="16"/>
          <w:color w:val="auto"/>
        </w:rPr>
        <w:t>In addition to issuing securities to raise capital as described above, we could securitize our investments to generate cash for funding new investments. To securitize our investments, we likely would create a wholly owned subsidiary, contribute a pool of loans to the subsidiary and have the subsidiary issue primarily investment grade debt securities to purchasers who we would expect would be willing to accept a substantially lower interest rate than the loans earn. We would retain all or a portion of the equity in the securitized pool of loans. Our retained equity would be exposed to any losses on the portfolio of investments before any of the debt securities would be exposed to the losses. An inability to successfully securitize our investment portfolio could limit our ability to grow or fully execute our business and could adversely affect our earnings, if any. The successful securitization of our investment could expose us to losses because the portions of the securitized investments that we would typically retain tend to be those that are riskier and more apt to generate losses. The 1940 Act also may impose restrictions on the structure of any securitization. In connection with any future securitization of investments, we may incur greater set-up and administration fees relating to such vehicles than we have in connection with financing of our investments in the past.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i w:val="1"/>
          <w:iCs w:val="1"/>
          <w:color w:val="auto"/>
        </w:rPr>
        <w:t>We borrow money, which magnifies the potential for gain or loss and increases the risk of investing in us.</w:t>
      </w:r>
    </w:p>
    <w:p>
      <w:pPr>
        <w:spacing w:after="0" w:line="117" w:lineRule="exact"/>
        <w:rPr>
          <w:sz w:val="20"/>
          <w:szCs w:val="20"/>
          <w:color w:val="auto"/>
        </w:rPr>
      </w:pPr>
    </w:p>
    <w:p>
      <w:pPr>
        <w:ind w:right="20" w:firstLine="255"/>
        <w:spacing w:after="0" w:line="289" w:lineRule="auto"/>
        <w:rPr>
          <w:sz w:val="20"/>
          <w:szCs w:val="20"/>
          <w:color w:val="auto"/>
        </w:rPr>
      </w:pPr>
      <w:r>
        <w:rPr>
          <w:rFonts w:ascii="Arial" w:cs="Arial" w:eastAsia="Arial" w:hAnsi="Arial"/>
          <w:sz w:val="16"/>
          <w:szCs w:val="16"/>
          <w:color w:val="auto"/>
        </w:rPr>
        <w:t>As part of our business strategy, we borrow from and may in the future issue additional senior debt securities to banks, insurance companies and other lenders. Holders of these loans or senior securities would have fixed-dollar claims on our assets that have priority over the claims of our stockholders. If the value of our assets decreases, leverage will cause our net asset value to decline more sharply than it otherwise would have without leverage. Similarly, any decrease in our income would cause our net income to decline more sharply than it would have if we had not borrowed. This decline could negatively affect our ability to make dividend payments on our common stock. Our ability to service our borrowings depends largely on our financial performance and is subject to prevailing economic conditions and competitive pressures. In addition, the Management Fee is payable based on our gross assets, including cash and assets acquired through the use of leverage, which may give our Adviser an incentive to use leverage to make additional investments. The amount of leverage that we employ will depend on our Adviser’s and our Board’s assessment of market and other factors at the time of any proposed borrowing. We cannot assure you that we will be able to obtain credit at all or on terms acceptable to us.</w:t>
      </w:r>
    </w:p>
    <w:p>
      <w:pPr>
        <w:spacing w:after="0" w:line="166" w:lineRule="exact"/>
        <w:rPr>
          <w:sz w:val="20"/>
          <w:szCs w:val="20"/>
          <w:color w:val="auto"/>
        </w:rPr>
      </w:pPr>
    </w:p>
    <w:p>
      <w:pPr>
        <w:ind w:right="40" w:firstLine="255"/>
        <w:spacing w:after="0" w:line="254" w:lineRule="auto"/>
        <w:rPr>
          <w:sz w:val="20"/>
          <w:szCs w:val="20"/>
          <w:color w:val="auto"/>
        </w:rPr>
      </w:pPr>
      <w:r>
        <w:rPr>
          <w:rFonts w:ascii="Arial" w:cs="Arial" w:eastAsia="Arial" w:hAnsi="Arial"/>
          <w:sz w:val="18"/>
          <w:szCs w:val="18"/>
          <w:color w:val="auto"/>
        </w:rPr>
        <w:t>Our credit facilities and indentures governing our indebtedness also impose financial and operating covenants that restrict our business activities, remedies on default and similar matters. As of September 30, 2020, we are in compliance with the covenants of our credit facilities and indentures. However, our continued compliance with these covenants depends on many factors, some of which are beyond our control. Accordingly, although we believe we will continue to be in compliance, we cannot assure you that we will continue to comply with the covenants in our credit facilities and indentures. Failure to comply with these covenants could result in a default. If we were unable to obtain a waiver of a default from the lenders or holders of that indebtedness, as applicable, those lenders or holders could accelerate repayment under that indebtedness. An acceleration could have a material adverse impact on our business, financial condition and results of operations. Lastly, we may be unable to obtain additional leverage, which would, in turn, affect our return on capital.</w:t>
      </w:r>
    </w:p>
    <w:p>
      <w:pPr>
        <w:spacing w:after="0" w:line="192" w:lineRule="exact"/>
        <w:rPr>
          <w:sz w:val="20"/>
          <w:szCs w:val="20"/>
          <w:color w:val="auto"/>
        </w:rPr>
      </w:pPr>
    </w:p>
    <w:p>
      <w:pPr>
        <w:ind w:right="40" w:firstLine="255"/>
        <w:spacing w:after="0" w:line="296" w:lineRule="auto"/>
        <w:rPr>
          <w:sz w:val="20"/>
          <w:szCs w:val="20"/>
          <w:color w:val="auto"/>
        </w:rPr>
      </w:pPr>
      <w:r>
        <w:rPr>
          <w:rFonts w:ascii="Arial" w:cs="Arial" w:eastAsia="Arial" w:hAnsi="Arial"/>
          <w:sz w:val="16"/>
          <w:szCs w:val="16"/>
          <w:color w:val="auto"/>
        </w:rPr>
        <w:t>As of September 30, 2020, we had $931.6 million of outstanding indebtedness, which had an annualized interest cost of 2.41% under the terms of our debt, excluding fees (such as fees on undrawn amounts and amortization of upfront fees) and giving effect to the swap-adjusted interest rates on our 2022 Convertible Notes, 2023 Notes and 2024 Notes. As of September 30, 2020, as adjusted to give effect to the interest rate swaps, the interest rate on the 2022 Convertible Notes was three-month LIBOR plus 2.11% (on a weighted-average basis) and the interest rate on the 2023 Notes was three-month LIBOR plus 1.99%, and the interest rate on the 2024 Notes was three-month LIBOR plus 2.28% (on a weighted-average basis).</w:t>
      </w:r>
    </w:p>
    <w:p>
      <w:pPr>
        <w:spacing w:after="0" w:line="161" w:lineRule="exact"/>
        <w:rPr>
          <w:sz w:val="20"/>
          <w:szCs w:val="20"/>
          <w:color w:val="auto"/>
        </w:rPr>
      </w:pPr>
    </w:p>
    <w:p>
      <w:pPr>
        <w:ind w:right="140" w:firstLine="255"/>
        <w:spacing w:after="0" w:line="263" w:lineRule="auto"/>
        <w:rPr>
          <w:sz w:val="20"/>
          <w:szCs w:val="20"/>
          <w:color w:val="auto"/>
        </w:rPr>
      </w:pPr>
      <w:r>
        <w:rPr>
          <w:rFonts w:ascii="Arial" w:cs="Arial" w:eastAsia="Arial" w:hAnsi="Arial"/>
          <w:sz w:val="18"/>
          <w:szCs w:val="18"/>
          <w:color w:val="auto"/>
        </w:rPr>
        <w:t>For us to cover these annualized interest payments on indebtedness, we must achieve annual returns on our investments of at least 1.1%. Since we generally pay interest at a floating rate on our debt, an increase in interest rates will generally increase our borrowing costs. We expect that our annualized interest cost and returns required to cover interest will increase if we issue additional debt securities.</w:t>
      </w:r>
    </w:p>
    <w:p>
      <w:pPr>
        <w:spacing w:after="0" w:line="184" w:lineRule="exact"/>
        <w:rPr>
          <w:sz w:val="20"/>
          <w:szCs w:val="20"/>
          <w:color w:val="auto"/>
        </w:rPr>
      </w:pPr>
    </w:p>
    <w:p>
      <w:pPr>
        <w:ind w:right="40" w:firstLine="255"/>
        <w:spacing w:after="0" w:line="279" w:lineRule="auto"/>
        <w:rPr>
          <w:sz w:val="20"/>
          <w:szCs w:val="20"/>
          <w:color w:val="auto"/>
        </w:rPr>
      </w:pPr>
      <w:r>
        <w:rPr>
          <w:rFonts w:ascii="Arial" w:cs="Arial" w:eastAsia="Arial" w:hAnsi="Arial"/>
          <w:sz w:val="17"/>
          <w:szCs w:val="17"/>
          <w:color w:val="auto"/>
        </w:rPr>
        <w:t>In order to assist investors in understanding the effects of leverage, the following table illustrates the effect of leverage on returns from an investment in our common stock assuming various annual returns, net of expenses. Leverage generally magnifies the return of stockholders when the portfolio return is positive and magnifies their losses when the portfolio return is negative. Actual returns may be greater or less than those appearing in the table. The calculations in the table below are hypothetical and actual returns may be higher or lower than those appearing below.</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Effects of Leverage Based on Actual Amount of Borrowings Incurred by us as of September 30, 2020</w:t>
      </w:r>
    </w:p>
    <w:p>
      <w:pPr>
        <w:spacing w:after="0" w:line="221" w:lineRule="exact"/>
        <w:rPr>
          <w:sz w:val="20"/>
          <w:szCs w:val="20"/>
          <w:color w:val="auto"/>
        </w:rPr>
      </w:pPr>
    </w:p>
    <w:p>
      <w:pPr>
        <w:jc w:val="center"/>
        <w:ind w:left="4420"/>
        <w:spacing w:after="0"/>
        <w:rPr>
          <w:sz w:val="20"/>
          <w:szCs w:val="20"/>
          <w:color w:val="auto"/>
        </w:rPr>
      </w:pPr>
      <w:r>
        <w:rPr>
          <w:rFonts w:ascii="Arial" w:cs="Arial" w:eastAsia="Arial" w:hAnsi="Arial"/>
          <w:sz w:val="14"/>
          <w:szCs w:val="14"/>
          <w:b w:val="1"/>
          <w:bCs w:val="1"/>
          <w:color w:val="auto"/>
        </w:rPr>
        <w:t>Assumed Return on Our Portfolio</w:t>
      </w:r>
    </w:p>
    <w:p>
      <w:pPr>
        <w:spacing w:after="0" w:line="4" w:lineRule="exact"/>
        <w:rPr>
          <w:sz w:val="20"/>
          <w:szCs w:val="20"/>
          <w:color w:val="auto"/>
        </w:rPr>
      </w:pPr>
    </w:p>
    <w:p>
      <w:pPr>
        <w:jc w:val="center"/>
        <w:ind w:left="4420"/>
        <w:spacing w:after="0"/>
        <w:rPr>
          <w:sz w:val="20"/>
          <w:szCs w:val="20"/>
          <w:color w:val="auto"/>
        </w:rPr>
      </w:pPr>
      <w:r>
        <w:rPr>
          <w:rFonts w:ascii="Arial" w:cs="Arial" w:eastAsia="Arial" w:hAnsi="Arial"/>
          <w:sz w:val="14"/>
          <w:szCs w:val="14"/>
          <w:b w:val="1"/>
          <w:bCs w:val="1"/>
          <w:color w:val="auto"/>
        </w:rPr>
        <w:t xml:space="preserve">(net of expenses) </w:t>
      </w:r>
      <w:r>
        <w:rPr>
          <w:rFonts w:ascii="Arial" w:cs="Arial" w:eastAsia="Arial" w:hAnsi="Arial"/>
          <w:sz w:val="12"/>
          <w:szCs w:val="12"/>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2996565</wp:posOffset>
            </wp:positionH>
            <wp:positionV relativeFrom="paragraph">
              <wp:posOffset>-3175</wp:posOffset>
            </wp:positionV>
            <wp:extent cx="396049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960495" cy="8255"/>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-10%</w:t>
            </w:r>
          </w:p>
        </w:tc>
        <w:tc>
          <w:tcPr>
            <w:tcW w:w="4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-5%</w:t>
            </w:r>
          </w:p>
        </w:tc>
        <w:tc>
          <w:tcPr>
            <w:tcW w:w="4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0%</w:t>
            </w:r>
          </w:p>
        </w:tc>
        <w:tc>
          <w:tcPr>
            <w:tcW w:w="4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5%</w:t>
            </w:r>
          </w:p>
        </w:tc>
        <w:tc>
          <w:tcPr>
            <w:tcW w:w="42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10%</w:t>
            </w:r>
          </w:p>
        </w:tc>
        <w:tc>
          <w:tcPr>
            <w:tcW w:w="280" w:type="dxa"/>
            <w:vAlign w:val="bottom"/>
            <w:tcBorders>
              <w:bottom w:val="single" w:sz="8" w:color="CCEEFF"/>
            </w:tcBorders>
          </w:tcPr>
          <w:p>
            <w:pPr>
              <w:spacing w:after="0"/>
              <w:rPr>
                <w:sz w:val="14"/>
                <w:szCs w:val="14"/>
                <w:color w:val="auto"/>
              </w:rPr>
            </w:pPr>
          </w:p>
        </w:tc>
      </w:tr>
      <w:tr>
        <w:trPr>
          <w:trHeight w:val="210"/>
        </w:trPr>
        <w:tc>
          <w:tcPr>
            <w:tcW w:w="4580" w:type="dxa"/>
            <w:vAlign w:val="bottom"/>
            <w:shd w:val="clear" w:color="auto" w:fill="CCEEFF"/>
          </w:tcPr>
          <w:p>
            <w:pPr>
              <w:spacing w:after="0" w:line="210" w:lineRule="exact"/>
              <w:rPr>
                <w:sz w:val="20"/>
                <w:szCs w:val="20"/>
                <w:color w:val="auto"/>
              </w:rPr>
            </w:pPr>
            <w:r>
              <w:rPr>
                <w:rFonts w:ascii="Arial" w:cs="Arial" w:eastAsia="Arial" w:hAnsi="Arial"/>
                <w:sz w:val="18"/>
                <w:szCs w:val="18"/>
                <w:color w:val="auto"/>
              </w:rPr>
              <w:t xml:space="preserve">Corresponding return to stockholder </w:t>
            </w:r>
            <w:r>
              <w:rPr>
                <w:rFonts w:ascii="Arial" w:cs="Arial" w:eastAsia="Arial" w:hAnsi="Arial"/>
                <w:sz w:val="21"/>
                <w:szCs w:val="21"/>
                <w:color w:val="auto"/>
                <w:vertAlign w:val="superscript"/>
              </w:rPr>
              <w:t>(2)</w:t>
            </w:r>
          </w:p>
        </w:tc>
        <w:tc>
          <w:tcPr>
            <w:tcW w:w="15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-19.7%</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-10.8%</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w:t>
            </w:r>
          </w:p>
        </w:tc>
      </w:tr>
    </w:tbl>
    <w:p>
      <w:pPr>
        <w:spacing w:after="0" w:line="242" w:lineRule="exact"/>
        <w:rPr>
          <w:sz w:val="20"/>
          <w:szCs w:val="20"/>
          <w:color w:val="auto"/>
        </w:rPr>
      </w:pPr>
    </w:p>
    <w:p>
      <w:pPr>
        <w:ind w:left="500" w:right="120" w:hanging="492"/>
        <w:spacing w:after="0" w:line="311" w:lineRule="auto"/>
        <w:tabs>
          <w:tab w:leader="none" w:pos="5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assumed portfolio return is required by SEC regulations and is not a prediction of, and does not represent, our projected or actual performance. Actual returns may be greater or less than those appearing in the table. Pursuant to SEC regulations, this table is calculated as of September 30, 2020. As a result, it has not been updated to take into account any changes in assets or leverage since September 30, 2020.</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4" w:name="page75"/>
    <w:bookmarkEnd w:id="74"/>
    <w:p>
      <w:pPr>
        <w:ind w:left="500" w:right="80" w:hanging="492"/>
        <w:spacing w:after="0" w:line="257" w:lineRule="auto"/>
        <w:tabs>
          <w:tab w:leader="none" w:pos="5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order to compute the “Corresponding return to stockholder,” the “Assumed Return on Our Portfolio” is multiplied by the total value of our assets at September 30, 2020 to obtain an assumed return to us. From this amount, the interest expense (calculated by multiplying the weighted average stated interest rate of 2.4% by the approximately $931.6 million of principal debt outstanding) is subtracted to determine the return available to stockholders. The return available to stockholders is then divided by the total value of our net assets at September 30, 2020 to determine the “Corresponding return to stockholder.”</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 could adversely affect our business, financial conditions or results of operations.</w:t>
      </w:r>
    </w:p>
    <w:p>
      <w:pPr>
        <w:spacing w:after="0" w:line="117" w:lineRule="exact"/>
        <w:rPr>
          <w:sz w:val="20"/>
          <w:szCs w:val="20"/>
          <w:color w:val="auto"/>
        </w:rPr>
      </w:pPr>
    </w:p>
    <w:p>
      <w:pPr>
        <w:ind w:right="40" w:firstLine="255"/>
        <w:spacing w:after="0" w:line="293" w:lineRule="auto"/>
        <w:rPr>
          <w:sz w:val="20"/>
          <w:szCs w:val="20"/>
          <w:color w:val="auto"/>
        </w:rPr>
      </w:pPr>
      <w:r>
        <w:rPr>
          <w:rFonts w:ascii="Arial" w:cs="Arial" w:eastAsia="Arial" w:hAnsi="Arial"/>
          <w:sz w:val="16"/>
          <w:szCs w:val="16"/>
          <w:color w:val="auto"/>
        </w:rPr>
        <w:t>We cannot assure you that our business will generate sufficient cash flow from operations or that future borrowings will be available to us under our credit facilities or otherwise in an amount sufficient to enable us to pay our indebtedness or to fund our other liquidity needs. We may need to refinance all or a portion of our indebtedness on or before it matures. We cannot assure you that we will be able to refinance any of our indebtedness on commercially reasonable terms or at all. If we cannot service our indebtedness, we may have to take actions such as selling assets or seeking additional equity. We cannot assure you that any such actions, if necessary, could be effected on commercially reasonable terms or at all, or on terms that would not be disadvantageous to our stockholders or on terms that would not require us to breach the terms and conditions of our existing or future debt agreements.</w:t>
      </w:r>
    </w:p>
    <w:p>
      <w:pPr>
        <w:spacing w:after="0" w:line="27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Even in the event the value of your investment declines, the Management Fee and, in certain circumstances, the Incentive Fee will still be payable to the Adviser.</w:t>
      </w:r>
    </w:p>
    <w:p>
      <w:pPr>
        <w:spacing w:after="0" w:line="62" w:lineRule="exact"/>
        <w:rPr>
          <w:sz w:val="20"/>
          <w:szCs w:val="20"/>
          <w:color w:val="auto"/>
        </w:rPr>
      </w:pPr>
    </w:p>
    <w:p>
      <w:pPr>
        <w:ind w:firstLine="255"/>
        <w:spacing w:after="0" w:line="255" w:lineRule="auto"/>
        <w:rPr>
          <w:sz w:val="20"/>
          <w:szCs w:val="20"/>
          <w:color w:val="auto"/>
        </w:rPr>
      </w:pPr>
      <w:r>
        <w:rPr>
          <w:rFonts w:ascii="Arial" w:cs="Arial" w:eastAsia="Arial" w:hAnsi="Arial"/>
          <w:sz w:val="18"/>
          <w:szCs w:val="18"/>
          <w:color w:val="auto"/>
        </w:rPr>
        <w:t>Even in the event the value of your investment declines, the Management Fee and, in certain circumstances, the Incentive Fee will still be payable to the Adviser. The Management Fee is calculated as a percentage of the value of our gross assets at a specific time, which would include any borrowings for investment purposes, and may give our Adviser an incentive to use leverage to make additional investments. In addition, the Management Fee is payable regardless of whether the value of our gross assets or your investment have decreased. The use of increased leverage may increase the likelihood of default, which would disfavor holders of our common stock. Given the subjective nature of the investment decisions that our Adviser will make on our behalf, we may not be able to monitor this potential conflict of interest.</w:t>
      </w:r>
    </w:p>
    <w:p>
      <w:pPr>
        <w:spacing w:after="0" w:line="192" w:lineRule="exact"/>
        <w:rPr>
          <w:sz w:val="20"/>
          <w:szCs w:val="20"/>
          <w:color w:val="auto"/>
        </w:rPr>
      </w:pPr>
    </w:p>
    <w:p>
      <w:pPr>
        <w:ind w:right="40" w:firstLine="255"/>
        <w:spacing w:after="0" w:line="291" w:lineRule="auto"/>
        <w:rPr>
          <w:sz w:val="20"/>
          <w:szCs w:val="20"/>
          <w:color w:val="auto"/>
        </w:rPr>
      </w:pPr>
      <w:r>
        <w:rPr>
          <w:rFonts w:ascii="Arial" w:cs="Arial" w:eastAsia="Arial" w:hAnsi="Arial"/>
          <w:sz w:val="16"/>
          <w:szCs w:val="16"/>
          <w:color w:val="auto"/>
        </w:rPr>
        <w:t>The Incentive Fee is calculated as a percentage of pre-Incentive Fee net investment income. Since pre-Incentive Fee net investment income does not include any realized capital gains, realized capital losses or unrealized capital gains or losses, it is possible that we may pay an Incentive Fee in a quarter in which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in that quarter and, as a result, that an Incentive Fee is paid for that quarter. Our net investment income used to calculate this component of the Incentive Fee is also included in the amount of our gross assets used to calculate the Management Fee.</w:t>
      </w:r>
    </w:p>
    <w:p>
      <w:pPr>
        <w:spacing w:after="0" w:line="166" w:lineRule="exact"/>
        <w:rPr>
          <w:sz w:val="20"/>
          <w:szCs w:val="20"/>
          <w:color w:val="auto"/>
        </w:rPr>
      </w:pPr>
    </w:p>
    <w:p>
      <w:pPr>
        <w:ind w:right="120" w:firstLine="255"/>
        <w:spacing w:after="0" w:line="279" w:lineRule="auto"/>
        <w:rPr>
          <w:sz w:val="20"/>
          <w:szCs w:val="20"/>
          <w:color w:val="auto"/>
        </w:rPr>
      </w:pPr>
      <w:r>
        <w:rPr>
          <w:rFonts w:ascii="Arial" w:cs="Arial" w:eastAsia="Arial" w:hAnsi="Arial"/>
          <w:sz w:val="17"/>
          <w:szCs w:val="17"/>
          <w:color w:val="auto"/>
        </w:rPr>
        <w:t>Also, one component of the Incentive Fee is calculated annually based upon our realized capital gains, computed net of realized capital losses and unrealized capital losses on a cumulative basis. As a result, we may owe the Adviser an Incentive Fee during one year as a result of realized capital gains on certain investments, and then incur significant realized capital losses and unrealized capital losses on the remaining investments in our portfolio during subsequent years. Incentive Fees earned in prior years cannot be clawed back even if we later incur losses.</w:t>
      </w:r>
    </w:p>
    <w:p>
      <w:pPr>
        <w:spacing w:after="0" w:line="171" w:lineRule="exact"/>
        <w:rPr>
          <w:sz w:val="20"/>
          <w:szCs w:val="20"/>
          <w:color w:val="auto"/>
        </w:rPr>
      </w:pPr>
    </w:p>
    <w:p>
      <w:pPr>
        <w:ind w:firstLine="255"/>
        <w:spacing w:after="0" w:line="293" w:lineRule="auto"/>
        <w:rPr>
          <w:sz w:val="20"/>
          <w:szCs w:val="20"/>
          <w:color w:val="auto"/>
        </w:rPr>
      </w:pPr>
      <w:r>
        <w:rPr>
          <w:rFonts w:ascii="Arial" w:cs="Arial" w:eastAsia="Arial" w:hAnsi="Arial"/>
          <w:sz w:val="16"/>
          <w:szCs w:val="16"/>
          <w:color w:val="auto"/>
        </w:rPr>
        <w:t>In addition, the Incentive Fee payable by us to the Adviser may create an incentive for the Adviser to make investments on our behalf that are risky or more speculative than would be the case in the absence of such a compensation arrangement. The Adviser receives the Incentive Fee based, in part, upon capital gains realized on our investments. Unlike the portion of the Incentive Fee that is based on income, there is no hurdle rate applicable to the portion of the Incentive Fee based on capital gains. As a result, the Adviser may have an incentive to invest more in companies whose securities are likely to yield capital gains, as compared to income-producing investments. Such a practice could result in our making more speculative investments than would otherwise be the case, which could result in higher investment losses, particularly during cyclical economic downturns.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17" w:lineRule="exact"/>
        <w:rPr>
          <w:sz w:val="20"/>
          <w:szCs w:val="20"/>
          <w:color w:val="auto"/>
        </w:rPr>
      </w:pPr>
    </w:p>
    <w:p>
      <w:pPr>
        <w:ind w:left="760" w:hanging="509"/>
        <w:spacing w:after="0"/>
        <w:tabs>
          <w:tab w:leader="none" w:pos="7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tabs>
          <w:tab w:leader="none" w:pos="620" w:val="left"/>
        </w:tabs>
        <w:rPr>
          <w:rFonts w:ascii="Arial" w:cs="Arial" w:eastAsia="Arial" w:hAnsi="Arial"/>
          <w:sz w:val="16"/>
          <w:szCs w:val="16"/>
          <w:u w:val="single" w:color="auto"/>
          <w:color w:val="0000EE"/>
        </w:rPr>
      </w:pPr>
      <w:r>
        <w:rPr>
          <w:rFonts w:ascii="Arial" w:cs="Arial" w:eastAsia="Arial" w:hAnsi="Arial"/>
          <w:sz w:val="18"/>
          <w:szCs w:val="18"/>
          <w:color w:val="auto"/>
        </w:rPr>
        <w:t>31.1</w:t>
      </w:r>
      <w:r>
        <w:rPr>
          <w:sz w:val="20"/>
          <w:szCs w:val="20"/>
          <w:color w:val="auto"/>
        </w:rPr>
        <w:tab/>
      </w:r>
      <w:hyperlink w:anchor="page78">
        <w:r>
          <w:rPr>
            <w:rFonts w:ascii="Arial" w:cs="Arial" w:eastAsia="Arial" w:hAnsi="Arial"/>
            <w:sz w:val="16"/>
            <w:szCs w:val="16"/>
            <w:u w:val="single" w:color="auto"/>
            <w:color w:val="0000EE"/>
          </w:rPr>
          <w:t>Certification of Chief Executive Officer Pursuant to 18 U.S.C. Section 1350, as Adopted Pursuant to Section 302 of the Sarbanes-Oxley Act of</w:t>
        </w:r>
      </w:hyperlink>
    </w:p>
    <w:p>
      <w:pPr>
        <w:spacing w:after="0" w:line="23" w:lineRule="exact"/>
        <w:rPr>
          <w:sz w:val="20"/>
          <w:szCs w:val="20"/>
          <w:color w:val="auto"/>
        </w:rPr>
      </w:pPr>
    </w:p>
    <w:p>
      <w:pPr>
        <w:ind w:left="640"/>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2002</w:t>
        </w:r>
      </w:hyperlink>
    </w:p>
    <w:p>
      <w:pPr>
        <w:spacing w:after="0" w:line="211" w:lineRule="exact"/>
        <w:rPr>
          <w:sz w:val="20"/>
          <w:szCs w:val="20"/>
          <w:color w:val="auto"/>
        </w:rPr>
      </w:pPr>
    </w:p>
    <w:p>
      <w:pPr>
        <w:spacing w:after="0"/>
        <w:tabs>
          <w:tab w:leader="none" w:pos="620" w:val="left"/>
        </w:tabs>
        <w:rPr>
          <w:rFonts w:ascii="Arial" w:cs="Arial" w:eastAsia="Arial" w:hAnsi="Arial"/>
          <w:sz w:val="16"/>
          <w:szCs w:val="16"/>
          <w:u w:val="single" w:color="auto"/>
          <w:color w:val="0000EE"/>
        </w:rPr>
      </w:pPr>
      <w:r>
        <w:rPr>
          <w:rFonts w:ascii="Arial" w:cs="Arial" w:eastAsia="Arial" w:hAnsi="Arial"/>
          <w:sz w:val="18"/>
          <w:szCs w:val="18"/>
          <w:color w:val="auto"/>
        </w:rPr>
        <w:t>31.2</w:t>
      </w:r>
      <w:r>
        <w:rPr>
          <w:sz w:val="20"/>
          <w:szCs w:val="20"/>
          <w:color w:val="auto"/>
        </w:rPr>
        <w:tab/>
      </w:r>
      <w:hyperlink w:anchor="page79">
        <w:r>
          <w:rPr>
            <w:rFonts w:ascii="Arial" w:cs="Arial" w:eastAsia="Arial" w:hAnsi="Arial"/>
            <w:sz w:val="16"/>
            <w:szCs w:val="16"/>
            <w:u w:val="single" w:color="auto"/>
            <w:color w:val="0000EE"/>
          </w:rPr>
          <w:t>Certification of Chief Financial Officer Pursuant to 18 U.S.C. Section 1350, as Adopted Pursuant to Section 302 of the Sarbanes-Oxley Act of</w:t>
        </w:r>
      </w:hyperlink>
    </w:p>
    <w:p>
      <w:pPr>
        <w:spacing w:after="0" w:line="23" w:lineRule="exact"/>
        <w:rPr>
          <w:sz w:val="20"/>
          <w:szCs w:val="20"/>
          <w:color w:val="auto"/>
        </w:rPr>
      </w:pPr>
    </w:p>
    <w:p>
      <w:pPr>
        <w:ind w:left="640"/>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2002</w:t>
        </w:r>
      </w:hyperlink>
    </w:p>
    <w:p>
      <w:pPr>
        <w:spacing w:after="0" w:line="211" w:lineRule="exact"/>
        <w:rPr>
          <w:sz w:val="20"/>
          <w:szCs w:val="20"/>
          <w:color w:val="auto"/>
        </w:rPr>
      </w:pPr>
    </w:p>
    <w:p>
      <w:pPr>
        <w:ind w:left="640" w:hanging="632"/>
        <w:spacing w:after="0"/>
        <w:tabs>
          <w:tab w:leader="none" w:pos="640" w:val="left"/>
        </w:tabs>
        <w:numPr>
          <w:ilvl w:val="0"/>
          <w:numId w:val="55"/>
        </w:numPr>
        <w:rPr>
          <w:rFonts w:ascii="Arial" w:cs="Arial" w:eastAsia="Arial" w:hAnsi="Arial"/>
          <w:sz w:val="16"/>
          <w:szCs w:val="16"/>
          <w:u w:val="single" w:color="auto"/>
          <w:color w:val="0000EE"/>
        </w:rPr>
      </w:pPr>
      <w:hyperlink w:anchor="page80">
        <w:r>
          <w:rPr>
            <w:rFonts w:ascii="Arial" w:cs="Arial" w:eastAsia="Arial" w:hAnsi="Arial"/>
            <w:sz w:val="16"/>
            <w:szCs w:val="16"/>
            <w:u w:val="single" w:color="auto"/>
            <w:color w:val="0000EE"/>
          </w:rPr>
          <w:t>Certification of CEO and CFO Pursuant to 18 U.S.C. Section 1350, as Adopted Pursuant to Section 906 of the Sarbanes-Oxley Act of 2002</w:t>
        </w:r>
      </w:hyperlink>
    </w:p>
    <w:p>
      <w:pPr>
        <w:spacing w:after="0" w:line="200" w:lineRule="exact"/>
        <w:rPr>
          <w:rFonts w:ascii="Arial" w:cs="Arial" w:eastAsia="Arial" w:hAnsi="Arial"/>
          <w:sz w:val="16"/>
          <w:szCs w:val="16"/>
          <w:u w:val="single" w:color="auto"/>
          <w:color w:val="0000EE"/>
        </w:rPr>
      </w:pPr>
    </w:p>
    <w:p>
      <w:pPr>
        <w:spacing w:after="0" w:line="200" w:lineRule="exact"/>
        <w:rPr>
          <w:rFonts w:ascii="Arial" w:cs="Arial" w:eastAsia="Arial" w:hAnsi="Arial"/>
          <w:sz w:val="16"/>
          <w:szCs w:val="16"/>
          <w:u w:val="single" w:color="auto"/>
          <w:color w:val="0000EE"/>
        </w:rPr>
      </w:pPr>
    </w:p>
    <w:p>
      <w:pPr>
        <w:spacing w:after="0" w:line="200" w:lineRule="exact"/>
        <w:rPr>
          <w:rFonts w:ascii="Arial" w:cs="Arial" w:eastAsia="Arial" w:hAnsi="Arial"/>
          <w:sz w:val="16"/>
          <w:szCs w:val="16"/>
          <w:u w:val="single" w:color="auto"/>
          <w:color w:val="0000EE"/>
        </w:rPr>
      </w:pPr>
    </w:p>
    <w:p>
      <w:pPr>
        <w:spacing w:after="0" w:line="228" w:lineRule="exact"/>
        <w:rPr>
          <w:rFonts w:ascii="Arial" w:cs="Arial" w:eastAsia="Arial" w:hAnsi="Arial"/>
          <w:sz w:val="16"/>
          <w:szCs w:val="16"/>
          <w:u w:val="single" w:color="auto"/>
          <w:color w:val="0000EE"/>
        </w:rPr>
      </w:pPr>
    </w:p>
    <w:p>
      <w:pPr>
        <w:ind w:left="5540"/>
        <w:spacing w:after="0"/>
        <w:rPr>
          <w:rFonts w:ascii="Arial" w:cs="Arial" w:eastAsia="Arial" w:hAnsi="Arial"/>
          <w:sz w:val="16"/>
          <w:szCs w:val="16"/>
          <w:u w:val="single" w:color="auto"/>
          <w:color w:val="0000EE"/>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40"/>
          </w:cols>
          <w:pgMar w:left="320" w:top="337" w:right="6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right="40" w:firstLine="255"/>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7580" w:type="dxa"/>
            <w:vAlign w:val="bottom"/>
            <w:gridSpan w:val="2"/>
          </w:tcPr>
          <w:p>
            <w:pPr>
              <w:ind w:left="3120"/>
              <w:spacing w:after="0"/>
              <w:rPr>
                <w:sz w:val="20"/>
                <w:szCs w:val="20"/>
                <w:color w:val="auto"/>
              </w:rPr>
            </w:pPr>
            <w:r>
              <w:rPr>
                <w:rFonts w:ascii="Arial" w:cs="Arial" w:eastAsia="Arial" w:hAnsi="Arial"/>
                <w:sz w:val="18"/>
                <w:szCs w:val="18"/>
                <w:color w:val="auto"/>
              </w:rPr>
              <w:t>SIXTH STREET SPECIALTY LENDING, INC.</w:t>
            </w:r>
          </w:p>
        </w:tc>
      </w:tr>
      <w:tr>
        <w:trPr>
          <w:trHeight w:val="459"/>
        </w:trPr>
        <w:tc>
          <w:tcPr>
            <w:tcW w:w="3660" w:type="dxa"/>
            <w:vAlign w:val="bottom"/>
          </w:tcPr>
          <w:p>
            <w:pPr>
              <w:spacing w:after="0"/>
              <w:rPr>
                <w:sz w:val="20"/>
                <w:szCs w:val="20"/>
                <w:color w:val="auto"/>
              </w:rPr>
            </w:pPr>
            <w:r>
              <w:rPr>
                <w:rFonts w:ascii="Arial" w:cs="Arial" w:eastAsia="Arial" w:hAnsi="Arial"/>
                <w:sz w:val="18"/>
                <w:szCs w:val="18"/>
                <w:color w:val="auto"/>
              </w:rPr>
              <w:t>Date: November 4, 2020</w:t>
            </w:r>
          </w:p>
        </w:tc>
        <w:tc>
          <w:tcPr>
            <w:tcW w:w="7580" w:type="dxa"/>
            <w:vAlign w:val="bottom"/>
            <w:gridSpan w:val="2"/>
          </w:tcPr>
          <w:p>
            <w:pPr>
              <w:ind w:left="3120"/>
              <w:spacing w:after="0"/>
              <w:rPr>
                <w:sz w:val="20"/>
                <w:szCs w:val="20"/>
                <w:color w:val="auto"/>
              </w:rPr>
            </w:pPr>
            <w:r>
              <w:rPr>
                <w:rFonts w:ascii="Arial" w:cs="Arial" w:eastAsia="Arial" w:hAnsi="Arial"/>
                <w:sz w:val="18"/>
                <w:szCs w:val="18"/>
                <w:color w:val="auto"/>
              </w:rPr>
              <w:t>By: /s/ Joshua Easterly</w:t>
            </w:r>
          </w:p>
        </w:tc>
      </w:tr>
      <w:tr>
        <w:trPr>
          <w:trHeight w:val="195"/>
        </w:trPr>
        <w:tc>
          <w:tcPr>
            <w:tcW w:w="366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4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Joshua Easterly</w:t>
            </w:r>
          </w:p>
        </w:tc>
      </w:tr>
      <w:tr>
        <w:trPr>
          <w:trHeight w:val="230"/>
        </w:trPr>
        <w:tc>
          <w:tcPr>
            <w:tcW w:w="366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59"/>
        </w:trPr>
        <w:tc>
          <w:tcPr>
            <w:tcW w:w="3660" w:type="dxa"/>
            <w:vAlign w:val="bottom"/>
          </w:tcPr>
          <w:p>
            <w:pPr>
              <w:spacing w:after="0"/>
              <w:rPr>
                <w:sz w:val="20"/>
                <w:szCs w:val="20"/>
                <w:color w:val="auto"/>
              </w:rPr>
            </w:pPr>
            <w:r>
              <w:rPr>
                <w:rFonts w:ascii="Arial" w:cs="Arial" w:eastAsia="Arial" w:hAnsi="Arial"/>
                <w:sz w:val="18"/>
                <w:szCs w:val="18"/>
                <w:color w:val="auto"/>
              </w:rPr>
              <w:t>Date: November 4, 2020</w:t>
            </w:r>
          </w:p>
        </w:tc>
        <w:tc>
          <w:tcPr>
            <w:tcW w:w="7580" w:type="dxa"/>
            <w:vAlign w:val="bottom"/>
            <w:gridSpan w:val="2"/>
          </w:tcPr>
          <w:p>
            <w:pPr>
              <w:ind w:left="3120"/>
              <w:spacing w:after="0"/>
              <w:rPr>
                <w:sz w:val="20"/>
                <w:szCs w:val="20"/>
                <w:color w:val="auto"/>
              </w:rPr>
            </w:pPr>
            <w:r>
              <w:rPr>
                <w:rFonts w:ascii="Arial" w:cs="Arial" w:eastAsia="Arial" w:hAnsi="Arial"/>
                <w:sz w:val="18"/>
                <w:szCs w:val="18"/>
                <w:color w:val="auto"/>
              </w:rPr>
              <w:t>By: /s/ Ian Simmonds</w:t>
            </w:r>
          </w:p>
        </w:tc>
      </w:tr>
      <w:tr>
        <w:trPr>
          <w:trHeight w:val="195"/>
        </w:trPr>
        <w:tc>
          <w:tcPr>
            <w:tcW w:w="366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4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Ian Simmonds</w:t>
            </w:r>
          </w:p>
        </w:tc>
      </w:tr>
      <w:tr>
        <w:trPr>
          <w:trHeight w:val="230"/>
        </w:trPr>
        <w:tc>
          <w:tcPr>
            <w:tcW w:w="366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75"/>
        </w:trPr>
        <w:tc>
          <w:tcPr>
            <w:tcW w:w="3660" w:type="dxa"/>
            <w:vAlign w:val="bottom"/>
          </w:tcPr>
          <w:p>
            <w:pPr>
              <w:spacing w:after="0"/>
              <w:rPr>
                <w:sz w:val="24"/>
                <w:szCs w:val="24"/>
                <w:color w:val="auto"/>
              </w:rPr>
            </w:pPr>
          </w:p>
        </w:tc>
        <w:tc>
          <w:tcPr>
            <w:tcW w:w="3480" w:type="dxa"/>
            <w:vAlign w:val="bottom"/>
          </w:tcPr>
          <w:p>
            <w:pPr>
              <w:jc w:val="right"/>
              <w:ind w:right="1330"/>
              <w:spacing w:after="0"/>
              <w:rPr>
                <w:sz w:val="20"/>
                <w:szCs w:val="20"/>
                <w:color w:val="auto"/>
              </w:rPr>
            </w:pPr>
            <w:r>
              <w:rPr>
                <w:rFonts w:ascii="Arial" w:cs="Arial" w:eastAsia="Arial" w:hAnsi="Arial"/>
                <w:sz w:val="18"/>
                <w:szCs w:val="18"/>
                <w:color w:val="auto"/>
              </w:rPr>
              <w:t>77</w:t>
            </w:r>
          </w:p>
        </w:tc>
        <w:tc>
          <w:tcPr>
            <w:tcW w:w="4100" w:type="dxa"/>
            <w:vAlign w:val="bottom"/>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CEO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Joshua Easterly, certify that:</w:t>
      </w:r>
    </w:p>
    <w:p>
      <w:pPr>
        <w:spacing w:after="0" w:line="117" w:lineRule="exact"/>
        <w:rPr>
          <w:sz w:val="20"/>
          <w:szCs w:val="20"/>
          <w:color w:val="auto"/>
        </w:rPr>
      </w:pPr>
    </w:p>
    <w:p>
      <w:pPr>
        <w:ind w:left="760" w:hanging="509"/>
        <w:spacing w:after="0"/>
        <w:tabs>
          <w:tab w:leader="none" w:pos="7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Sixth Street Specialty Lending, Inc.;</w:t>
      </w:r>
    </w:p>
    <w:p>
      <w:pPr>
        <w:spacing w:after="0" w:line="117" w:lineRule="exact"/>
        <w:rPr>
          <w:rFonts w:ascii="Arial" w:cs="Arial" w:eastAsia="Arial" w:hAnsi="Arial"/>
          <w:sz w:val="18"/>
          <w:szCs w:val="18"/>
          <w:color w:val="auto"/>
        </w:rPr>
      </w:pPr>
    </w:p>
    <w:p>
      <w:pPr>
        <w:jc w:val="both"/>
        <w:ind w:left="760" w:right="20" w:hanging="509"/>
        <w:spacing w:after="0" w:line="263" w:lineRule="auto"/>
        <w:tabs>
          <w:tab w:leader="none" w:pos="7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760" w:right="260" w:hanging="509"/>
        <w:spacing w:after="0" w:line="308" w:lineRule="auto"/>
        <w:tabs>
          <w:tab w:leader="none" w:pos="7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760" w:right="20" w:hanging="509"/>
        <w:spacing w:after="0" w:line="263" w:lineRule="auto"/>
        <w:tabs>
          <w:tab w:leader="none" w:pos="7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260" w:right="160" w:hanging="496"/>
        <w:spacing w:after="0" w:line="263" w:lineRule="auto"/>
        <w:tabs>
          <w:tab w:leader="none" w:pos="12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260" w:right="80" w:hanging="496"/>
        <w:spacing w:after="0" w:line="263" w:lineRule="auto"/>
        <w:tabs>
          <w:tab w:leader="none" w:pos="12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75" w:lineRule="exact"/>
        <w:rPr>
          <w:rFonts w:ascii="Arial" w:cs="Arial" w:eastAsia="Arial" w:hAnsi="Arial"/>
          <w:sz w:val="18"/>
          <w:szCs w:val="18"/>
          <w:color w:val="auto"/>
        </w:rPr>
      </w:pPr>
    </w:p>
    <w:p>
      <w:pPr>
        <w:jc w:val="both"/>
        <w:ind w:left="1260" w:right="260" w:hanging="496"/>
        <w:spacing w:after="0" w:line="342" w:lineRule="auto"/>
        <w:tabs>
          <w:tab w:leader="none" w:pos="1260" w:val="left"/>
        </w:tabs>
        <w:numPr>
          <w:ilvl w:val="1"/>
          <w:numId w:val="5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260" w:right="120" w:hanging="496"/>
        <w:spacing w:after="0" w:line="263" w:lineRule="auto"/>
        <w:tabs>
          <w:tab w:leader="none" w:pos="12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760" w:right="180" w:hanging="509"/>
        <w:spacing w:after="0" w:line="342" w:lineRule="auto"/>
        <w:tabs>
          <w:tab w:leader="none" w:pos="7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260" w:right="500" w:hanging="496"/>
        <w:spacing w:after="0" w:line="342" w:lineRule="auto"/>
        <w:tabs>
          <w:tab w:leader="none" w:pos="1260" w:val="left"/>
        </w:tabs>
        <w:numPr>
          <w:ilvl w:val="1"/>
          <w:numId w:val="5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260" w:right="180" w:hanging="496"/>
        <w:spacing w:after="0" w:line="277" w:lineRule="auto"/>
        <w:tabs>
          <w:tab w:leader="none" w:pos="12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 November 4,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4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Joshua Easterly</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337"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CFO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Ian Simmonds, certify that:</w:t>
      </w:r>
    </w:p>
    <w:p>
      <w:pPr>
        <w:spacing w:after="0" w:line="117" w:lineRule="exact"/>
        <w:rPr>
          <w:sz w:val="20"/>
          <w:szCs w:val="20"/>
          <w:color w:val="auto"/>
        </w:rPr>
      </w:pPr>
    </w:p>
    <w:p>
      <w:pPr>
        <w:ind w:left="760" w:hanging="509"/>
        <w:spacing w:after="0"/>
        <w:tabs>
          <w:tab w:leader="none" w:pos="7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Sixth Street Specialty Lending, Inc.;</w:t>
      </w:r>
    </w:p>
    <w:p>
      <w:pPr>
        <w:spacing w:after="0" w:line="117" w:lineRule="exact"/>
        <w:rPr>
          <w:rFonts w:ascii="Arial" w:cs="Arial" w:eastAsia="Arial" w:hAnsi="Arial"/>
          <w:sz w:val="18"/>
          <w:szCs w:val="18"/>
          <w:color w:val="auto"/>
        </w:rPr>
      </w:pPr>
    </w:p>
    <w:p>
      <w:pPr>
        <w:jc w:val="both"/>
        <w:ind w:left="760" w:right="20" w:hanging="509"/>
        <w:spacing w:after="0" w:line="263" w:lineRule="auto"/>
        <w:tabs>
          <w:tab w:leader="none" w:pos="7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760" w:right="260" w:hanging="509"/>
        <w:spacing w:after="0" w:line="308" w:lineRule="auto"/>
        <w:tabs>
          <w:tab w:leader="none" w:pos="7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760" w:right="20" w:hanging="509"/>
        <w:spacing w:after="0" w:line="263" w:lineRule="auto"/>
        <w:tabs>
          <w:tab w:leader="none" w:pos="7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260" w:right="160" w:hanging="496"/>
        <w:spacing w:after="0" w:line="263" w:lineRule="auto"/>
        <w:tabs>
          <w:tab w:leader="none" w:pos="12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260" w:right="80" w:hanging="496"/>
        <w:spacing w:after="0" w:line="263" w:lineRule="auto"/>
        <w:tabs>
          <w:tab w:leader="none" w:pos="12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75" w:lineRule="exact"/>
        <w:rPr>
          <w:rFonts w:ascii="Arial" w:cs="Arial" w:eastAsia="Arial" w:hAnsi="Arial"/>
          <w:sz w:val="18"/>
          <w:szCs w:val="18"/>
          <w:color w:val="auto"/>
        </w:rPr>
      </w:pPr>
    </w:p>
    <w:p>
      <w:pPr>
        <w:jc w:val="both"/>
        <w:ind w:left="1260" w:right="260" w:hanging="496"/>
        <w:spacing w:after="0" w:line="342" w:lineRule="auto"/>
        <w:tabs>
          <w:tab w:leader="none" w:pos="1260" w:val="left"/>
        </w:tabs>
        <w:numPr>
          <w:ilvl w:val="1"/>
          <w:numId w:val="5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260" w:right="120" w:hanging="496"/>
        <w:spacing w:after="0" w:line="263" w:lineRule="auto"/>
        <w:tabs>
          <w:tab w:leader="none" w:pos="12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760" w:right="180" w:hanging="509"/>
        <w:spacing w:after="0" w:line="342" w:lineRule="auto"/>
        <w:tabs>
          <w:tab w:leader="none" w:pos="7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260" w:right="500" w:hanging="496"/>
        <w:spacing w:after="0" w:line="342" w:lineRule="auto"/>
        <w:tabs>
          <w:tab w:leader="none" w:pos="1260" w:val="left"/>
        </w:tabs>
        <w:numPr>
          <w:ilvl w:val="1"/>
          <w:numId w:val="5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260" w:right="180" w:hanging="496"/>
        <w:spacing w:after="0" w:line="277" w:lineRule="auto"/>
        <w:tabs>
          <w:tab w:leader="none" w:pos="12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 November 4,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4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Ian Simmonds</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337"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In connection with the quarterly report on Form 10-Q of Sixth Street Specialty Lending, Inc. (the “Company”) for the quarterly period ended September 30, 2020, as filed with the Securities and Exchange Commission on the date hereof (the “Report”), Joshua Easterly as Chief Executive Officer of the Company, and Ian Simmonds, as Chief Financial Officer of the Company, each hereby certifies, pursuant to 18 U.S.C. § 1350, as adopted pursuant to</w:t>
      </w:r>
    </w:p>
    <w:p>
      <w:pPr>
        <w:spacing w:after="0" w:line="2" w:lineRule="exact"/>
        <w:rPr>
          <w:sz w:val="20"/>
          <w:szCs w:val="20"/>
          <w:color w:val="auto"/>
        </w:rPr>
      </w:pPr>
    </w:p>
    <w:p>
      <w:pPr>
        <w:ind w:left="140" w:hanging="132"/>
        <w:spacing w:after="0"/>
        <w:tabs>
          <w:tab w:leader="none" w:pos="1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906 of the Sarbanes-Oxley Act of 2002, that, to such officer’s knowledge:</w:t>
      </w:r>
    </w:p>
    <w:p>
      <w:pPr>
        <w:spacing w:after="0" w:line="102" w:lineRule="exact"/>
        <w:rPr>
          <w:rFonts w:ascii="Arial" w:cs="Arial" w:eastAsia="Arial" w:hAnsi="Arial"/>
          <w:sz w:val="18"/>
          <w:szCs w:val="18"/>
          <w:color w:val="auto"/>
        </w:rPr>
      </w:pPr>
    </w:p>
    <w:p>
      <w:pPr>
        <w:ind w:left="780" w:hanging="262"/>
        <w:spacing w:after="0"/>
        <w:tabs>
          <w:tab w:leader="none" w:pos="7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780" w:hanging="262"/>
        <w:spacing w:after="0"/>
        <w:tabs>
          <w:tab w:leader="none" w:pos="780" w:val="left"/>
        </w:tabs>
        <w:numPr>
          <w:ilvl w:val="1"/>
          <w:numId w:val="5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Name:</w:t>
        <w:tab/>
        <w:t>Joshua Easterly</w:t>
      </w:r>
    </w:p>
    <w:p>
      <w:pPr>
        <w:spacing w:after="0" w:line="2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Executive Officer</w:t>
      </w:r>
    </w:p>
    <w:p>
      <w:pPr>
        <w:spacing w:after="0" w:line="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4, 2020</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 Ian Simmonds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3780" w:type="dxa"/>
            <w:vAlign w:val="bottom"/>
            <w:tcBorders>
              <w:top w:val="single" w:sz="8" w:color="auto"/>
            </w:tcBorders>
          </w:tcPr>
          <w:p>
            <w:pPr>
              <w:ind w:left="200"/>
              <w:spacing w:after="0" w:line="195" w:lineRule="exact"/>
              <w:rPr>
                <w:sz w:val="20"/>
                <w:szCs w:val="20"/>
                <w:color w:val="auto"/>
              </w:rPr>
            </w:pPr>
            <w:r>
              <w:rPr>
                <w:rFonts w:ascii="Arial" w:cs="Arial" w:eastAsia="Arial" w:hAnsi="Arial"/>
                <w:sz w:val="18"/>
                <w:szCs w:val="18"/>
                <w:color w:val="auto"/>
              </w:rPr>
              <w:t>Ian Simmonds</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ind w:left="200"/>
              <w:spacing w:after="0"/>
              <w:rPr>
                <w:sz w:val="20"/>
                <w:szCs w:val="20"/>
                <w:color w:val="auto"/>
              </w:rPr>
            </w:pPr>
            <w:r>
              <w:rPr>
                <w:rFonts w:ascii="Arial" w:cs="Arial" w:eastAsia="Arial" w:hAnsi="Arial"/>
                <w:sz w:val="18"/>
                <w:szCs w:val="18"/>
                <w:color w:val="auto"/>
              </w:rPr>
              <w:t>Chief Financial Officer</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Date:</w:t>
            </w:r>
          </w:p>
        </w:tc>
        <w:tc>
          <w:tcPr>
            <w:tcW w:w="3780" w:type="dxa"/>
            <w:vAlign w:val="bottom"/>
          </w:tcPr>
          <w:p>
            <w:pPr>
              <w:ind w:left="200"/>
              <w:spacing w:after="0"/>
              <w:rPr>
                <w:sz w:val="20"/>
                <w:szCs w:val="20"/>
                <w:color w:val="auto"/>
              </w:rPr>
            </w:pPr>
            <w:r>
              <w:rPr>
                <w:rFonts w:ascii="Arial" w:cs="Arial" w:eastAsia="Arial" w:hAnsi="Arial"/>
                <w:sz w:val="18"/>
                <w:szCs w:val="18"/>
                <w:color w:val="auto"/>
              </w:rPr>
              <w:t>November 4, 2020</w:t>
            </w:r>
          </w:p>
        </w:tc>
      </w:tr>
    </w:tbl>
    <w:p>
      <w:pPr>
        <w:spacing w:after="0" w:line="202" w:lineRule="exact"/>
        <w:rPr>
          <w:sz w:val="20"/>
          <w:szCs w:val="20"/>
          <w:color w:val="auto"/>
        </w:rPr>
      </w:pPr>
    </w:p>
    <w:p>
      <w:pPr>
        <w:ind w:right="640" w:firstLine="51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§1350 and is not being filed as part of the Report or as a separate disclosure document.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1"/>
      <w:numFmt w:val="decimal"/>
      <w:start w:val="1"/>
    </w:lvl>
    <w:lvl w:ilvl="1">
      <w:lvlJc w:val="left"/>
      <w:lvlText w:val="(%2)"/>
      <w:numFmt w:val="lowerLetter"/>
      <w:start w:val="1"/>
    </w:lvl>
  </w:abstractNum>
  <w:abstractNum w:abstractNumId="4">
    <w:nsid w:val="737B8DDC"/>
    <w:multiLevelType w:val="hybridMultilevel"/>
    <w:lvl w:ilvl="0">
      <w:lvlJc w:val="left"/>
      <w:lvlText w:val="(%1)"/>
      <w:numFmt w:val="decimal"/>
      <w:start w:val="1"/>
    </w:lvl>
    <w:lvl w:ilvl="1">
      <w:lvlJc w:val="left"/>
      <w:lvlText w:val="%2"/>
      <w:numFmt w:val="lowerLetter"/>
      <w:start w:val="1"/>
    </w:lvl>
  </w:abstractNum>
  <w:abstractNum w:abstractNumId="5">
    <w:nsid w:val="6CEAF087"/>
    <w:multiLevelType w:val="hybridMultilevel"/>
    <w:lvl w:ilvl="0">
      <w:lvlJc w:val="left"/>
      <w:lvlText w:val="%1"/>
      <w:numFmt w:val="decimal"/>
      <w:start w:val="1"/>
    </w:lvl>
    <w:lvl w:ilvl="1">
      <w:lvlJc w:val="left"/>
      <w:lvlText w:val="(%2)"/>
      <w:numFmt w:val="lowerLetter"/>
      <w:start w:val="1"/>
    </w:lvl>
  </w:abstractNum>
  <w:abstractNum w:abstractNumId="6">
    <w:nsid w:val="22221A70"/>
    <w:multiLevelType w:val="hybridMultilevel"/>
    <w:lvl w:ilvl="0">
      <w:lvlJc w:val="left"/>
      <w:lvlText w:val="(%1)"/>
      <w:numFmt w:val="decimal"/>
      <w:start w:val="7"/>
    </w:lvl>
    <w:lvl w:ilvl="1">
      <w:lvlJc w:val="left"/>
      <w:lvlText w:val="%2"/>
      <w:numFmt w:val="lowerLetter"/>
      <w:start w:val="1"/>
    </w:lvl>
  </w:abstractNum>
  <w:abstractNum w:abstractNumId="7">
    <w:nsid w:val="4516DDE9"/>
    <w:multiLevelType w:val="hybridMultilevel"/>
    <w:lvl w:ilvl="0">
      <w:lvlJc w:val="left"/>
      <w:lvlText w:val="%1"/>
      <w:numFmt w:val="decimal"/>
      <w:start w:val="1"/>
    </w:lvl>
    <w:lvl w:ilvl="1">
      <w:lvlJc w:val="left"/>
      <w:lvlText w:val="(%2)"/>
      <w:numFmt w:val="lowerLetter"/>
      <w:start w:val="1"/>
    </w:lvl>
  </w:abstractNum>
  <w:abstractNum w:abstractNumId="8">
    <w:nsid w:val="3006C83E"/>
    <w:multiLevelType w:val="hybridMultilevel"/>
    <w:lvl w:ilvl="0">
      <w:lvlJc w:val="left"/>
      <w:lvlText w:val="(%1)"/>
      <w:numFmt w:val="decimal"/>
      <w:start w:val="8"/>
    </w:lvl>
    <w:lvl w:ilvl="1">
      <w:lvlJc w:val="left"/>
      <w:lvlText w:val="%2"/>
      <w:numFmt w:val="lowerLetter"/>
      <w:start w:val="1"/>
    </w:lvl>
  </w:abstractNum>
  <w:abstractNum w:abstractNumId="9">
    <w:nsid w:val="614FD4A1"/>
    <w:multiLevelType w:val="hybridMultilevel"/>
    <w:lvl w:ilvl="0">
      <w:lvlJc w:val="left"/>
      <w:lvlText w:val="%1"/>
      <w:numFmt w:val="decimal"/>
      <w:start w:val="1"/>
    </w:lvl>
    <w:lvl w:ilvl="1">
      <w:lvlJc w:val="left"/>
      <w:lvlText w:val="(%2)"/>
      <w:numFmt w:val="lowerLetter"/>
      <w:start w:val="1"/>
    </w:lvl>
  </w:abstractNum>
  <w:abstractNum w:abstractNumId="10">
    <w:nsid w:val="419AC241"/>
    <w:multiLevelType w:val="hybridMultilevel"/>
    <w:lvl w:ilvl="0">
      <w:lvlJc w:val="left"/>
      <w:lvlText w:val="(%1)"/>
      <w:numFmt w:val="decimal"/>
      <w:start w:val="1"/>
    </w:lvl>
    <w:lvl w:ilvl="1">
      <w:lvlJc w:val="left"/>
      <w:lvlText w:val="%2"/>
      <w:numFmt w:val="lowerLetter"/>
      <w:start w:val="1"/>
    </w:lvl>
  </w:abstractNum>
  <w:abstractNum w:abstractNumId="11">
    <w:nsid w:val="5577F8E1"/>
    <w:multiLevelType w:val="hybridMultilevel"/>
    <w:lvl w:ilvl="0">
      <w:lvlJc w:val="left"/>
      <w:lvlText w:val="%1"/>
      <w:numFmt w:val="decimal"/>
      <w:start w:val="1"/>
    </w:lvl>
    <w:lvl w:ilvl="1">
      <w:lvlJc w:val="left"/>
      <w:lvlText w:val="(%2)"/>
      <w:numFmt w:val="lowerLetter"/>
      <w:start w:val="1"/>
    </w:lvl>
  </w:abstractNum>
  <w:abstractNum w:abstractNumId="12">
    <w:nsid w:val="440BADFC"/>
    <w:multiLevelType w:val="hybridMultilevel"/>
    <w:lvl w:ilvl="0">
      <w:lvlJc w:val="left"/>
      <w:lvlText w:val="(%1)"/>
      <w:numFmt w:val="decimal"/>
      <w:start w:val="7"/>
    </w:lvl>
    <w:lvl w:ilvl="1">
      <w:lvlJc w:val="left"/>
      <w:lvlText w:val="%2"/>
      <w:numFmt w:val="lowerLetter"/>
      <w:start w:val="1"/>
    </w:lvl>
  </w:abstractNum>
  <w:abstractNum w:abstractNumId="13">
    <w:nsid w:val="5072367"/>
    <w:multiLevelType w:val="hybridMultilevel"/>
    <w:lvl w:ilvl="0">
      <w:lvlJc w:val="left"/>
      <w:lvlText w:val="%1"/>
      <w:numFmt w:val="decimal"/>
      <w:start w:val="1"/>
    </w:lvl>
    <w:lvl w:ilvl="1">
      <w:lvlJc w:val="left"/>
      <w:lvlText w:val="(%2)"/>
      <w:numFmt w:val="lowerLetter"/>
      <w:start w:val="1"/>
    </w:lvl>
  </w:abstractNum>
  <w:abstractNum w:abstractNumId="14">
    <w:nsid w:val="3804823E"/>
    <w:multiLevelType w:val="hybridMultilevel"/>
    <w:lvl w:ilvl="0">
      <w:lvlJc w:val="left"/>
      <w:lvlText w:val="(%1)"/>
      <w:numFmt w:val="decimal"/>
      <w:start w:val="8"/>
    </w:lvl>
    <w:lvl w:ilvl="1">
      <w:lvlJc w:val="left"/>
      <w:lvlText w:val="%2"/>
      <w:numFmt w:val="lowerLetter"/>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1)"/>
      <w:numFmt w:val="lowerRoman"/>
      <w:start w:val="1"/>
    </w:lvl>
  </w:abstractNum>
  <w:abstractNum w:abstractNumId="19">
    <w:nsid w:val="5E884ADC"/>
    <w:multiLevelType w:val="hybridMultilevel"/>
    <w:lvl w:ilvl="0">
      <w:lvlJc w:val="left"/>
      <w:lvlText w:val="(%1)"/>
      <w:numFmt w:val="lowerRoman"/>
      <w:start w:val="2"/>
    </w:lvl>
  </w:abstractNum>
  <w:abstractNum w:abstractNumId="20">
    <w:nsid w:val="51EAD36B"/>
    <w:multiLevelType w:val="hybridMultilevel"/>
    <w:lvl w:ilvl="0">
      <w:lvlJc w:val="left"/>
      <w:lvlText w:val="(%1)"/>
      <w:numFmt w:val="decimal"/>
      <w:start w:val="1"/>
    </w:lvl>
  </w:abstractNum>
  <w:abstractNum w:abstractNumId="21">
    <w:nsid w:val="2D517796"/>
    <w:multiLevelType w:val="hybridMultilevel"/>
    <w:lvl w:ilvl="0">
      <w:lvlJc w:val="left"/>
      <w:lvlText w:val="(%1)"/>
      <w:numFmt w:val="decimal"/>
      <w:start w:val="1"/>
    </w:lvl>
  </w:abstractNum>
  <w:abstractNum w:abstractNumId="22">
    <w:nsid w:val="580BD78F"/>
    <w:multiLevelType w:val="hybridMultilevel"/>
    <w:lvl w:ilvl="0">
      <w:lvlJc w:val="left"/>
      <w:lvlText w:val="(%1)"/>
      <w:numFmt w:val="decimal"/>
      <w:start w:val="1"/>
    </w:lvl>
  </w:abstractNum>
  <w:abstractNum w:abstractNumId="23">
    <w:nsid w:val="153EA438"/>
    <w:multiLevelType w:val="hybridMultilevel"/>
    <w:lvl w:ilvl="0">
      <w:lvlJc w:val="left"/>
      <w:lvlText w:val="(%1)"/>
      <w:numFmt w:val="decimal"/>
      <w:start w:val="1"/>
    </w:lvl>
  </w:abstractNum>
  <w:abstractNum w:abstractNumId="24">
    <w:nsid w:val="3855585C"/>
    <w:multiLevelType w:val="hybridMultilevel"/>
    <w:lvl w:ilvl="0">
      <w:lvlJc w:val="left"/>
      <w:lvlText w:val="(%1)"/>
      <w:numFmt w:val="decimal"/>
      <w:start w:val="1"/>
    </w:lvl>
  </w:abstractNum>
  <w:abstractNum w:abstractNumId="25">
    <w:nsid w:val="70A64E2A"/>
    <w:multiLevelType w:val="hybridMultilevel"/>
    <w:lvl w:ilvl="0">
      <w:lvlJc w:val="left"/>
      <w:lvlText w:val="(%1)"/>
      <w:numFmt w:val="decimal"/>
      <w:start w:val="1"/>
    </w:lvl>
  </w:abstractNum>
  <w:abstractNum w:abstractNumId="26">
    <w:nsid w:val="6A2342EC"/>
    <w:multiLevelType w:val="hybridMultilevel"/>
    <w:lvl w:ilvl="0">
      <w:lvlJc w:val="left"/>
      <w:lvlText w:val="•"/>
      <w:numFmt w:val="bullet"/>
      <w:start w:val="1"/>
    </w:lvl>
  </w:abstractNum>
  <w:abstractNum w:abstractNumId="27">
    <w:nsid w:val="2A487CB0"/>
    <w:multiLevelType w:val="hybridMultilevel"/>
    <w:lvl w:ilvl="0">
      <w:lvlJc w:val="left"/>
      <w:lvlText w:val="(%1)"/>
      <w:numFmt w:val="decimal"/>
      <w:start w:val="1"/>
    </w:lvl>
  </w:abstractNum>
  <w:abstractNum w:abstractNumId="28">
    <w:nsid w:val="1D4ED43B"/>
    <w:multiLevelType w:val="hybridMultilevel"/>
    <w:lvl w:ilvl="0">
      <w:lvlJc w:val="left"/>
      <w:lvlText w:val="(%1)"/>
      <w:numFmt w:val="decimal"/>
      <w:start w:val="1"/>
    </w:lvl>
  </w:abstractNum>
  <w:abstractNum w:abstractNumId="29">
    <w:nsid w:val="725A06FB"/>
    <w:multiLevelType w:val="hybridMultilevel"/>
    <w:lvl w:ilvl="0">
      <w:lvlJc w:val="left"/>
      <w:lvlText w:val="(%1)"/>
      <w:numFmt w:val="decimal"/>
      <w:start w:val="1"/>
    </w:lvl>
  </w:abstractNum>
  <w:abstractNum w:abstractNumId="30">
    <w:nsid w:val="2CD89A32"/>
    <w:multiLevelType w:val="hybridMultilevel"/>
    <w:lvl w:ilvl="0">
      <w:lvlJc w:val="left"/>
      <w:lvlText w:val="%1."/>
      <w:numFmt w:val="decimal"/>
      <w:start w:val="10"/>
    </w:lvl>
  </w:abstractNum>
  <w:abstractNum w:abstractNumId="31">
    <w:nsid w:val="57E4CCAF"/>
    <w:multiLevelType w:val="hybridMultilevel"/>
    <w:lvl w:ilvl="0">
      <w:lvlJc w:val="left"/>
      <w:lvlText w:val="(%1)"/>
      <w:numFmt w:val="decimal"/>
      <w:start w:val="1"/>
    </w:lvl>
  </w:abstractNum>
  <w:abstractNum w:abstractNumId="32">
    <w:nsid w:val="7A6D8D3C"/>
    <w:multiLevelType w:val="hybridMultilevel"/>
    <w:lvl w:ilvl="0">
      <w:lvlJc w:val="left"/>
      <w:lvlText w:val="•"/>
      <w:numFmt w:val="bullet"/>
      <w:start w:val="1"/>
    </w:lvl>
  </w:abstractNum>
  <w:abstractNum w:abstractNumId="33">
    <w:nsid w:val="4B588F54"/>
    <w:multiLevelType w:val="hybridMultilevel"/>
    <w:lvl w:ilvl="0">
      <w:lvlJc w:val="left"/>
      <w:lvlText w:val="•"/>
      <w:numFmt w:val="bullet"/>
      <w:start w:val="1"/>
    </w:lvl>
  </w:abstractNum>
  <w:abstractNum w:abstractNumId="34">
    <w:nsid w:val="542289EC"/>
    <w:multiLevelType w:val="hybridMultilevel"/>
    <w:lvl w:ilvl="0">
      <w:lvlJc w:val="left"/>
      <w:lvlText w:val="•"/>
      <w:numFmt w:val="bullet"/>
      <w:start w:val="1"/>
    </w:lvl>
  </w:abstractNum>
  <w:abstractNum w:abstractNumId="35">
    <w:nsid w:val="6DE91B18"/>
    <w:multiLevelType w:val="hybridMultilevel"/>
    <w:lvl w:ilvl="0">
      <w:lvlJc w:val="left"/>
      <w:lvlText w:val="(%1)"/>
      <w:numFmt w:val="decimal"/>
      <w:start w:val="1"/>
    </w:lvl>
  </w:abstractNum>
  <w:abstractNum w:abstractNumId="36">
    <w:nsid w:val="38437FDB"/>
    <w:multiLevelType w:val="hybridMultilevel"/>
    <w:lvl w:ilvl="0">
      <w:lvlJc w:val="left"/>
      <w:lvlText w:val="(%1)"/>
      <w:numFmt w:val="decimal"/>
      <w:start w:val="1"/>
    </w:lvl>
  </w:abstractNum>
  <w:abstractNum w:abstractNumId="37">
    <w:nsid w:val="7644A45C"/>
    <w:multiLevelType w:val="hybridMultilevel"/>
    <w:lvl w:ilvl="0">
      <w:lvlJc w:val="left"/>
      <w:lvlText w:val="(%1)"/>
      <w:numFmt w:val="decimal"/>
      <w:start w:val="1"/>
    </w:lvl>
  </w:abstractNum>
  <w:abstractNum w:abstractNumId="38">
    <w:nsid w:val="32FFF902"/>
    <w:multiLevelType w:val="hybridMultilevel"/>
    <w:lvl w:ilvl="0">
      <w:lvlJc w:val="left"/>
      <w:lvlText w:val="•"/>
      <w:numFmt w:val="bullet"/>
      <w:start w:val="1"/>
    </w:lvl>
  </w:abstractNum>
  <w:abstractNum w:abstractNumId="39">
    <w:nsid w:val="684A481A"/>
    <w:multiLevelType w:val="hybridMultilevel"/>
    <w:lvl w:ilvl="0">
      <w:lvlJc w:val="left"/>
      <w:lvlText w:val="•"/>
      <w:numFmt w:val="bullet"/>
      <w:start w:val="1"/>
    </w:lvl>
  </w:abstractNum>
  <w:abstractNum w:abstractNumId="40">
    <w:nsid w:val="579478FE"/>
    <w:multiLevelType w:val="hybridMultilevel"/>
    <w:lvl w:ilvl="0">
      <w:lvlJc w:val="left"/>
      <w:lvlText w:val="•"/>
      <w:numFmt w:val="bullet"/>
      <w:start w:val="1"/>
    </w:lvl>
  </w:abstractNum>
  <w:abstractNum w:abstractNumId="41">
    <w:nsid w:val="749ABB43"/>
    <w:multiLevelType w:val="hybridMultilevel"/>
    <w:lvl w:ilvl="0">
      <w:lvlJc w:val="left"/>
      <w:lvlText w:val="(%1)"/>
      <w:numFmt w:val="decimal"/>
      <w:start w:val="1"/>
    </w:lvl>
  </w:abstractNum>
  <w:abstractNum w:abstractNumId="42">
    <w:nsid w:val="3DC240FB"/>
    <w:multiLevelType w:val="hybridMultilevel"/>
    <w:lvl w:ilvl="0">
      <w:lvlJc w:val="left"/>
      <w:lvlText w:val="•"/>
      <w:numFmt w:val="bullet"/>
      <w:start w:val="1"/>
    </w:lvl>
  </w:abstractNum>
  <w:abstractNum w:abstractNumId="43">
    <w:nsid w:val="1BA026FA"/>
    <w:multiLevelType w:val="hybridMultilevel"/>
    <w:lvl w:ilvl="0">
      <w:lvlJc w:val="left"/>
      <w:lvlText w:val="(%1)"/>
      <w:numFmt w:val="decimal"/>
      <w:start w:val="1"/>
    </w:lvl>
  </w:abstractNum>
  <w:abstractNum w:abstractNumId="44">
    <w:nsid w:val="79A1DEAA"/>
    <w:multiLevelType w:val="hybridMultilevel"/>
    <w:lvl w:ilvl="0">
      <w:lvlJc w:val="left"/>
      <w:lvlText w:val="(%1)"/>
      <w:numFmt w:val="decimal"/>
      <w:start w:val="1"/>
    </w:lvl>
  </w:abstractNum>
  <w:abstractNum w:abstractNumId="45">
    <w:nsid w:val="75C6C33A"/>
    <w:multiLevelType w:val="hybridMultilevel"/>
    <w:lvl w:ilvl="0">
      <w:lvlJc w:val="left"/>
      <w:lvlText w:val="•"/>
      <w:numFmt w:val="bullet"/>
      <w:start w:val="1"/>
    </w:lvl>
  </w:abstractNum>
  <w:abstractNum w:abstractNumId="46">
    <w:nsid w:val="12E685FB"/>
    <w:multiLevelType w:val="hybridMultilevel"/>
    <w:lvl w:ilvl="0">
      <w:lvlJc w:val="left"/>
      <w:lvlText w:val="(%1)"/>
      <w:numFmt w:val="decimal"/>
      <w:start w:val="1"/>
    </w:lvl>
  </w:abstractNum>
  <w:abstractNum w:abstractNumId="47">
    <w:nsid w:val="70C6A529"/>
    <w:multiLevelType w:val="hybridMultilevel"/>
    <w:lvl w:ilvl="0">
      <w:lvlJc w:val="left"/>
      <w:lvlText w:val="(%1)"/>
      <w:numFmt w:val="decimal"/>
      <w:start w:val="1"/>
    </w:lvl>
  </w:abstractNum>
  <w:abstractNum w:abstractNumId="48">
    <w:nsid w:val="520EEDD1"/>
    <w:multiLevelType w:val="hybridMultilevel"/>
    <w:lvl w:ilvl="0">
      <w:lvlJc w:val="left"/>
      <w:lvlText w:val="•"/>
      <w:numFmt w:val="bullet"/>
      <w:start w:val="1"/>
    </w:lvl>
  </w:abstractNum>
  <w:abstractNum w:abstractNumId="49">
    <w:nsid w:val="374A3FE6"/>
    <w:multiLevelType w:val="hybridMultilevel"/>
    <w:lvl w:ilvl="0">
      <w:lvlJc w:val="left"/>
      <w:lvlText w:val="•"/>
      <w:numFmt w:val="bullet"/>
      <w:start w:val="1"/>
    </w:lvl>
  </w:abstractNum>
  <w:abstractNum w:abstractNumId="50">
    <w:nsid w:val="4F4EF005"/>
    <w:multiLevelType w:val="hybridMultilevel"/>
    <w:lvl w:ilvl="0">
      <w:lvlJc w:val="left"/>
      <w:lvlText w:val="•"/>
      <w:numFmt w:val="bullet"/>
      <w:start w:val="1"/>
    </w:lvl>
  </w:abstractNum>
  <w:abstractNum w:abstractNumId="51">
    <w:nsid w:val="23F9C13C"/>
    <w:multiLevelType w:val="hybridMultilevel"/>
    <w:lvl w:ilvl="0">
      <w:lvlJc w:val="left"/>
      <w:lvlText w:val="(%1)"/>
      <w:numFmt w:val="decimal"/>
      <w:start w:val="1"/>
    </w:lvl>
  </w:abstractNum>
  <w:abstractNum w:abstractNumId="52">
    <w:nsid w:val="649BB77C"/>
    <w:multiLevelType w:val="hybridMultilevel"/>
    <w:lvl w:ilvl="0">
      <w:lvlJc w:val="left"/>
      <w:lvlText w:val="(%1)"/>
      <w:numFmt w:val="decimal"/>
      <w:start w:val="2"/>
    </w:lvl>
  </w:abstractNum>
  <w:abstractNum w:abstractNumId="53">
    <w:nsid w:val="275AC794"/>
    <w:multiLevelType w:val="hybridMultilevel"/>
    <w:lvl w:ilvl="0">
      <w:lvlJc w:val="left"/>
      <w:lvlText w:val="(%1)"/>
      <w:numFmt w:val="lowerLetter"/>
      <w:start w:val="1"/>
    </w:lvl>
  </w:abstractNum>
  <w:abstractNum w:abstractNumId="54">
    <w:nsid w:val="39386575"/>
    <w:multiLevelType w:val="hybridMultilevel"/>
    <w:lvl w:ilvl="0">
      <w:lvlJc w:val="left"/>
      <w:lvlText w:val="%1"/>
      <w:numFmt w:val="decimal"/>
      <w:start w:val="32"/>
    </w:lvl>
  </w:abstractNum>
  <w:abstractNum w:abstractNumId="55">
    <w:nsid w:val="1CF10FD8"/>
    <w:multiLevelType w:val="hybridMultilevel"/>
    <w:lvl w:ilvl="0">
      <w:lvlJc w:val="left"/>
      <w:lvlText w:val="(%1)"/>
      <w:numFmt w:val="decimal"/>
      <w:start w:val="1"/>
    </w:lvl>
    <w:lvl w:ilvl="1">
      <w:lvlJc w:val="left"/>
      <w:lvlText w:val="%2."/>
      <w:numFmt w:val="lowerLetter"/>
      <w:start w:val="1"/>
    </w:lvl>
  </w:abstractNum>
  <w:abstractNum w:abstractNumId="56">
    <w:nsid w:val="180115BE"/>
    <w:multiLevelType w:val="hybridMultilevel"/>
    <w:lvl w:ilvl="0">
      <w:lvlJc w:val="left"/>
      <w:lvlText w:val="(%1)"/>
      <w:numFmt w:val="decimal"/>
      <w:start w:val="1"/>
    </w:lvl>
    <w:lvl w:ilvl="1">
      <w:lvlJc w:val="left"/>
      <w:lvlText w:val="%2."/>
      <w:numFmt w:val="lowerLetter"/>
      <w:start w:val="1"/>
    </w:lvl>
  </w:abstractNum>
  <w:abstractNum w:abstractNumId="57">
    <w:nsid w:val="235BA861"/>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2020-11-04T15:31:15Z</dcterms:created>
  <dcterms:modified xsi:type="dcterms:W3CDTF">2020-11-04T15:31:15Z</dcterms:modified>
</cp:coreProperties>
</file>