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47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478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9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308" w:lineRule="auto"/>
        <w:rPr>
          <w:rFonts w:ascii="Arial" w:cs="Arial" w:eastAsia="Arial" w:hAnsi="Arial"/>
          <w:sz w:val="19"/>
          <w:szCs w:val="19"/>
          <w:u w:val="single" w:color="auto"/>
          <w:color w:val="0000EE"/>
        </w:rPr>
      </w:pPr>
      <w:hyperlink r:id="rId11">
        <w:r>
          <w:rPr>
            <w:rFonts w:ascii="Arial" w:cs="Arial" w:eastAsia="Arial" w:hAnsi="Arial"/>
            <w:sz w:val="19"/>
            <w:szCs w:val="19"/>
            <w:u w:val="single" w:color="auto"/>
            <w:color w:val="0000EE"/>
          </w:rPr>
          <w:t>MSSB TPG Specialty Lending</w:t>
        </w:r>
      </w:hyperlink>
      <w:r>
        <w:rPr>
          <w:rFonts w:ascii="Arial" w:cs="Arial" w:eastAsia="Arial" w:hAnsi="Arial"/>
          <w:sz w:val="19"/>
          <w:szCs w:val="19"/>
          <w:u w:val="single" w:color="auto"/>
          <w:color w:val="0000EE"/>
        </w:rPr>
        <w:t xml:space="preserve"> </w:t>
      </w:r>
      <w:hyperlink r:id="rId11">
        <w:r>
          <w:rPr>
            <w:rFonts w:ascii="Arial" w:cs="Arial" w:eastAsia="Arial" w:hAnsi="Arial"/>
            <w:sz w:val="19"/>
            <w:szCs w:val="19"/>
            <w:u w:val="single" w:color="auto"/>
            <w:color w:val="0000EE"/>
          </w:rPr>
          <w:t>Onshore Feeder Fund</w:t>
        </w:r>
      </w:hyperlink>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ind w:left="8"/>
        <w:spacing w:after="0"/>
        <w:rPr>
          <w:sz w:val="20"/>
          <w:szCs w:val="20"/>
          <w:color w:val="auto"/>
        </w:rPr>
      </w:pPr>
      <w:r>
        <w:rPr>
          <w:rFonts w:ascii="Arial" w:cs="Arial" w:eastAsia="Arial" w:hAnsi="Arial"/>
          <w:sz w:val="18"/>
          <w:szCs w:val="18"/>
          <w:color w:val="0000FF"/>
        </w:rPr>
        <w:t>08/01/2011</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86" w:lineRule="exact"/>
        <w:rPr>
          <w:sz w:val="20"/>
          <w:szCs w:val="20"/>
          <w:color w:val="auto"/>
        </w:rPr>
      </w:pPr>
    </w:p>
    <w:p>
      <w:pPr>
        <w:sectPr>
          <w:pgSz w:w="11900" w:h="16838" w:orient="portrait"/>
          <w:cols w:equalWidth="0" w:num="3">
            <w:col w:w="2800" w:space="692"/>
            <w:col w:w="1228" w:space="480"/>
            <w:col w:w="6220"/>
          </w:cols>
          <w:pgMar w:left="240" w:top="226" w:right="239" w:bottom="1440" w:gutter="0" w:footer="0" w:header="0"/>
          <w:type w:val="continuous"/>
        </w:sectPr>
      </w:pPr>
    </w:p>
    <w:p>
      <w:pPr>
        <w:spacing w:after="0" w:line="189"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1194"/>
        <w:spacing w:after="0" w:line="268" w:lineRule="auto"/>
        <w:rPr>
          <w:sz w:val="20"/>
          <w:szCs w:val="20"/>
          <w:color w:val="auto"/>
        </w:rPr>
      </w:pPr>
      <w:r>
        <w:rPr>
          <w:rFonts w:ascii="Arial" w:cs="Arial" w:eastAsia="Arial" w:hAnsi="Arial"/>
          <w:sz w:val="18"/>
          <w:szCs w:val="18"/>
          <w:color w:val="0000FF"/>
        </w:rPr>
        <w:t>C/O MORGAN STANLEY GWM FEEDER STRATEGIES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522 FIFTH AVENUE, 13TH FLOOR</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0"/>
          <w:szCs w:val="20"/>
          <w:color w:val="auto"/>
        </w:rPr>
      </w:pPr>
      <w:r>
        <w:rPr>
          <w:sz w:val="20"/>
          <w:szCs w:val="20"/>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0"/>
          <w:szCs w:val="20"/>
          <w:color w:val="auto"/>
        </w:rPr>
      </w:pPr>
      <w:r>
        <w:rPr>
          <w:sz w:val="20"/>
          <w:szCs w:val="20"/>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0"/>
          <w:szCs w:val="20"/>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88" w:lineRule="exact"/>
        <w:rPr>
          <w:sz w:val="20"/>
          <w:szCs w:val="20"/>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right"/>
              <w:ind w:right="367"/>
              <w:spacing w:after="0"/>
              <w:rPr>
                <w:sz w:val="20"/>
                <w:szCs w:val="20"/>
                <w:color w:val="auto"/>
              </w:rPr>
            </w:pPr>
            <w:r>
              <w:rPr>
                <w:rFonts w:ascii="Arial" w:cs="Arial" w:eastAsia="Arial" w:hAnsi="Arial"/>
                <w:sz w:val="18"/>
                <w:szCs w:val="18"/>
                <w:color w:val="0000FF"/>
              </w:rPr>
              <w:t>12,539</w:t>
            </w:r>
            <w:r>
              <w:rPr>
                <w:rFonts w:ascii="Arial" w:cs="Arial" w:eastAsia="Arial" w:hAnsi="Arial"/>
                <w:sz w:val="22"/>
                <w:szCs w:val="22"/>
                <w:color w:val="008000"/>
                <w:vertAlign w:val="superscript"/>
              </w:rPr>
              <w:t>(1)(2)</w:t>
            </w:r>
          </w:p>
        </w:tc>
        <w:tc>
          <w:tcPr>
            <w:tcW w:w="1060" w:type="dxa"/>
            <w:vAlign w:val="bottom"/>
            <w:tcBorders>
              <w:bottom w:val="single" w:sz="8" w:color="2C2C2C"/>
            </w:tcBorders>
          </w:tcPr>
          <w:p>
            <w:pPr>
              <w:ind w:left="8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Morgan Stanley GWM Feeder Strategies LLC is the managing owner of the reporting person, and is a wholly-owned subsidiary of Morgan Stanley Smith Barney Holdings LLC. Morgan Stanley Smith Barney Holdings LLC is indirectly majority-owned by Morgan Stanley.</w:t>
      </w:r>
    </w:p>
    <w:p>
      <w:pPr>
        <w:spacing w:after="0" w:line="30" w:lineRule="exact"/>
        <w:rPr>
          <w:rFonts w:ascii="Arial" w:cs="Arial" w:eastAsia="Arial" w:hAnsi="Arial"/>
          <w:sz w:val="14"/>
          <w:szCs w:val="14"/>
          <w:color w:val="008000"/>
        </w:rPr>
      </w:pPr>
    </w:p>
    <w:p>
      <w:pPr>
        <w:ind w:left="40" w:right="120" w:firstLine="9"/>
        <w:spacing w:after="0" w:line="228"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Although MSSB TPG Specialty Lending Onshore Feeder Fund (the "Trust") beneficially owns 12,539 shares of the common stock of the issuer and would otherwise be entitled to vote such shares, the Trust has contractually agreed to pass such voting rights through to the Trust's underlying investors (each a "Unitholder" and collectively, the "Unitholders") pro rata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ectPr>
          <w:pgSz w:w="11900" w:h="16838" w:orient="portrait"/>
          <w:cols w:equalWidth="0" w:num="1">
            <w:col w:w="11420"/>
          </w:cols>
          <w:pgMar w:left="240" w:top="226" w:right="239" w:bottom="1440" w:gutter="0" w:footer="0" w:header="0"/>
          <w:type w:val="continuous"/>
        </w:sectPr>
      </w:pPr>
    </w:p>
    <w:p>
      <w:pPr>
        <w:spacing w:after="0" w:line="62"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/s/ John Sweeney,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6985</wp:posOffset>
            </wp:positionV>
            <wp:extent cx="1386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620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Morgan Stanley GWM Feeder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56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699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Strategies LLC, the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37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owner of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252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67"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40" w:right="122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08/11/2011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499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9745"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60" w:space="1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527270" TargetMode="External"/><Relationship Id="rId12"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2019-12-18T02:29:22Z</dcterms:created>
  <dcterms:modified xsi:type="dcterms:W3CDTF">2019-12-18T02:29:22Z</dcterms:modified>
</cp:coreProperties>
</file>