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7, 2019</w:t>
      </w:r>
    </w:p>
    <w:p>
      <w:pPr>
        <w:spacing w:after="0" w:line="4" w:lineRule="exact"/>
        <w:rPr>
          <w:sz w:val="24"/>
          <w:szCs w:val="24"/>
          <w:color w:val="auto"/>
        </w:rPr>
      </w:pPr>
    </w:p>
    <w:p>
      <w:pPr>
        <w:ind w:left="9320"/>
        <w:spacing w:after="0"/>
        <w:rPr>
          <w:sz w:val="20"/>
          <w:szCs w:val="20"/>
          <w:color w:val="auto"/>
        </w:rPr>
      </w:pPr>
      <w:r>
        <w:rPr>
          <w:rFonts w:ascii="Arial" w:cs="Arial" w:eastAsia="Arial" w:hAnsi="Arial"/>
          <w:sz w:val="14"/>
          <w:szCs w:val="14"/>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121920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N-2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6" w:lineRule="exact"/>
        <w:rPr>
          <w:sz w:val="24"/>
          <w:szCs w:val="24"/>
          <w:color w:val="auto"/>
        </w:rPr>
      </w:pPr>
    </w:p>
    <w:tbl>
      <w:tblPr>
        <w:tblLayout w:type="fixed"/>
        <w:tblInd w:w="4240" w:type="dxa"/>
        <w:tblCellMar>
          <w:top w:w="0" w:type="dxa"/>
          <w:left w:w="0" w:type="dxa"/>
          <w:bottom w:w="0" w:type="dxa"/>
          <w:right w:w="0" w:type="dxa"/>
        </w:tblCellMar>
      </w:tblPr>
      <w:tr>
        <w:trPr>
          <w:trHeight w:val="207"/>
        </w:trPr>
        <w:tc>
          <w:tcPr>
            <w:tcW w:w="4800" w:type="dxa"/>
            <w:vAlign w:val="bottom"/>
          </w:tcPr>
          <w:p>
            <w:pPr>
              <w:ind w:left="1160"/>
              <w:spacing w:after="0"/>
              <w:rPr>
                <w:sz w:val="20"/>
                <w:szCs w:val="20"/>
                <w:color w:val="auto"/>
              </w:rPr>
            </w:pPr>
            <w:r>
              <w:rPr>
                <w:rFonts w:ascii="Arial" w:cs="Arial" w:eastAsia="Arial" w:hAnsi="Arial"/>
                <w:sz w:val="18"/>
                <w:szCs w:val="18"/>
                <w:b w:val="1"/>
                <w:bCs w:val="1"/>
                <w:i w:val="1"/>
                <w:iCs w:val="1"/>
                <w:color w:val="auto"/>
              </w:rPr>
              <w:t>UNDER</w:t>
            </w:r>
          </w:p>
        </w:tc>
        <w:tc>
          <w:tcPr>
            <w:tcW w:w="2380" w:type="dxa"/>
            <w:vAlign w:val="bottom"/>
            <w:vMerge w:val="restart"/>
          </w:tcPr>
          <w:p>
            <w:pPr>
              <w:ind w:left="2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4800" w:type="dxa"/>
            <w:vAlign w:val="bottom"/>
          </w:tcPr>
          <w:p>
            <w:pPr>
              <w:spacing w:after="0" w:line="183" w:lineRule="exact"/>
              <w:rPr>
                <w:sz w:val="20"/>
                <w:szCs w:val="20"/>
                <w:color w:val="auto"/>
              </w:rPr>
            </w:pPr>
            <w:r>
              <w:rPr>
                <w:rFonts w:ascii="Arial" w:cs="Arial" w:eastAsia="Arial" w:hAnsi="Arial"/>
                <w:sz w:val="18"/>
                <w:szCs w:val="18"/>
                <w:b w:val="1"/>
                <w:bCs w:val="1"/>
                <w:i w:val="1"/>
                <w:iCs w:val="1"/>
                <w:color w:val="auto"/>
              </w:rPr>
              <w:t>THE SECURITIES ACT OF 1933</w:t>
            </w: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Pre-Effective Amendment No.</w:t>
            </w:r>
          </w:p>
        </w:tc>
        <w:tc>
          <w:tcPr>
            <w:tcW w:w="2380" w:type="dxa"/>
            <w:vAlign w:val="bottom"/>
          </w:tcPr>
          <w:p>
            <w:pPr>
              <w:ind w:left="2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0"/>
                <w:szCs w:val="20"/>
                <w:color w:val="auto"/>
              </w:rPr>
            </w:pPr>
            <w:r>
              <w:rPr>
                <w:rFonts w:ascii="Arial" w:cs="Arial" w:eastAsia="Arial" w:hAnsi="Arial"/>
                <w:sz w:val="18"/>
                <w:szCs w:val="18"/>
                <w:b w:val="1"/>
                <w:bCs w:val="1"/>
                <w:color w:val="auto"/>
              </w:rPr>
              <w:t>Post-Effective Amendment No.</w:t>
            </w:r>
          </w:p>
        </w:tc>
        <w:tc>
          <w:tcPr>
            <w:tcW w:w="2380" w:type="dxa"/>
            <w:vAlign w:val="bottom"/>
          </w:tcPr>
          <w:p>
            <w:pPr>
              <w:ind w:left="2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TPG Specialty Lending,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Commerce Street, Suite 3300</w:t>
      </w:r>
    </w:p>
    <w:p>
      <w:pPr>
        <w:jc w:val="center"/>
        <w:spacing w:after="0" w:line="226" w:lineRule="auto"/>
        <w:rPr>
          <w:sz w:val="20"/>
          <w:szCs w:val="20"/>
          <w:color w:val="auto"/>
        </w:rPr>
      </w:pPr>
      <w:r>
        <w:rPr>
          <w:rFonts w:ascii="Arial" w:cs="Arial" w:eastAsia="Arial" w:hAnsi="Arial"/>
          <w:sz w:val="14"/>
          <w:szCs w:val="14"/>
          <w:b w:val="1"/>
          <w:bCs w:val="1"/>
          <w:color w:val="auto"/>
        </w:rPr>
        <w:t>Fort Worth, TX 76102</w:t>
      </w:r>
    </w:p>
    <w:p>
      <w:pPr>
        <w:jc w:val="center"/>
        <w:spacing w:after="0" w:line="222"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1" w:lineRule="auto"/>
        <w:rPr>
          <w:sz w:val="20"/>
          <w:szCs w:val="20"/>
          <w:color w:val="auto"/>
        </w:rPr>
      </w:pPr>
      <w:r>
        <w:rPr>
          <w:rFonts w:ascii="Arial" w:cs="Arial" w:eastAsia="Arial" w:hAnsi="Arial"/>
          <w:sz w:val="14"/>
          <w:szCs w:val="14"/>
          <w:b w:val="1"/>
          <w:bCs w:val="1"/>
          <w:color w:val="auto"/>
        </w:rPr>
        <w:t>(817) 871-4000</w:t>
      </w:r>
    </w:p>
    <w:p>
      <w:pPr>
        <w:jc w:val="center"/>
        <w:spacing w:after="0" w:line="222" w:lineRule="auto"/>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line="221" w:lineRule="auto"/>
        <w:rPr>
          <w:sz w:val="20"/>
          <w:szCs w:val="20"/>
          <w:color w:val="auto"/>
        </w:rPr>
      </w:pPr>
      <w:r>
        <w:rPr>
          <w:rFonts w:ascii="Arial" w:cs="Arial" w:eastAsia="Arial" w:hAnsi="Arial"/>
          <w:sz w:val="14"/>
          <w:szCs w:val="14"/>
          <w:b w:val="1"/>
          <w:bCs w:val="1"/>
          <w:color w:val="auto"/>
        </w:rPr>
        <w:t>David Stiepleman</w:t>
      </w:r>
    </w:p>
    <w:p>
      <w:pPr>
        <w:jc w:val="center"/>
        <w:spacing w:after="0" w:line="222" w:lineRule="auto"/>
        <w:rPr>
          <w:sz w:val="20"/>
          <w:szCs w:val="20"/>
          <w:color w:val="auto"/>
        </w:rPr>
      </w:pPr>
      <w:r>
        <w:rPr>
          <w:rFonts w:ascii="Arial" w:cs="Arial" w:eastAsia="Arial" w:hAnsi="Arial"/>
          <w:sz w:val="14"/>
          <w:szCs w:val="14"/>
          <w:b w:val="1"/>
          <w:bCs w:val="1"/>
          <w:color w:val="auto"/>
        </w:rPr>
        <w:t>c/o TPG Specialty Lending, Inc.</w:t>
      </w:r>
    </w:p>
    <w:p>
      <w:pPr>
        <w:jc w:val="center"/>
        <w:spacing w:after="0" w:line="221" w:lineRule="auto"/>
        <w:rPr>
          <w:sz w:val="20"/>
          <w:szCs w:val="20"/>
          <w:color w:val="auto"/>
        </w:rPr>
      </w:pPr>
      <w:r>
        <w:rPr>
          <w:rFonts w:ascii="Arial" w:cs="Arial" w:eastAsia="Arial" w:hAnsi="Arial"/>
          <w:sz w:val="14"/>
          <w:szCs w:val="14"/>
          <w:b w:val="1"/>
          <w:bCs w:val="1"/>
          <w:color w:val="auto"/>
        </w:rPr>
        <w:t>345 California Street, Suite 3300</w:t>
      </w:r>
    </w:p>
    <w:p>
      <w:pPr>
        <w:jc w:val="center"/>
        <w:spacing w:after="0" w:line="221" w:lineRule="auto"/>
        <w:rPr>
          <w:sz w:val="20"/>
          <w:szCs w:val="20"/>
          <w:color w:val="auto"/>
        </w:rPr>
      </w:pPr>
      <w:r>
        <w:rPr>
          <w:rFonts w:ascii="Arial" w:cs="Arial" w:eastAsia="Arial" w:hAnsi="Arial"/>
          <w:sz w:val="14"/>
          <w:szCs w:val="14"/>
          <w:b w:val="1"/>
          <w:bCs w:val="1"/>
          <w:color w:val="auto"/>
        </w:rPr>
        <w:t>San Francisco, CA 94104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COPIES TO: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Adam E. Fleisher, Esq.</w:t>
      </w:r>
    </w:p>
    <w:p>
      <w:pPr>
        <w:jc w:val="center"/>
        <w:spacing w:after="0" w:line="226" w:lineRule="auto"/>
        <w:rPr>
          <w:sz w:val="20"/>
          <w:szCs w:val="20"/>
          <w:color w:val="auto"/>
        </w:rPr>
      </w:pPr>
      <w:r>
        <w:rPr>
          <w:rFonts w:ascii="Arial" w:cs="Arial" w:eastAsia="Arial" w:hAnsi="Arial"/>
          <w:sz w:val="14"/>
          <w:szCs w:val="14"/>
          <w:b w:val="1"/>
          <w:bCs w:val="1"/>
          <w:color w:val="auto"/>
        </w:rPr>
        <w:t>Helena K. Grannis, Esq.</w:t>
      </w:r>
    </w:p>
    <w:p>
      <w:pPr>
        <w:jc w:val="center"/>
        <w:spacing w:after="0" w:line="222" w:lineRule="auto"/>
        <w:rPr>
          <w:sz w:val="20"/>
          <w:szCs w:val="20"/>
          <w:color w:val="auto"/>
        </w:rPr>
      </w:pPr>
      <w:r>
        <w:rPr>
          <w:rFonts w:ascii="Arial" w:cs="Arial" w:eastAsia="Arial" w:hAnsi="Arial"/>
          <w:sz w:val="14"/>
          <w:szCs w:val="14"/>
          <w:b w:val="1"/>
          <w:bCs w:val="1"/>
          <w:color w:val="auto"/>
        </w:rPr>
        <w:t>Cleary Gottlieb Steen &amp; Hamilton LLP</w:t>
      </w:r>
    </w:p>
    <w:p>
      <w:pPr>
        <w:jc w:val="center"/>
        <w:spacing w:after="0" w:line="221" w:lineRule="auto"/>
        <w:rPr>
          <w:sz w:val="20"/>
          <w:szCs w:val="20"/>
          <w:color w:val="auto"/>
        </w:rPr>
      </w:pPr>
      <w:r>
        <w:rPr>
          <w:rFonts w:ascii="Arial" w:cs="Arial" w:eastAsia="Arial" w:hAnsi="Arial"/>
          <w:sz w:val="14"/>
          <w:szCs w:val="14"/>
          <w:b w:val="1"/>
          <w:bCs w:val="1"/>
          <w:color w:val="auto"/>
        </w:rPr>
        <w:t>One Liberty Plaza</w:t>
      </w:r>
    </w:p>
    <w:p>
      <w:pPr>
        <w:jc w:val="center"/>
        <w:spacing w:after="0" w:line="222" w:lineRule="auto"/>
        <w:rPr>
          <w:sz w:val="20"/>
          <w:szCs w:val="20"/>
          <w:color w:val="auto"/>
        </w:rPr>
      </w:pPr>
      <w:r>
        <w:rPr>
          <w:rFonts w:ascii="Arial" w:cs="Arial" w:eastAsia="Arial" w:hAnsi="Arial"/>
          <w:sz w:val="14"/>
          <w:szCs w:val="14"/>
          <w:b w:val="1"/>
          <w:bCs w:val="1"/>
          <w:color w:val="auto"/>
        </w:rPr>
        <w:t>New York, NY 10006</w:t>
      </w:r>
    </w:p>
    <w:p>
      <w:pPr>
        <w:jc w:val="center"/>
        <w:spacing w:after="0" w:line="221" w:lineRule="auto"/>
        <w:rPr>
          <w:sz w:val="20"/>
          <w:szCs w:val="20"/>
          <w:color w:val="auto"/>
        </w:rPr>
      </w:pPr>
      <w:r>
        <w:rPr>
          <w:rFonts w:ascii="Arial" w:cs="Arial" w:eastAsia="Arial" w:hAnsi="Arial"/>
          <w:sz w:val="14"/>
          <w:szCs w:val="14"/>
          <w:b w:val="1"/>
          <w:bCs w:val="1"/>
          <w:color w:val="auto"/>
        </w:rPr>
        <w:t>Telephone: (212) 225-2000</w:t>
      </w:r>
    </w:p>
    <w:p>
      <w:pPr>
        <w:jc w:val="center"/>
        <w:spacing w:after="0"/>
        <w:rPr>
          <w:sz w:val="20"/>
          <w:szCs w:val="20"/>
          <w:color w:val="auto"/>
        </w:rPr>
      </w:pPr>
      <w:r>
        <w:rPr>
          <w:rFonts w:ascii="Arial" w:cs="Arial" w:eastAsia="Arial" w:hAnsi="Arial"/>
          <w:sz w:val="14"/>
          <w:szCs w:val="14"/>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Proposed Public Offering: </w:t>
      </w:r>
      <w:r>
        <w:rPr>
          <w:rFonts w:ascii="Arial" w:cs="Arial" w:eastAsia="Arial" w:hAnsi="Arial"/>
          <w:sz w:val="14"/>
          <w:szCs w:val="14"/>
          <w:color w:val="auto"/>
        </w:rPr>
        <w:t>From time to time after the effective date of this Registration Statement.</w:t>
      </w:r>
    </w:p>
    <w:p>
      <w:pPr>
        <w:spacing w:after="0" w:line="46"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55"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5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60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Amount</w:t>
            </w:r>
          </w:p>
        </w:tc>
        <w:tc>
          <w:tcPr>
            <w:tcW w:w="172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Being</w:t>
            </w:r>
          </w:p>
        </w:tc>
        <w:tc>
          <w:tcPr>
            <w:tcW w:w="172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Being Registered</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88"/>
              </w:rPr>
              <w:t>Registered</w:t>
            </w:r>
          </w:p>
        </w:tc>
        <w:tc>
          <w:tcPr>
            <w:tcW w:w="172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5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$0.01 par value per share</w:t>
            </w:r>
            <w:r>
              <w:rPr>
                <w:rFonts w:ascii="Arial" w:cs="Arial" w:eastAsia="Arial" w:hAnsi="Arial"/>
                <w:sz w:val="12"/>
                <w:szCs w:val="12"/>
                <w:color w:val="auto"/>
              </w:rPr>
              <w:t>(1)(2)</w:t>
            </w:r>
          </w:p>
        </w:tc>
        <w:tc>
          <w:tcPr>
            <w:tcW w:w="160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Preferred Stock, $0.01 par value per share</w:t>
            </w:r>
            <w:r>
              <w:rPr>
                <w:rFonts w:ascii="Arial" w:cs="Arial" w:eastAsia="Arial" w:hAnsi="Arial"/>
                <w:sz w:val="12"/>
                <w:szCs w:val="12"/>
                <w:color w:val="auto"/>
              </w:rPr>
              <w:t>(1)(2)</w:t>
            </w:r>
          </w:p>
        </w:tc>
        <w:tc>
          <w:tcPr>
            <w:tcW w:w="160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Subscription Rights</w:t>
            </w:r>
            <w:r>
              <w:rPr>
                <w:rFonts w:ascii="Arial" w:cs="Arial" w:eastAsia="Arial" w:hAnsi="Arial"/>
                <w:sz w:val="12"/>
                <w:szCs w:val="12"/>
                <w:color w:val="auto"/>
              </w:rPr>
              <w:t>(1)</w:t>
            </w:r>
          </w:p>
        </w:tc>
        <w:tc>
          <w:tcPr>
            <w:tcW w:w="160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r>
              <w:rPr>
                <w:rFonts w:ascii="Arial" w:cs="Arial" w:eastAsia="Arial" w:hAnsi="Arial"/>
                <w:sz w:val="12"/>
                <w:szCs w:val="12"/>
                <w:color w:val="auto"/>
              </w:rPr>
              <w:t>(3)</w:t>
            </w:r>
          </w:p>
        </w:tc>
        <w:tc>
          <w:tcPr>
            <w:tcW w:w="160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Debt Securities</w:t>
            </w:r>
            <w:r>
              <w:rPr>
                <w:rFonts w:ascii="Arial" w:cs="Arial" w:eastAsia="Arial" w:hAnsi="Arial"/>
                <w:sz w:val="12"/>
                <w:szCs w:val="12"/>
                <w:color w:val="auto"/>
              </w:rPr>
              <w:t>(2)(4)</w:t>
            </w:r>
          </w:p>
        </w:tc>
        <w:tc>
          <w:tcPr>
            <w:tcW w:w="160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r>
              <w:rPr>
                <w:rFonts w:ascii="Arial" w:cs="Arial" w:eastAsia="Arial" w:hAnsi="Arial"/>
                <w:sz w:val="12"/>
                <w:szCs w:val="12"/>
                <w:color w:val="auto"/>
              </w:rPr>
              <w:t>(5)</w:t>
            </w:r>
          </w:p>
        </w:tc>
        <w:tc>
          <w:tcPr>
            <w:tcW w:w="160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jc w:val="center"/>
              <w:ind w:left="31"/>
              <w:spacing w:after="0" w:line="142" w:lineRule="exact"/>
              <w:rPr>
                <w:sz w:val="20"/>
                <w:szCs w:val="20"/>
                <w:color w:val="auto"/>
              </w:rPr>
            </w:pPr>
            <w:r>
              <w:rPr>
                <w:rFonts w:ascii="Arial" w:cs="Arial" w:eastAsia="Arial" w:hAnsi="Arial"/>
                <w:sz w:val="14"/>
                <w:szCs w:val="14"/>
                <w:color w:val="auto"/>
                <w:w w:val="93"/>
              </w:rPr>
              <w:t>$750,000,000</w:t>
            </w:r>
            <w:r>
              <w:rPr>
                <w:rFonts w:ascii="Arial" w:cs="Arial" w:eastAsia="Arial" w:hAnsi="Arial"/>
                <w:sz w:val="12"/>
                <w:szCs w:val="12"/>
                <w:color w:val="auto"/>
                <w:w w:val="93"/>
              </w:rPr>
              <w:t>(6)</w:t>
            </w:r>
          </w:p>
        </w:tc>
        <w:tc>
          <w:tcPr>
            <w:tcW w:w="156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1"/>
              </w:rPr>
              <w:t>$90,900</w:t>
            </w:r>
            <w:r>
              <w:rPr>
                <w:rFonts w:ascii="Arial" w:cs="Arial" w:eastAsia="Arial" w:hAnsi="Arial"/>
                <w:sz w:val="12"/>
                <w:szCs w:val="12"/>
                <w:color w:val="auto"/>
                <w:w w:val="9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80" w:hanging="332"/>
        <w:spacing w:after="0" w:line="226"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520" w:hanging="332"/>
        <w:spacing w:after="0" w:line="238"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ind w:left="340" w:right="18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warrants as may be sold, from time to time, representing rights to purchase common stock, preferred stock or debt securities.</w:t>
      </w:r>
    </w:p>
    <w:p>
      <w:pPr>
        <w:ind w:left="340" w:right="440" w:hanging="332"/>
        <w:spacing w:after="0" w:line="238"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ind w:left="3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by the Registrant exceed $750,000,000.</w:t>
      </w:r>
    </w:p>
    <w:p>
      <w:pPr>
        <w:ind w:left="340" w:right="20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right="20" w:hanging="332"/>
        <w:spacing w:after="0" w:line="24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Prior to the initial filing of this registration statement, (1) $534,609,000 aggregate principal amount of securities remained registered and unsold pursuant to a registration statement on Form N-2 (File No. 333-217207), which was initially filed by the Registrant on April 7, 2017, and (2) $699,750,000 aggregate principal amount of securities remained registered and unsold pursuant to a registration statement on Form N-2 (File No. 333-223986), which was initially filed by the Registrant on March 28, 2018. Pursuant to Rule 457(p), (1) $61,961.18 of the total filing fee of $90,900 required in connection with the registration of $750,000,000 aggregate principal amount of securities under this registration statement (the “Registration Fee”) is being offset against the $61,961.18 filing fee associated with the unsold securities registered under the registration statement on Form N-2 (File No. 333-217207) which was carried forward from the registration statement on Form N-2 initially filed by the Registrant on June 23, 2014 (File No. 333-196969) and (2) $28,938.82 of the Registration Fee is being offset against the $87,118.88 filing fee associated with the unsold securities registered under the registration statement on Form N-2 (File No. 333-223986), which was carried forward from the registration statement on Form N-2 initially filed by the Registrant on April 16, 2015 (File No. 333-203450). No additional amount is being paid in connection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filed this registration statement using the “shelf” registration process as a “well-known seasoned issuer” in reliance on the Small Business Credit Availability Act, or the SBCAA. In accordance with Section 3(c) of the SBCAA, we have treated the amendments promulgated in the SBCAA as having been completed in accordance with the actions required to be taken by the Securities and Exchange Commission, or the SEC. Furthermore, we are a “well-known seasoned issuer,” as defined in Rule 405 under the Securities Act of 1933, as amended, or the Securities Act. As such, pursuant to the SBCAA, this registration statement shall become effective upon filing with the SEC pursuant to Rule 462(e) under the Securities Act. In addition, certain items required by Form N-2 have been incorporated by reference into the prospectus through documents filed pursuant to Section 13(a), 13(c), 14 or 15(d) of the Exchange Act that are incorporated or deemed incorporated by reference into the prospectus that is part of this registration statement.</w:t>
      </w:r>
    </w:p>
    <w:p>
      <w:pPr>
        <w:sectPr>
          <w:pgSz w:w="11900" w:h="16838" w:orient="portrait"/>
          <w:cols w:equalWidth="0" w:num="1">
            <w:col w:w="11280"/>
          </w:cols>
          <w:pgMar w:left="24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PROSPECTUS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67945</wp:posOffset>
            </wp:positionV>
            <wp:extent cx="168973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97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TPG Specialty Lending, Inc.</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Preferred Stock</w:t>
      </w:r>
    </w:p>
    <w:p>
      <w:pPr>
        <w:jc w:val="center"/>
        <w:ind w:right="-19"/>
        <w:spacing w:after="0"/>
        <w:rPr>
          <w:sz w:val="20"/>
          <w:szCs w:val="20"/>
          <w:color w:val="auto"/>
        </w:rPr>
      </w:pPr>
      <w:r>
        <w:rPr>
          <w:rFonts w:ascii="Arial" w:cs="Arial" w:eastAsia="Arial" w:hAnsi="Arial"/>
          <w:sz w:val="20"/>
          <w:szCs w:val="20"/>
          <w:b w:val="1"/>
          <w:bCs w:val="1"/>
          <w:color w:val="auto"/>
        </w:rPr>
        <w:t>Subscription Rights</w:t>
      </w:r>
    </w:p>
    <w:p>
      <w:pPr>
        <w:jc w:val="center"/>
        <w:ind w:right="-19"/>
        <w:spacing w:after="0"/>
        <w:rPr>
          <w:sz w:val="20"/>
          <w:szCs w:val="20"/>
          <w:color w:val="auto"/>
        </w:rPr>
      </w:pPr>
      <w:r>
        <w:rPr>
          <w:rFonts w:ascii="Arial" w:cs="Arial" w:eastAsia="Arial" w:hAnsi="Arial"/>
          <w:sz w:val="20"/>
          <w:szCs w:val="20"/>
          <w:b w:val="1"/>
          <w:bCs w:val="1"/>
          <w:color w:val="auto"/>
        </w:rPr>
        <w:t>Warrants</w:t>
      </w:r>
    </w:p>
    <w:p>
      <w:pPr>
        <w:jc w:val="center"/>
        <w:ind w:right="-19"/>
        <w:spacing w:after="0"/>
        <w:rPr>
          <w:sz w:val="20"/>
          <w:szCs w:val="20"/>
          <w:color w:val="auto"/>
        </w:rPr>
      </w:pPr>
      <w:r>
        <w:rPr>
          <w:rFonts w:ascii="Arial" w:cs="Arial" w:eastAsia="Arial" w:hAnsi="Arial"/>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4" w:lineRule="exact"/>
        <w:rPr>
          <w:sz w:val="20"/>
          <w:szCs w:val="20"/>
          <w:color w:val="auto"/>
        </w:rPr>
      </w:pPr>
    </w:p>
    <w:p>
      <w:pPr>
        <w:ind w:right="340" w:firstLine="342"/>
        <w:spacing w:after="0" w:line="293" w:lineRule="auto"/>
        <w:rPr>
          <w:sz w:val="20"/>
          <w:szCs w:val="20"/>
          <w:color w:val="auto"/>
        </w:rPr>
      </w:pPr>
      <w:r>
        <w:rPr>
          <w:rFonts w:ascii="Arial" w:cs="Arial" w:eastAsia="Arial" w:hAnsi="Arial"/>
          <w:sz w:val="12"/>
          <w:szCs w:val="12"/>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 w:lineRule="exact"/>
        <w:rPr>
          <w:sz w:val="20"/>
          <w:szCs w:val="20"/>
          <w:color w:val="auto"/>
        </w:rPr>
      </w:pPr>
    </w:p>
    <w:p>
      <w:pPr>
        <w:ind w:right="480" w:firstLine="342"/>
        <w:spacing w:after="0" w:line="251" w:lineRule="auto"/>
        <w:rPr>
          <w:sz w:val="20"/>
          <w:szCs w:val="20"/>
          <w:color w:val="auto"/>
        </w:rPr>
      </w:pPr>
      <w:r>
        <w:rPr>
          <w:rFonts w:ascii="Arial" w:cs="Arial" w:eastAsia="Arial" w:hAnsi="Arial"/>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right="20" w:firstLine="342"/>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right="40" w:firstLine="342"/>
        <w:spacing w:after="0" w:line="252"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ind w:firstLine="342"/>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 w:lineRule="exact"/>
        <w:rPr>
          <w:sz w:val="20"/>
          <w:szCs w:val="20"/>
          <w:color w:val="auto"/>
        </w:rPr>
      </w:pPr>
    </w:p>
    <w:p>
      <w:pPr>
        <w:ind w:firstLine="342"/>
        <w:spacing w:after="0" w:line="234" w:lineRule="auto"/>
        <w:rPr>
          <w:sz w:val="20"/>
          <w:szCs w:val="20"/>
          <w:color w:val="auto"/>
        </w:rPr>
      </w:pPr>
      <w:r>
        <w:rPr>
          <w:rFonts w:ascii="Arial" w:cs="Arial" w:eastAsia="Arial" w:hAnsi="Arial"/>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ind w:right="20" w:firstLine="342"/>
        <w:spacing w:after="0" w:line="231" w:lineRule="auto"/>
        <w:rPr>
          <w:sz w:val="20"/>
          <w:szCs w:val="20"/>
          <w:color w:val="auto"/>
        </w:rPr>
      </w:pPr>
      <w:r>
        <w:rPr>
          <w:rFonts w:ascii="Arial" w:cs="Arial" w:eastAsia="Arial" w:hAnsi="Arial"/>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8" w:lineRule="exact"/>
        <w:rPr>
          <w:sz w:val="20"/>
          <w:szCs w:val="20"/>
          <w:color w:val="auto"/>
        </w:rPr>
      </w:pPr>
    </w:p>
    <w:p>
      <w:pPr>
        <w:ind w:right="200" w:firstLine="342"/>
        <w:spacing w:after="0" w:line="231" w:lineRule="auto"/>
        <w:rPr>
          <w:sz w:val="20"/>
          <w:szCs w:val="20"/>
          <w:color w:val="auto"/>
        </w:rPr>
      </w:pPr>
      <w:r>
        <w:rPr>
          <w:rFonts w:ascii="Arial" w:cs="Arial" w:eastAsia="Arial" w:hAnsi="Arial"/>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9" w:lineRule="exact"/>
        <w:rPr>
          <w:sz w:val="20"/>
          <w:szCs w:val="20"/>
          <w:color w:val="auto"/>
        </w:rPr>
      </w:pPr>
    </w:p>
    <w:p>
      <w:pPr>
        <w:ind w:right="260" w:firstLine="342"/>
        <w:spacing w:after="0" w:line="291" w:lineRule="auto"/>
        <w:rPr>
          <w:sz w:val="20"/>
          <w:szCs w:val="20"/>
          <w:color w:val="auto"/>
        </w:rPr>
      </w:pPr>
      <w:r>
        <w:rPr>
          <w:rFonts w:ascii="Arial" w:cs="Arial" w:eastAsia="Arial" w:hAnsi="Arial"/>
          <w:sz w:val="13"/>
          <w:szCs w:val="13"/>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38735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p>
      <w:pPr>
        <w:ind w:right="100" w:firstLine="456"/>
        <w:spacing w:after="0" w:line="25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9">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23 of this prospectus and in the documents incorporated by reference herein.</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This prospectus may not be used to consummate sales of our securities unless accompanied by a prospectus supplement.</w:t>
      </w:r>
    </w:p>
    <w:p>
      <w:pPr>
        <w:spacing w:after="0" w:line="32" w:lineRule="exact"/>
        <w:rPr>
          <w:sz w:val="20"/>
          <w:szCs w:val="20"/>
          <w:color w:val="auto"/>
        </w:rPr>
      </w:pPr>
    </w:p>
    <w:p>
      <w:pPr>
        <w:ind w:right="40" w:firstLine="342"/>
        <w:spacing w:after="0" w:line="228" w:lineRule="auto"/>
        <w:rPr>
          <w:sz w:val="20"/>
          <w:szCs w:val="20"/>
          <w:color w:val="auto"/>
        </w:rPr>
      </w:pPr>
      <w:r>
        <w:rPr>
          <w:rFonts w:ascii="Arial" w:cs="Arial" w:eastAsia="Arial" w:hAnsi="Arial"/>
          <w:sz w:val="14"/>
          <w:szCs w:val="14"/>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6" w:lineRule="exact"/>
        <w:rPr>
          <w:sz w:val="20"/>
          <w:szCs w:val="20"/>
          <w:color w:val="auto"/>
        </w:rPr>
      </w:pPr>
    </w:p>
    <w:p>
      <w:pPr>
        <w:ind w:right="260" w:firstLine="342"/>
        <w:spacing w:after="0" w:line="259" w:lineRule="auto"/>
        <w:rPr>
          <w:sz w:val="20"/>
          <w:szCs w:val="20"/>
          <w:color w:val="auto"/>
        </w:rPr>
      </w:pPr>
      <w:r>
        <w:rPr>
          <w:rFonts w:ascii="Arial" w:cs="Arial" w:eastAsia="Arial" w:hAnsi="Arial"/>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50800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date of this prospectus is May 7, 2019</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020" w:type="dxa"/>
            <w:vAlign w:val="bottom"/>
          </w:tcPr>
          <w:p>
            <w:pPr>
              <w:jc w:val="center"/>
              <w:ind w:right="271"/>
              <w:spacing w:after="0"/>
              <w:rPr>
                <w:sz w:val="20"/>
                <w:szCs w:val="20"/>
                <w:color w:val="auto"/>
              </w:rPr>
            </w:pPr>
            <w:r>
              <w:rPr>
                <w:rFonts w:ascii="Arial" w:cs="Arial" w:eastAsia="Arial" w:hAnsi="Arial"/>
                <w:sz w:val="14"/>
                <w:szCs w:val="14"/>
                <w:b w:val="1"/>
                <w:bCs w:val="1"/>
                <w:color w:val="auto"/>
              </w:rPr>
              <w:t>ITEM</w:t>
            </w:r>
          </w:p>
        </w:tc>
        <w:tc>
          <w:tcPr>
            <w:tcW w:w="5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CAPTION</w:t>
            </w: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71"/>
        </w:trPr>
        <w:tc>
          <w:tcPr>
            <w:tcW w:w="1020" w:type="dxa"/>
            <w:vAlign w:val="bottom"/>
          </w:tcPr>
          <w:p>
            <w:pPr>
              <w:jc w:val="center"/>
              <w:ind w:right="291"/>
              <w:spacing w:after="0"/>
              <w:rPr>
                <w:sz w:val="20"/>
                <w:szCs w:val="20"/>
                <w:color w:val="auto"/>
              </w:rPr>
            </w:pPr>
            <w:r>
              <w:rPr>
                <w:rFonts w:ascii="Arial" w:cs="Arial" w:eastAsia="Arial" w:hAnsi="Arial"/>
                <w:sz w:val="14"/>
                <w:szCs w:val="14"/>
                <w:b w:val="1"/>
                <w:bCs w:val="1"/>
                <w:color w:val="auto"/>
              </w:rPr>
              <w:t>NUMBER</w:t>
            </w:r>
          </w:p>
        </w:tc>
        <w:tc>
          <w:tcPr>
            <w:tcW w:w="5240" w:type="dxa"/>
            <w:vAlign w:val="bottom"/>
            <w:gridSpan w:val="2"/>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tcPr>
          <w:p>
            <w:pPr>
              <w:jc w:val="center"/>
              <w:ind w:right="271"/>
              <w:spacing w:after="0" w:line="195" w:lineRule="exact"/>
              <w:rPr>
                <w:sz w:val="20"/>
                <w:szCs w:val="20"/>
                <w:color w:val="auto"/>
              </w:rPr>
            </w:pPr>
            <w:r>
              <w:rPr>
                <w:rFonts w:ascii="Arial" w:cs="Arial" w:eastAsia="Arial" w:hAnsi="Arial"/>
                <w:sz w:val="18"/>
                <w:szCs w:val="18"/>
                <w:color w:val="auto"/>
                <w:w w:val="99"/>
              </w:rPr>
              <w:t>1</w:t>
            </w: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Outside Front Cover</w:t>
            </w:r>
          </w:p>
        </w:tc>
        <w:tc>
          <w:tcPr>
            <w:tcW w:w="22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2</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Cover Pages; Other Offering Information</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3</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Fee Table and Synopsis</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4</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Financial Highlights</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Selected Financial Data and Other Information; Selected Quarterly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Financial Data; Management’s Discussion and Analysis of Financial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Condition and Results of Operations; Senior Securities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5</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Plan of Distribution</w:t>
            </w: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Plan of Distribution</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6</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Selling Shareholders</w:t>
            </w: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7</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Use of Proceeds</w:t>
            </w:r>
          </w:p>
        </w:tc>
        <w:tc>
          <w:tcPr>
            <w:tcW w:w="502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8</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General Description of the Registrant</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Outside Front Cover Page; Prospectus Summary; Risk Factors;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Management’s Discussion and Analysis of Financial Condition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Results of Operations; The Company; Portfolio Companies;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Regulation; Shares Eligible for Future Sale; Price Range of Common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Stock and Distributions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99"/>
              </w:rPr>
              <w:t>9</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Management</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Transfer and Dividend Paying Agent and Registrar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10</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Capital Stock, Long-Term Debt, and Other Securities</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Our Capital Stock; Description of Our Preferred Stock; Description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of Our Subscription Rights; Description of Our Warrants;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Description of Our Debt Securities; Dividend Reinvestment Plan;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Management’s Discussion and Analysis of Financial Condition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Results of Operations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11</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Defaults and Arrears on Senior Securities</w:t>
            </w: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12</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Legal Proceedings</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The Company</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13</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Table of Contents of the Statement of Additional Information, or SAI</w:t>
            </w: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14</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Cover Page of SAI</w:t>
            </w: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15</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Table of Contents</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16</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General Information and History</w:t>
            </w: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17</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Investment Objective and Policies</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Management’s Discussion and Analysis of Financial Condition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Results of Operations; Senior Securities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18</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Management</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Regulation; Available Information</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19</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Control Persons and Principal Holders of Securities</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20</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Investment Advisory and Other Services</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Management and Other Agreements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21</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Portfolio Managers</w:t>
            </w: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22</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Brokerage Allocation and Other Practices</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23</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Tax Status</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0"/>
        </w:trPr>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24</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Financial Statements</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20"/>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THE OFFERING</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FEES AND EXPENSES</w:t>
              </w:r>
            </w:hyperlink>
          </w:p>
        </w:tc>
        <w:tc>
          <w:tcPr>
            <w:tcW w:w="7120" w:type="dxa"/>
            <w:vAlign w:val="bottom"/>
            <w:gridSpan w:val="2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8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SELECTED QUARTERLY FINANCIAL DATA</w:t>
              </w:r>
            </w:hyperlink>
          </w:p>
        </w:tc>
        <w:tc>
          <w:tcPr>
            <w:tcW w:w="5380" w:type="dxa"/>
            <w:vAlign w:val="bottom"/>
            <w:gridSpan w:val="1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RISK FACTORS</w:t>
              </w:r>
            </w:hyperlink>
          </w:p>
        </w:tc>
        <w:tc>
          <w:tcPr>
            <w:tcW w:w="7640" w:type="dxa"/>
            <w:vAlign w:val="bottom"/>
            <w:gridSpan w:val="2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SPECIAL NOTE REGARDING FORWARD-LOOKING STATEMENTS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PRICE RANGE OF COMMON STOCK AND DISTRIBUTIONS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MANAGEMENT’S DISCUSSION AND ANALYSIS OF FINANCIAL CONDITION AND RESULTS OF OPERATIONS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SENIOR SECURITIES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THE COMPANY</w:t>
              </w:r>
            </w:hyperlink>
          </w:p>
        </w:tc>
        <w:tc>
          <w:tcPr>
            <w:tcW w:w="7200" w:type="dxa"/>
            <w:vAlign w:val="bottom"/>
            <w:gridSpan w:val="2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PORTFOLIO COMPANIES</w:t>
              </w:r>
            </w:hyperlink>
          </w:p>
        </w:tc>
        <w:tc>
          <w:tcPr>
            <w:tcW w:w="6860" w:type="dxa"/>
            <w:vAlign w:val="bottom"/>
            <w:gridSpan w:val="2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 AND OTHER AGREEMENTS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CONTROL PERSONS AND PRINCIPAL STOCKHOLDERS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SALES OF COMMON STOCK BELOW NET ASSET VALUE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6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DIVIDEND REINVESTMENT PLAN</w:t>
              </w:r>
            </w:hyperlink>
          </w:p>
        </w:tc>
        <w:tc>
          <w:tcPr>
            <w:tcW w:w="428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SECURITIES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CAPITAL STOCK</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DESCRIPTION OF OUR PREFERRED STOCK</w:t>
              </w:r>
            </w:hyperlink>
          </w:p>
        </w:tc>
        <w:tc>
          <w:tcPr>
            <w:tcW w:w="528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DESCRIPTION OF OUR SUBSCRIPTION RIGHTS</w:t>
              </w:r>
            </w:hyperlink>
          </w:p>
        </w:tc>
        <w:tc>
          <w:tcPr>
            <w:tcW w:w="502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DESCRIPTION OF OUR WARRANTS</w:t>
              </w:r>
            </w:hyperlink>
          </w:p>
        </w:tc>
        <w:tc>
          <w:tcPr>
            <w:tcW w:w="5980" w:type="dxa"/>
            <w:vAlign w:val="bottom"/>
            <w:gridSpan w:val="1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DESCRIPTION OF OUR DEBT SECURITIES</w:t>
              </w:r>
            </w:hyperlink>
          </w:p>
        </w:tc>
        <w:tc>
          <w:tcPr>
            <w:tcW w:w="546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SHARES ELIGIBLE FOR FUTURE SALE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REGULATION</w:t>
              </w:r>
            </w:hyperlink>
          </w:p>
        </w:tc>
        <w:tc>
          <w:tcPr>
            <w:tcW w:w="5740" w:type="dxa"/>
            <w:vAlign w:val="bottom"/>
            <w:gridSpan w:val="1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CUSTODIAN, TRANSFER AND DIVIDEND PAYING AGENT AND REGISTRAR</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6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93">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3"/>
          </w:tcPr>
          <w:p>
            <w:pPr>
              <w:spacing w:after="0"/>
              <w:rPr>
                <w:sz w:val="17"/>
                <w:szCs w:val="17"/>
                <w:color w:val="auto"/>
              </w:rPr>
            </w:pPr>
          </w:p>
        </w:tc>
        <w:tc>
          <w:tcPr>
            <w:tcW w:w="4540" w:type="dxa"/>
            <w:vAlign w:val="bottom"/>
            <w:gridSpan w:val="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95">
              <w:r>
                <w:rPr>
                  <w:rFonts w:ascii="Arial" w:cs="Arial" w:eastAsia="Arial" w:hAnsi="Arial"/>
                  <w:sz w:val="18"/>
                  <w:szCs w:val="18"/>
                  <w:color w:val="0000EE"/>
                  <w:w w:val="99"/>
                </w:rPr>
                <w:t>AVAILABLE INFORMATION</w:t>
              </w:r>
            </w:hyperlink>
          </w:p>
        </w:tc>
        <w:tc>
          <w:tcPr>
            <w:tcW w:w="6640" w:type="dxa"/>
            <w:vAlign w:val="bottom"/>
            <w:gridSpan w:val="1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404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INFORMATION INCORPORATED BY REFERENCE</w:t>
              </w:r>
            </w:hyperlink>
          </w:p>
        </w:tc>
        <w:tc>
          <w:tcPr>
            <w:tcW w:w="488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8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5817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060" w:right="42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50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 $5.4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w:t>
      </w:r>
    </w:p>
    <w:p>
      <w:pPr>
        <w:spacing w:after="0" w:line="5" w:lineRule="exact"/>
        <w:rPr>
          <w:sz w:val="20"/>
          <w:szCs w:val="20"/>
          <w:color w:val="auto"/>
        </w:rPr>
      </w:pPr>
    </w:p>
    <w:p>
      <w:pPr>
        <w:ind w:left="200" w:right="40"/>
        <w:spacing w:after="0" w:line="277" w:lineRule="auto"/>
        <w:rPr>
          <w:sz w:val="20"/>
          <w:szCs w:val="20"/>
          <w:color w:val="auto"/>
        </w:rPr>
      </w:pPr>
      <w:r>
        <w:rPr>
          <w:rFonts w:ascii="Arial" w:cs="Arial" w:eastAsia="Arial" w:hAnsi="Arial"/>
          <w:sz w:val="17"/>
          <w:szCs w:val="17"/>
          <w:color w:val="auto"/>
        </w:rPr>
        <w:t>$10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09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509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80"/>
        <w:spacing w:after="0" w:line="257" w:lineRule="auto"/>
        <w:rPr>
          <w:sz w:val="20"/>
          <w:szCs w:val="20"/>
          <w:color w:val="auto"/>
        </w:rPr>
      </w:pPr>
      <w:r>
        <w:rPr>
          <w:rFonts w:ascii="Arial" w:cs="Arial" w:eastAsia="Arial" w:hAnsi="Arial"/>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81"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52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78"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24"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60" w:firstLine="441"/>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38"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9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 borrowers</w:t>
      </w:r>
      <w:r>
        <w:rPr>
          <w:rFonts w:ascii="Arial" w:cs="Arial" w:eastAsia="Arial" w:hAnsi="Arial"/>
          <w:sz w:val="17"/>
          <w:szCs w:val="17"/>
          <w:i w:val="1"/>
          <w:iCs w:val="1"/>
          <w:color w:val="auto"/>
        </w:rPr>
        <w:t xml:space="preserve"> </w:t>
      </w:r>
      <w:r>
        <w:rPr>
          <w:rFonts w:ascii="Arial" w:cs="Arial" w:eastAsia="Arial" w:hAnsi="Arial"/>
          <w:sz w:val="17"/>
          <w:szCs w:val="17"/>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81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681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8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620" w:firstLine="441"/>
        <w:spacing w:after="0" w:line="264" w:lineRule="auto"/>
        <w:rPr>
          <w:sz w:val="20"/>
          <w:szCs w:val="20"/>
          <w:color w:val="auto"/>
        </w:rPr>
      </w:pPr>
      <w:r>
        <w:rPr>
          <w:rFonts w:ascii="Arial" w:cs="Arial" w:eastAsia="Arial" w:hAnsi="Arial"/>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right="68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4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3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20" w:right="40" w:hanging="438"/>
        <w:spacing w:after="0" w:line="297"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Business and sector selection</w:t>
      </w:r>
      <w:r>
        <w:rPr>
          <w:rFonts w:ascii="Arial" w:cs="Arial" w:eastAsia="Arial" w:hAnsi="Arial"/>
          <w:sz w:val="16"/>
          <w:szCs w:val="16"/>
          <w:color w:val="auto"/>
        </w:rPr>
        <w:t>. We focus on companies with enterprise value between $50 million and $1 billion. When reviewing</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29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8"/>
        <w:spacing w:after="0" w:line="255"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ind w:left="1620" w:right="40" w:hanging="438"/>
        <w:spacing w:after="0" w:line="312"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Deal dynamics</w:t>
      </w:r>
      <w:r>
        <w:rPr>
          <w:rFonts w:ascii="Arial" w:cs="Arial" w:eastAsia="Arial" w:hAnsi="Arial"/>
          <w:sz w:val="16"/>
          <w:szCs w:val="16"/>
          <w:color w:val="auto"/>
        </w:rPr>
        <w:t>. We focus on, among other deal dynamics, direct origination of investments, where we identify and lead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620" w:right="320" w:hanging="438"/>
        <w:spacing w:after="0" w:line="264"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1060" w:right="18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6"/>
          <w:szCs w:val="16"/>
          <w:color w:val="auto"/>
        </w:rPr>
        <w:t>Since we began investing in July 2011, we have originated more than $9.7 billion aggregate principal amount of investments. As of 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6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Experienced management team</w:t>
      </w:r>
      <w:r>
        <w:rPr>
          <w:rFonts w:ascii="Arial" w:cs="Arial" w:eastAsia="Arial" w:hAnsi="Arial"/>
          <w:sz w:val="17"/>
          <w:szCs w:val="17"/>
          <w:color w:val="auto"/>
        </w:rPr>
        <w:t>. The Adviser has a highly experienced management team consisting of seven TSSP Partners and four TSSP</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80" w:hanging="323"/>
        <w:spacing w:after="0" w:line="273"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Leverage</w:t>
      </w:r>
      <w:r>
        <w:rPr>
          <w:rFonts w:ascii="Arial" w:cs="Arial" w:eastAsia="Arial" w:hAnsi="Arial"/>
          <w:sz w:val="17"/>
          <w:szCs w:val="17"/>
          <w:color w:val="auto"/>
        </w:rPr>
        <w:t>. Regulations under the 1940 Act limit our ability to use borrowing, also known as leverage, in significant respects.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83" w:lineRule="exact"/>
        <w:rPr>
          <w:rFonts w:ascii="Arial" w:cs="Arial" w:eastAsia="Arial" w:hAnsi="Arial"/>
          <w:sz w:val="17"/>
          <w:szCs w:val="17"/>
          <w:color w:val="auto"/>
        </w:rPr>
      </w:pPr>
    </w:p>
    <w:p>
      <w:pPr>
        <w:ind w:left="1060" w:right="160" w:hanging="323"/>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Investment Allocation</w:t>
      </w:r>
      <w:r>
        <w:rPr>
          <w:rFonts w:ascii="Arial" w:cs="Arial" w:eastAsia="Arial" w:hAnsi="Arial"/>
          <w:sz w:val="17"/>
          <w:szCs w:val="17"/>
          <w:color w:val="auto"/>
        </w:rPr>
        <w:t>. As a BDC, we are required to invest at least 70% of our total assets in qualifying assets, which generally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“eligible portfolio companies,” cash, cash equivalents, U.S. government securities and high-quality debt instruments maturing in one year or less from the time of investment. “Eligible portfolio companies” are defined in the 1940 Act as:</w:t>
      </w:r>
    </w:p>
    <w:p>
      <w:pPr>
        <w:spacing w:after="0" w:line="70" w:lineRule="exact"/>
        <w:rPr>
          <w:rFonts w:ascii="Arial" w:cs="Arial" w:eastAsia="Arial" w:hAnsi="Arial"/>
          <w:sz w:val="17"/>
          <w:szCs w:val="17"/>
          <w:color w:val="auto"/>
        </w:rPr>
      </w:pPr>
    </w:p>
    <w:p>
      <w:pPr>
        <w:ind w:left="1620" w:hanging="438"/>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right="160" w:hanging="438"/>
        <w:spacing w:after="0" w:line="264"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6" w:lineRule="exact"/>
        <w:rPr>
          <w:rFonts w:ascii="Arial" w:cs="Arial" w:eastAsia="Arial" w:hAnsi="Arial"/>
          <w:sz w:val="18"/>
          <w:szCs w:val="18"/>
          <w:color w:val="auto"/>
        </w:rPr>
      </w:pPr>
    </w:p>
    <w:p>
      <w:pPr>
        <w:ind w:left="1620" w:hanging="438"/>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47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6470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5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3"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58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left="200" w:right="460" w:firstLine="441"/>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“Certain Relationships and Related Party Transactions—Exemptive Order” in our 2019 Annual Proxy.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52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71"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94"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legislation allows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2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6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36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20" w:hanging="323"/>
        <w:spacing w:after="0" w:line="286"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70" w:lineRule="exact"/>
        <w:rPr>
          <w:rFonts w:ascii="Arial" w:cs="Arial" w:eastAsia="Arial" w:hAnsi="Arial"/>
          <w:sz w:val="17"/>
          <w:szCs w:val="17"/>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8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right="5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585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585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20" w:hanging="323"/>
        <w:spacing w:after="0" w:line="25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93"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w:t>
      </w:r>
    </w:p>
    <w:p>
      <w:pPr>
        <w:spacing w:after="0" w:line="23" w:lineRule="exact"/>
        <w:rPr>
          <w:sz w:val="20"/>
          <w:szCs w:val="20"/>
          <w:color w:val="auto"/>
        </w:rPr>
      </w:pPr>
    </w:p>
    <w:p>
      <w:pPr>
        <w:ind w:left="200" w:hanging="4"/>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67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00" w:right="220" w:firstLine="441"/>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380" w:hanging="4"/>
        <w:spacing w:after="0" w:line="277"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73"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320" w:type="dxa"/>
            <w:vAlign w:val="bottom"/>
          </w:tcPr>
          <w:p>
            <w:pPr>
              <w:ind w:left="1280"/>
              <w:spacing w:after="0"/>
              <w:rPr>
                <w:sz w:val="20"/>
                <w:szCs w:val="20"/>
                <w:color w:val="auto"/>
              </w:rPr>
            </w:pPr>
            <w:r>
              <w:rPr>
                <w:rFonts w:ascii="Arial" w:cs="Arial" w:eastAsia="Arial" w:hAnsi="Arial"/>
                <w:sz w:val="18"/>
                <w:szCs w:val="18"/>
                <w:color w:val="auto"/>
                <w:w w:val="92"/>
              </w:rPr>
              <w:t>Unless otherwise specified in a prospectus supplement, we intend to use the net proceeds from</w:t>
            </w:r>
          </w:p>
        </w:tc>
      </w:tr>
      <w:tr>
        <w:trPr>
          <w:trHeight w:val="216"/>
        </w:trPr>
        <w:tc>
          <w:tcPr>
            <w:tcW w:w="310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w w:val="98"/>
              </w:rPr>
              <w:t>the sale of our securities for general corporate purposes, which may include, among other</w:t>
            </w:r>
          </w:p>
        </w:tc>
      </w:tr>
      <w:tr>
        <w:trPr>
          <w:trHeight w:val="216"/>
        </w:trPr>
        <w:tc>
          <w:tcPr>
            <w:tcW w:w="310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things, investing in portfolio companies in accordance with our investment objective and</w:t>
            </w:r>
          </w:p>
        </w:tc>
      </w:tr>
      <w:tr>
        <w:trPr>
          <w:trHeight w:val="230"/>
        </w:trPr>
        <w:tc>
          <w:tcPr>
            <w:tcW w:w="3100" w:type="dxa"/>
            <w:vAlign w:val="bottom"/>
          </w:tcPr>
          <w:p>
            <w:pPr>
              <w:spacing w:after="0"/>
              <w:rPr>
                <w:sz w:val="20"/>
                <w:szCs w:val="20"/>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repaying indebtedness (which will be subject to reborrowing).</w:t>
            </w:r>
          </w:p>
        </w:tc>
      </w:tr>
      <w:tr>
        <w:trPr>
          <w:trHeight w:val="445"/>
        </w:trPr>
        <w:tc>
          <w:tcPr>
            <w:tcW w:w="3100" w:type="dxa"/>
            <w:vAlign w:val="bottom"/>
          </w:tcPr>
          <w:p>
            <w:pPr>
              <w:spacing w:after="0"/>
              <w:rPr>
                <w:sz w:val="24"/>
                <w:szCs w:val="24"/>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 of</w:t>
            </w:r>
          </w:p>
        </w:tc>
      </w:tr>
      <w:tr>
        <w:trPr>
          <w:trHeight w:val="230"/>
        </w:trPr>
        <w:tc>
          <w:tcPr>
            <w:tcW w:w="3100" w:type="dxa"/>
            <w:vAlign w:val="bottom"/>
          </w:tcPr>
          <w:p>
            <w:pPr>
              <w:spacing w:after="0"/>
              <w:rPr>
                <w:sz w:val="20"/>
                <w:szCs w:val="20"/>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the proceeds from such offering. See “Use of Proceeds.”</w:t>
            </w:r>
          </w:p>
        </w:tc>
      </w:tr>
      <w:tr>
        <w:trPr>
          <w:trHeight w:val="459"/>
        </w:trPr>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320" w:type="dxa"/>
            <w:vAlign w:val="bottom"/>
          </w:tcPr>
          <w:p>
            <w:pPr>
              <w:ind w:left="1280"/>
              <w:spacing w:after="0"/>
              <w:rPr>
                <w:sz w:val="20"/>
                <w:szCs w:val="20"/>
                <w:color w:val="auto"/>
              </w:rPr>
            </w:pPr>
            <w:r>
              <w:rPr>
                <w:rFonts w:ascii="Arial" w:cs="Arial" w:eastAsia="Arial" w:hAnsi="Arial"/>
                <w:sz w:val="18"/>
                <w:szCs w:val="18"/>
                <w:color w:val="auto"/>
              </w:rPr>
              <w:t>“TSLX”</w:t>
            </w:r>
          </w:p>
        </w:tc>
      </w:tr>
      <w:tr>
        <w:trPr>
          <w:trHeight w:val="458"/>
        </w:trPr>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320" w:type="dxa"/>
            <w:vAlign w:val="bottom"/>
          </w:tcPr>
          <w:p>
            <w:pPr>
              <w:ind w:left="12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310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w w:val="98"/>
              </w:rPr>
              <w:t>quarterly dividends to our stockholders. The specific tax characteristics of our distributions</w:t>
            </w:r>
          </w:p>
        </w:tc>
      </w:tr>
      <w:tr>
        <w:trPr>
          <w:trHeight w:val="216"/>
        </w:trPr>
        <w:tc>
          <w:tcPr>
            <w:tcW w:w="310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w w:val="94"/>
              </w:rPr>
              <w:t>will be reported to stockholders after the end of the calendar year. Future quarterly dividends,</w:t>
            </w:r>
          </w:p>
        </w:tc>
      </w:tr>
      <w:tr>
        <w:trPr>
          <w:trHeight w:val="216"/>
        </w:trPr>
        <w:tc>
          <w:tcPr>
            <w:tcW w:w="310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if any, will be determined by our Board. See “Price Range of Common Stock and</w:t>
            </w:r>
          </w:p>
        </w:tc>
      </w:tr>
      <w:tr>
        <w:trPr>
          <w:trHeight w:val="230"/>
        </w:trPr>
        <w:tc>
          <w:tcPr>
            <w:tcW w:w="3100" w:type="dxa"/>
            <w:vAlign w:val="bottom"/>
          </w:tcPr>
          <w:p>
            <w:pPr>
              <w:spacing w:after="0"/>
              <w:rPr>
                <w:sz w:val="20"/>
                <w:szCs w:val="20"/>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Distributions.”</w:t>
            </w:r>
          </w:p>
        </w:tc>
      </w:tr>
      <w:tr>
        <w:trPr>
          <w:trHeight w:val="253"/>
        </w:trPr>
        <w:tc>
          <w:tcPr>
            <w:tcW w:w="3100" w:type="dxa"/>
            <w:vAlign w:val="bottom"/>
            <w:tcBorders>
              <w:bottom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r>
      <w:tr>
        <w:trPr>
          <w:trHeight w:val="604"/>
        </w:trPr>
        <w:tc>
          <w:tcPr>
            <w:tcW w:w="3100" w:type="dxa"/>
            <w:vAlign w:val="bottom"/>
          </w:tcPr>
          <w:p>
            <w:pPr>
              <w:spacing w:after="0"/>
              <w:rPr>
                <w:sz w:val="24"/>
                <w:szCs w:val="24"/>
                <w:color w:val="auto"/>
              </w:rPr>
            </w:pPr>
          </w:p>
        </w:tc>
        <w:tc>
          <w:tcPr>
            <w:tcW w:w="8320" w:type="dxa"/>
            <w:vAlign w:val="bottom"/>
          </w:tcPr>
          <w:p>
            <w:pPr>
              <w:ind w:left="25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26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tax treatment as a RIC, we must make certain distributions. See “Material</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U.S. Federal Income Tax Considerations—Regulated Investment Company Classification.”</w:t>
            </w:r>
          </w:p>
        </w:tc>
      </w:tr>
      <w:tr>
        <w:trPr>
          <w:trHeight w:val="445"/>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Our Board is divided into three classes of directors serving staggered three-year terms. This</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structure is intended to provide us with a greater likelihood of continuity of management,</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which may be necessary for us to realize the full value of our investments. A staggered board</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directors also may serve to deter hostile takeovers or proxy contests, as may certain other</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measures adopted by us. See “Description of Our Capital Stock—Anti-Takeover Provisions.”</w:t>
            </w:r>
          </w:p>
        </w:tc>
      </w:tr>
      <w:tr>
        <w:trPr>
          <w:trHeight w:val="445"/>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finance a portion of our investments. As a result, we are exposed to the risks of leverage,</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2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Leverage increases the potential for gain and loss on amounts invested and, as a result,</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increases the risks associated with investing in our securities. The costs associated with our</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borrowings, including any increase in the fees payable to the Adviser, are borne by our</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stockholders. Any decision on our part to use borrowings depends upon our assessment of the</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attractiveness of available investment opportunities in relation to the costs and perceived risks</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such leverage. See “Regulation as a Business Development Company” in Part I, Item 1 of</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our 2018 Annual Report.</w:t>
            </w:r>
          </w:p>
        </w:tc>
      </w:tr>
      <w:tr>
        <w:trPr>
          <w:trHeight w:val="445"/>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have elected to be treated as a RIC for U.S. federal income tax purposes. Our status as a</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RIC will enable us to deduct qualifying distributions to our stockholders, so that we will be</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subject to corporate-level U.S. federal income taxation only in respect of earnings that we</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2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status as a RIC and to avoid being subject to corporate-level U.S. federal</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2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2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w w:val="97"/>
              </w:rPr>
              <w:t>• derive in each taxable year at least 90% of our gross income from dividends, interest,</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gains from the sale or other disposition of stock or securities and other specified</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categories of investment income; and</w:t>
            </w:r>
          </w:p>
        </w:tc>
      </w:tr>
      <w:tr>
        <w:trPr>
          <w:trHeight w:val="338"/>
        </w:trPr>
        <w:tc>
          <w:tcPr>
            <w:tcW w:w="32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2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 addition, we must distribute (or be treated as distributing) in each taxable year dividends for</w:t>
            </w:r>
          </w:p>
        </w:tc>
      </w:tr>
      <w:tr>
        <w:trPr>
          <w:trHeight w:val="216"/>
        </w:trPr>
        <w:tc>
          <w:tcPr>
            <w:tcW w:w="32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tax purposes equal to at least 90% of our investment company taxable income and net</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2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As a RIC, we generally will not be subject to corporate-level U.S. federal income tax on our</w:t>
            </w:r>
          </w:p>
        </w:tc>
      </w:tr>
      <w:tr>
        <w:trPr>
          <w:trHeight w:val="230"/>
        </w:trPr>
        <w:tc>
          <w:tcPr>
            <w:tcW w:w="32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investment company taxable income and</w:t>
            </w:r>
          </w:p>
        </w:tc>
      </w:tr>
      <w:tr>
        <w:trPr>
          <w:trHeight w:val="253"/>
        </w:trPr>
        <w:tc>
          <w:tcPr>
            <w:tcW w:w="3260" w:type="dxa"/>
            <w:vAlign w:val="bottom"/>
            <w:tcBorders>
              <w:left w:val="single" w:sz="8" w:color="auto"/>
              <w:bottom w:val="single" w:sz="8" w:color="auto"/>
            </w:tcBorders>
          </w:tcPr>
          <w:p>
            <w:pPr>
              <w:spacing w:after="0"/>
              <w:rPr>
                <w:sz w:val="22"/>
                <w:szCs w:val="22"/>
                <w:color w:val="auto"/>
              </w:rPr>
            </w:pPr>
          </w:p>
        </w:tc>
        <w:tc>
          <w:tcPr>
            <w:tcW w:w="8160" w:type="dxa"/>
            <w:vAlign w:val="bottom"/>
            <w:tcBorders>
              <w:bottom w:val="single" w:sz="8" w:color="auto"/>
              <w:right w:val="single" w:sz="8" w:color="auto"/>
            </w:tcBorders>
          </w:tcPr>
          <w:p>
            <w:pPr>
              <w:spacing w:after="0"/>
              <w:rPr>
                <w:sz w:val="22"/>
                <w:szCs w:val="22"/>
                <w:color w:val="auto"/>
              </w:rPr>
            </w:pPr>
          </w:p>
        </w:tc>
      </w:tr>
      <w:tr>
        <w:trPr>
          <w:trHeight w:val="604"/>
        </w:trPr>
        <w:tc>
          <w:tcPr>
            <w:tcW w:w="3260" w:type="dxa"/>
            <w:vAlign w:val="bottom"/>
          </w:tcPr>
          <w:p>
            <w:pPr>
              <w:spacing w:after="0"/>
              <w:rPr>
                <w:sz w:val="24"/>
                <w:szCs w:val="24"/>
                <w:color w:val="auto"/>
              </w:rPr>
            </w:pPr>
          </w:p>
        </w:tc>
        <w:tc>
          <w:tcPr>
            <w:tcW w:w="8160" w:type="dxa"/>
            <w:vAlign w:val="bottom"/>
          </w:tcPr>
          <w:p>
            <w:pPr>
              <w:ind w:left="23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3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net capital gains that we distribute to stockholders. If we fail to distribute our investment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company taxable income or net capital gains on a timely basis, we will be subject to a</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nondeductible 4% U.S. federal excise tax. We can be expected to carry forward investment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company taxable income in excess of current year distributions into the next tax year and pay</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a 4% excise tax on such income. We elected to retain a portion of income and capital gains for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the three months ended March 31, 2019 and for the calendar years ended December 31, 2018</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2017 and we recorded a net expense of $0.3 million, $3.4 million and $2.8 million,</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respectively, for U.S. federal excise tax as a result. Any carryover of investment company</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taxable income or net capital gains must be timely declared and distributed as a dividend in the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taxable year following the taxable year in which the income or gains were earned. See “Price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Range of Common Stock and Distributions” and “Material U.S. Federal Income Tax</w:t>
            </w:r>
          </w:p>
        </w:tc>
      </w:tr>
      <w:tr>
        <w:trPr>
          <w:trHeight w:val="230"/>
        </w:trPr>
        <w:tc>
          <w:tcPr>
            <w:tcW w:w="33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Considerations.”</w:t>
            </w:r>
          </w:p>
        </w:tc>
      </w:tr>
      <w:tr>
        <w:trPr>
          <w:trHeight w:val="458"/>
        </w:trPr>
        <w:tc>
          <w:tcPr>
            <w:tcW w:w="33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distribution, our stockholders who have not elected to “opt out” of our dividend reinvestment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plan will have their cash distribution automatically reinvested in additional shares of our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common stock, rather than receiving the cash distribution. If a stockholder elects to “opt out,”</w:t>
            </w:r>
          </w:p>
        </w:tc>
      </w:tr>
      <w:tr>
        <w:trPr>
          <w:trHeight w:val="230"/>
        </w:trPr>
        <w:tc>
          <w:tcPr>
            <w:tcW w:w="33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that stockholder will receive cash dividends or other distributions.</w:t>
            </w:r>
          </w:p>
        </w:tc>
      </w:tr>
      <w:tr>
        <w:trPr>
          <w:trHeight w:val="445"/>
        </w:trPr>
        <w:tc>
          <w:tcPr>
            <w:tcW w:w="33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 generally are subject to the same U.S. federal tax consequences as stockholders who</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reinvested, those stockholders will not receive cash with which to pay any applicable taxes on</w:t>
            </w:r>
          </w:p>
        </w:tc>
      </w:tr>
      <w:tr>
        <w:trPr>
          <w:trHeight w:val="230"/>
        </w:trPr>
        <w:tc>
          <w:tcPr>
            <w:tcW w:w="33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reinvested dividends. See “Dividend Reinvestment Plan.”</w:t>
            </w:r>
          </w:p>
        </w:tc>
      </w:tr>
      <w:tr>
        <w:trPr>
          <w:trHeight w:val="445"/>
        </w:trPr>
        <w:tc>
          <w:tcPr>
            <w:tcW w:w="33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Our Adviser serves as our investment adviser and our administrator. For more information</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regarding our Adviser, TSSP and TPG and our contractual arrangements with these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companies, see “Management Agreements” in Part I, Item 1 of our 2018 Annual Report and</w:t>
            </w:r>
          </w:p>
        </w:tc>
      </w:tr>
      <w:tr>
        <w:trPr>
          <w:trHeight w:val="230"/>
        </w:trPr>
        <w:tc>
          <w:tcPr>
            <w:tcW w:w="33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Note 3 to our consolidated financial statements in our 2019 Q1 Quarterly Report.</w:t>
            </w:r>
          </w:p>
        </w:tc>
      </w:tr>
      <w:tr>
        <w:trPr>
          <w:trHeight w:val="445"/>
        </w:trPr>
        <w:tc>
          <w:tcPr>
            <w:tcW w:w="33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below our net asset value per share except (a) in connection with a rights offering to our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existing stockholders, (b) with the prior approval of the majority of our outstanding voting</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securities or (c) under such other circumstances as the SEC may permit. The risk that our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may trade at a discount to our net asset value is separate and distinct from the risk that</w:t>
            </w:r>
          </w:p>
        </w:tc>
      </w:tr>
      <w:tr>
        <w:trPr>
          <w:trHeight w:val="230"/>
        </w:trPr>
        <w:tc>
          <w:tcPr>
            <w:tcW w:w="33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our net asset value per share may decline. We</w:t>
            </w:r>
          </w:p>
        </w:tc>
      </w:tr>
      <w:tr>
        <w:trPr>
          <w:trHeight w:val="253"/>
        </w:trPr>
        <w:tc>
          <w:tcPr>
            <w:tcW w:w="3380" w:type="dxa"/>
            <w:vAlign w:val="bottom"/>
            <w:tcBorders>
              <w:left w:val="single" w:sz="8" w:color="auto"/>
              <w:bottom w:val="single" w:sz="8" w:color="auto"/>
            </w:tcBorders>
          </w:tcPr>
          <w:p>
            <w:pPr>
              <w:spacing w:after="0"/>
              <w:rPr>
                <w:sz w:val="22"/>
                <w:szCs w:val="22"/>
                <w:color w:val="auto"/>
              </w:rPr>
            </w:pPr>
          </w:p>
        </w:tc>
        <w:tc>
          <w:tcPr>
            <w:tcW w:w="8040" w:type="dxa"/>
            <w:vAlign w:val="bottom"/>
            <w:tcBorders>
              <w:bottom w:val="single" w:sz="8" w:color="auto"/>
              <w:right w:val="single" w:sz="8" w:color="auto"/>
            </w:tcBorders>
          </w:tcPr>
          <w:p>
            <w:pPr>
              <w:spacing w:after="0"/>
              <w:rPr>
                <w:sz w:val="22"/>
                <w:szCs w:val="22"/>
                <w:color w:val="auto"/>
              </w:rPr>
            </w:pPr>
          </w:p>
        </w:tc>
      </w:tr>
      <w:tr>
        <w:trPr>
          <w:trHeight w:val="604"/>
        </w:trPr>
        <w:tc>
          <w:tcPr>
            <w:tcW w:w="3380" w:type="dxa"/>
            <w:vAlign w:val="bottom"/>
          </w:tcPr>
          <w:p>
            <w:pPr>
              <w:spacing w:after="0"/>
              <w:rPr>
                <w:sz w:val="24"/>
                <w:szCs w:val="24"/>
                <w:color w:val="auto"/>
              </w:rPr>
            </w:pPr>
          </w:p>
        </w:tc>
        <w:tc>
          <w:tcPr>
            <w:tcW w:w="8040" w:type="dxa"/>
            <w:vAlign w:val="bottom"/>
          </w:tcPr>
          <w:p>
            <w:pPr>
              <w:ind w:left="224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820" w:type="dxa"/>
            <w:vAlign w:val="bottom"/>
            <w:tcBorders>
              <w:top w:val="single" w:sz="8" w:color="auto"/>
              <w:left w:val="single" w:sz="8" w:color="auto"/>
            </w:tcBorders>
          </w:tcPr>
          <w:p>
            <w:pPr>
              <w:spacing w:after="0"/>
              <w:rPr>
                <w:sz w:val="24"/>
                <w:szCs w:val="24"/>
                <w:color w:val="auto"/>
              </w:rPr>
            </w:pPr>
          </w:p>
        </w:tc>
        <w:tc>
          <w:tcPr>
            <w:tcW w:w="76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94"/>
              </w:rPr>
              <w:t>cannot predict whether our shares will trade at a price per share above, at or below net asset</w:t>
            </w:r>
          </w:p>
        </w:tc>
      </w:tr>
      <w:tr>
        <w:trPr>
          <w:trHeight w:val="230"/>
        </w:trPr>
        <w:tc>
          <w:tcPr>
            <w:tcW w:w="382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value per share. See “Risk Factors—Risks Related to Offerings Pursuant to This Prospectus.”</w:t>
            </w:r>
          </w:p>
        </w:tc>
      </w:tr>
      <w:tr>
        <w:trPr>
          <w:trHeight w:val="458"/>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part, under the Securities Act. This registration statement contains additional information</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about us and the securities being offered by this prospectus. We are also required to file</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periodic reports, current reports, proxy statements and other information with the SEC. This</w:t>
            </w:r>
          </w:p>
        </w:tc>
      </w:tr>
      <w:tr>
        <w:trPr>
          <w:trHeight w:val="230"/>
        </w:trPr>
        <w:tc>
          <w:tcPr>
            <w:tcW w:w="382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information is available on the SEC’s website at http://www.sec.gov.</w:t>
            </w:r>
          </w:p>
        </w:tc>
      </w:tr>
      <w:tr>
        <w:trPr>
          <w:trHeight w:val="445"/>
        </w:trPr>
        <w:tc>
          <w:tcPr>
            <w:tcW w:w="3820" w:type="dxa"/>
            <w:vAlign w:val="bottom"/>
            <w:tcBorders>
              <w:left w:val="single" w:sz="8" w:color="auto"/>
            </w:tcBorders>
          </w:tcPr>
          <w:p>
            <w:pPr>
              <w:spacing w:after="0"/>
              <w:rPr>
                <w:sz w:val="24"/>
                <w:szCs w:val="24"/>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We maintain a website at http://www.tpgspecialtylending.com and make all of our periodic</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and current reports, proxy statements and other information available, free of charge, on or</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through our website. Information on our website is not incorporated into or part of this</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prospectus. You may also obtain such information free of charge by contacting us in writing at</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888 7th Avenue, 35th Floor, New York, NY 10106, Attention: TSLX Investor Relations, or by</w:t>
            </w:r>
          </w:p>
        </w:tc>
      </w:tr>
      <w:tr>
        <w:trPr>
          <w:trHeight w:val="230"/>
        </w:trPr>
        <w:tc>
          <w:tcPr>
            <w:tcW w:w="382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emailing us at IRTSL@tpg.com.</w:t>
            </w:r>
          </w:p>
        </w:tc>
      </w:tr>
      <w:tr>
        <w:trPr>
          <w:trHeight w:val="445"/>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Information Incorporated by Reference</w:t>
            </w: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7"/>
              </w:rPr>
              <w:t>The rules of the SEC allow us to incorporate by reference information into this prospectus.</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The information incorporated by reference is considered to be a part of this prospectus, and</w:t>
            </w:r>
          </w:p>
        </w:tc>
      </w:tr>
      <w:tr>
        <w:trPr>
          <w:trHeight w:val="216"/>
        </w:trPr>
        <w:tc>
          <w:tcPr>
            <w:tcW w:w="38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information that we file later with the SEC will automatically update and supersede this</w:t>
            </w:r>
          </w:p>
        </w:tc>
      </w:tr>
      <w:tr>
        <w:trPr>
          <w:trHeight w:val="230"/>
        </w:trPr>
        <w:tc>
          <w:tcPr>
            <w:tcW w:w="382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253"/>
        </w:trPr>
        <w:tc>
          <w:tcPr>
            <w:tcW w:w="3820" w:type="dxa"/>
            <w:vAlign w:val="bottom"/>
            <w:tcBorders>
              <w:left w:val="single" w:sz="8" w:color="auto"/>
              <w:bottom w:val="single" w:sz="8" w:color="auto"/>
            </w:tcBorders>
          </w:tcPr>
          <w:p>
            <w:pPr>
              <w:spacing w:after="0"/>
              <w:rPr>
                <w:sz w:val="22"/>
                <w:szCs w:val="22"/>
                <w:color w:val="auto"/>
              </w:rPr>
            </w:pPr>
          </w:p>
        </w:tc>
        <w:tc>
          <w:tcPr>
            <w:tcW w:w="7600" w:type="dxa"/>
            <w:vAlign w:val="bottom"/>
            <w:tcBorders>
              <w:bottom w:val="single" w:sz="8" w:color="auto"/>
              <w:right w:val="single" w:sz="8" w:color="auto"/>
            </w:tcBorders>
          </w:tcPr>
          <w:p>
            <w:pPr>
              <w:spacing w:after="0"/>
              <w:rPr>
                <w:sz w:val="22"/>
                <w:szCs w:val="22"/>
                <w:color w:val="auto"/>
              </w:rPr>
            </w:pPr>
          </w:p>
        </w:tc>
      </w:tr>
      <w:tr>
        <w:trPr>
          <w:trHeight w:val="604"/>
        </w:trPr>
        <w:tc>
          <w:tcPr>
            <w:tcW w:w="3820" w:type="dxa"/>
            <w:vAlign w:val="bottom"/>
          </w:tcPr>
          <w:p>
            <w:pPr>
              <w:spacing w:after="0"/>
              <w:rPr>
                <w:sz w:val="24"/>
                <w:szCs w:val="24"/>
                <w:color w:val="auto"/>
              </w:rPr>
            </w:pPr>
          </w:p>
        </w:tc>
        <w:tc>
          <w:tcPr>
            <w:tcW w:w="7600" w:type="dxa"/>
            <w:vAlign w:val="bottom"/>
          </w:tcPr>
          <w:p>
            <w:pPr>
              <w:ind w:left="180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18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Sales load</w:t>
            </w:r>
          </w:p>
        </w:tc>
        <w:tc>
          <w:tcPr>
            <w:tcW w:w="200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2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200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200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2000" w:type="dxa"/>
            <w:vAlign w:val="bottom"/>
          </w:tcPr>
          <w:p>
            <w:pPr>
              <w:jc w:val="right"/>
              <w:spacing w:after="0"/>
              <w:rPr>
                <w:sz w:val="20"/>
                <w:szCs w:val="20"/>
                <w:color w:val="auto"/>
              </w:rPr>
            </w:pPr>
            <w:r>
              <w:rPr>
                <w:rFonts w:ascii="Arial" w:cs="Arial" w:eastAsia="Arial" w:hAnsi="Arial"/>
                <w:sz w:val="18"/>
                <w:szCs w:val="18"/>
                <w:color w:val="auto"/>
              </w:rPr>
              <w:t>3.68%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Total annual expenses</w:t>
            </w: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20" w:right="240" w:hanging="424"/>
        <w:spacing w:after="0" w:line="258"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60" w:hanging="424"/>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20" w:hanging="424"/>
        <w:spacing w:after="0" w:line="265"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1" w:lineRule="exact"/>
        <w:rPr>
          <w:rFonts w:ascii="Arial" w:cs="Arial" w:eastAsia="Arial" w:hAnsi="Arial"/>
          <w:sz w:val="17"/>
          <w:szCs w:val="17"/>
          <w:color w:val="auto"/>
        </w:rPr>
      </w:pPr>
    </w:p>
    <w:p>
      <w:pPr>
        <w:ind w:left="620" w:right="720" w:hanging="424"/>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$1,063.2 million as of December 31, 2018.</w:t>
      </w:r>
    </w:p>
    <w:p>
      <w:pPr>
        <w:ind w:left="620" w:right="20" w:hanging="424"/>
        <w:spacing w:after="0" w:line="292"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32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62" w:lineRule="exact"/>
        <w:rPr>
          <w:sz w:val="20"/>
          <w:szCs w:val="20"/>
          <w:color w:val="auto"/>
        </w:rPr>
      </w:pPr>
    </w:p>
    <w:p>
      <w:pPr>
        <w:ind w:left="640" w:right="60"/>
        <w:spacing w:after="0" w:line="279" w:lineRule="auto"/>
        <w:rPr>
          <w:sz w:val="20"/>
          <w:szCs w:val="20"/>
          <w:color w:val="auto"/>
        </w:rPr>
      </w:pPr>
      <w:r>
        <w:rPr>
          <w:rFonts w:ascii="Arial" w:cs="Arial" w:eastAsia="Arial" w:hAnsi="Arial"/>
          <w:sz w:val="17"/>
          <w:szCs w:val="17"/>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63" w:lineRule="exact"/>
        <w:rPr>
          <w:sz w:val="20"/>
          <w:szCs w:val="20"/>
          <w:color w:val="auto"/>
        </w:rPr>
      </w:pPr>
    </w:p>
    <w:p>
      <w:pPr>
        <w:ind w:left="640" w:right="20"/>
        <w:spacing w:after="0" w:line="273" w:lineRule="auto"/>
        <w:rPr>
          <w:sz w:val="20"/>
          <w:szCs w:val="20"/>
          <w:color w:val="auto"/>
        </w:rPr>
      </w:pPr>
      <w:r>
        <w:rPr>
          <w:rFonts w:ascii="Arial" w:cs="Arial" w:eastAsia="Arial" w:hAnsi="Arial"/>
          <w:sz w:val="17"/>
          <w:szCs w:val="17"/>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84" w:lineRule="exact"/>
        <w:rPr>
          <w:sz w:val="20"/>
          <w:szCs w:val="20"/>
          <w:color w:val="auto"/>
        </w:rPr>
      </w:pPr>
    </w:p>
    <w:p>
      <w:pPr>
        <w:ind w:left="620" w:right="220" w:hanging="424"/>
        <w:spacing w:after="0" w:line="259"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8"/>
          <w:szCs w:val="18"/>
          <w:color w:val="auto"/>
        </w:rPr>
      </w:pPr>
    </w:p>
    <w:p>
      <w:pPr>
        <w:jc w:val="both"/>
        <w:ind w:left="640" w:right="260"/>
        <w:spacing w:after="0" w:line="255" w:lineRule="auto"/>
        <w:rPr>
          <w:rFonts w:ascii="Arial" w:cs="Arial" w:eastAsia="Arial" w:hAnsi="Arial"/>
          <w:sz w:val="18"/>
          <w:szCs w:val="18"/>
          <w:color w:val="auto"/>
        </w:rPr>
      </w:pPr>
      <w:r>
        <w:rPr>
          <w:rFonts w:ascii="Arial" w:cs="Arial" w:eastAsia="Arial" w:hAnsi="Arial"/>
          <w:sz w:val="18"/>
          <w:szCs w:val="18"/>
          <w:color w:val="auto"/>
        </w:rPr>
        <w:t>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82" w:lineRule="exact"/>
        <w:rPr>
          <w:rFonts w:ascii="Arial" w:cs="Arial" w:eastAsia="Arial" w:hAnsi="Arial"/>
          <w:sz w:val="18"/>
          <w:szCs w:val="18"/>
          <w:color w:val="auto"/>
        </w:rPr>
      </w:pPr>
    </w:p>
    <w:p>
      <w:pPr>
        <w:ind w:left="640" w:right="40"/>
        <w:spacing w:after="0" w:line="255" w:lineRule="auto"/>
        <w:rPr>
          <w:rFonts w:ascii="Arial" w:cs="Arial" w:eastAsia="Arial" w:hAnsi="Arial"/>
          <w:sz w:val="18"/>
          <w:szCs w:val="18"/>
          <w:color w:val="auto"/>
        </w:rPr>
      </w:pPr>
      <w:r>
        <w:rPr>
          <w:rFonts w:ascii="Arial" w:cs="Arial" w:eastAsia="Arial" w:hAnsi="Arial"/>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85" w:lineRule="exact"/>
        <w:rPr>
          <w:rFonts w:ascii="Arial" w:cs="Arial" w:eastAsia="Arial" w:hAnsi="Arial"/>
          <w:sz w:val="18"/>
          <w:szCs w:val="18"/>
          <w:color w:val="auto"/>
        </w:rPr>
      </w:pPr>
    </w:p>
    <w:p>
      <w:pPr>
        <w:ind w:left="640" w:right="100"/>
        <w:spacing w:after="0" w:line="264"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 our 2018 Annual Report and our 2019 Q1 Quarterly Report and “Management Agreements —Investment Advisory Agreement; Administration Agreement; License Agreement” in Part I, Item 1 of our 2018 Annual Report and Note 3 to our consolidated financial statements in our 2019 Q1 Quarterly Report.</w:t>
      </w:r>
    </w:p>
    <w:p>
      <w:pPr>
        <w:spacing w:after="0" w:line="73"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86" w:lineRule="exact"/>
        <w:rPr>
          <w:rFonts w:ascii="Arial" w:cs="Arial" w:eastAsia="Arial" w:hAnsi="Arial"/>
          <w:sz w:val="18"/>
          <w:szCs w:val="18"/>
          <w:color w:val="auto"/>
        </w:rPr>
      </w:pPr>
    </w:p>
    <w:p>
      <w:pPr>
        <w:ind w:left="620" w:right="160" w:hanging="424"/>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58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5758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spacing w:after="0" w:line="267" w:lineRule="auto"/>
        <w:rPr>
          <w:sz w:val="20"/>
          <w:szCs w:val="20"/>
          <w:color w:val="auto"/>
        </w:rPr>
      </w:pPr>
      <w:r>
        <w:rPr>
          <w:rFonts w:ascii="Arial" w:cs="Arial" w:eastAsia="Arial" w:hAnsi="Arial"/>
          <w:sz w:val="17"/>
          <w:szCs w:val="17"/>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3" w:lineRule="exact"/>
        <w:rPr>
          <w:sz w:val="20"/>
          <w:szCs w:val="20"/>
          <w:color w:val="auto"/>
        </w:rPr>
      </w:pPr>
    </w:p>
    <w:p>
      <w:pPr>
        <w:ind w:left="620" w:right="100" w:hanging="424"/>
        <w:spacing w:after="0" w:line="273"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4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3 years</w:t>
            </w:r>
          </w:p>
        </w:tc>
        <w:tc>
          <w:tcPr>
            <w:tcW w:w="4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4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9"/>
              </w:rPr>
              <w:t>10 years</w:t>
            </w:r>
          </w:p>
        </w:tc>
      </w:tr>
      <w:tr>
        <w:trPr>
          <w:trHeight w:val="182"/>
        </w:trPr>
        <w:tc>
          <w:tcPr>
            <w:tcW w:w="7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You would pay the following expenses on a $1,000 common stock investment, assuming a 5% annual</w:t>
            </w:r>
          </w:p>
        </w:tc>
        <w:tc>
          <w:tcPr>
            <w:tcW w:w="2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from realized capital gains</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  88</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$ 253</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$ 407</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  742</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79" w:lineRule="exact"/>
        <w:rPr>
          <w:sz w:val="20"/>
          <w:szCs w:val="20"/>
          <w:color w:val="auto"/>
        </w:rPr>
      </w:pPr>
    </w:p>
    <w:p>
      <w:pPr>
        <w:ind w:left="200" w:right="240" w:firstLine="441"/>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660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46609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200" w:right="320" w:firstLine="441"/>
        <w:spacing w:after="0" w:line="255"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93"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10"/>
            <w:vMerge w:val="restart"/>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in millions, except per share amounts)</w:t>
            </w:r>
          </w:p>
        </w:tc>
        <w:tc>
          <w:tcPr>
            <w:tcW w:w="112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$52.5</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261.9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210.9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Expenses</w:t>
            </w:r>
          </w:p>
        </w:tc>
        <w:tc>
          <w:tcPr>
            <w:tcW w:w="1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$26.9</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26.6</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 (Loss)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Net Realized Gain (Loss)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$0.59</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331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1,824.9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1,706.0</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1,693.7</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1,657.4</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1,485.7</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1,263.5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1,849.5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1,730.3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1,720.2</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1,675.5</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1,506.5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debt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724.5</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608.0</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703.4</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680.7</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642.4</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net assets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1,074.1</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1,063.2</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969.3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952.2</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820.7</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0.51</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3"/>
              </w:rPr>
              <w:t>Fair value of debt investments as a percentage of principal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call price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20" w:hanging="42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620" w:right="60" w:hanging="424"/>
        <w:spacing w:after="0" w:line="28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 $17.8 million for the three months ended March 31, 2019 and the years ended December 31, 2018, 2017, 2016, 2015 and 2014 respectively. The corresponding impact on the total return calculation is not material.</w:t>
      </w:r>
    </w:p>
    <w:p>
      <w:pPr>
        <w:spacing w:after="0" w:line="6" w:lineRule="exact"/>
        <w:rPr>
          <w:rFonts w:ascii="Arial" w:cs="Arial" w:eastAsia="Arial" w:hAnsi="Arial"/>
          <w:sz w:val="16"/>
          <w:szCs w:val="16"/>
          <w:color w:val="auto"/>
        </w:rPr>
      </w:pPr>
    </w:p>
    <w:p>
      <w:pPr>
        <w:ind w:left="620" w:right="80" w:hanging="424"/>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686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4686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QUARTERLY FINANCIAL DATA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2"/>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$52,487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660" w:type="dxa"/>
            <w:vAlign w:val="bottom"/>
          </w:tcPr>
          <w:p>
            <w:pPr>
              <w:spacing w:after="0"/>
              <w:rPr>
                <w:sz w:val="18"/>
                <w:szCs w:val="18"/>
                <w:color w:val="auto"/>
              </w:rPr>
            </w:pPr>
          </w:p>
        </w:tc>
        <w:tc>
          <w:tcPr>
            <w:tcW w:w="1020" w:type="dxa"/>
            <w:vAlign w:val="bottom"/>
            <w:gridSpan w:val="7"/>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$25,849</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6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$26,638</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660" w:type="dxa"/>
            <w:vAlign w:val="bottom"/>
          </w:tcPr>
          <w:p>
            <w:pPr>
              <w:spacing w:after="0"/>
              <w:rPr>
                <w:sz w:val="18"/>
                <w:szCs w:val="18"/>
                <w:color w:val="auto"/>
              </w:rPr>
            </w:pPr>
          </w:p>
        </w:tc>
        <w:tc>
          <w:tcPr>
            <w:tcW w:w="1020" w:type="dxa"/>
            <w:vAlign w:val="bottom"/>
            <w:gridSpan w:val="7"/>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$12,107</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6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6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660" w:type="dxa"/>
            <w:vAlign w:val="bottom"/>
          </w:tcPr>
          <w:p>
            <w:pPr>
              <w:spacing w:after="0"/>
              <w:rPr>
                <w:sz w:val="20"/>
                <w:szCs w:val="20"/>
                <w:color w:val="auto"/>
              </w:rPr>
            </w:pPr>
          </w:p>
        </w:tc>
        <w:tc>
          <w:tcPr>
            <w:tcW w:w="1020" w:type="dxa"/>
            <w:vAlign w:val="bottom"/>
            <w:gridSpan w:val="7"/>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16.34</w:t>
            </w:r>
          </w:p>
        </w:tc>
        <w:tc>
          <w:tcPr>
            <w:tcW w:w="60" w:type="dxa"/>
            <w:vAlign w:val="bottom"/>
          </w:tcPr>
          <w:p>
            <w:pPr>
              <w:spacing w:after="0"/>
              <w:rPr>
                <w:sz w:val="20"/>
                <w:szCs w:val="20"/>
                <w:color w:val="auto"/>
              </w:rPr>
            </w:pPr>
          </w:p>
        </w:tc>
      </w:tr>
      <w:tr>
        <w:trPr>
          <w:trHeight w:val="377"/>
        </w:trPr>
        <w:tc>
          <w:tcPr>
            <w:tcW w:w="5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gridSpan w:val="3"/>
          </w:tcPr>
          <w:p>
            <w:pPr>
              <w:jc w:val="center"/>
              <w:ind w:left="133"/>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color w:val="auto"/>
                <w:w w:val="96"/>
              </w:rPr>
              <w:t>$ 74,741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$63,004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$66,401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$57,767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2340" w:type="dxa"/>
            <w:vAlign w:val="bottom"/>
            <w:gridSpan w:val="6"/>
          </w:tcPr>
          <w:p>
            <w:pPr>
              <w:jc w:val="center"/>
              <w:ind w:left="1570"/>
              <w:spacing w:after="0"/>
              <w:rPr>
                <w:sz w:val="20"/>
                <w:szCs w:val="20"/>
                <w:color w:val="auto"/>
              </w:rPr>
            </w:pPr>
            <w:r>
              <w:rPr>
                <w:rFonts w:ascii="Arial" w:cs="Arial" w:eastAsia="Arial" w:hAnsi="Arial"/>
                <w:sz w:val="18"/>
                <w:szCs w:val="18"/>
                <w:color w:val="auto"/>
                <w:w w:val="96"/>
              </w:rPr>
              <w:t>$ 30,634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$30,711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5"/>
              </w:rPr>
              <w:t>$30,099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$26,581</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40" w:type="dxa"/>
            <w:vAlign w:val="bottom"/>
            <w:gridSpan w:val="6"/>
            <w:shd w:val="clear" w:color="auto" w:fill="CCEEFF"/>
          </w:tcPr>
          <w:p>
            <w:pPr>
              <w:jc w:val="center"/>
              <w:ind w:left="1570"/>
              <w:spacing w:after="0"/>
              <w:rPr>
                <w:sz w:val="20"/>
                <w:szCs w:val="20"/>
                <w:color w:val="auto"/>
              </w:rPr>
            </w:pPr>
            <w:r>
              <w:rPr>
                <w:rFonts w:ascii="Arial" w:cs="Arial" w:eastAsia="Arial" w:hAnsi="Arial"/>
                <w:sz w:val="18"/>
                <w:szCs w:val="18"/>
                <w:color w:val="auto"/>
                <w:w w:val="96"/>
              </w:rPr>
              <w:t>$ 44,107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$32,293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$36,302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$31,186</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540" w:type="dxa"/>
            <w:vAlign w:val="bottom"/>
            <w:gridSpan w:val="7"/>
          </w:tcPr>
          <w:p>
            <w:pPr>
              <w:jc w:val="right"/>
              <w:ind w:right="140"/>
              <w:spacing w:after="0"/>
              <w:rPr>
                <w:sz w:val="20"/>
                <w:szCs w:val="20"/>
                <w:color w:val="auto"/>
              </w:rPr>
            </w:pPr>
            <w:r>
              <w:rPr>
                <w:rFonts w:ascii="Arial" w:cs="Arial" w:eastAsia="Arial" w:hAnsi="Arial"/>
                <w:sz w:val="18"/>
                <w:szCs w:val="18"/>
                <w:color w:val="auto"/>
              </w:rPr>
              <w:t>$(29,875)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7"/>
          </w:tcPr>
          <w:p>
            <w:pPr>
              <w:jc w:val="right"/>
              <w:ind w:right="180"/>
              <w:spacing w:after="0"/>
              <w:rPr>
                <w:sz w:val="20"/>
                <w:szCs w:val="20"/>
                <w:color w:val="auto"/>
              </w:rPr>
            </w:pPr>
            <w:r>
              <w:rPr>
                <w:rFonts w:ascii="Arial" w:cs="Arial" w:eastAsia="Arial" w:hAnsi="Arial"/>
                <w:sz w:val="18"/>
                <w:szCs w:val="18"/>
                <w:color w:val="auto"/>
                <w:w w:val="94"/>
              </w:rPr>
              <w:t>$ (2,733)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2,650</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40" w:type="dxa"/>
            <w:vAlign w:val="bottom"/>
            <w:gridSpan w:val="6"/>
            <w:shd w:val="clear" w:color="auto" w:fill="CCEEFF"/>
          </w:tcPr>
          <w:p>
            <w:pPr>
              <w:jc w:val="center"/>
              <w:ind w:left="1570"/>
              <w:spacing w:after="0"/>
              <w:rPr>
                <w:sz w:val="20"/>
                <w:szCs w:val="20"/>
                <w:color w:val="auto"/>
              </w:rPr>
            </w:pPr>
            <w:r>
              <w:rPr>
                <w:rFonts w:ascii="Arial" w:cs="Arial" w:eastAsia="Arial" w:hAnsi="Arial"/>
                <w:sz w:val="18"/>
                <w:szCs w:val="18"/>
                <w:color w:val="auto"/>
                <w:w w:val="96"/>
              </w:rPr>
              <w:t>$ 14,232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$37,380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$33,569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$33,836</w:t>
            </w:r>
          </w:p>
        </w:tc>
        <w:tc>
          <w:tcPr>
            <w:tcW w:w="6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2340" w:type="dxa"/>
            <w:vAlign w:val="bottom"/>
            <w:gridSpan w:val="6"/>
          </w:tcPr>
          <w:p>
            <w:pPr>
              <w:jc w:val="center"/>
              <w:ind w:left="1570"/>
              <w:spacing w:after="0"/>
              <w:rPr>
                <w:sz w:val="20"/>
                <w:szCs w:val="20"/>
                <w:color w:val="auto"/>
              </w:rPr>
            </w:pPr>
            <w:r>
              <w:rPr>
                <w:rFonts w:ascii="Arial" w:cs="Arial" w:eastAsia="Arial" w:hAnsi="Arial"/>
                <w:sz w:val="18"/>
                <w:szCs w:val="18"/>
                <w:color w:val="auto"/>
              </w:rPr>
              <w:t>$  16.25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$ 16.36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60" w:type="dxa"/>
            <w:vAlign w:val="bottom"/>
          </w:tcPr>
          <w:p>
            <w:pPr>
              <w:spacing w:after="0"/>
              <w:rPr>
                <w:sz w:val="20"/>
                <w:szCs w:val="20"/>
                <w:color w:val="auto"/>
              </w:rPr>
            </w:pPr>
          </w:p>
        </w:tc>
      </w:tr>
      <w:tr>
        <w:trPr>
          <w:trHeight w:val="377"/>
        </w:trPr>
        <w:tc>
          <w:tcPr>
            <w:tcW w:w="5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gridSpan w:val="2"/>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960" w:type="dxa"/>
            <w:vAlign w:val="bottom"/>
            <w:tcBorders>
              <w:top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89"/>
              </w:rPr>
              <w:t>$48,825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83"/>
              </w:rPr>
              <w:t>52,305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$58,819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$50,948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2680" w:type="dxa"/>
            <w:vAlign w:val="bottom"/>
            <w:gridSpan w:val="8"/>
          </w:tcPr>
          <w:p>
            <w:pPr>
              <w:jc w:val="center"/>
              <w:ind w:left="1730"/>
              <w:spacing w:after="0"/>
              <w:rPr>
                <w:sz w:val="20"/>
                <w:szCs w:val="20"/>
                <w:color w:val="auto"/>
              </w:rPr>
            </w:pPr>
            <w:r>
              <w:rPr>
                <w:rFonts w:ascii="Arial" w:cs="Arial" w:eastAsia="Arial" w:hAnsi="Arial"/>
                <w:sz w:val="18"/>
                <w:szCs w:val="18"/>
                <w:color w:val="auto"/>
                <w:w w:val="89"/>
              </w:rPr>
              <w:t>$21,946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ind w:left="20"/>
              <w:spacing w:after="0"/>
              <w:rPr>
                <w:sz w:val="20"/>
                <w:szCs w:val="20"/>
                <w:color w:val="auto"/>
              </w:rPr>
            </w:pPr>
            <w:r>
              <w:rPr>
                <w:rFonts w:ascii="Arial" w:cs="Arial" w:eastAsia="Arial" w:hAnsi="Arial"/>
                <w:sz w:val="18"/>
                <w:szCs w:val="18"/>
                <w:color w:val="auto"/>
                <w:w w:val="83"/>
              </w:rPr>
              <w:t>21,376</w:t>
            </w:r>
          </w:p>
        </w:tc>
        <w:tc>
          <w:tcPr>
            <w:tcW w:w="24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$24,887</w:t>
            </w:r>
          </w:p>
        </w:tc>
        <w:tc>
          <w:tcPr>
            <w:tcW w:w="2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$22,429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80" w:type="dxa"/>
            <w:vAlign w:val="bottom"/>
            <w:gridSpan w:val="8"/>
            <w:shd w:val="clear" w:color="auto" w:fill="CCEEFF"/>
          </w:tcPr>
          <w:p>
            <w:pPr>
              <w:jc w:val="center"/>
              <w:ind w:left="1730"/>
              <w:spacing w:after="0"/>
              <w:rPr>
                <w:sz w:val="20"/>
                <w:szCs w:val="20"/>
                <w:color w:val="auto"/>
              </w:rPr>
            </w:pPr>
            <w:r>
              <w:rPr>
                <w:rFonts w:ascii="Arial" w:cs="Arial" w:eastAsia="Arial" w:hAnsi="Arial"/>
                <w:sz w:val="18"/>
                <w:szCs w:val="18"/>
                <w:color w:val="auto"/>
                <w:w w:val="89"/>
              </w:rPr>
              <w:t>$26,879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3"/>
              </w:rPr>
              <w:t>30,929</w:t>
            </w:r>
          </w:p>
        </w:tc>
        <w:tc>
          <w:tcPr>
            <w:tcW w:w="24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$28,519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120" w:type="dxa"/>
            <w:vAlign w:val="bottom"/>
            <w:gridSpan w:val="4"/>
          </w:tcPr>
          <w:p>
            <w:pPr>
              <w:jc w:val="center"/>
              <w:ind w:left="179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w w:val="94"/>
              </w:rPr>
              <w:t>(6,170)</w:t>
            </w:r>
          </w:p>
        </w:tc>
        <w:tc>
          <w:tcPr>
            <w:tcW w:w="880" w:type="dxa"/>
            <w:vAlign w:val="bottom"/>
            <w:gridSpan w:val="7"/>
          </w:tcPr>
          <w:p>
            <w:pPr>
              <w:jc w:val="right"/>
              <w:ind w:right="140"/>
              <w:spacing w:after="0"/>
              <w:rPr>
                <w:sz w:val="20"/>
                <w:szCs w:val="20"/>
                <w:color w:val="auto"/>
              </w:rPr>
            </w:pPr>
            <w:r>
              <w:rPr>
                <w:rFonts w:ascii="Arial" w:cs="Arial" w:eastAsia="Arial" w:hAnsi="Arial"/>
                <w:sz w:val="18"/>
                <w:szCs w:val="18"/>
                <w:color w:val="auto"/>
                <w:w w:val="99"/>
              </w:rPr>
              <w:t>$ (2,106)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(241)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680" w:type="dxa"/>
            <w:vAlign w:val="bottom"/>
            <w:gridSpan w:val="8"/>
            <w:shd w:val="clear" w:color="auto" w:fill="CCEEFF"/>
          </w:tcPr>
          <w:p>
            <w:pPr>
              <w:jc w:val="center"/>
              <w:ind w:left="1730"/>
              <w:spacing w:after="0"/>
              <w:rPr>
                <w:sz w:val="20"/>
                <w:szCs w:val="20"/>
                <w:color w:val="auto"/>
              </w:rPr>
            </w:pPr>
            <w:r>
              <w:rPr>
                <w:rFonts w:ascii="Arial" w:cs="Arial" w:eastAsia="Arial" w:hAnsi="Arial"/>
                <w:sz w:val="18"/>
                <w:szCs w:val="18"/>
                <w:color w:val="auto"/>
                <w:w w:val="89"/>
              </w:rPr>
              <w:t>$26,746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3"/>
              </w:rPr>
              <w:t>24,759</w:t>
            </w:r>
          </w:p>
        </w:tc>
        <w:tc>
          <w:tcPr>
            <w:tcW w:w="24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$31,826</w:t>
            </w: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2120" w:type="dxa"/>
            <w:vAlign w:val="bottom"/>
            <w:gridSpan w:val="4"/>
          </w:tcPr>
          <w:p>
            <w:pPr>
              <w:jc w:val="center"/>
              <w:ind w:left="1790"/>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16.09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Pr>
          <w:p>
            <w:pPr>
              <w:spacing w:after="0"/>
              <w:rPr>
                <w:sz w:val="20"/>
                <w:szCs w:val="20"/>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$ 16.15</w:t>
            </w:r>
          </w:p>
        </w:tc>
        <w:tc>
          <w:tcPr>
            <w:tcW w:w="2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16.04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620" w:hanging="42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Convertible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between the U.S. and other countries with respect to trade policies, treaties and tariffs;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CDOR, BBSY, EURIBOR, the Federal Funds Effective Rate or the Prime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2019 Convertible Notes and the 2022 Convertible Notes.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November 30, 2019.</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58"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7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Price Range</w:t>
            </w:r>
          </w:p>
        </w:tc>
        <w:tc>
          <w:tcPr>
            <w:tcW w:w="360" w:type="dxa"/>
            <w:vAlign w:val="bottom"/>
            <w:vMerge w:val="restart"/>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High Sales</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1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9"/>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4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Low</w:t>
            </w: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Asset</w:t>
            </w:r>
          </w:p>
        </w:tc>
        <w:tc>
          <w:tcPr>
            <w:tcW w:w="11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1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$16.04</w:t>
            </w:r>
          </w:p>
        </w:tc>
        <w:tc>
          <w:tcPr>
            <w:tcW w:w="4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$20.39</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90"/>
              </w:rPr>
              <w:t>$18.27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27.1%</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$16.15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$20.99</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$20.31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$16.09</w:t>
            </w:r>
          </w:p>
        </w:tc>
        <w:tc>
          <w:tcPr>
            <w:tcW w:w="4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$21.61</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90"/>
              </w:rPr>
              <w:t>$19.94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$16.09</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$21.12</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$19.80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$16.27</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$20.06</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$17.47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Second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$16.36</w:t>
            </w:r>
          </w:p>
        </w:tc>
        <w:tc>
          <w:tcPr>
            <w:tcW w:w="4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$19.19</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90"/>
              </w:rPr>
              <w:t>$17.51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$16.47</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$20.71</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$18.04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$16.25</w:t>
            </w:r>
          </w:p>
        </w:tc>
        <w:tc>
          <w:tcPr>
            <w:tcW w:w="4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$21.00</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90"/>
              </w:rPr>
              <w:t>$18.09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2019</w:t>
            </w: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$16.34</w:t>
            </w:r>
          </w:p>
        </w:tc>
        <w:tc>
          <w:tcPr>
            <w:tcW w:w="4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$20.99</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90"/>
              </w:rPr>
              <w:t>$18.44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6, 2019)</w:t>
            </w: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$20.29</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$20.01</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4"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right="2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2019 and years ended December 31, 2018 and 2017:</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0"/>
          </w:tcPr>
          <w:p>
            <w:pPr>
              <w:ind w:left="220"/>
              <w:spacing w:after="0"/>
              <w:rPr>
                <w:sz w:val="20"/>
                <w:szCs w:val="20"/>
                <w:color w:val="auto"/>
              </w:rPr>
            </w:pPr>
            <w:r>
              <w:rPr>
                <w:rFonts w:ascii="Arial" w:cs="Arial" w:eastAsia="Arial" w:hAnsi="Arial"/>
                <w:sz w:val="14"/>
                <w:szCs w:val="14"/>
                <w:b w:val="1"/>
                <w:bCs w:val="1"/>
                <w:color w:val="auto"/>
              </w:rPr>
              <w:t>Three Months Ended March 31, 2019</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center"/>
              <w:ind w:left="39"/>
              <w:spacing w:after="0" w:line="203" w:lineRule="exact"/>
              <w:rPr>
                <w:sz w:val="20"/>
                <w:szCs w:val="20"/>
                <w:color w:val="auto"/>
              </w:rPr>
            </w:pPr>
            <w:r>
              <w:rPr>
                <w:rFonts w:ascii="Arial" w:cs="Arial" w:eastAsia="Arial" w:hAnsi="Arial"/>
                <w:sz w:val="18"/>
                <w:szCs w:val="18"/>
                <w:color w:val="auto"/>
                <w:w w:val="90"/>
              </w:rPr>
              <w:t>Supplemental</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gridSpan w:val="5"/>
            <w:shd w:val="clear" w:color="auto" w:fill="CCEEFF"/>
          </w:tcPr>
          <w:p>
            <w:pPr>
              <w:jc w:val="center"/>
              <w:ind w:left="22"/>
              <w:spacing w:after="0" w:line="203" w:lineRule="exact"/>
              <w:rPr>
                <w:sz w:val="20"/>
                <w:szCs w:val="20"/>
                <w:color w:val="auto"/>
              </w:rPr>
            </w:pPr>
            <w:r>
              <w:rPr>
                <w:rFonts w:ascii="Arial" w:cs="Arial" w:eastAsia="Arial" w:hAnsi="Arial"/>
                <w:sz w:val="18"/>
                <w:szCs w:val="18"/>
                <w:color w:val="auto"/>
                <w:w w:val="91"/>
              </w:rPr>
              <w:t>February 28, 2019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29, 2019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Base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5"/>
          </w:tcPr>
          <w:p>
            <w:pPr>
              <w:jc w:val="center"/>
              <w:ind w:left="22"/>
              <w:spacing w:after="0"/>
              <w:rPr>
                <w:sz w:val="20"/>
                <w:szCs w:val="20"/>
                <w:color w:val="auto"/>
              </w:rPr>
            </w:pPr>
            <w:r>
              <w:rPr>
                <w:rFonts w:ascii="Arial" w:cs="Arial" w:eastAsia="Arial" w:hAnsi="Arial"/>
                <w:sz w:val="18"/>
                <w:szCs w:val="18"/>
                <w:color w:val="auto"/>
                <w:w w:val="91"/>
              </w:rPr>
              <w:t>March 15, 2019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5"/>
              </w:rPr>
              <w:t>April 15, 2019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Pr>
          <w:p>
            <w:pPr>
              <w:spacing w:after="0"/>
              <w:rPr>
                <w:sz w:val="10"/>
                <w:szCs w:val="10"/>
                <w:color w:val="auto"/>
              </w:rPr>
            </w:pPr>
          </w:p>
        </w:tc>
        <w:tc>
          <w:tcPr>
            <w:tcW w:w="14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Record Date</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21, 2018</w:t>
            </w:r>
          </w:p>
        </w:tc>
        <w:tc>
          <w:tcPr>
            <w:tcW w:w="2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Supplemental</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center"/>
              <w:ind w:right="160"/>
              <w:spacing w:after="0" w:line="203" w:lineRule="exact"/>
              <w:rPr>
                <w:sz w:val="20"/>
                <w:szCs w:val="20"/>
                <w:color w:val="auto"/>
              </w:rPr>
            </w:pPr>
            <w:r>
              <w:rPr>
                <w:rFonts w:ascii="Arial" w:cs="Arial" w:eastAsia="Arial" w:hAnsi="Arial"/>
                <w:sz w:val="18"/>
                <w:szCs w:val="18"/>
                <w:color w:val="auto"/>
                <w:w w:val="91"/>
              </w:rPr>
              <w:t>February 28, 2018</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center"/>
              <w:ind w:right="80"/>
              <w:spacing w:after="0" w:line="203" w:lineRule="exact"/>
              <w:rPr>
                <w:sz w:val="20"/>
                <w:szCs w:val="20"/>
                <w:color w:val="auto"/>
              </w:rPr>
            </w:pPr>
            <w:r>
              <w:rPr>
                <w:rFonts w:ascii="Arial" w:cs="Arial" w:eastAsia="Arial" w:hAnsi="Arial"/>
                <w:sz w:val="18"/>
                <w:szCs w:val="18"/>
                <w:color w:val="auto"/>
                <w:w w:val="91"/>
              </w:rPr>
              <w:t>March 30, 2018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89"/>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200" w:type="dxa"/>
            <w:vAlign w:val="bottom"/>
          </w:tcPr>
          <w:p>
            <w:pPr>
              <w:spacing w:after="0"/>
              <w:rPr>
                <w:sz w:val="18"/>
                <w:szCs w:val="18"/>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8"/>
                <w:szCs w:val="18"/>
                <w:color w:val="auto"/>
                <w:w w:val="82"/>
              </w:rPr>
              <w:t>Base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6"/>
          </w:tcPr>
          <w:p>
            <w:pPr>
              <w:jc w:val="center"/>
              <w:ind w:right="580"/>
              <w:spacing w:after="0"/>
              <w:rPr>
                <w:sz w:val="20"/>
                <w:szCs w:val="20"/>
                <w:color w:val="auto"/>
              </w:rPr>
            </w:pPr>
            <w:r>
              <w:rPr>
                <w:rFonts w:ascii="Arial" w:cs="Arial" w:eastAsia="Arial" w:hAnsi="Arial"/>
                <w:sz w:val="18"/>
                <w:szCs w:val="18"/>
                <w:color w:val="auto"/>
                <w:w w:val="91"/>
              </w:rPr>
              <w:t>March 15, 2018</w:t>
            </w:r>
          </w:p>
        </w:tc>
        <w:tc>
          <w:tcPr>
            <w:tcW w:w="60" w:type="dxa"/>
            <w:vAlign w:val="bottom"/>
          </w:tcPr>
          <w:p>
            <w:pPr>
              <w:spacing w:after="0"/>
              <w:rPr>
                <w:sz w:val="18"/>
                <w:szCs w:val="18"/>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April 13, 2018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2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Supplemental</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jc w:val="center"/>
              <w:ind w:right="580"/>
              <w:spacing w:after="0"/>
              <w:rPr>
                <w:sz w:val="20"/>
                <w:szCs w:val="20"/>
                <w:color w:val="auto"/>
              </w:rPr>
            </w:pPr>
            <w:r>
              <w:rPr>
                <w:rFonts w:ascii="Arial" w:cs="Arial" w:eastAsia="Arial" w:hAnsi="Arial"/>
                <w:sz w:val="18"/>
                <w:szCs w:val="18"/>
                <w:color w:val="auto"/>
                <w:w w:val="93"/>
              </w:rPr>
              <w:t>May 31, 2018</w:t>
            </w:r>
          </w:p>
        </w:tc>
        <w:tc>
          <w:tcPr>
            <w:tcW w:w="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29, 2018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200" w:type="dxa"/>
            <w:vAlign w:val="bottom"/>
          </w:tcPr>
          <w:p>
            <w:pPr>
              <w:spacing w:after="0"/>
              <w:rPr>
                <w:sz w:val="18"/>
                <w:szCs w:val="18"/>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8"/>
                <w:szCs w:val="18"/>
                <w:color w:val="auto"/>
                <w:w w:val="82"/>
              </w:rPr>
              <w:t>Base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6"/>
          </w:tcPr>
          <w:p>
            <w:pPr>
              <w:jc w:val="center"/>
              <w:ind w:right="580"/>
              <w:spacing w:after="0"/>
              <w:rPr>
                <w:sz w:val="20"/>
                <w:szCs w:val="20"/>
                <w:color w:val="auto"/>
              </w:rPr>
            </w:pPr>
            <w:r>
              <w:rPr>
                <w:rFonts w:ascii="Arial" w:cs="Arial" w:eastAsia="Arial" w:hAnsi="Arial"/>
                <w:sz w:val="18"/>
                <w:szCs w:val="18"/>
                <w:color w:val="auto"/>
                <w:w w:val="89"/>
              </w:rPr>
              <w:t>June 15, 2018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July 13, 2018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2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Supplemental</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jc w:val="center"/>
              <w:ind w:right="580"/>
              <w:spacing w:after="0"/>
              <w:rPr>
                <w:sz w:val="20"/>
                <w:szCs w:val="20"/>
                <w:color w:val="auto"/>
              </w:rPr>
            </w:pPr>
            <w:r>
              <w:rPr>
                <w:rFonts w:ascii="Arial" w:cs="Arial" w:eastAsia="Arial" w:hAnsi="Arial"/>
                <w:sz w:val="18"/>
                <w:szCs w:val="18"/>
                <w:color w:val="auto"/>
                <w:w w:val="89"/>
              </w:rPr>
              <w:t>August 31, 2018</w:t>
            </w:r>
          </w:p>
        </w:tc>
        <w:tc>
          <w:tcPr>
            <w:tcW w:w="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28, 2018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200" w:type="dxa"/>
            <w:vAlign w:val="bottom"/>
          </w:tcPr>
          <w:p>
            <w:pPr>
              <w:spacing w:after="0"/>
              <w:rPr>
                <w:sz w:val="18"/>
                <w:szCs w:val="18"/>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8"/>
                <w:szCs w:val="18"/>
                <w:color w:val="auto"/>
                <w:w w:val="82"/>
              </w:rPr>
              <w:t>Base</w:t>
            </w:r>
          </w:p>
        </w:tc>
        <w:tc>
          <w:tcPr>
            <w:tcW w:w="2080" w:type="dxa"/>
            <w:vAlign w:val="bottom"/>
            <w:gridSpan w:val="8"/>
          </w:tcPr>
          <w:p>
            <w:pPr>
              <w:jc w:val="center"/>
              <w:ind w:right="300"/>
              <w:spacing w:after="0"/>
              <w:rPr>
                <w:sz w:val="20"/>
                <w:szCs w:val="20"/>
                <w:color w:val="auto"/>
              </w:rPr>
            </w:pPr>
            <w:r>
              <w:rPr>
                <w:rFonts w:ascii="Arial" w:cs="Arial" w:eastAsia="Arial" w:hAnsi="Arial"/>
                <w:sz w:val="18"/>
                <w:szCs w:val="18"/>
                <w:color w:val="auto"/>
                <w:w w:val="89"/>
              </w:rPr>
              <w:t>September 14, 2018</w:t>
            </w:r>
          </w:p>
        </w:tc>
        <w:tc>
          <w:tcPr>
            <w:tcW w:w="60" w:type="dxa"/>
            <w:vAlign w:val="bottom"/>
          </w:tcPr>
          <w:p>
            <w:pPr>
              <w:spacing w:after="0"/>
              <w:rPr>
                <w:sz w:val="18"/>
                <w:szCs w:val="18"/>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October 15, 2018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6, 2018</w:t>
            </w:r>
          </w:p>
        </w:tc>
        <w:tc>
          <w:tcPr>
            <w:tcW w:w="2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Supplemental</w:t>
            </w:r>
          </w:p>
        </w:tc>
        <w:tc>
          <w:tcPr>
            <w:tcW w:w="2080" w:type="dxa"/>
            <w:vAlign w:val="bottom"/>
            <w:gridSpan w:val="8"/>
            <w:shd w:val="clear" w:color="auto" w:fill="CCEEFF"/>
          </w:tcPr>
          <w:p>
            <w:pPr>
              <w:jc w:val="center"/>
              <w:ind w:right="300"/>
              <w:spacing w:after="0"/>
              <w:rPr>
                <w:sz w:val="20"/>
                <w:szCs w:val="20"/>
                <w:color w:val="auto"/>
              </w:rPr>
            </w:pPr>
            <w:r>
              <w:rPr>
                <w:rFonts w:ascii="Arial" w:cs="Arial" w:eastAsia="Arial" w:hAnsi="Arial"/>
                <w:sz w:val="18"/>
                <w:szCs w:val="18"/>
                <w:color w:val="auto"/>
                <w:w w:val="89"/>
              </w:rPr>
              <w:t>November 30, 2018</w:t>
            </w:r>
          </w:p>
        </w:tc>
        <w:tc>
          <w:tcPr>
            <w:tcW w:w="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31, 2018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200" w:type="dxa"/>
            <w:vAlign w:val="bottom"/>
          </w:tcPr>
          <w:p>
            <w:pPr>
              <w:spacing w:after="0"/>
              <w:rPr>
                <w:sz w:val="19"/>
                <w:szCs w:val="19"/>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8"/>
                <w:szCs w:val="18"/>
                <w:color w:val="auto"/>
                <w:w w:val="82"/>
              </w:rPr>
              <w:t>Base</w:t>
            </w:r>
          </w:p>
        </w:tc>
        <w:tc>
          <w:tcPr>
            <w:tcW w:w="2080" w:type="dxa"/>
            <w:vAlign w:val="bottom"/>
            <w:gridSpan w:val="8"/>
          </w:tcPr>
          <w:p>
            <w:pPr>
              <w:jc w:val="center"/>
              <w:ind w:right="300"/>
              <w:spacing w:after="0"/>
              <w:rPr>
                <w:sz w:val="20"/>
                <w:szCs w:val="20"/>
                <w:color w:val="auto"/>
              </w:rPr>
            </w:pPr>
            <w:r>
              <w:rPr>
                <w:rFonts w:ascii="Arial" w:cs="Arial" w:eastAsia="Arial" w:hAnsi="Arial"/>
                <w:sz w:val="18"/>
                <w:szCs w:val="18"/>
                <w:color w:val="auto"/>
                <w:w w:val="89"/>
              </w:rPr>
              <w:t>December 14, 2018</w:t>
            </w:r>
          </w:p>
        </w:tc>
        <w:tc>
          <w:tcPr>
            <w:tcW w:w="60" w:type="dxa"/>
            <w:vAlign w:val="bottom"/>
          </w:tcPr>
          <w:p>
            <w:pPr>
              <w:spacing w:after="0"/>
              <w:rPr>
                <w:sz w:val="19"/>
                <w:szCs w:val="19"/>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January 15, 2019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Pr>
          <w:p>
            <w:pPr>
              <w:spacing w:after="0"/>
              <w:rPr>
                <w:sz w:val="10"/>
                <w:szCs w:val="10"/>
                <w:color w:val="auto"/>
              </w:rPr>
            </w:pPr>
          </w:p>
        </w:tc>
        <w:tc>
          <w:tcPr>
            <w:tcW w:w="14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Record Date</w:t>
            </w:r>
          </w:p>
        </w:tc>
        <w:tc>
          <w:tcPr>
            <w:tcW w:w="60" w:type="dxa"/>
            <w:vAlign w:val="bottom"/>
          </w:tcPr>
          <w:p>
            <w:pPr>
              <w:spacing w:after="0"/>
              <w:rPr>
                <w:sz w:val="10"/>
                <w:szCs w:val="10"/>
                <w:color w:val="auto"/>
              </w:rPr>
            </w:pPr>
          </w:p>
        </w:tc>
        <w:tc>
          <w:tcPr>
            <w:tcW w:w="16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22, 2017</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59"/>
              <w:spacing w:after="0" w:line="203" w:lineRule="exact"/>
              <w:rPr>
                <w:sz w:val="20"/>
                <w:szCs w:val="20"/>
                <w:color w:val="auto"/>
              </w:rPr>
            </w:pPr>
            <w:r>
              <w:rPr>
                <w:rFonts w:ascii="Arial" w:cs="Arial" w:eastAsia="Arial" w:hAnsi="Arial"/>
                <w:sz w:val="18"/>
                <w:szCs w:val="18"/>
                <w:color w:val="auto"/>
                <w:w w:val="82"/>
              </w:rPr>
              <w:t>Base</w:t>
            </w:r>
          </w:p>
        </w:tc>
        <w:tc>
          <w:tcPr>
            <w:tcW w:w="4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4"/>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April 7, 2017</w:t>
            </w:r>
            <w:r>
              <w:rPr>
                <w:rFonts w:ascii="Arial" w:cs="Arial" w:eastAsia="Arial" w:hAnsi="Arial"/>
                <w:sz w:val="15"/>
                <w:szCs w:val="15"/>
                <w:color w:val="auto"/>
                <w:w w:val="95"/>
              </w:rPr>
              <w:t>(2)</w:t>
            </w:r>
          </w:p>
        </w:tc>
        <w:tc>
          <w:tcPr>
            <w:tcW w:w="400" w:type="dxa"/>
            <w:vAlign w:val="bottom"/>
            <w:gridSpan w:val="2"/>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57"/>
              <w:spacing w:after="0" w:line="203" w:lineRule="exact"/>
              <w:rPr>
                <w:sz w:val="20"/>
                <w:szCs w:val="20"/>
                <w:color w:val="auto"/>
              </w:rPr>
            </w:pPr>
            <w:r>
              <w:rPr>
                <w:rFonts w:ascii="Arial" w:cs="Arial" w:eastAsia="Arial" w:hAnsi="Arial"/>
                <w:sz w:val="18"/>
                <w:szCs w:val="18"/>
                <w:color w:val="auto"/>
                <w:w w:val="95"/>
              </w:rPr>
              <w:t>April 28, 2017</w:t>
            </w:r>
          </w:p>
        </w:tc>
        <w:tc>
          <w:tcPr>
            <w:tcW w:w="120" w:type="dxa"/>
            <w:vAlign w:val="bottom"/>
            <w:gridSpan w:val="2"/>
            <w:shd w:val="clear" w:color="auto" w:fill="CCEEFF"/>
          </w:tcPr>
          <w:p>
            <w:pPr>
              <w:spacing w:after="0"/>
              <w:rPr>
                <w:sz w:val="17"/>
                <w:szCs w:val="17"/>
                <w:color w:val="auto"/>
              </w:rPr>
            </w:pPr>
          </w:p>
        </w:tc>
        <w:tc>
          <w:tcPr>
            <w:tcW w:w="280" w:type="dxa"/>
            <w:vAlign w:val="bottom"/>
            <w:gridSpan w:val="3"/>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68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Supplemental</w:t>
            </w:r>
          </w:p>
        </w:tc>
        <w:tc>
          <w:tcPr>
            <w:tcW w:w="220" w:type="dxa"/>
            <w:vAlign w:val="bottom"/>
          </w:tcPr>
          <w:p>
            <w:pPr>
              <w:spacing w:after="0"/>
              <w:rPr>
                <w:sz w:val="18"/>
                <w:szCs w:val="18"/>
                <w:color w:val="auto"/>
              </w:rPr>
            </w:pPr>
          </w:p>
        </w:tc>
        <w:tc>
          <w:tcPr>
            <w:tcW w:w="1860" w:type="dxa"/>
            <w:vAlign w:val="bottom"/>
            <w:gridSpan w:val="7"/>
          </w:tcPr>
          <w:p>
            <w:pPr>
              <w:jc w:val="center"/>
              <w:ind w:right="800"/>
              <w:spacing w:after="0"/>
              <w:rPr>
                <w:sz w:val="20"/>
                <w:szCs w:val="20"/>
                <w:color w:val="auto"/>
              </w:rPr>
            </w:pPr>
            <w:r>
              <w:rPr>
                <w:rFonts w:ascii="Arial" w:cs="Arial" w:eastAsia="Arial" w:hAnsi="Arial"/>
                <w:sz w:val="18"/>
                <w:szCs w:val="18"/>
                <w:color w:val="auto"/>
                <w:w w:val="93"/>
              </w:rPr>
              <w:t>May 31, 2017</w:t>
            </w:r>
          </w:p>
        </w:tc>
        <w:tc>
          <w:tcPr>
            <w:tcW w:w="60" w:type="dxa"/>
            <w:vAlign w:val="bottom"/>
          </w:tcPr>
          <w:p>
            <w:pPr>
              <w:spacing w:after="0"/>
              <w:rPr>
                <w:sz w:val="18"/>
                <w:szCs w:val="18"/>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8"/>
                <w:szCs w:val="18"/>
                <w:color w:val="auto"/>
                <w:w w:val="87"/>
              </w:rPr>
              <w:t>June 30, 2017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2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center"/>
              <w:ind w:right="660"/>
              <w:spacing w:after="0"/>
              <w:rPr>
                <w:sz w:val="20"/>
                <w:szCs w:val="20"/>
                <w:color w:val="auto"/>
              </w:rPr>
            </w:pPr>
            <w:r>
              <w:rPr>
                <w:rFonts w:ascii="Arial" w:cs="Arial" w:eastAsia="Arial" w:hAnsi="Arial"/>
                <w:sz w:val="18"/>
                <w:szCs w:val="18"/>
                <w:color w:val="auto"/>
                <w:w w:val="82"/>
              </w:rPr>
              <w:t>Base</w:t>
            </w:r>
          </w:p>
        </w:tc>
        <w:tc>
          <w:tcPr>
            <w:tcW w:w="220" w:type="dxa"/>
            <w:vAlign w:val="bottom"/>
            <w:shd w:val="clear" w:color="auto" w:fill="CCEEFF"/>
          </w:tcPr>
          <w:p>
            <w:pPr>
              <w:spacing w:after="0"/>
              <w:rPr>
                <w:sz w:val="18"/>
                <w:szCs w:val="18"/>
                <w:color w:val="auto"/>
              </w:rPr>
            </w:pPr>
          </w:p>
        </w:tc>
        <w:tc>
          <w:tcPr>
            <w:tcW w:w="1860" w:type="dxa"/>
            <w:vAlign w:val="bottom"/>
            <w:gridSpan w:val="7"/>
            <w:shd w:val="clear" w:color="auto" w:fill="CCEEFF"/>
          </w:tcPr>
          <w:p>
            <w:pPr>
              <w:jc w:val="center"/>
              <w:ind w:right="800"/>
              <w:spacing w:after="0"/>
              <w:rPr>
                <w:sz w:val="20"/>
                <w:szCs w:val="20"/>
                <w:color w:val="auto"/>
              </w:rPr>
            </w:pPr>
            <w:r>
              <w:rPr>
                <w:rFonts w:ascii="Arial" w:cs="Arial" w:eastAsia="Arial" w:hAnsi="Arial"/>
                <w:sz w:val="18"/>
                <w:szCs w:val="18"/>
                <w:color w:val="auto"/>
                <w:w w:val="89"/>
              </w:rPr>
              <w:t>June 15, 2017</w:t>
            </w:r>
          </w:p>
        </w:tc>
        <w:tc>
          <w:tcPr>
            <w:tcW w:w="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1"/>
              </w:rPr>
              <w:t>July 14, 2017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68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Supplemental</w:t>
            </w:r>
          </w:p>
        </w:tc>
        <w:tc>
          <w:tcPr>
            <w:tcW w:w="2080" w:type="dxa"/>
            <w:vAlign w:val="bottom"/>
            <w:gridSpan w:val="8"/>
          </w:tcPr>
          <w:p>
            <w:pPr>
              <w:jc w:val="center"/>
              <w:ind w:right="580"/>
              <w:spacing w:after="0"/>
              <w:rPr>
                <w:sz w:val="20"/>
                <w:szCs w:val="20"/>
                <w:color w:val="auto"/>
              </w:rPr>
            </w:pPr>
            <w:r>
              <w:rPr>
                <w:rFonts w:ascii="Arial" w:cs="Arial" w:eastAsia="Arial" w:hAnsi="Arial"/>
                <w:sz w:val="18"/>
                <w:szCs w:val="18"/>
                <w:color w:val="auto"/>
                <w:w w:val="89"/>
              </w:rPr>
              <w:t>August 31, 2017</w:t>
            </w:r>
          </w:p>
        </w:tc>
        <w:tc>
          <w:tcPr>
            <w:tcW w:w="170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September 29, 2017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2017</w:t>
            </w:r>
          </w:p>
        </w:tc>
        <w:tc>
          <w:tcPr>
            <w:tcW w:w="2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center"/>
              <w:ind w:right="660"/>
              <w:spacing w:after="0"/>
              <w:rPr>
                <w:sz w:val="20"/>
                <w:szCs w:val="20"/>
                <w:color w:val="auto"/>
              </w:rPr>
            </w:pPr>
            <w:r>
              <w:rPr>
                <w:rFonts w:ascii="Arial" w:cs="Arial" w:eastAsia="Arial" w:hAnsi="Arial"/>
                <w:sz w:val="18"/>
                <w:szCs w:val="18"/>
                <w:color w:val="auto"/>
                <w:w w:val="82"/>
              </w:rPr>
              <w:t>Base</w:t>
            </w:r>
          </w:p>
        </w:tc>
        <w:tc>
          <w:tcPr>
            <w:tcW w:w="2080" w:type="dxa"/>
            <w:vAlign w:val="bottom"/>
            <w:gridSpan w:val="8"/>
            <w:shd w:val="clear" w:color="auto" w:fill="CCEEFF"/>
          </w:tcPr>
          <w:p>
            <w:pPr>
              <w:jc w:val="center"/>
              <w:ind w:right="580"/>
              <w:spacing w:after="0"/>
              <w:rPr>
                <w:sz w:val="20"/>
                <w:szCs w:val="20"/>
                <w:color w:val="auto"/>
              </w:rPr>
            </w:pPr>
            <w:r>
              <w:rPr>
                <w:rFonts w:ascii="Arial" w:cs="Arial" w:eastAsia="Arial" w:hAnsi="Arial"/>
                <w:sz w:val="18"/>
                <w:szCs w:val="18"/>
                <w:color w:val="auto"/>
                <w:w w:val="89"/>
              </w:rPr>
              <w:t>September 15, 2017</w:t>
            </w:r>
          </w:p>
        </w:tc>
        <w:tc>
          <w:tcPr>
            <w:tcW w:w="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0"/>
              </w:rPr>
              <w:t>October 13, 2017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November 7, 2017</w:t>
            </w:r>
          </w:p>
        </w:tc>
        <w:tc>
          <w:tcPr>
            <w:tcW w:w="168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Supplemental</w:t>
            </w:r>
          </w:p>
        </w:tc>
        <w:tc>
          <w:tcPr>
            <w:tcW w:w="2080" w:type="dxa"/>
            <w:vAlign w:val="bottom"/>
            <w:gridSpan w:val="8"/>
          </w:tcPr>
          <w:p>
            <w:pPr>
              <w:jc w:val="center"/>
              <w:ind w:right="580"/>
              <w:spacing w:after="0"/>
              <w:rPr>
                <w:sz w:val="20"/>
                <w:szCs w:val="20"/>
                <w:color w:val="auto"/>
              </w:rPr>
            </w:pPr>
            <w:r>
              <w:rPr>
                <w:rFonts w:ascii="Arial" w:cs="Arial" w:eastAsia="Arial" w:hAnsi="Arial"/>
                <w:sz w:val="18"/>
                <w:szCs w:val="18"/>
                <w:color w:val="auto"/>
                <w:w w:val="89"/>
              </w:rPr>
              <w:t>November 30, 2017</w:t>
            </w:r>
          </w:p>
        </w:tc>
        <w:tc>
          <w:tcPr>
            <w:tcW w:w="170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December 29, 2017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2017</w:t>
            </w:r>
          </w:p>
        </w:tc>
        <w:tc>
          <w:tcPr>
            <w:tcW w:w="2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center"/>
              <w:ind w:right="660"/>
              <w:spacing w:after="0"/>
              <w:rPr>
                <w:sz w:val="20"/>
                <w:szCs w:val="20"/>
                <w:color w:val="auto"/>
              </w:rPr>
            </w:pPr>
            <w:r>
              <w:rPr>
                <w:rFonts w:ascii="Arial" w:cs="Arial" w:eastAsia="Arial" w:hAnsi="Arial"/>
                <w:sz w:val="18"/>
                <w:szCs w:val="18"/>
                <w:color w:val="auto"/>
                <w:w w:val="82"/>
              </w:rPr>
              <w:t>Base</w:t>
            </w:r>
          </w:p>
        </w:tc>
        <w:tc>
          <w:tcPr>
            <w:tcW w:w="2080" w:type="dxa"/>
            <w:vAlign w:val="bottom"/>
            <w:gridSpan w:val="8"/>
            <w:shd w:val="clear" w:color="auto" w:fill="CCEEFF"/>
          </w:tcPr>
          <w:p>
            <w:pPr>
              <w:jc w:val="center"/>
              <w:ind w:right="580"/>
              <w:spacing w:after="0"/>
              <w:rPr>
                <w:sz w:val="20"/>
                <w:szCs w:val="20"/>
                <w:color w:val="auto"/>
              </w:rPr>
            </w:pPr>
            <w:r>
              <w:rPr>
                <w:rFonts w:ascii="Arial" w:cs="Arial" w:eastAsia="Arial" w:hAnsi="Arial"/>
                <w:sz w:val="18"/>
                <w:szCs w:val="18"/>
                <w:color w:val="auto"/>
                <w:w w:val="89"/>
              </w:rPr>
              <w:t>December 15, 2017</w:t>
            </w:r>
          </w:p>
        </w:tc>
        <w:tc>
          <w:tcPr>
            <w:tcW w:w="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ind w:right="240"/>
              <w:spacing w:after="0"/>
              <w:rPr>
                <w:sz w:val="20"/>
                <w:szCs w:val="20"/>
                <w:color w:val="auto"/>
              </w:rPr>
            </w:pPr>
            <w:r>
              <w:rPr>
                <w:rFonts w:ascii="Arial" w:cs="Arial" w:eastAsia="Arial" w:hAnsi="Arial"/>
                <w:sz w:val="18"/>
                <w:szCs w:val="18"/>
                <w:color w:val="auto"/>
                <w:w w:val="89"/>
              </w:rPr>
              <w:t>January 12, 2018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3"/>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5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spacing w:after="0" w:line="1" w:lineRule="exact"/>
        <w:rPr>
          <w:rFonts w:ascii="Arial" w:cs="Arial" w:eastAsia="Arial" w:hAnsi="Arial"/>
          <w:sz w:val="18"/>
          <w:szCs w:val="18"/>
          <w:color w:val="auto"/>
        </w:rPr>
      </w:pPr>
    </w:p>
    <w:p>
      <w:pPr>
        <w:ind w:left="460" w:right="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9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 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9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8"/>
              </w:rPr>
              <w:t>Involuntary</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4"/>
              </w:rPr>
              <w:t>Treasury</w:t>
            </w:r>
          </w:p>
        </w:tc>
        <w:tc>
          <w:tcPr>
            <w:tcW w:w="1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Coverage</w:t>
            </w: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080" w:type="dxa"/>
            <w:vAlign w:val="bottom"/>
          </w:tcPr>
          <w:p>
            <w:pPr>
              <w:spacing w:after="0"/>
              <w:rPr>
                <w:sz w:val="12"/>
                <w:szCs w:val="12"/>
                <w:color w:val="auto"/>
              </w:rPr>
            </w:pPr>
          </w:p>
        </w:tc>
        <w:tc>
          <w:tcPr>
            <w:tcW w:w="16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Securities</w:t>
            </w:r>
            <w:r>
              <w:rPr>
                <w:rFonts w:ascii="Arial" w:cs="Arial" w:eastAsia="Arial" w:hAnsi="Arial"/>
                <w:sz w:val="12"/>
                <w:szCs w:val="12"/>
                <w:b w:val="1"/>
                <w:bCs w:val="1"/>
                <w:color w:val="auto"/>
                <w:w w:val="93"/>
              </w:rPr>
              <w:t>(1)</w:t>
            </w:r>
          </w:p>
        </w:tc>
        <w:tc>
          <w:tcPr>
            <w:tcW w:w="1800" w:type="dxa"/>
            <w:vAlign w:val="bottom"/>
            <w:gridSpan w:val="3"/>
            <w:vMerge w:val="continue"/>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5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Value Per Unit</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2,447.1</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2,705.2</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2017</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2,355.3</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2,376.6</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2015</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2,257.3</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3,110.3</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2013</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2,329.5</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2,445.9</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2011</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2,116.7</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2,447.1</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2,705.2</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2017</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2,355.3</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2,376.6</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2015</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2,257.3</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3,110.3</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2,447.1</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December 31, 2018</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2,705.2</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2,355.3</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2,447.1</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December 31, 2018</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2,705.2</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18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240" w:top="459" w:right="6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ind w:right="540"/>
        <w:spacing w:after="0" w:line="245" w:lineRule="auto"/>
        <w:rPr>
          <w:sz w:val="20"/>
          <w:szCs w:val="20"/>
          <w:color w:val="auto"/>
        </w:rPr>
      </w:pPr>
      <w:r>
        <w:rPr>
          <w:rFonts w:ascii="Arial" w:cs="Arial" w:eastAsia="Arial" w:hAnsi="Arial"/>
          <w:sz w:val="13"/>
          <w:szCs w:val="13"/>
          <w:b w:val="1"/>
          <w:bCs w:val="1"/>
          <w:color w:val="auto"/>
        </w:rPr>
        <w:t xml:space="preserve">Debt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(3)(5)(6)</w:t>
      </w:r>
    </w:p>
    <w:p>
      <w:pPr>
        <w:spacing w:after="0" w:line="223" w:lineRule="auto"/>
        <w:rPr>
          <w:sz w:val="20"/>
          <w:szCs w:val="20"/>
          <w:color w:val="auto"/>
        </w:rPr>
      </w:pPr>
      <w:r>
        <w:rPr>
          <w:rFonts w:ascii="Arial" w:cs="Arial" w:eastAsia="Arial" w:hAnsi="Arial"/>
          <w:sz w:val="14"/>
          <w:szCs w:val="14"/>
          <w:b w:val="1"/>
          <w:bCs w:val="1"/>
          <w:color w:val="auto"/>
        </w:rPr>
        <w:t>Business services</w:t>
      </w:r>
    </w:p>
    <w:p>
      <w:pPr>
        <w:spacing w:after="0"/>
        <w:rPr>
          <w:sz w:val="20"/>
          <w:szCs w:val="20"/>
          <w:color w:val="auto"/>
        </w:rPr>
      </w:pPr>
      <w:r>
        <w:rPr>
          <w:rFonts w:ascii="Arial" w:cs="Arial" w:eastAsia="Arial" w:hAnsi="Arial"/>
          <w:sz w:val="14"/>
          <w:szCs w:val="14"/>
          <w:color w:val="auto"/>
        </w:rPr>
        <w:t xml:space="preserve">Acceo Solutions, Inc. </w:t>
      </w:r>
      <w:r>
        <w:rPr>
          <w:rFonts w:ascii="Arial" w:cs="Arial" w:eastAsia="Arial" w:hAnsi="Arial"/>
          <w:sz w:val="12"/>
          <w:szCs w:val="12"/>
          <w:color w:val="auto"/>
        </w:rPr>
        <w:t>(3)(4)(5)</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12"/>
          <w:szCs w:val="12"/>
          <w:color w:val="auto"/>
        </w:rPr>
        <w:t>(3)</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Jive Software, Inc. </w:t>
      </w:r>
      <w:r>
        <w:rPr>
          <w:rFonts w:ascii="Arial" w:cs="Arial" w:eastAsia="Arial" w:hAnsi="Arial"/>
          <w:sz w:val="12"/>
          <w:szCs w:val="12"/>
          <w:color w:val="auto"/>
        </w:rPr>
        <w:t>(3)(5)</w:t>
      </w:r>
    </w:p>
    <w:p>
      <w:pPr>
        <w:spacing w:after="0" w:line="221" w:lineRule="auto"/>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(3)</w:t>
      </w:r>
    </w:p>
    <w:p>
      <w:pPr>
        <w:spacing w:after="0" w:line="221" w:lineRule="auto"/>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(3)(5)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12"/>
          <w:szCs w:val="12"/>
          <w:color w:val="auto"/>
        </w:rPr>
        <w:t>(3)</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Chemicals</w:t>
      </w:r>
    </w:p>
    <w:p>
      <w:pPr>
        <w:spacing w:after="0" w:line="226" w:lineRule="auto"/>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(3)</w:t>
      </w:r>
    </w:p>
    <w:p>
      <w:pPr>
        <w:spacing w:after="0" w:line="222" w:lineRule="auto"/>
        <w:rPr>
          <w:sz w:val="20"/>
          <w:szCs w:val="20"/>
          <w:color w:val="auto"/>
        </w:rPr>
      </w:pPr>
      <w:r>
        <w:rPr>
          <w:rFonts w:ascii="Arial" w:cs="Arial" w:eastAsia="Arial" w:hAnsi="Arial"/>
          <w:sz w:val="14"/>
          <w:szCs w:val="14"/>
          <w:b w:val="1"/>
          <w:bCs w:val="1"/>
          <w:color w:val="auto"/>
        </w:rPr>
        <w:t>Education</w:t>
      </w:r>
    </w:p>
    <w:p>
      <w:pPr>
        <w:spacing w:after="0"/>
        <w:rPr>
          <w:sz w:val="20"/>
          <w:szCs w:val="20"/>
          <w:color w:val="auto"/>
        </w:rPr>
      </w:pPr>
      <w:r>
        <w:rPr>
          <w:rFonts w:ascii="Arial" w:cs="Arial" w:eastAsia="Arial" w:hAnsi="Arial"/>
          <w:sz w:val="14"/>
          <w:szCs w:val="14"/>
          <w:color w:val="auto"/>
        </w:rPr>
        <w:t xml:space="preserve">Curriculum Associates, LLC </w:t>
      </w:r>
      <w:r>
        <w:rPr>
          <w:rFonts w:ascii="Arial" w:cs="Arial" w:eastAsia="Arial" w:hAnsi="Arial"/>
          <w:sz w:val="12"/>
          <w:szCs w:val="12"/>
          <w:color w:val="auto"/>
        </w:rPr>
        <w:t>(3)(5)</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Frontline Technologies Group, LLC </w:t>
      </w:r>
      <w:r>
        <w:rPr>
          <w:rFonts w:ascii="Arial" w:cs="Arial" w:eastAsia="Arial" w:hAnsi="Arial"/>
          <w:sz w:val="11"/>
          <w:szCs w:val="11"/>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Illuminate Education, Inc.</w:t>
      </w:r>
      <w:r>
        <w:rPr>
          <w:rFonts w:ascii="Arial" w:cs="Arial" w:eastAsia="Arial" w:hAnsi="Arial"/>
          <w:sz w:val="12"/>
          <w:szCs w:val="12"/>
          <w:color w:val="auto"/>
        </w:rPr>
        <w:t>(3)(5)</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Monitronics International, Inc. </w:t>
      </w:r>
      <w:r>
        <w:rPr>
          <w:rFonts w:ascii="Arial" w:cs="Arial" w:eastAsia="Arial" w:hAnsi="Arial"/>
          <w:sz w:val="12"/>
          <w:szCs w:val="12"/>
          <w:color w:val="auto"/>
        </w:rPr>
        <w:t>(3)(11)</w:t>
      </w:r>
    </w:p>
    <w:p>
      <w:pPr>
        <w:spacing w:after="0" w:line="1" w:lineRule="exact"/>
        <w:rPr>
          <w:sz w:val="20"/>
          <w:szCs w:val="20"/>
          <w:color w:val="auto"/>
        </w:rPr>
      </w:pPr>
    </w:p>
    <w:p>
      <w:pPr>
        <w:ind w:right="780"/>
        <w:spacing w:after="0" w:line="229" w:lineRule="auto"/>
        <w:rPr>
          <w:sz w:val="20"/>
          <w:szCs w:val="20"/>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 xml:space="preserve">AppStar Financial, LLC </w:t>
      </w:r>
      <w:r>
        <w:rPr>
          <w:rFonts w:ascii="Arial" w:cs="Arial" w:eastAsia="Arial" w:hAnsi="Arial"/>
          <w:sz w:val="12"/>
          <w:szCs w:val="12"/>
          <w:color w:val="auto"/>
        </w:rPr>
        <w:t>(3)</w:t>
      </w:r>
      <w:r>
        <w:rPr>
          <w:rFonts w:ascii="Arial" w:cs="Arial" w:eastAsia="Arial" w:hAnsi="Arial"/>
          <w:sz w:val="14"/>
          <w:szCs w:val="14"/>
          <w:color w:val="auto"/>
        </w:rPr>
        <w:t xml:space="preserve"> AvidXchange, Inc. </w:t>
      </w:r>
      <w:r>
        <w:rPr>
          <w:rFonts w:ascii="Arial" w:cs="Arial" w:eastAsia="Arial" w:hAnsi="Arial"/>
          <w:sz w:val="12"/>
          <w:szCs w:val="12"/>
          <w:color w:val="auto"/>
        </w:rPr>
        <w:t>(3)</w:t>
      </w:r>
      <w:r>
        <w:rPr>
          <w:rFonts w:ascii="Arial" w:cs="Arial" w:eastAsia="Arial" w:hAnsi="Arial"/>
          <w:sz w:val="14"/>
          <w:szCs w:val="14"/>
          <w:color w:val="auto"/>
        </w:rPr>
        <w:t xml:space="preserve"> G Treasury SS, LLC </w:t>
      </w:r>
      <w:r>
        <w:rPr>
          <w:rFonts w:ascii="Arial" w:cs="Arial" w:eastAsia="Arial" w:hAnsi="Arial"/>
          <w:sz w:val="12"/>
          <w:szCs w:val="12"/>
          <w:color w:val="auto"/>
        </w:rPr>
        <w:t>(3)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GC Agile Holdings Limited </w:t>
      </w:r>
      <w:r>
        <w:rPr>
          <w:rFonts w:ascii="Arial" w:cs="Arial" w:eastAsia="Arial" w:hAnsi="Arial"/>
          <w:sz w:val="12"/>
          <w:szCs w:val="12"/>
          <w:color w:val="auto"/>
        </w:rPr>
        <w:t>(3)(4)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Government Brands, LLC </w:t>
      </w:r>
      <w:r>
        <w:rPr>
          <w:rFonts w:ascii="Arial" w:cs="Arial" w:eastAsia="Arial" w:hAnsi="Arial"/>
          <w:sz w:val="12"/>
          <w:szCs w:val="12"/>
          <w:color w:val="auto"/>
        </w:rPr>
        <w:t>(3)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PayLease, LLC </w:t>
      </w:r>
      <w:r>
        <w:rPr>
          <w:rFonts w:ascii="Arial" w:cs="Arial" w:eastAsia="Arial" w:hAnsi="Arial"/>
          <w:sz w:val="12"/>
          <w:szCs w:val="12"/>
          <w:color w:val="auto"/>
        </w:rPr>
        <w:t>(3)</w:t>
      </w:r>
    </w:p>
    <w:p>
      <w:pPr>
        <w:spacing w:after="0"/>
        <w:rPr>
          <w:sz w:val="20"/>
          <w:szCs w:val="20"/>
          <w:color w:val="auto"/>
        </w:rPr>
      </w:pPr>
      <w:r>
        <w:rPr>
          <w:rFonts w:ascii="Arial" w:cs="Arial" w:eastAsia="Arial" w:hAnsi="Arial"/>
          <w:sz w:val="14"/>
          <w:szCs w:val="14"/>
          <w:color w:val="auto"/>
        </w:rPr>
        <w:t xml:space="preserve">PaySimple, Inc. </w:t>
      </w:r>
      <w:r>
        <w:rPr>
          <w:rFonts w:ascii="Arial" w:cs="Arial" w:eastAsia="Arial" w:hAnsi="Arial"/>
          <w:sz w:val="12"/>
          <w:szCs w:val="12"/>
          <w:color w:val="auto"/>
        </w:rPr>
        <w:t>(3)(5)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PrimeRevenue, Inc.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Reference</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Interest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Rate and</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Value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Spread</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(10)</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1"/>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($46,441 par, due 10/2023)</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10/16/2018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+ 6.25%</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8.75%</w:t>
            </w:r>
          </w:p>
        </w:tc>
        <w:tc>
          <w:tcPr>
            <w:tcW w:w="660" w:type="dxa"/>
            <w:vAlign w:val="bottom"/>
          </w:tcPr>
          <w:p>
            <w:pPr>
              <w:jc w:val="right"/>
              <w:spacing w:after="0"/>
              <w:rPr>
                <w:sz w:val="20"/>
                <w:szCs w:val="20"/>
                <w:color w:val="auto"/>
              </w:rPr>
            </w:pPr>
            <w:r>
              <w:rPr>
                <w:rFonts w:ascii="Arial" w:cs="Arial" w:eastAsia="Arial" w:hAnsi="Arial"/>
                <w:sz w:val="14"/>
                <w:szCs w:val="14"/>
                <w:color w:val="auto"/>
              </w:rPr>
              <w:t>$   45,781</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$ 45,628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7"/>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(CAD 64,513 par, due 7/2023)</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7/6/2018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C + 5.25%</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7.23%</w:t>
            </w:r>
          </w:p>
        </w:tc>
        <w:tc>
          <w:tcPr>
            <w:tcW w:w="660" w:type="dxa"/>
            <w:vAlign w:val="bottom"/>
          </w:tcPr>
          <w:p>
            <w:pPr>
              <w:jc w:val="right"/>
              <w:spacing w:after="0"/>
              <w:rPr>
                <w:sz w:val="20"/>
                <w:szCs w:val="20"/>
                <w:color w:val="auto"/>
              </w:rPr>
            </w:pPr>
            <w:r>
              <w:rPr>
                <w:rFonts w:ascii="Arial" w:cs="Arial" w:eastAsia="Arial" w:hAnsi="Arial"/>
                <w:sz w:val="14"/>
                <w:szCs w:val="14"/>
                <w:color w:val="auto"/>
              </w:rPr>
              <w:t>48,205</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47,444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63,384</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($52,381 par, due 8/2023)</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8/13/2018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+ 7.25%</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9.75%</w:t>
            </w:r>
          </w:p>
        </w:tc>
        <w:tc>
          <w:tcPr>
            <w:tcW w:w="660" w:type="dxa"/>
            <w:vAlign w:val="bottom"/>
          </w:tcPr>
          <w:p>
            <w:pPr>
              <w:jc w:val="right"/>
              <w:spacing w:after="0"/>
              <w:rPr>
                <w:sz w:val="20"/>
                <w:szCs w:val="20"/>
                <w:color w:val="auto"/>
              </w:rPr>
            </w:pPr>
            <w:r>
              <w:rPr>
                <w:rFonts w:ascii="Arial" w:cs="Arial" w:eastAsia="Arial" w:hAnsi="Arial"/>
                <w:sz w:val="14"/>
                <w:szCs w:val="14"/>
                <w:color w:val="auto"/>
              </w:rPr>
              <w:t>51,676</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51,595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revolving loan ($2,095 par, due</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8/13/2018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+ 7.25%</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2,061</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2,056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8/2023)</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($51,435 par, due 6/2022)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6/12/2017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+ 9.25%</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50,085</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53,621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($68,880 par, due 1/2024)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1/17/2018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+ 6.75%</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67,328</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69,811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($74,789 par, due 4/2024)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3/30/2018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+ 6.75%</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73,200</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75,163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7"/>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($36,360 par, due 3/2022)</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7/1/2016</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+ 6.00%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8.50%</w:t>
            </w:r>
          </w:p>
        </w:tc>
        <w:tc>
          <w:tcPr>
            <w:tcW w:w="660" w:type="dxa"/>
            <w:vAlign w:val="bottom"/>
          </w:tcPr>
          <w:p>
            <w:pPr>
              <w:jc w:val="right"/>
              <w:spacing w:after="0"/>
              <w:rPr>
                <w:sz w:val="20"/>
                <w:szCs w:val="20"/>
                <w:color w:val="auto"/>
              </w:rPr>
            </w:pPr>
            <w:r>
              <w:rPr>
                <w:rFonts w:ascii="Arial" w:cs="Arial" w:eastAsia="Arial" w:hAnsi="Arial"/>
                <w:sz w:val="14"/>
                <w:szCs w:val="14"/>
                <w:color w:val="auto"/>
              </w:rPr>
              <w:t>35,970</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36,457</w:t>
            </w: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328,525</w:t>
            </w:r>
          </w:p>
        </w:tc>
        <w:tc>
          <w:tcPr>
            <w:tcW w:w="26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336,147</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880" w:type="dxa"/>
            <w:vAlign w:val="bottom"/>
            <w:gridSpan w:val="2"/>
          </w:tcPr>
          <w:p>
            <w:pPr>
              <w:spacing w:after="0"/>
              <w:rPr>
                <w:sz w:val="20"/>
                <w:szCs w:val="20"/>
                <w:color w:val="auto"/>
              </w:rPr>
            </w:pPr>
            <w:r>
              <w:rPr>
                <w:rFonts w:ascii="Arial" w:cs="Arial" w:eastAsia="Arial" w:hAnsi="Arial"/>
                <w:sz w:val="14"/>
                <w:szCs w:val="14"/>
                <w:color w:val="auto"/>
              </w:rPr>
              <w:t>Second-lien loan ($3,341 par, due 10/2021)</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10/31/2016</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+ 12.00%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14.41%</w:t>
            </w:r>
          </w:p>
        </w:tc>
        <w:tc>
          <w:tcPr>
            <w:tcW w:w="660" w:type="dxa"/>
            <w:vAlign w:val="bottom"/>
          </w:tcPr>
          <w:p>
            <w:pPr>
              <w:jc w:val="right"/>
              <w:spacing w:after="0"/>
              <w:rPr>
                <w:sz w:val="20"/>
                <w:szCs w:val="20"/>
                <w:color w:val="auto"/>
              </w:rPr>
            </w:pPr>
            <w:r>
              <w:rPr>
                <w:rFonts w:ascii="Arial" w:cs="Arial" w:eastAsia="Arial" w:hAnsi="Arial"/>
                <w:sz w:val="14"/>
                <w:szCs w:val="14"/>
                <w:color w:val="auto"/>
              </w:rPr>
              <w:t>3,341</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3,341</w:t>
            </w:r>
          </w:p>
        </w:tc>
        <w:tc>
          <w:tcPr>
            <w:tcW w:w="3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($49,625 par, due 2/2024)</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2/28/2018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+ 6.00%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8.53%</w:t>
            </w:r>
          </w:p>
        </w:tc>
        <w:tc>
          <w:tcPr>
            <w:tcW w:w="660" w:type="dxa"/>
            <w:vAlign w:val="bottom"/>
          </w:tcPr>
          <w:p>
            <w:pPr>
              <w:jc w:val="right"/>
              <w:spacing w:after="0"/>
              <w:rPr>
                <w:sz w:val="20"/>
                <w:szCs w:val="20"/>
                <w:color w:val="auto"/>
              </w:rPr>
            </w:pPr>
            <w:r>
              <w:rPr>
                <w:rFonts w:ascii="Arial" w:cs="Arial" w:eastAsia="Arial" w:hAnsi="Arial"/>
                <w:sz w:val="14"/>
                <w:szCs w:val="14"/>
                <w:color w:val="auto"/>
              </w:rPr>
              <w:t>48,307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50,617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($49,192 par, due 9/2023)</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9/18/2017</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+ 6.50%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9.10%</w:t>
            </w:r>
          </w:p>
        </w:tc>
        <w:tc>
          <w:tcPr>
            <w:tcW w:w="660" w:type="dxa"/>
            <w:vAlign w:val="bottom"/>
          </w:tcPr>
          <w:p>
            <w:pPr>
              <w:jc w:val="right"/>
              <w:spacing w:after="0"/>
              <w:rPr>
                <w:sz w:val="20"/>
                <w:szCs w:val="20"/>
                <w:color w:val="auto"/>
              </w:rPr>
            </w:pPr>
            <w:r>
              <w:rPr>
                <w:rFonts w:ascii="Arial" w:cs="Arial" w:eastAsia="Arial" w:hAnsi="Arial"/>
                <w:sz w:val="14"/>
                <w:szCs w:val="14"/>
                <w:color w:val="auto"/>
              </w:rPr>
              <w:t>48,716</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49,192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($64,513 par, due 8/2022)</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8/25/2017</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+ 7.25%</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9.75%</w:t>
            </w:r>
          </w:p>
        </w:tc>
        <w:tc>
          <w:tcPr>
            <w:tcW w:w="660" w:type="dxa"/>
            <w:vAlign w:val="bottom"/>
          </w:tcPr>
          <w:p>
            <w:pPr>
              <w:jc w:val="right"/>
              <w:spacing w:after="0"/>
              <w:rPr>
                <w:sz w:val="20"/>
                <w:szCs w:val="20"/>
                <w:color w:val="auto"/>
              </w:rPr>
            </w:pPr>
            <w:r>
              <w:rPr>
                <w:rFonts w:ascii="Arial" w:cs="Arial" w:eastAsia="Arial" w:hAnsi="Arial"/>
                <w:sz w:val="14"/>
                <w:szCs w:val="14"/>
                <w:color w:val="auto"/>
              </w:rPr>
              <w:t>63,512</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63,706</w:t>
            </w:r>
          </w:p>
        </w:tc>
        <w:tc>
          <w:tcPr>
            <w:tcW w:w="3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160,535</w:t>
            </w:r>
          </w:p>
        </w:tc>
        <w:tc>
          <w:tcPr>
            <w:tcW w:w="26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163,515</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($1,164 par, due 9/2022)</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1/2/2019</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+ 5.50%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8.10%</w:t>
            </w: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969</w:t>
            </w:r>
          </w:p>
        </w:tc>
        <w:tc>
          <w:tcPr>
            <w:tcW w:w="3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7"/>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($18,056 par, due 8/2020)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8/18/2015</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+ 7.50%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10.00%</w:t>
            </w:r>
          </w:p>
        </w:tc>
        <w:tc>
          <w:tcPr>
            <w:tcW w:w="660" w:type="dxa"/>
            <w:vAlign w:val="bottom"/>
          </w:tcPr>
          <w:p>
            <w:pPr>
              <w:jc w:val="right"/>
              <w:spacing w:after="0"/>
              <w:rPr>
                <w:sz w:val="20"/>
                <w:szCs w:val="20"/>
                <w:color w:val="auto"/>
              </w:rPr>
            </w:pPr>
            <w:r>
              <w:rPr>
                <w:rFonts w:ascii="Arial" w:cs="Arial" w:eastAsia="Arial" w:hAnsi="Arial"/>
                <w:sz w:val="14"/>
                <w:szCs w:val="14"/>
                <w:color w:val="auto"/>
              </w:rPr>
              <w:t>17,912</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18,207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($54,449 par, due 8/2020)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8/7/2015</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+ 9.50%</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54,133</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55,130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($30,749 par, due 4/2022)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4/9/2018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+ 9.25%</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11.99%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30,196</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30,277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PIK)</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Arial" w:cs="Arial" w:eastAsia="Arial" w:hAnsi="Arial"/>
                <w:sz w:val="14"/>
                <w:szCs w:val="14"/>
                <w:color w:val="auto"/>
              </w:rPr>
              <w:t>First-lien loan ($32,910 par, due 6/2025)</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1/31/2019</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L + 7.00%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9.72%</w:t>
            </w:r>
          </w:p>
        </w:tc>
        <w:tc>
          <w:tcPr>
            <w:tcW w:w="660" w:type="dxa"/>
            <w:vAlign w:val="bottom"/>
          </w:tcPr>
          <w:p>
            <w:pPr>
              <w:jc w:val="right"/>
              <w:spacing w:after="0"/>
              <w:rPr>
                <w:sz w:val="20"/>
                <w:szCs w:val="20"/>
                <w:color w:val="auto"/>
              </w:rPr>
            </w:pPr>
            <w:r>
              <w:rPr>
                <w:rFonts w:ascii="Arial" w:cs="Arial" w:eastAsia="Arial" w:hAnsi="Arial"/>
                <w:sz w:val="14"/>
                <w:szCs w:val="14"/>
                <w:color w:val="auto"/>
              </w:rPr>
              <w:t>32,198</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32,310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($46,151 par, due 3/2023)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3/15/2018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+ 9.25%</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11.75%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45,325</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45,512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PIK)</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($59,807 par, due 7/2022)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7/28/2017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+ 7.00%</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58,892</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59,649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($59,621 par, due 3/2022)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4/17/2018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+ 8.25%</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10.75%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59,365</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59,173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1.75%</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PIK)</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($20,270 par, due 12/2023)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12/31/2018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 + 8.50%</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11.00%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19,957</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PIK)</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-4391025</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-4202430</wp:posOffset>
            </wp:positionV>
            <wp:extent cx="724662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-4004945</wp:posOffset>
            </wp:positionV>
            <wp:extent cx="724662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-3610610</wp:posOffset>
            </wp:positionV>
            <wp:extent cx="72466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-3328035</wp:posOffset>
            </wp:positionV>
            <wp:extent cx="72466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-3138805</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-2915920</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-2727325</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-2530475</wp:posOffset>
            </wp:positionV>
            <wp:extent cx="724662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-2306955</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-2101215</wp:posOffset>
            </wp:positionV>
            <wp:extent cx="72466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-1904365</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-1715770</wp:posOffset>
            </wp:positionV>
            <wp:extent cx="7246620" cy="377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-1235075</wp:posOffset>
            </wp:positionV>
            <wp:extent cx="7246620" cy="37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-763270</wp:posOffset>
            </wp:positionV>
            <wp:extent cx="7246620" cy="3771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360" w:space="720"/>
            <w:col w:w="830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459" w:right="27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8"/>
              </w:rPr>
              <w:t>Reference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60" w:type="dxa"/>
            <w:vAlign w:val="bottom"/>
          </w:tcPr>
          <w:p>
            <w:pPr>
              <w:spacing w:after="0"/>
              <w:rPr>
                <w:sz w:val="13"/>
                <w:szCs w:val="13"/>
                <w:color w:val="auto"/>
              </w:rPr>
            </w:pPr>
          </w:p>
        </w:tc>
        <w:tc>
          <w:tcPr>
            <w:tcW w:w="29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tcPr>
          <w:p>
            <w:pPr>
              <w:jc w:val="center"/>
              <w:ind w:right="148"/>
              <w:spacing w:after="0" w:line="151" w:lineRule="exact"/>
              <w:rPr>
                <w:sz w:val="20"/>
                <w:szCs w:val="20"/>
                <w:color w:val="auto"/>
              </w:rPr>
            </w:pPr>
            <w:r>
              <w:rPr>
                <w:rFonts w:ascii="Arial" w:cs="Arial" w:eastAsia="Arial" w:hAnsi="Arial"/>
                <w:sz w:val="14"/>
                <w:szCs w:val="14"/>
                <w:b w:val="1"/>
                <w:bCs w:val="1"/>
                <w:color w:val="auto"/>
                <w:w w:val="94"/>
              </w:rPr>
              <w:t>Rate and</w:t>
            </w:r>
          </w:p>
        </w:tc>
        <w:tc>
          <w:tcPr>
            <w:tcW w:w="760" w:type="dxa"/>
            <w:vAlign w:val="bottom"/>
            <w:gridSpan w:val="2"/>
          </w:tcPr>
          <w:p>
            <w:pPr>
              <w:jc w:val="right"/>
              <w:ind w:right="208"/>
              <w:spacing w:after="0" w:line="151" w:lineRule="exact"/>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3"/>
              </w:rPr>
              <w:t>Amortized</w:t>
            </w:r>
          </w:p>
        </w:tc>
        <w:tc>
          <w:tcPr>
            <w:tcW w:w="1040" w:type="dxa"/>
            <w:vAlign w:val="bottom"/>
            <w:gridSpan w:val="2"/>
          </w:tcPr>
          <w:p>
            <w:pPr>
              <w:ind w:left="100"/>
              <w:spacing w:after="0" w:line="151" w:lineRule="exact"/>
              <w:rPr>
                <w:sz w:val="20"/>
                <w:szCs w:val="20"/>
                <w:color w:val="auto"/>
              </w:rPr>
            </w:pPr>
            <w:r>
              <w:rPr>
                <w:rFonts w:ascii="Arial" w:cs="Arial" w:eastAsia="Arial" w:hAnsi="Arial"/>
                <w:sz w:val="14"/>
                <w:szCs w:val="14"/>
                <w:b w:val="1"/>
                <w:bCs w:val="1"/>
                <w:color w:val="auto"/>
              </w:rPr>
              <w:t>Fair Value</w:t>
            </w:r>
          </w:p>
        </w:tc>
        <w:tc>
          <w:tcPr>
            <w:tcW w:w="960" w:type="dxa"/>
            <w:vAlign w:val="bottom"/>
            <w:gridSpan w:val="2"/>
          </w:tcPr>
          <w:p>
            <w:pPr>
              <w:jc w:val="right"/>
              <w:ind w:right="148"/>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55"/>
        </w:trPr>
        <w:tc>
          <w:tcPr>
            <w:tcW w:w="27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2960" w:type="dxa"/>
            <w:vAlign w:val="bottom"/>
            <w:gridSpan w:val="2"/>
            <w:vMerge w:val="continue"/>
          </w:tcPr>
          <w:p>
            <w:pPr>
              <w:spacing w:after="0"/>
              <w:rPr>
                <w:sz w:val="13"/>
                <w:szCs w:val="13"/>
                <w:color w:val="auto"/>
              </w:rPr>
            </w:pPr>
          </w:p>
        </w:tc>
        <w:tc>
          <w:tcPr>
            <w:tcW w:w="8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center"/>
              <w:ind w:right="148"/>
              <w:spacing w:after="0" w:line="155" w:lineRule="exact"/>
              <w:rPr>
                <w:sz w:val="20"/>
                <w:szCs w:val="20"/>
                <w:color w:val="auto"/>
              </w:rPr>
            </w:pPr>
            <w:r>
              <w:rPr>
                <w:rFonts w:ascii="Arial" w:cs="Arial" w:eastAsia="Arial" w:hAnsi="Arial"/>
                <w:sz w:val="14"/>
                <w:szCs w:val="14"/>
                <w:b w:val="1"/>
                <w:bCs w:val="1"/>
                <w:color w:val="auto"/>
                <w:w w:val="92"/>
              </w:rPr>
              <w:t>Spread</w:t>
            </w:r>
          </w:p>
        </w:tc>
        <w:tc>
          <w:tcPr>
            <w:tcW w:w="760" w:type="dxa"/>
            <w:vAlign w:val="bottom"/>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40" w:type="dxa"/>
            <w:vAlign w:val="bottom"/>
          </w:tcPr>
          <w:p>
            <w:pPr>
              <w:jc w:val="right"/>
              <w:ind w:right="248"/>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3"/>
                <w:szCs w:val="13"/>
                <w:color w:val="auto"/>
              </w:rPr>
            </w:pPr>
          </w:p>
        </w:tc>
        <w:tc>
          <w:tcPr>
            <w:tcW w:w="960" w:type="dxa"/>
            <w:vAlign w:val="bottom"/>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7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(3)(5)</w:t>
            </w:r>
          </w:p>
        </w:tc>
        <w:tc>
          <w:tcPr>
            <w:tcW w:w="4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First-lien loan ($28,693 par, due 1/2022)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7/31/2017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ind w:left="120"/>
              <w:spacing w:after="0" w:line="136" w:lineRule="exact"/>
              <w:rPr>
                <w:sz w:val="20"/>
                <w:szCs w:val="20"/>
                <w:color w:val="auto"/>
              </w:rPr>
            </w:pPr>
            <w:r>
              <w:rPr>
                <w:rFonts w:ascii="Arial" w:cs="Arial" w:eastAsia="Arial" w:hAnsi="Arial"/>
                <w:sz w:val="14"/>
                <w:szCs w:val="14"/>
                <w:color w:val="auto"/>
                <w:w w:val="94"/>
              </w:rPr>
              <w:t>L + 6.50</w:t>
            </w:r>
          </w:p>
        </w:tc>
        <w:tc>
          <w:tcPr>
            <w:tcW w:w="20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w w:val="79"/>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9.00</w:t>
            </w:r>
          </w:p>
        </w:tc>
        <w:tc>
          <w:tcPr>
            <w:tcW w:w="280" w:type="dxa"/>
            <w:vAlign w:val="bottom"/>
            <w:shd w:val="clear" w:color="auto" w:fill="CCEEFF"/>
          </w:tcPr>
          <w:p>
            <w:pPr>
              <w:jc w:val="right"/>
              <w:ind w:right="88"/>
              <w:spacing w:after="0" w:line="136" w:lineRule="exact"/>
              <w:rPr>
                <w:sz w:val="20"/>
                <w:szCs w:val="20"/>
                <w:color w:val="auto"/>
              </w:rPr>
            </w:pPr>
            <w:r>
              <w:rPr>
                <w:rFonts w:ascii="Arial" w:cs="Arial" w:eastAsia="Arial" w:hAnsi="Arial"/>
                <w:sz w:val="14"/>
                <w:szCs w:val="14"/>
                <w:color w:val="auto"/>
                <w:w w:val="79"/>
              </w:rPr>
              <w:t>%</w:t>
            </w: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28,195</w:t>
            </w:r>
          </w:p>
        </w:tc>
        <w:tc>
          <w:tcPr>
            <w:tcW w:w="14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29,984</w:t>
            </w:r>
          </w:p>
        </w:tc>
        <w:tc>
          <w:tcPr>
            <w:tcW w:w="2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346,173</w:t>
            </w:r>
          </w:p>
        </w:tc>
        <w:tc>
          <w:tcPr>
            <w:tcW w:w="14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350,446</w:t>
            </w:r>
          </w:p>
        </w:tc>
        <w:tc>
          <w:tcPr>
            <w:tcW w:w="20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Ltd.</w:t>
            </w:r>
          </w:p>
        </w:tc>
        <w:tc>
          <w:tcPr>
            <w:tcW w:w="342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First-lien loan ($2,500 par, due 9/2023)</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9/21/2018</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11.30%</w:t>
            </w: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11.30%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2,318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34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Convertible note ($2,500 par, due 9/2023)</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8.00%</w:t>
            </w:r>
          </w:p>
        </w:tc>
        <w:tc>
          <w:tcPr>
            <w:tcW w:w="7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2,531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12"/>
                <w:szCs w:val="12"/>
                <w:color w:val="auto"/>
              </w:rPr>
              <w:t>(3)(5)</w:t>
            </w:r>
          </w:p>
        </w:tc>
        <w:tc>
          <w:tcPr>
            <w:tcW w:w="3420" w:type="dxa"/>
            <w:vAlign w:val="bottom"/>
            <w:gridSpan w:val="3"/>
          </w:tcPr>
          <w:p>
            <w:pPr>
              <w:ind w:left="460"/>
              <w:spacing w:after="0"/>
              <w:rPr>
                <w:sz w:val="20"/>
                <w:szCs w:val="20"/>
                <w:color w:val="auto"/>
              </w:rPr>
            </w:pPr>
            <w:r>
              <w:rPr>
                <w:rFonts w:ascii="Arial" w:cs="Arial" w:eastAsia="Arial" w:hAnsi="Arial"/>
                <w:sz w:val="14"/>
                <w:szCs w:val="14"/>
                <w:color w:val="auto"/>
              </w:rPr>
              <w:t>First-lien loan ($36,409 par, due 6/2022)</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6/30/2017</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L + 8.00%</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10.50%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35,655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36,227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12"/>
                <w:szCs w:val="12"/>
                <w:color w:val="auto"/>
              </w:rPr>
              <w:t>(3)(5)</w:t>
            </w:r>
          </w:p>
        </w:tc>
        <w:tc>
          <w:tcPr>
            <w:tcW w:w="342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First-lien loan ($29,925 par, due 10/2023)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10/30/2018</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28,778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28,952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12"/>
                <w:szCs w:val="12"/>
                <w:color w:val="auto"/>
              </w:rPr>
              <w:t>(3)(5)</w:t>
            </w:r>
          </w:p>
        </w:tc>
        <w:tc>
          <w:tcPr>
            <w:tcW w:w="342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First-lien loan ($41,606 par, due 9/2020)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9/30/2015</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+ 7.50%</w:t>
            </w: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41,176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41,815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12"/>
                <w:szCs w:val="12"/>
                <w:color w:val="auto"/>
              </w:rPr>
              <w:t>(3)(5)</w:t>
            </w:r>
          </w:p>
        </w:tc>
        <w:tc>
          <w:tcPr>
            <w:tcW w:w="34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First-lien loan ($27,590 par, due 9/2019)</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2/29/2016</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10.35%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26,712</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27,314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12"/>
                <w:szCs w:val="12"/>
                <w:color w:val="auto"/>
              </w:rPr>
              <w:t>(3)(5)</w:t>
            </w:r>
          </w:p>
        </w:tc>
        <w:tc>
          <w:tcPr>
            <w:tcW w:w="342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First-lien loan ($21,938 par, due 2/2024)</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2/11/2019</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9.00%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21,317</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21,390</w:t>
            </w:r>
          </w:p>
        </w:tc>
        <w:tc>
          <w:tcPr>
            <w:tcW w:w="2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158,456</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160,535</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6"/>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12"/>
                <w:szCs w:val="12"/>
                <w:color w:val="auto"/>
              </w:rPr>
              <w:t>(3)(7)</w:t>
            </w:r>
          </w:p>
        </w:tc>
        <w:tc>
          <w:tcPr>
            <w:tcW w:w="3420" w:type="dxa"/>
            <w:vAlign w:val="bottom"/>
            <w:gridSpan w:val="3"/>
            <w:shd w:val="clear" w:color="auto" w:fill="CCEEFF"/>
          </w:tcPr>
          <w:p>
            <w:pPr>
              <w:ind w:left="460"/>
              <w:spacing w:after="0" w:line="130" w:lineRule="exact"/>
              <w:rPr>
                <w:sz w:val="20"/>
                <w:szCs w:val="20"/>
                <w:color w:val="auto"/>
              </w:rPr>
            </w:pPr>
            <w:r>
              <w:rPr>
                <w:rFonts w:ascii="Arial" w:cs="Arial" w:eastAsia="Arial" w:hAnsi="Arial"/>
                <w:sz w:val="14"/>
                <w:szCs w:val="14"/>
                <w:color w:val="auto"/>
              </w:rPr>
              <w:t>First-lien loan ($30,410 par, due 9/2019)</w:t>
            </w:r>
          </w:p>
        </w:tc>
        <w:tc>
          <w:tcPr>
            <w:tcW w:w="8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9/29/2015</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+ 9.50%</w:t>
            </w:r>
          </w:p>
        </w:tc>
        <w:tc>
          <w:tcPr>
            <w:tcW w:w="760" w:type="dxa"/>
            <w:vAlign w:val="bottom"/>
            <w:gridSpan w:val="2"/>
            <w:shd w:val="clear" w:color="auto" w:fill="CCEEFF"/>
          </w:tcPr>
          <w:p>
            <w:pPr>
              <w:jc w:val="right"/>
              <w:ind w:right="208"/>
              <w:spacing w:after="0" w:line="130" w:lineRule="exact"/>
              <w:rPr>
                <w:sz w:val="20"/>
                <w:szCs w:val="20"/>
                <w:color w:val="auto"/>
              </w:rPr>
            </w:pPr>
            <w:r>
              <w:rPr>
                <w:rFonts w:ascii="Arial" w:cs="Arial" w:eastAsia="Arial" w:hAnsi="Arial"/>
                <w:sz w:val="14"/>
                <w:szCs w:val="14"/>
                <w:color w:val="auto"/>
                <w:w w:val="96"/>
              </w:rPr>
              <w:t>12.10%</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28,556</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30,333</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420" w:type="dxa"/>
            <w:vAlign w:val="bottom"/>
            <w:gridSpan w:val="3"/>
          </w:tcPr>
          <w:p>
            <w:pPr>
              <w:ind w:left="460"/>
              <w:spacing w:after="0" w:line="130" w:lineRule="exact"/>
              <w:rPr>
                <w:sz w:val="20"/>
                <w:szCs w:val="20"/>
                <w:color w:val="auto"/>
              </w:rPr>
            </w:pPr>
            <w:r>
              <w:rPr>
                <w:rFonts w:ascii="Arial" w:cs="Arial" w:eastAsia="Arial" w:hAnsi="Arial"/>
                <w:sz w:val="14"/>
                <w:szCs w:val="14"/>
                <w:color w:val="auto"/>
              </w:rPr>
              <w:t>First-lien revolving loan ($894 par, due 9/2019)</w:t>
            </w:r>
          </w:p>
        </w:tc>
        <w:tc>
          <w:tcPr>
            <w:tcW w:w="8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9/29/2015</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L + 9.50%</w:t>
            </w:r>
          </w:p>
        </w:tc>
        <w:tc>
          <w:tcPr>
            <w:tcW w:w="760" w:type="dxa"/>
            <w:vAlign w:val="bottom"/>
            <w:gridSpan w:val="2"/>
          </w:tcPr>
          <w:p>
            <w:pPr>
              <w:jc w:val="right"/>
              <w:ind w:right="208"/>
              <w:spacing w:after="0" w:line="130" w:lineRule="exact"/>
              <w:rPr>
                <w:sz w:val="20"/>
                <w:szCs w:val="20"/>
                <w:color w:val="auto"/>
              </w:rPr>
            </w:pPr>
            <w:r>
              <w:rPr>
                <w:rFonts w:ascii="Arial" w:cs="Arial" w:eastAsia="Arial" w:hAnsi="Arial"/>
                <w:sz w:val="14"/>
                <w:szCs w:val="14"/>
                <w:color w:val="auto"/>
                <w:w w:val="96"/>
              </w:rPr>
              <w:t>12.00%</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894</w:t>
            </w:r>
          </w:p>
        </w:tc>
        <w:tc>
          <w:tcPr>
            <w:tcW w:w="140" w:type="dxa"/>
            <w:vAlign w:val="bottom"/>
          </w:tcPr>
          <w:p>
            <w:pPr>
              <w:spacing w:after="0"/>
              <w:rPr>
                <w:sz w:val="11"/>
                <w:szCs w:val="11"/>
                <w:color w:val="auto"/>
              </w:rPr>
            </w:pP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886</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5.00%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4"/>
                <w:szCs w:val="14"/>
                <w:color w:val="auto"/>
              </w:rPr>
              <w:t>PIK)</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29,450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31,219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(3)</w:t>
            </w:r>
          </w:p>
        </w:tc>
        <w:tc>
          <w:tcPr>
            <w:tcW w:w="3420" w:type="dxa"/>
            <w:vAlign w:val="bottom"/>
            <w:gridSpan w:val="3"/>
            <w:shd w:val="clear" w:color="auto" w:fill="CCEEFF"/>
          </w:tcPr>
          <w:p>
            <w:pPr>
              <w:ind w:left="460"/>
              <w:spacing w:after="0" w:line="130" w:lineRule="exact"/>
              <w:rPr>
                <w:sz w:val="20"/>
                <w:szCs w:val="20"/>
                <w:color w:val="auto"/>
              </w:rPr>
            </w:pPr>
            <w:r>
              <w:rPr>
                <w:rFonts w:ascii="Arial" w:cs="Arial" w:eastAsia="Arial" w:hAnsi="Arial"/>
                <w:sz w:val="14"/>
                <w:szCs w:val="14"/>
                <w:color w:val="auto"/>
              </w:rPr>
              <w:t>First-lien loan ($17,261 par, due 7/2023)</w:t>
            </w:r>
          </w:p>
        </w:tc>
        <w:tc>
          <w:tcPr>
            <w:tcW w:w="8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7/23/2018</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+ 8.50%</w:t>
            </w:r>
          </w:p>
        </w:tc>
        <w:tc>
          <w:tcPr>
            <w:tcW w:w="760" w:type="dxa"/>
            <w:vAlign w:val="bottom"/>
            <w:gridSpan w:val="2"/>
            <w:shd w:val="clear" w:color="auto" w:fill="CCEEFF"/>
          </w:tcPr>
          <w:p>
            <w:pPr>
              <w:jc w:val="right"/>
              <w:ind w:right="208"/>
              <w:spacing w:after="0" w:line="130" w:lineRule="exact"/>
              <w:rPr>
                <w:sz w:val="20"/>
                <w:szCs w:val="20"/>
                <w:color w:val="auto"/>
              </w:rPr>
            </w:pPr>
            <w:r>
              <w:rPr>
                <w:rFonts w:ascii="Arial" w:cs="Arial" w:eastAsia="Arial" w:hAnsi="Arial"/>
                <w:sz w:val="14"/>
                <w:szCs w:val="14"/>
                <w:color w:val="auto"/>
                <w:w w:val="96"/>
              </w:rPr>
              <w:t>11.13%</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17,011</w:t>
            </w: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17,008</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2.50%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PageUp People Limited </w:t>
            </w:r>
            <w:r>
              <w:rPr>
                <w:rFonts w:ascii="Arial" w:cs="Arial" w:eastAsia="Arial" w:hAnsi="Arial"/>
                <w:sz w:val="12"/>
                <w:szCs w:val="12"/>
                <w:color w:val="auto"/>
              </w:rPr>
              <w:t>(3)(4)</w:t>
            </w:r>
          </w:p>
        </w:tc>
        <w:tc>
          <w:tcPr>
            <w:tcW w:w="3420" w:type="dxa"/>
            <w:vAlign w:val="bottom"/>
            <w:gridSpan w:val="3"/>
          </w:tcPr>
          <w:p>
            <w:pPr>
              <w:ind w:left="460"/>
              <w:spacing w:after="0" w:line="130" w:lineRule="exact"/>
              <w:rPr>
                <w:sz w:val="20"/>
                <w:szCs w:val="20"/>
                <w:color w:val="auto"/>
              </w:rPr>
            </w:pPr>
            <w:r>
              <w:rPr>
                <w:rFonts w:ascii="Arial" w:cs="Arial" w:eastAsia="Arial" w:hAnsi="Arial"/>
                <w:sz w:val="14"/>
                <w:szCs w:val="14"/>
                <w:color w:val="auto"/>
              </w:rPr>
              <w:t>First-lien loan (AUD 47,078 par, due 12/2022)</w:t>
            </w:r>
          </w:p>
        </w:tc>
        <w:tc>
          <w:tcPr>
            <w:tcW w:w="8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1/11/2018</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B + 7.25%</w:t>
            </w:r>
          </w:p>
        </w:tc>
        <w:tc>
          <w:tcPr>
            <w:tcW w:w="760" w:type="dxa"/>
            <w:vAlign w:val="bottom"/>
            <w:gridSpan w:val="2"/>
          </w:tcPr>
          <w:p>
            <w:pPr>
              <w:jc w:val="right"/>
              <w:ind w:right="208"/>
              <w:spacing w:after="0" w:line="130" w:lineRule="exact"/>
              <w:rPr>
                <w:sz w:val="20"/>
                <w:szCs w:val="20"/>
                <w:color w:val="auto"/>
              </w:rPr>
            </w:pPr>
            <w:r>
              <w:rPr>
                <w:rFonts w:ascii="Arial" w:cs="Arial" w:eastAsia="Arial" w:hAnsi="Arial"/>
                <w:sz w:val="14"/>
                <w:szCs w:val="14"/>
                <w:color w:val="auto"/>
              </w:rPr>
              <w:t>9.27%</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36,372</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33,164</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(AUD 46,688)</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1.25%</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4"/>
                <w:szCs w:val="14"/>
                <w:color w:val="auto"/>
              </w:rPr>
              <w:t>PIK)</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53,383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50,172</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Insurity, Inc. </w:t>
            </w:r>
            <w:r>
              <w:rPr>
                <w:rFonts w:ascii="Arial" w:cs="Arial" w:eastAsia="Arial" w:hAnsi="Arial"/>
                <w:sz w:val="12"/>
                <w:szCs w:val="12"/>
                <w:color w:val="auto"/>
              </w:rPr>
              <w:t>(3)(5)</w:t>
            </w:r>
          </w:p>
        </w:tc>
        <w:tc>
          <w:tcPr>
            <w:tcW w:w="34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First-lien loan ($60,837 par, due 10/2020)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10/31/2014</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9.18%</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60,593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61,293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(3)(5)</w:t>
            </w:r>
          </w:p>
        </w:tc>
        <w:tc>
          <w:tcPr>
            <w:tcW w:w="342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First-lien loan ($50,000 par, due 10/2023)</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6/30/2017</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+ 7.75%</w:t>
            </w: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10.36%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49,455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49,250</w:t>
            </w:r>
          </w:p>
        </w:tc>
        <w:tc>
          <w:tcPr>
            <w:tcW w:w="2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110,048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110,543</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12"/>
                <w:szCs w:val="12"/>
                <w:color w:val="auto"/>
              </w:rPr>
              <w:t>(3)(5)</w:t>
            </w:r>
          </w:p>
        </w:tc>
        <w:tc>
          <w:tcPr>
            <w:tcW w:w="34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First-lien loan ($37,715 par, due 1/2022)</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6/18/2018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+ 6.00%</w:t>
            </w:r>
          </w:p>
        </w:tc>
        <w:tc>
          <w:tcPr>
            <w:tcW w:w="7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8.61%</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37,184</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37,149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12"/>
                <w:szCs w:val="12"/>
                <w:color w:val="auto"/>
              </w:rPr>
              <w:t>(3)</w:t>
            </w:r>
          </w:p>
        </w:tc>
        <w:tc>
          <w:tcPr>
            <w:tcW w:w="3420" w:type="dxa"/>
            <w:vAlign w:val="bottom"/>
            <w:gridSpan w:val="3"/>
          </w:tcPr>
          <w:p>
            <w:pPr>
              <w:ind w:left="460"/>
              <w:spacing w:after="0"/>
              <w:rPr>
                <w:sz w:val="20"/>
                <w:szCs w:val="20"/>
                <w:color w:val="auto"/>
              </w:rPr>
            </w:pPr>
            <w:r>
              <w:rPr>
                <w:rFonts w:ascii="Arial" w:cs="Arial" w:eastAsia="Arial" w:hAnsi="Arial"/>
                <w:sz w:val="14"/>
                <w:szCs w:val="14"/>
                <w:color w:val="auto"/>
              </w:rPr>
              <w:t>First-lien loan ($54,700 par, due 10/2022)</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10/3/2017</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L + 8.00%</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10.49%</w:t>
            </w:r>
          </w:p>
        </w:tc>
        <w:tc>
          <w:tcPr>
            <w:tcW w:w="660" w:type="dxa"/>
            <w:vAlign w:val="bottom"/>
          </w:tcPr>
          <w:p>
            <w:pPr>
              <w:jc w:val="right"/>
              <w:spacing w:after="0"/>
              <w:rPr>
                <w:sz w:val="20"/>
                <w:szCs w:val="20"/>
                <w:color w:val="auto"/>
              </w:rPr>
            </w:pPr>
            <w:r>
              <w:rPr>
                <w:rFonts w:ascii="Arial" w:cs="Arial" w:eastAsia="Arial" w:hAnsi="Arial"/>
                <w:sz w:val="14"/>
                <w:szCs w:val="14"/>
                <w:color w:val="auto"/>
              </w:rPr>
              <w:t>53,699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54,260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90,883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91,409</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6"/>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ScentAir Technologies, Inc. </w:t>
            </w:r>
            <w:r>
              <w:rPr>
                <w:rFonts w:ascii="Arial" w:cs="Arial" w:eastAsia="Arial" w:hAnsi="Arial"/>
                <w:sz w:val="12"/>
                <w:szCs w:val="12"/>
                <w:color w:val="auto"/>
              </w:rPr>
              <w:t>(3)</w:t>
            </w:r>
          </w:p>
        </w:tc>
        <w:tc>
          <w:tcPr>
            <w:tcW w:w="342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First-lien loan ($19,986 par, due 12/2019)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12/30/2014</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+ 7.25%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9.75%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19,918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420" w:type="dxa"/>
            <w:vAlign w:val="bottom"/>
            <w:gridSpan w:val="3"/>
          </w:tcPr>
          <w:p>
            <w:pPr>
              <w:ind w:left="460"/>
              <w:spacing w:after="0" w:line="130" w:lineRule="exact"/>
              <w:rPr>
                <w:sz w:val="20"/>
                <w:szCs w:val="20"/>
                <w:color w:val="auto"/>
              </w:rPr>
            </w:pPr>
            <w:r>
              <w:rPr>
                <w:rFonts w:ascii="Arial" w:cs="Arial" w:eastAsia="Arial" w:hAnsi="Arial"/>
                <w:sz w:val="14"/>
                <w:szCs w:val="14"/>
                <w:color w:val="auto"/>
              </w:rPr>
              <w:t>First-lien revolving loan ($1,393 par, due</w:t>
            </w:r>
          </w:p>
        </w:tc>
        <w:tc>
          <w:tcPr>
            <w:tcW w:w="8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9"/>
              </w:rPr>
              <w:t>12/30/2014</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L + 7.25%</w:t>
            </w:r>
          </w:p>
        </w:tc>
        <w:tc>
          <w:tcPr>
            <w:tcW w:w="760" w:type="dxa"/>
            <w:vAlign w:val="bottom"/>
            <w:gridSpan w:val="2"/>
          </w:tcPr>
          <w:p>
            <w:pPr>
              <w:jc w:val="right"/>
              <w:ind w:right="88"/>
              <w:spacing w:after="0" w:line="130" w:lineRule="exact"/>
              <w:rPr>
                <w:sz w:val="20"/>
                <w:szCs w:val="20"/>
                <w:color w:val="auto"/>
              </w:rPr>
            </w:pPr>
            <w:r>
              <w:rPr>
                <w:rFonts w:ascii="Arial" w:cs="Arial" w:eastAsia="Arial" w:hAnsi="Arial"/>
                <w:sz w:val="14"/>
                <w:szCs w:val="14"/>
                <w:color w:val="auto"/>
              </w:rPr>
              <w:t>9.75%</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1,387</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1,393</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320" w:type="dxa"/>
            <w:vAlign w:val="bottom"/>
            <w:gridSpan w:val="2"/>
          </w:tcPr>
          <w:p>
            <w:pPr>
              <w:ind w:left="460"/>
              <w:spacing w:after="0"/>
              <w:rPr>
                <w:sz w:val="20"/>
                <w:szCs w:val="20"/>
                <w:color w:val="auto"/>
              </w:rPr>
            </w:pPr>
            <w:r>
              <w:rPr>
                <w:rFonts w:ascii="Arial" w:cs="Arial" w:eastAsia="Arial" w:hAnsi="Arial"/>
                <w:sz w:val="14"/>
                <w:szCs w:val="14"/>
                <w:color w:val="auto"/>
              </w:rPr>
              <w:t>12/2019)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21,305</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21,379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Marketing services</w:t>
            </w: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(3)(5)(6)</w:t>
            </w:r>
          </w:p>
        </w:tc>
        <w:tc>
          <w:tcPr>
            <w:tcW w:w="34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First-lien loan ($36,797 par, due 5/2023)</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9.19%</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36,243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36,153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4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12"/>
                <w:szCs w:val="12"/>
                <w:color w:val="auto"/>
              </w:rPr>
              <w:t>(3)(5)</w:t>
            </w:r>
          </w:p>
        </w:tc>
        <w:tc>
          <w:tcPr>
            <w:tcW w:w="34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ABL FILO term loan ($13,000 par, due 9/2022)</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9/12/2017</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10.23%</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12,773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12,967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Arial" w:cs="Arial" w:eastAsia="Arial" w:hAnsi="Arial"/>
                <w:sz w:val="14"/>
                <w:szCs w:val="14"/>
                <w:b w:val="1"/>
                <w:bCs w:val="1"/>
                <w:color w:val="auto"/>
              </w:rPr>
              <w:t>fuels</w:t>
            </w:r>
          </w:p>
        </w:tc>
        <w:tc>
          <w:tcPr>
            <w:tcW w:w="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12"/>
                <w:szCs w:val="12"/>
                <w:color w:val="auto"/>
              </w:rPr>
              <w:t>(3)</w:t>
            </w:r>
          </w:p>
        </w:tc>
        <w:tc>
          <w:tcPr>
            <w:tcW w:w="342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First-lien loan ($14,906 par, due 11/2023)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11/14/2018</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10.44%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14,512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14,383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(3)(7)</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Pharmaceuticals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Ironwood Pharmaceuticals, Inc. </w:t>
      </w:r>
      <w:r>
        <w:rPr>
          <w:rFonts w:ascii="Arial" w:cs="Arial" w:eastAsia="Arial" w:hAnsi="Arial"/>
          <w:sz w:val="11"/>
          <w:szCs w:val="11"/>
          <w:color w:val="auto"/>
        </w:rPr>
        <w:t>(4)(5)(9)</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12"/>
          <w:szCs w:val="12"/>
          <w:color w:val="auto"/>
        </w:rPr>
        <w:t>(4)(5)(9)</w:t>
      </w:r>
    </w:p>
    <w:p>
      <w:pPr>
        <w:spacing w:after="0" w:line="174" w:lineRule="exact"/>
        <w:rPr>
          <w:sz w:val="20"/>
          <w:szCs w:val="20"/>
          <w:color w:val="auto"/>
        </w:rPr>
      </w:pPr>
    </w:p>
    <w:p>
      <w:pPr>
        <w:ind w:right="500"/>
        <w:spacing w:after="0" w:line="342" w:lineRule="auto"/>
        <w:rPr>
          <w:sz w:val="20"/>
          <w:szCs w:val="20"/>
          <w:color w:val="auto"/>
        </w:rPr>
      </w:pPr>
      <w:r>
        <w:rPr>
          <w:rFonts w:ascii="Arial" w:cs="Arial" w:eastAsia="Arial" w:hAnsi="Arial"/>
          <w:sz w:val="12"/>
          <w:szCs w:val="12"/>
          <w:b w:val="1"/>
          <w:bCs w:val="1"/>
          <w:color w:val="auto"/>
        </w:rPr>
        <w:t xml:space="preserve">Retail and consumer products </w:t>
      </w:r>
      <w:r>
        <w:rPr>
          <w:rFonts w:ascii="Arial" w:cs="Arial" w:eastAsia="Arial" w:hAnsi="Arial"/>
          <w:sz w:val="12"/>
          <w:szCs w:val="12"/>
          <w:color w:val="auto"/>
        </w:rPr>
        <w:t xml:space="preserve">99 Cents Only Stores LLC </w:t>
      </w:r>
      <w:r>
        <w:rPr>
          <w:rFonts w:ascii="Arial" w:cs="Arial" w:eastAsia="Arial" w:hAnsi="Arial"/>
          <w:sz w:val="10"/>
          <w:szCs w:val="10"/>
          <w:color w:val="auto"/>
        </w:rPr>
        <w:t>(3)</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American Achievement Corporation </w:t>
      </w:r>
      <w:r>
        <w:rPr>
          <w:rFonts w:ascii="Arial" w:cs="Arial" w:eastAsia="Arial" w:hAnsi="Arial"/>
          <w:sz w:val="11"/>
          <w:szCs w:val="11"/>
          <w:color w:val="auto"/>
        </w:rPr>
        <w:t>(3)</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PayLess Inc. </w:t>
      </w:r>
      <w:r>
        <w:rPr>
          <w:rFonts w:ascii="Arial" w:cs="Arial" w:eastAsia="Arial" w:hAnsi="Arial"/>
          <w:sz w:val="12"/>
          <w:szCs w:val="12"/>
          <w:color w:val="auto"/>
        </w:rPr>
        <w:t>(3)(5)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Reference</w:t>
            </w:r>
          </w:p>
        </w:tc>
        <w:tc>
          <w:tcPr>
            <w:tcW w:w="8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Interest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Rate and</w:t>
            </w:r>
          </w:p>
        </w:tc>
        <w:tc>
          <w:tcPr>
            <w:tcW w:w="8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Spread</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line="155" w:lineRule="exact"/>
              <w:rPr>
                <w:sz w:val="20"/>
                <w:szCs w:val="20"/>
                <w:color w:val="auto"/>
              </w:rPr>
            </w:pPr>
            <w:r>
              <w:rPr>
                <w:rFonts w:ascii="Arial" w:cs="Arial" w:eastAsia="Arial" w:hAnsi="Arial"/>
                <w:sz w:val="14"/>
                <w:szCs w:val="14"/>
                <w:color w:val="auto"/>
              </w:rPr>
              <w:t>First-lien loan ($17,429 par, due 6/2020)</w:t>
            </w:r>
          </w:p>
        </w:tc>
        <w:tc>
          <w:tcPr>
            <w:tcW w:w="2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6/29/2018</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L + 9.00%</w:t>
            </w:r>
          </w:p>
        </w:tc>
        <w:tc>
          <w:tcPr>
            <w:tcW w:w="8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11.50%</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17,428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17,212</w:t>
            </w:r>
          </w:p>
        </w:tc>
        <w:tc>
          <w:tcPr>
            <w:tcW w:w="26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31,940</w:t>
            </w:r>
          </w:p>
        </w:tc>
        <w:tc>
          <w:tcPr>
            <w:tcW w:w="2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31,595</w:t>
            </w:r>
          </w:p>
        </w:tc>
        <w:tc>
          <w:tcPr>
            <w:tcW w:w="26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860" w:type="dxa"/>
            <w:vAlign w:val="bottom"/>
            <w:gridSpan w:val="2"/>
          </w:tcPr>
          <w:p>
            <w:pPr>
              <w:spacing w:after="0"/>
              <w:rPr>
                <w:sz w:val="20"/>
                <w:szCs w:val="20"/>
                <w:color w:val="auto"/>
              </w:rPr>
            </w:pPr>
            <w:r>
              <w:rPr>
                <w:rFonts w:ascii="Arial" w:cs="Arial" w:eastAsia="Arial" w:hAnsi="Arial"/>
                <w:sz w:val="14"/>
                <w:szCs w:val="14"/>
                <w:color w:val="auto"/>
              </w:rPr>
              <w:t>Secured note ($30,610 par, due 9/2026)</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1/5/2017</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8.38%</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8.38%</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30,493</w:t>
            </w:r>
          </w:p>
        </w:tc>
        <w:tc>
          <w:tcPr>
            <w:tcW w:w="2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31,529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7"/>
        </w:trPr>
        <w:tc>
          <w:tcPr>
            <w:tcW w:w="2860" w:type="dxa"/>
            <w:vAlign w:val="bottom"/>
            <w:gridSpan w:val="2"/>
          </w:tcPr>
          <w:p>
            <w:pPr>
              <w:spacing w:after="0"/>
              <w:rPr>
                <w:sz w:val="20"/>
                <w:szCs w:val="20"/>
                <w:color w:val="auto"/>
              </w:rPr>
            </w:pPr>
            <w:r>
              <w:rPr>
                <w:rFonts w:ascii="Arial" w:cs="Arial" w:eastAsia="Arial" w:hAnsi="Arial"/>
                <w:sz w:val="14"/>
                <w:szCs w:val="14"/>
                <w:color w:val="auto"/>
              </w:rPr>
              <w:t>Secured note ($74,950 par, due 10/2020)</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10/5/2015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7.75%</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7.75%</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74,611</w:t>
            </w:r>
          </w:p>
        </w:tc>
        <w:tc>
          <w:tcPr>
            <w:tcW w:w="2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76,824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105,104</w:t>
            </w:r>
          </w:p>
        </w:tc>
        <w:tc>
          <w:tcPr>
            <w:tcW w:w="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108,353</w:t>
            </w:r>
          </w:p>
        </w:tc>
        <w:tc>
          <w:tcPr>
            <w:tcW w:w="26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4"/>
                <w:szCs w:val="14"/>
                <w:color w:val="auto"/>
              </w:rPr>
              <w:t>ABL FILO term loan ($32,500 par, due</w:t>
            </w: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860" w:type="dxa"/>
            <w:vAlign w:val="bottom"/>
            <w:gridSpan w:val="2"/>
            <w:vMerge w:val="continue"/>
          </w:tcPr>
          <w:p>
            <w:pPr>
              <w:spacing w:after="0"/>
              <w:rPr>
                <w:sz w:val="24"/>
                <w:szCs w:val="2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9/6/2017</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 + 7.75%</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10.36%</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32,197</w:t>
            </w:r>
          </w:p>
        </w:tc>
        <w:tc>
          <w:tcPr>
            <w:tcW w:w="2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32,825</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15"/>
        </w:trPr>
        <w:tc>
          <w:tcPr>
            <w:tcW w:w="2640" w:type="dxa"/>
            <w:vAlign w:val="bottom"/>
            <w:vMerge w:val="restart"/>
          </w:tcPr>
          <w:p>
            <w:pPr>
              <w:spacing w:after="0"/>
              <w:rPr>
                <w:sz w:val="20"/>
                <w:szCs w:val="20"/>
                <w:color w:val="auto"/>
              </w:rPr>
            </w:pPr>
            <w:r>
              <w:rPr>
                <w:rFonts w:ascii="Arial" w:cs="Arial" w:eastAsia="Arial" w:hAnsi="Arial"/>
                <w:sz w:val="14"/>
                <w:szCs w:val="14"/>
                <w:color w:val="auto"/>
              </w:rPr>
              <w:t>4/2021)</w:t>
            </w: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color w:val="auto"/>
              </w:rPr>
              <w:t>First-lien loan ($22,214 par, due 9/2020)</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9/30/2015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L + 8.25%</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10.74%</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22,105</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21,992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Secured Promissory Note ($795 par, due</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12/19/2018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+ 8.25%</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20" w:type="dxa"/>
            <w:vAlign w:val="bottom"/>
          </w:tcPr>
          <w:p>
            <w:pPr>
              <w:spacing w:after="0"/>
              <w:rPr>
                <w:sz w:val="12"/>
                <w:szCs w:val="12"/>
                <w:color w:val="auto"/>
              </w:rPr>
            </w:pP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795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12/2020)</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ABL FILO term loan ($14,235 par, due</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3/1/2018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+ 10.00%</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14,000</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14,235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8/2022)</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ABL FILO term loan ($75,000 par, due</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2/11/2019</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 + 7.25%</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9.74%</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74,265</w:t>
            </w: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75,000</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15"/>
        </w:trPr>
        <w:tc>
          <w:tcPr>
            <w:tcW w:w="2640" w:type="dxa"/>
            <w:vAlign w:val="bottom"/>
            <w:vMerge w:val="restart"/>
          </w:tcPr>
          <w:p>
            <w:pPr>
              <w:spacing w:after="0"/>
              <w:rPr>
                <w:sz w:val="20"/>
                <w:szCs w:val="20"/>
                <w:color w:val="auto"/>
              </w:rPr>
            </w:pPr>
            <w:r>
              <w:rPr>
                <w:rFonts w:ascii="Arial" w:cs="Arial" w:eastAsia="Arial" w:hAnsi="Arial"/>
                <w:sz w:val="14"/>
                <w:szCs w:val="14"/>
                <w:color w:val="auto"/>
              </w:rPr>
              <w:t>2/2024)</w:t>
            </w: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-1628775</wp:posOffset>
            </wp:positionV>
            <wp:extent cx="7246620" cy="111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-1388745</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-1191260</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-968375</wp:posOffset>
            </wp:positionV>
            <wp:extent cx="72466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-676910</wp:posOffset>
            </wp:positionV>
            <wp:extent cx="724662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-385445</wp:posOffset>
            </wp:positionV>
            <wp:extent cx="724662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60" w:space="720"/>
            <w:col w:w="83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60" w:type="dxa"/>
            <w:vAlign w:val="bottom"/>
            <w:shd w:val="clear" w:color="auto" w:fill="CCEEFF"/>
          </w:tcPr>
          <w:p>
            <w:pPr>
              <w:spacing w:after="0"/>
              <w:rPr>
                <w:sz w:val="11"/>
                <w:szCs w:val="11"/>
                <w:color w:val="auto"/>
              </w:rPr>
            </w:pPr>
          </w:p>
        </w:tc>
        <w:tc>
          <w:tcPr>
            <w:tcW w:w="35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4"/>
                <w:szCs w:val="14"/>
                <w:color w:val="auto"/>
              </w:rPr>
              <w:t>143,356</w:t>
            </w:r>
          </w:p>
        </w:tc>
        <w:tc>
          <w:tcPr>
            <w:tcW w:w="88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4"/>
                <w:szCs w:val="14"/>
                <w:color w:val="auto"/>
              </w:rPr>
              <w:t>144,847</w:t>
            </w:r>
          </w:p>
        </w:tc>
        <w:tc>
          <w:tcPr>
            <w:tcW w:w="9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6"/>
        </w:trPr>
        <w:tc>
          <w:tcPr>
            <w:tcW w:w="2260" w:type="dxa"/>
            <w:vAlign w:val="bottom"/>
          </w:tcPr>
          <w:p>
            <w:pPr>
              <w:spacing w:after="0" w:line="155" w:lineRule="exact"/>
              <w:rPr>
                <w:sz w:val="20"/>
                <w:szCs w:val="20"/>
                <w:color w:val="auto"/>
              </w:rPr>
            </w:pPr>
            <w:r>
              <w:rPr>
                <w:rFonts w:ascii="Arial" w:cs="Arial" w:eastAsia="Arial" w:hAnsi="Arial"/>
                <w:sz w:val="14"/>
                <w:szCs w:val="14"/>
                <w:b w:val="1"/>
                <w:bCs w:val="1"/>
                <w:color w:val="auto"/>
              </w:rPr>
              <w:t>Transportation</w:t>
            </w:r>
          </w:p>
        </w:tc>
        <w:tc>
          <w:tcPr>
            <w:tcW w:w="3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12"/>
                <w:szCs w:val="12"/>
                <w:color w:val="auto"/>
              </w:rPr>
              <w:t>(3)(4)(5)</w:t>
            </w:r>
          </w:p>
        </w:tc>
        <w:tc>
          <w:tcPr>
            <w:tcW w:w="352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First-lien loan ($82,500 par, due 5/2023)</w:t>
            </w: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5/4/2018</w:t>
            </w:r>
          </w:p>
        </w:tc>
        <w:tc>
          <w:tcPr>
            <w:tcW w:w="1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 + 5.75%</w:t>
            </w:r>
          </w:p>
        </w:tc>
        <w:tc>
          <w:tcPr>
            <w:tcW w:w="8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8.24%</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81,101</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84,188</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Total Debt Investments</w:t>
            </w: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6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rPr>
              <w:t>1,759,407</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u w:val="single" w:color="auto"/>
                <w:color w:val="auto"/>
                <w:w w:val="96"/>
              </w:rPr>
              <w:t>1,783,406</w:t>
            </w:r>
          </w:p>
        </w:tc>
        <w:tc>
          <w:tcPr>
            <w:tcW w:w="260" w:type="dxa"/>
            <w:vAlign w:val="bottom"/>
            <w:vMerge w:val="continue"/>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6642735</wp:posOffset>
            </wp:positionH>
            <wp:positionV relativeFrom="paragraph">
              <wp:posOffset>-12065</wp:posOffset>
            </wp:positionV>
            <wp:extent cx="506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ind w:right="400"/>
        <w:spacing w:after="0" w:line="245" w:lineRule="auto"/>
        <w:rPr>
          <w:sz w:val="20"/>
          <w:szCs w:val="20"/>
          <w:color w:val="auto"/>
        </w:rPr>
      </w:pPr>
      <w:r>
        <w:rPr>
          <w:rFonts w:ascii="Arial" w:cs="Arial" w:eastAsia="Arial" w:hAnsi="Arial"/>
          <w:sz w:val="13"/>
          <w:szCs w:val="13"/>
          <w:b w:val="1"/>
          <w:bCs w:val="1"/>
          <w:color w:val="auto"/>
        </w:rPr>
        <w:t xml:space="preserve">Equity and Other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(6)(13)(14)</w:t>
      </w:r>
    </w:p>
    <w:p>
      <w:pPr>
        <w:spacing w:after="0" w:line="223" w:lineRule="auto"/>
        <w:rPr>
          <w:sz w:val="20"/>
          <w:szCs w:val="20"/>
          <w:color w:val="auto"/>
        </w:rPr>
      </w:pPr>
      <w:r>
        <w:rPr>
          <w:rFonts w:ascii="Arial" w:cs="Arial" w:eastAsia="Arial" w:hAnsi="Arial"/>
          <w:sz w:val="14"/>
          <w:szCs w:val="14"/>
          <w:b w:val="1"/>
          <w:bCs w:val="1"/>
          <w:color w:val="auto"/>
        </w:rPr>
        <w:t>Business Services</w:t>
      </w:r>
    </w:p>
    <w:p>
      <w:pPr>
        <w:spacing w:after="0"/>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(13)</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(13)</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Chemicals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(13)</w:t>
      </w:r>
    </w:p>
    <w:p>
      <w:pPr>
        <w:spacing w:after="0" w:line="223" w:lineRule="auto"/>
        <w:rPr>
          <w:sz w:val="20"/>
          <w:szCs w:val="20"/>
          <w:color w:val="auto"/>
        </w:rPr>
      </w:pPr>
      <w:r>
        <w:rPr>
          <w:rFonts w:ascii="Arial" w:cs="Arial" w:eastAsia="Arial" w:hAnsi="Arial"/>
          <w:sz w:val="14"/>
          <w:szCs w:val="14"/>
          <w:b w:val="1"/>
          <w:bCs w:val="1"/>
          <w:color w:val="auto"/>
        </w:rPr>
        <w:t>Financial services</w:t>
      </w:r>
    </w:p>
    <w:p>
      <w:pPr>
        <w:spacing w:after="0" w:line="221" w:lineRule="auto"/>
        <w:rPr>
          <w:sz w:val="20"/>
          <w:szCs w:val="20"/>
          <w:color w:val="auto"/>
        </w:rPr>
      </w:pPr>
      <w:r>
        <w:rPr>
          <w:rFonts w:ascii="Arial" w:cs="Arial" w:eastAsia="Arial" w:hAnsi="Arial"/>
          <w:sz w:val="14"/>
          <w:szCs w:val="14"/>
          <w:color w:val="auto"/>
        </w:rPr>
        <w:t xml:space="preserve">AvidXchange, Inc. </w:t>
      </w:r>
      <w:r>
        <w:rPr>
          <w:rFonts w:ascii="Arial" w:cs="Arial" w:eastAsia="Arial" w:hAnsi="Arial"/>
          <w:sz w:val="12"/>
          <w:szCs w:val="12"/>
          <w:color w:val="auto"/>
        </w:rPr>
        <w:t>(13)</w:t>
      </w:r>
    </w:p>
    <w:p>
      <w:pPr>
        <w:spacing w:after="0"/>
        <w:rPr>
          <w:sz w:val="20"/>
          <w:szCs w:val="20"/>
          <w:color w:val="auto"/>
        </w:rPr>
      </w:pPr>
      <w:r>
        <w:rPr>
          <w:rFonts w:ascii="Arial" w:cs="Arial" w:eastAsia="Arial" w:hAnsi="Arial"/>
          <w:sz w:val="13"/>
          <w:szCs w:val="13"/>
          <w:color w:val="auto"/>
        </w:rPr>
        <w:t xml:space="preserve">Oxford Square Capital Corp. </w:t>
      </w:r>
      <w:r>
        <w:rPr>
          <w:rFonts w:ascii="Arial" w:cs="Arial" w:eastAsia="Arial" w:hAnsi="Arial"/>
          <w:sz w:val="11"/>
          <w:szCs w:val="11"/>
          <w:color w:val="auto"/>
        </w:rPr>
        <w:t>(4)(12)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(13)</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Healthcare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Caris Life Sciences, Ltd. </w:t>
      </w:r>
      <w:r>
        <w:rPr>
          <w:rFonts w:ascii="Arial" w:cs="Arial" w:eastAsia="Arial" w:hAnsi="Arial"/>
          <w:sz w:val="12"/>
          <w:szCs w:val="12"/>
          <w:color w:val="auto"/>
        </w:rPr>
        <w:t>(13)(14)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Vita Topco, Inc. </w:t>
      </w:r>
      <w:r>
        <w:rPr>
          <w:rFonts w:ascii="Arial" w:cs="Arial" w:eastAsia="Arial" w:hAnsi="Arial"/>
          <w:sz w:val="12"/>
          <w:szCs w:val="12"/>
          <w:color w:val="auto"/>
        </w:rPr>
        <w:t>(13)(14)(15)</w:t>
      </w:r>
    </w:p>
    <w:p>
      <w:pPr>
        <w:spacing w:after="0" w:line="174" w:lineRule="exact"/>
        <w:rPr>
          <w:sz w:val="20"/>
          <w:szCs w:val="20"/>
          <w:color w:val="auto"/>
        </w:rPr>
      </w:pPr>
    </w:p>
    <w:p>
      <w:pPr>
        <w:ind w:right="680"/>
        <w:spacing w:after="0" w:line="297" w:lineRule="auto"/>
        <w:rPr>
          <w:sz w:val="20"/>
          <w:szCs w:val="20"/>
          <w:color w:val="auto"/>
        </w:rPr>
      </w:pPr>
      <w:r>
        <w:rPr>
          <w:rFonts w:ascii="Arial" w:cs="Arial" w:eastAsia="Arial" w:hAnsi="Arial"/>
          <w:sz w:val="13"/>
          <w:szCs w:val="13"/>
          <w:b w:val="1"/>
          <w:bCs w:val="1"/>
          <w:color w:val="auto"/>
        </w:rPr>
        <w:t xml:space="preserve">Hotel, gaming, and leisure </w:t>
      </w:r>
      <w:r>
        <w:rPr>
          <w:rFonts w:ascii="Arial" w:cs="Arial" w:eastAsia="Arial" w:hAnsi="Arial"/>
          <w:sz w:val="13"/>
          <w:szCs w:val="13"/>
          <w:color w:val="auto"/>
        </w:rPr>
        <w:t xml:space="preserve">IRGSE Holding Corp. </w:t>
      </w:r>
      <w:r>
        <w:rPr>
          <w:rFonts w:ascii="Arial" w:cs="Arial" w:eastAsia="Arial" w:hAnsi="Arial"/>
          <w:sz w:val="11"/>
          <w:szCs w:val="11"/>
          <w:color w:val="auto"/>
        </w:rPr>
        <w:t>(7)(13)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680" w:type="dxa"/>
            <w:vAlign w:val="bottom"/>
          </w:tcPr>
          <w:p>
            <w:pPr>
              <w:spacing w:after="0"/>
              <w:rPr>
                <w:sz w:val="20"/>
                <w:szCs w:val="20"/>
                <w:color w:val="auto"/>
              </w:rPr>
            </w:pPr>
            <w:r>
              <w:rPr>
                <w:rFonts w:ascii="Arial" w:cs="Arial" w:eastAsia="Arial" w:hAnsi="Arial"/>
                <w:sz w:val="14"/>
                <w:szCs w:val="14"/>
                <w:color w:val="auto"/>
              </w:rPr>
              <w:t>Preferred Units (4,441,090 units)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10/16/2018</w:t>
            </w:r>
          </w:p>
        </w:tc>
        <w:tc>
          <w:tcPr>
            <w:tcW w:w="660" w:type="dxa"/>
            <w:vAlign w:val="bottom"/>
          </w:tcPr>
          <w:p>
            <w:pPr>
              <w:jc w:val="right"/>
              <w:spacing w:after="0"/>
              <w:rPr>
                <w:sz w:val="20"/>
                <w:szCs w:val="20"/>
                <w:color w:val="auto"/>
              </w:rPr>
            </w:pPr>
            <w:r>
              <w:rPr>
                <w:rFonts w:ascii="Arial" w:cs="Arial" w:eastAsia="Arial" w:hAnsi="Arial"/>
                <w:sz w:val="14"/>
                <w:szCs w:val="14"/>
                <w:color w:val="auto"/>
              </w:rPr>
              <w:t>4,441</w:t>
            </w:r>
          </w:p>
        </w:tc>
        <w:tc>
          <w:tcPr>
            <w:tcW w:w="26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4,441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Arial" w:cs="Arial" w:eastAsia="Arial" w:hAnsi="Arial"/>
                <w:sz w:val="14"/>
                <w:szCs w:val="14"/>
                <w:color w:val="auto"/>
              </w:rPr>
              <w:t>Class A Units (1,262 units)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rPr>
                <w:sz w:val="20"/>
                <w:szCs w:val="20"/>
                <w:color w:val="auto"/>
              </w:rPr>
            </w:pPr>
            <w:r>
              <w:rPr>
                <w:rFonts w:ascii="Arial" w:cs="Arial" w:eastAsia="Arial" w:hAnsi="Arial"/>
                <w:sz w:val="14"/>
                <w:szCs w:val="14"/>
                <w:color w:val="auto"/>
              </w:rPr>
              <w:t>1,262</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1,325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Class B Units (517,020 units)</w:t>
            </w:r>
          </w:p>
        </w:tc>
        <w:tc>
          <w:tcPr>
            <w:tcW w:w="2900" w:type="dxa"/>
            <w:vAlign w:val="bottom"/>
          </w:tcPr>
          <w:p>
            <w:pPr>
              <w:jc w:val="right"/>
              <w:ind w:right="1928"/>
              <w:spacing w:after="0" w:line="149" w:lineRule="exact"/>
              <w:rPr>
                <w:sz w:val="20"/>
                <w:szCs w:val="20"/>
                <w:color w:val="auto"/>
              </w:rPr>
            </w:pPr>
            <w:r>
              <w:rPr>
                <w:rFonts w:ascii="Arial" w:cs="Arial" w:eastAsia="Arial" w:hAnsi="Arial"/>
                <w:sz w:val="14"/>
                <w:szCs w:val="14"/>
                <w:color w:val="auto"/>
              </w:rPr>
              <w:t>1/17/2018</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Class A Shares (1,197 shares)</w:t>
            </w:r>
          </w:p>
        </w:tc>
        <w:tc>
          <w:tcPr>
            <w:tcW w:w="2900" w:type="dxa"/>
            <w:vAlign w:val="bottom"/>
          </w:tcPr>
          <w:p>
            <w:pPr>
              <w:jc w:val="right"/>
              <w:ind w:right="1928"/>
              <w:spacing w:after="0" w:line="149" w:lineRule="exact"/>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2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Class B Shares (398,557 shares)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2,471</w:t>
            </w:r>
          </w:p>
        </w:tc>
        <w:tc>
          <w:tcPr>
            <w:tcW w:w="26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2,872</w:t>
            </w:r>
          </w:p>
        </w:tc>
        <w:tc>
          <w:tcPr>
            <w:tcW w:w="26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680" w:type="dxa"/>
            <w:vAlign w:val="bottom"/>
          </w:tcPr>
          <w:p>
            <w:pPr>
              <w:spacing w:after="0"/>
              <w:rPr>
                <w:sz w:val="20"/>
                <w:szCs w:val="20"/>
                <w:color w:val="auto"/>
              </w:rPr>
            </w:pPr>
            <w:r>
              <w:rPr>
                <w:rFonts w:ascii="Arial" w:cs="Arial" w:eastAsia="Arial" w:hAnsi="Arial"/>
                <w:sz w:val="14"/>
                <w:szCs w:val="14"/>
                <w:color w:val="auto"/>
              </w:rPr>
              <w:t>Common Units (2,672,990 units)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rPr>
                <w:sz w:val="20"/>
                <w:szCs w:val="20"/>
                <w:color w:val="auto"/>
              </w:rPr>
            </w:pPr>
            <w:r>
              <w:rPr>
                <w:rFonts w:ascii="Arial" w:cs="Arial" w:eastAsia="Arial" w:hAnsi="Arial"/>
                <w:sz w:val="14"/>
                <w:szCs w:val="14"/>
                <w:color w:val="auto"/>
              </w:rPr>
              <w:t>3,828</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3,560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Arial" w:cs="Arial" w:eastAsia="Arial" w:hAnsi="Arial"/>
                <w:sz w:val="14"/>
                <w:szCs w:val="14"/>
                <w:color w:val="auto"/>
                <w:w w:val="99"/>
              </w:rPr>
              <w:t>Series E Preferred Equity (214,132 shares)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8/7/2015</w:t>
            </w:r>
          </w:p>
        </w:tc>
        <w:tc>
          <w:tcPr>
            <w:tcW w:w="660" w:type="dxa"/>
            <w:vAlign w:val="bottom"/>
          </w:tcPr>
          <w:p>
            <w:pPr>
              <w:jc w:val="right"/>
              <w:spacing w:after="0"/>
              <w:rPr>
                <w:sz w:val="20"/>
                <w:szCs w:val="20"/>
                <w:color w:val="auto"/>
              </w:rPr>
            </w:pPr>
            <w:r>
              <w:rPr>
                <w:rFonts w:ascii="Arial" w:cs="Arial" w:eastAsia="Arial" w:hAnsi="Arial"/>
                <w:sz w:val="14"/>
                <w:szCs w:val="14"/>
                <w:color w:val="auto"/>
              </w:rPr>
              <w:t>3,846</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7,481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20"/>
                <w:szCs w:val="20"/>
                <w:color w:val="auto"/>
              </w:rPr>
            </w:pPr>
            <w:r>
              <w:rPr>
                <w:rFonts w:ascii="Arial" w:cs="Arial" w:eastAsia="Arial" w:hAnsi="Arial"/>
                <w:sz w:val="14"/>
                <w:szCs w:val="14"/>
                <w:color w:val="auto"/>
              </w:rPr>
              <w:t>Common Shares (1,059 shares)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8/5/2015</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Common Shares (35,000 shares)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7/31/2017</w:t>
            </w:r>
          </w:p>
        </w:tc>
        <w:tc>
          <w:tcPr>
            <w:tcW w:w="660" w:type="dxa"/>
            <w:vAlign w:val="bottom"/>
          </w:tcPr>
          <w:p>
            <w:pPr>
              <w:jc w:val="right"/>
              <w:spacing w:after="0"/>
              <w:rPr>
                <w:sz w:val="20"/>
                <w:szCs w:val="20"/>
                <w:color w:val="auto"/>
              </w:rPr>
            </w:pPr>
            <w:r>
              <w:rPr>
                <w:rFonts w:ascii="Arial" w:cs="Arial" w:eastAsia="Arial" w:hAnsi="Arial"/>
                <w:sz w:val="14"/>
                <w:szCs w:val="14"/>
                <w:color w:val="auto"/>
              </w:rPr>
              <w:t>3,500</w:t>
            </w: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7,997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7,353</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15,485</w:t>
            </w:r>
          </w:p>
        </w:tc>
        <w:tc>
          <w:tcPr>
            <w:tcW w:w="26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680" w:type="dxa"/>
            <w:vAlign w:val="bottom"/>
          </w:tcPr>
          <w:p>
            <w:pPr>
              <w:spacing w:after="0"/>
              <w:rPr>
                <w:sz w:val="20"/>
                <w:szCs w:val="20"/>
                <w:color w:val="auto"/>
              </w:rPr>
            </w:pPr>
            <w:r>
              <w:rPr>
                <w:rFonts w:ascii="Arial" w:cs="Arial" w:eastAsia="Arial" w:hAnsi="Arial"/>
                <w:sz w:val="14"/>
                <w:szCs w:val="14"/>
                <w:color w:val="auto"/>
              </w:rPr>
              <w:t>Common Shares Class A (1,980 shares)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9/21/2018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192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Common Shares (1,000 shares)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2/11/2019</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26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680" w:type="dxa"/>
            <w:vAlign w:val="bottom"/>
          </w:tcPr>
          <w:p>
            <w:pPr>
              <w:spacing w:after="0"/>
              <w:rPr>
                <w:sz w:val="20"/>
                <w:szCs w:val="20"/>
                <w:color w:val="auto"/>
              </w:rPr>
            </w:pPr>
            <w:r>
              <w:rPr>
                <w:rFonts w:ascii="Arial" w:cs="Arial" w:eastAsia="Arial" w:hAnsi="Arial"/>
                <w:sz w:val="14"/>
                <w:szCs w:val="14"/>
                <w:color w:val="auto"/>
              </w:rPr>
              <w:t xml:space="preserve">Class A Units (27,690,171 units) </w:t>
            </w:r>
            <w:r>
              <w:rPr>
                <w:rFonts w:ascii="Arial" w:cs="Arial" w:eastAsia="Arial" w:hAnsi="Arial"/>
                <w:sz w:val="12"/>
                <w:szCs w:val="12"/>
                <w:color w:val="auto"/>
              </w:rPr>
              <w:t>(14)</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20,063</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3,600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Common Shares (8,800,000 shares)</w:t>
            </w:r>
          </w:p>
        </w:tc>
        <w:tc>
          <w:tcPr>
            <w:tcW w:w="2900" w:type="dxa"/>
            <w:vAlign w:val="bottom"/>
          </w:tcPr>
          <w:p>
            <w:pPr>
              <w:jc w:val="right"/>
              <w:ind w:right="192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20,163</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3,648</w:t>
            </w:r>
          </w:p>
        </w:tc>
        <w:tc>
          <w:tcPr>
            <w:tcW w:w="26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-2426335</wp:posOffset>
            </wp:positionV>
            <wp:extent cx="72466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-2237740</wp:posOffset>
            </wp:positionV>
            <wp:extent cx="724662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-2040255</wp:posOffset>
            </wp:positionV>
            <wp:extent cx="72466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-1851660</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-1645920</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-1440180</wp:posOffset>
            </wp:positionV>
            <wp:extent cx="724662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-1242695</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-1045845</wp:posOffset>
            </wp:positionV>
            <wp:extent cx="724662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-822960</wp:posOffset>
            </wp:positionV>
            <wp:extent cx="72466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-625475</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-402590</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-213995</wp:posOffset>
            </wp:positionV>
            <wp:extent cx="7246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360" w:space="720"/>
            <w:col w:w="83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Initial</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80" w:type="dxa"/>
            <w:vAlign w:val="bottom"/>
          </w:tcPr>
          <w:p>
            <w:pPr>
              <w:spacing w:after="0"/>
              <w:rPr>
                <w:sz w:val="13"/>
                <w:szCs w:val="13"/>
                <w:color w:val="auto"/>
              </w:rPr>
            </w:pPr>
          </w:p>
        </w:tc>
        <w:tc>
          <w:tcPr>
            <w:tcW w:w="284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jc w:val="center"/>
              <w:ind w:right="240"/>
              <w:spacing w:after="0" w:line="151" w:lineRule="exact"/>
              <w:rPr>
                <w:sz w:val="20"/>
                <w:szCs w:val="20"/>
                <w:color w:val="auto"/>
              </w:rPr>
            </w:pPr>
            <w:r>
              <w:rPr>
                <w:rFonts w:ascii="Arial" w:cs="Arial" w:eastAsia="Arial" w:hAnsi="Arial"/>
                <w:sz w:val="14"/>
                <w:szCs w:val="14"/>
                <w:b w:val="1"/>
                <w:bCs w:val="1"/>
                <w:color w:val="auto"/>
                <w:w w:val="91"/>
              </w:rPr>
              <w:t>Acquisition</w:t>
            </w:r>
          </w:p>
        </w:tc>
        <w:tc>
          <w:tcPr>
            <w:tcW w:w="76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1"/>
              </w:rPr>
              <w:t>Rate and</w:t>
            </w:r>
          </w:p>
        </w:tc>
        <w:tc>
          <w:tcPr>
            <w:tcW w:w="82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90"/>
              </w:rPr>
              <w:t>Interest</w:t>
            </w:r>
          </w:p>
        </w:tc>
        <w:tc>
          <w:tcPr>
            <w:tcW w:w="92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6"/>
              </w:rPr>
              <w:t>Amortized</w:t>
            </w:r>
          </w:p>
        </w:tc>
        <w:tc>
          <w:tcPr>
            <w:tcW w:w="9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240"/>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55"/>
        </w:trPr>
        <w:tc>
          <w:tcPr>
            <w:tcW w:w="27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Date</w:t>
            </w:r>
          </w:p>
        </w:tc>
        <w:tc>
          <w:tcPr>
            <w:tcW w:w="76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Spread</w:t>
            </w:r>
          </w:p>
        </w:tc>
        <w:tc>
          <w:tcPr>
            <w:tcW w:w="8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Rate</w:t>
            </w:r>
          </w:p>
        </w:tc>
        <w:tc>
          <w:tcPr>
            <w:tcW w:w="9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 xml:space="preserve">Cost </w:t>
            </w:r>
            <w:r>
              <w:rPr>
                <w:rFonts w:ascii="Arial" w:cs="Arial" w:eastAsia="Arial" w:hAnsi="Arial"/>
                <w:sz w:val="12"/>
                <w:szCs w:val="12"/>
                <w:b w:val="1"/>
                <w:bCs w:val="1"/>
                <w:color w:val="auto"/>
                <w:w w:val="90"/>
              </w:rPr>
              <w:t>(2)(8)</w:t>
            </w:r>
          </w:p>
        </w:tc>
        <w:tc>
          <w:tcPr>
            <w:tcW w:w="660" w:type="dxa"/>
            <w:vAlign w:val="bottom"/>
          </w:tcPr>
          <w:p>
            <w:pPr>
              <w:jc w:val="right"/>
              <w:ind w:right="169"/>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3"/>
                <w:szCs w:val="13"/>
                <w:color w:val="auto"/>
              </w:rPr>
            </w:pPr>
          </w:p>
        </w:tc>
        <w:tc>
          <w:tcPr>
            <w:tcW w:w="9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7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Human resource support services</w:t>
            </w:r>
          </w:p>
        </w:tc>
        <w:tc>
          <w:tcPr>
            <w:tcW w:w="48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(13)(14)(15)</w:t>
            </w:r>
          </w:p>
        </w:tc>
        <w:tc>
          <w:tcPr>
            <w:tcW w:w="3320" w:type="dxa"/>
            <w:vAlign w:val="bottom"/>
            <w:gridSpan w:val="3"/>
          </w:tcPr>
          <w:p>
            <w:pPr>
              <w:ind w:left="480"/>
              <w:spacing w:after="0"/>
              <w:rPr>
                <w:sz w:val="20"/>
                <w:szCs w:val="20"/>
                <w:color w:val="auto"/>
              </w:rPr>
            </w:pPr>
            <w:r>
              <w:rPr>
                <w:rFonts w:ascii="Arial" w:cs="Arial" w:eastAsia="Arial" w:hAnsi="Arial"/>
                <w:sz w:val="14"/>
                <w:szCs w:val="14"/>
                <w:color w:val="auto"/>
              </w:rPr>
              <w:t>Class A Units (44,944 units)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8/24/2018</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2,014</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2,014</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4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(13)(14)</w:t>
            </w:r>
          </w:p>
        </w:tc>
        <w:tc>
          <w:tcPr>
            <w:tcW w:w="332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Common Shares Class A (1,020 units)</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6/30/2017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1,020</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1,020</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32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Common Shares Class B (987,929 units)</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6/30/2017</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26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260" w:type="dxa"/>
            <w:vAlign w:val="bottom"/>
            <w:vMerge w:val="continue"/>
          </w:tcPr>
          <w:p>
            <w:pPr>
              <w:spacing w:after="0"/>
              <w:rPr>
                <w:sz w:val="14"/>
                <w:szCs w:val="14"/>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4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(6)(13)(14)</w:t>
            </w:r>
          </w:p>
        </w:tc>
        <w:tc>
          <w:tcPr>
            <w:tcW w:w="3320" w:type="dxa"/>
            <w:vAlign w:val="bottom"/>
            <w:gridSpan w:val="3"/>
          </w:tcPr>
          <w:p>
            <w:pPr>
              <w:ind w:left="480"/>
              <w:spacing w:after="0" w:line="149" w:lineRule="exact"/>
              <w:rPr>
                <w:sz w:val="20"/>
                <w:szCs w:val="20"/>
                <w:color w:val="auto"/>
              </w:rPr>
            </w:pPr>
            <w:r>
              <w:rPr>
                <w:rFonts w:ascii="Arial" w:cs="Arial" w:eastAsia="Arial" w:hAnsi="Arial"/>
                <w:sz w:val="14"/>
                <w:szCs w:val="14"/>
                <w:color w:val="auto"/>
                <w:w w:val="99"/>
              </w:rPr>
              <w:t>Series A Preferred Shares (3,840,000 shares)</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5/31/2018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3,840</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3,840</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8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fuels</w:t>
            </w:r>
          </w:p>
        </w:tc>
        <w:tc>
          <w:tcPr>
            <w:tcW w:w="48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(7)(13)(14)</w:t>
            </w:r>
          </w:p>
        </w:tc>
        <w:tc>
          <w:tcPr>
            <w:tcW w:w="3320" w:type="dxa"/>
            <w:vAlign w:val="bottom"/>
            <w:gridSpan w:val="3"/>
          </w:tcPr>
          <w:p>
            <w:pPr>
              <w:ind w:left="480"/>
              <w:spacing w:after="0"/>
              <w:rPr>
                <w:sz w:val="20"/>
                <w:szCs w:val="20"/>
                <w:color w:val="auto"/>
              </w:rPr>
            </w:pPr>
            <w:r>
              <w:rPr>
                <w:rFonts w:ascii="Arial" w:cs="Arial" w:eastAsia="Arial" w:hAnsi="Arial"/>
                <w:sz w:val="14"/>
                <w:szCs w:val="14"/>
                <w:color w:val="auto"/>
              </w:rPr>
              <w:t>Class A-1 Member Units (1,360 units)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5/3/2017</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10,366</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2,021</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32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Class A-2 Member Units (933 units)</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6/4/2014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8,874</w:t>
            </w:r>
          </w:p>
        </w:tc>
        <w:tc>
          <w:tcPr>
            <w:tcW w:w="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Northern Oil and Gas, Inc. </w:t>
            </w:r>
            <w:r>
              <w:rPr>
                <w:rFonts w:ascii="Arial" w:cs="Arial" w:eastAsia="Arial" w:hAnsi="Arial"/>
                <w:sz w:val="12"/>
                <w:szCs w:val="12"/>
                <w:color w:val="auto"/>
              </w:rPr>
              <w:t>(12)(13)</w:t>
            </w:r>
          </w:p>
        </w:tc>
        <w:tc>
          <w:tcPr>
            <w:tcW w:w="3320" w:type="dxa"/>
            <w:vAlign w:val="bottom"/>
            <w:gridSpan w:val="3"/>
          </w:tcPr>
          <w:p>
            <w:pPr>
              <w:ind w:left="480"/>
              <w:spacing w:after="0"/>
              <w:rPr>
                <w:sz w:val="20"/>
                <w:szCs w:val="20"/>
                <w:color w:val="auto"/>
              </w:rPr>
            </w:pPr>
            <w:r>
              <w:rPr>
                <w:rFonts w:ascii="Arial" w:cs="Arial" w:eastAsia="Arial" w:hAnsi="Arial"/>
                <w:sz w:val="14"/>
                <w:szCs w:val="14"/>
                <w:color w:val="auto"/>
              </w:rPr>
              <w:t>Common Shares (493,316 shares)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5/15/2018</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1,352</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19,980</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 and Other Investments</w:t>
            </w:r>
          </w:p>
        </w:tc>
        <w:tc>
          <w:tcPr>
            <w:tcW w:w="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66,312</w:t>
            </w:r>
          </w:p>
        </w:tc>
        <w:tc>
          <w:tcPr>
            <w:tcW w:w="2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41,455</w:t>
            </w:r>
          </w:p>
        </w:tc>
        <w:tc>
          <w:tcPr>
            <w:tcW w:w="260" w:type="dxa"/>
            <w:vAlign w:val="bottom"/>
            <w:vMerge w:val="continue"/>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4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1,825,719</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1,824,861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Certain portfolio company investments are subject to contractual restrictions on sales.</w:t>
      </w:r>
    </w:p>
    <w:p>
      <w:pPr>
        <w:ind w:left="3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ind w:left="340" w:right="160" w:hanging="332"/>
        <w:spacing w:after="0" w:line="238"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3"/>
          <w:szCs w:val="13"/>
          <w:color w:val="auto"/>
        </w:rPr>
      </w:pPr>
    </w:p>
    <w:p>
      <w:pPr>
        <w:ind w:left="340" w:right="2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ind w:left="340" w:hanging="332"/>
        <w:spacing w:after="0" w:line="238"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340" w:right="300" w:hanging="332"/>
        <w:spacing w:after="0" w:line="271"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40" w:type="dxa"/>
            <w:vAlign w:val="bottom"/>
            <w:gridSpan w:val="20"/>
          </w:tcPr>
          <w:p>
            <w:pPr>
              <w:ind w:left="860"/>
              <w:spacing w:after="0"/>
              <w:rPr>
                <w:sz w:val="20"/>
                <w:szCs w:val="20"/>
                <w:color w:val="auto"/>
              </w:rPr>
            </w:pPr>
            <w:r>
              <w:rPr>
                <w:rFonts w:ascii="Arial" w:cs="Arial" w:eastAsia="Arial" w:hAnsi="Arial"/>
                <w:sz w:val="14"/>
                <w:szCs w:val="14"/>
                <w:b w:val="1"/>
                <w:bCs w:val="1"/>
                <w:color w:val="auto"/>
                <w:w w:val="98"/>
              </w:rPr>
              <w:t>Non-controlled, Affiliated Investments during the three months ended March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7"/>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Value at</w:t>
            </w:r>
          </w:p>
        </w:tc>
        <w:tc>
          <w:tcPr>
            <w:tcW w:w="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5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9"/>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w:t>
            </w:r>
          </w:p>
        </w:tc>
        <w:tc>
          <w:tcPr>
            <w:tcW w:w="1600" w:type="dxa"/>
            <w:vAlign w:val="bottom"/>
            <w:vMerge w:val="restart"/>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38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6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Pr>
          <w:p>
            <w:pPr>
              <w:spacing w:after="0"/>
              <w:rPr>
                <w:sz w:val="15"/>
                <w:szCs w:val="15"/>
                <w:color w:val="auto"/>
              </w:rPr>
            </w:pPr>
          </w:p>
        </w:tc>
        <w:tc>
          <w:tcPr>
            <w:tcW w:w="100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3"/>
              </w:rPr>
              <w:t>Additions (a)</w:t>
            </w:r>
          </w:p>
        </w:tc>
        <w:tc>
          <w:tcPr>
            <w:tcW w:w="200" w:type="dxa"/>
            <w:vAlign w:val="bottom"/>
          </w:tcPr>
          <w:p>
            <w:pPr>
              <w:spacing w:after="0"/>
              <w:rPr>
                <w:sz w:val="15"/>
                <w:szCs w:val="15"/>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Reductions (b)</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5"/>
                <w:szCs w:val="15"/>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86"/>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5"/>
                <w:szCs w:val="15"/>
                <w:color w:val="auto"/>
              </w:rPr>
            </w:pPr>
          </w:p>
        </w:tc>
        <w:tc>
          <w:tcPr>
            <w:tcW w:w="64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5"/>
                <w:szCs w:val="15"/>
                <w:color w:val="auto"/>
              </w:rPr>
            </w:pPr>
          </w:p>
        </w:tc>
        <w:tc>
          <w:tcPr>
            <w:tcW w:w="5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36"/>
        </w:trPr>
        <w:tc>
          <w:tcPr>
            <w:tcW w:w="22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AFS Technologies, Inc.</w:t>
            </w:r>
          </w:p>
        </w:tc>
        <w:tc>
          <w:tcPr>
            <w:tcW w:w="8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ind w:left="320"/>
              <w:spacing w:after="0" w:line="136" w:lineRule="exact"/>
              <w:rPr>
                <w:sz w:val="20"/>
                <w:szCs w:val="20"/>
                <w:color w:val="auto"/>
              </w:rPr>
            </w:pPr>
            <w:r>
              <w:rPr>
                <w:rFonts w:ascii="Arial" w:cs="Arial" w:eastAsia="Arial" w:hAnsi="Arial"/>
                <w:sz w:val="14"/>
                <w:szCs w:val="14"/>
                <w:color w:val="auto"/>
                <w:w w:val="83"/>
              </w:rPr>
              <w:t>45,342</w:t>
            </w:r>
          </w:p>
        </w:tc>
        <w:tc>
          <w:tcPr>
            <w:tcW w:w="3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4,742</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w w:val="73"/>
              </w:rPr>
              <w:t>(294)</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279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80"/>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50,069</w:t>
            </w:r>
          </w:p>
        </w:tc>
        <w:tc>
          <w:tcPr>
            <w:tcW w:w="3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19</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1,248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Validity, Inc.</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38,590</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(234)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39,993</w:t>
            </w:r>
          </w:p>
        </w:tc>
        <w:tc>
          <w:tcPr>
            <w:tcW w:w="180" w:type="dxa"/>
            <w:vAlign w:val="bottom"/>
          </w:tcPr>
          <w:p>
            <w:pPr>
              <w:spacing w:after="0"/>
              <w:rPr>
                <w:sz w:val="12"/>
                <w:szCs w:val="12"/>
                <w:color w:val="auto"/>
              </w:rPr>
            </w:pP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1,163</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w:t>
            </w: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83,932</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6,231</w:t>
            </w:r>
          </w:p>
        </w:tc>
        <w:tc>
          <w:tcPr>
            <w:tcW w:w="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(528)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427</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76"/>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90,062</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31</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6"/>
              </w:rPr>
              <w:t>2,411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00" w:right="180" w:hanging="454"/>
        <w:spacing w:after="0" w:line="253" w:lineRule="auto"/>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right="40" w:hanging="454"/>
        <w:spacing w:after="0" w:line="335" w:lineRule="auto"/>
        <w:tabs>
          <w:tab w:leader="none" w:pos="800" w:val="left"/>
        </w:tabs>
        <w:numPr>
          <w:ilvl w:val="1"/>
          <w:numId w:val="28"/>
        </w:numPr>
        <w:rPr>
          <w:rFonts w:ascii="Arial" w:cs="Arial" w:eastAsia="Arial" w:hAnsi="Arial"/>
          <w:sz w:val="12"/>
          <w:szCs w:val="12"/>
          <w:color w:val="auto"/>
        </w:rPr>
      </w:pPr>
      <w:r>
        <w:rPr>
          <w:rFonts w:ascii="Arial" w:cs="Arial" w:eastAsia="Arial" w:hAnsi="Arial"/>
          <w:sz w:val="12"/>
          <w:szCs w:val="12"/>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33" w:lineRule="exact"/>
        <w:rPr>
          <w:rFonts w:ascii="Arial" w:cs="Arial" w:eastAsia="Arial" w:hAnsi="Arial"/>
          <w:sz w:val="12"/>
          <w:szCs w:val="12"/>
          <w:color w:val="auto"/>
        </w:rPr>
      </w:pPr>
    </w:p>
    <w:p>
      <w:pPr>
        <w:ind w:left="340" w:right="40" w:hanging="332"/>
        <w:spacing w:after="0" w:line="234"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420" w:type="dxa"/>
            <w:vAlign w:val="bottom"/>
            <w:gridSpan w:val="16"/>
          </w:tcPr>
          <w:p>
            <w:pPr>
              <w:spacing w:after="0"/>
              <w:rPr>
                <w:sz w:val="20"/>
                <w:szCs w:val="20"/>
                <w:color w:val="auto"/>
              </w:rPr>
            </w:pPr>
            <w:r>
              <w:rPr>
                <w:rFonts w:ascii="Arial" w:cs="Arial" w:eastAsia="Arial" w:hAnsi="Arial"/>
                <w:sz w:val="14"/>
                <w:szCs w:val="14"/>
                <w:b w:val="1"/>
                <w:bCs w:val="1"/>
                <w:color w:val="auto"/>
              </w:rPr>
              <w:t>Controlled, Affiliated Investments during the three months ended March 31, 2019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In</w:t>
            </w: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5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2"/>
                <w:szCs w:val="12"/>
                <w:color w:val="auto"/>
              </w:rPr>
            </w:pPr>
          </w:p>
        </w:tc>
        <w:tc>
          <w:tcPr>
            <w:tcW w:w="5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4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40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3"/>
                <w:szCs w:val="13"/>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Additions (a)</w:t>
            </w:r>
          </w:p>
        </w:tc>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5"/>
              </w:rPr>
              <w:t>(Loss)</w:t>
            </w: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86"/>
              </w:rPr>
              <w:t>(Losses)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Income</w:t>
            </w:r>
          </w:p>
        </w:tc>
        <w:tc>
          <w:tcPr>
            <w:tcW w:w="400" w:type="dxa"/>
            <w:vAlign w:val="bottom"/>
          </w:tcPr>
          <w:p>
            <w:pPr>
              <w:spacing w:after="0"/>
              <w:rPr>
                <w:sz w:val="13"/>
                <w:szCs w:val="13"/>
                <w:color w:val="auto"/>
              </w:rPr>
            </w:pPr>
          </w:p>
        </w:tc>
        <w:tc>
          <w:tcPr>
            <w:tcW w:w="5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IRGSE Holding Corp.</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34,527</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ind w:left="268"/>
              <w:spacing w:after="0" w:line="136" w:lineRule="exact"/>
              <w:rPr>
                <w:sz w:val="20"/>
                <w:szCs w:val="20"/>
                <w:color w:val="auto"/>
              </w:rPr>
            </w:pPr>
            <w:r>
              <w:rPr>
                <w:rFonts w:ascii="Arial" w:cs="Arial" w:eastAsia="Arial" w:hAnsi="Arial"/>
                <w:sz w:val="14"/>
                <w:szCs w:val="14"/>
                <w:color w:val="auto"/>
                <w:w w:val="91"/>
              </w:rPr>
              <w:t>1,262</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2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(922)</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180"/>
              <w:spacing w:after="0" w:line="136"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34,867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21,978</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(2,745)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19,233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56,505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1,262</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(3,667)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54,100</w:t>
            </w:r>
          </w:p>
        </w:tc>
        <w:tc>
          <w:tcPr>
            <w:tcW w:w="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5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6"/>
              </w:rPr>
              <w:t>1,439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00" w:right="180" w:hanging="454"/>
        <w:spacing w:after="0" w:line="230" w:lineRule="auto"/>
        <w:tabs>
          <w:tab w:leader="none" w:pos="8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800" w:right="40" w:hanging="454"/>
        <w:spacing w:after="0" w:line="314" w:lineRule="auto"/>
        <w:tabs>
          <w:tab w:leader="none" w:pos="8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45" w:lineRule="exact"/>
        <w:rPr>
          <w:rFonts w:ascii="Arial" w:cs="Arial" w:eastAsia="Arial" w:hAnsi="Arial"/>
          <w:sz w:val="12"/>
          <w:szCs w:val="12"/>
          <w:color w:val="auto"/>
        </w:rPr>
      </w:pPr>
    </w:p>
    <w:p>
      <w:pPr>
        <w:ind w:left="340" w:right="180" w:hanging="332"/>
        <w:spacing w:after="0" w:line="230"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March 31, 2019, the estimated cost basis of investments for U.S. federal tax purposes was $1,825,595, resulting in estimated gross unrealized gains and losses of $86,883 and $82,732, respectively.</w:t>
      </w:r>
    </w:p>
    <w:p>
      <w:pPr>
        <w:ind w:left="340" w:right="12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340" w:right="2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In accordance with Financial Accounting Standards Board Accounting Standards Codification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340" w:righ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340" w:righ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equity investment is non-income producing.</w:t>
      </w:r>
    </w:p>
    <w:p>
      <w:pPr>
        <w:ind w:left="340" w:right="6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Ownership of equity investments may occur through a holding company or partnership.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the section entitled “Certain Relationships and Related Party Transactions” in our 2019 Annual Proxy is incorporated herein by reference.</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in the sections entitled “Election of Directors” and “Security Ownership of Certain Beneficial Owners and Management” in our 2019 Annual Proxy is incorporated herein by reference.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9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“required majority” of our directors have determined that any such sale would be in the best interests of us and our stockholders;</w:t>
      </w:r>
    </w:p>
    <w:p>
      <w:pPr>
        <w:spacing w:after="0" w:line="130"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number of shares to be issued does not exceed 25% of our then-outstanding common stock immediately prior to each such offering.</w:t>
      </w:r>
    </w:p>
    <w:p>
      <w:pPr>
        <w:spacing w:after="0" w:line="23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900" w:right="3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6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7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240" w:top="459"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3</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28"/>
              <w:spacing w:after="0" w:line="119" w:lineRule="exact"/>
              <w:rPr>
                <w:sz w:val="20"/>
                <w:szCs w:val="20"/>
                <w:color w:val="auto"/>
              </w:rPr>
            </w:pPr>
            <w:r>
              <w:rPr>
                <w:rFonts w:ascii="Arial" w:cs="Arial" w:eastAsia="Arial" w:hAnsi="Arial"/>
                <w:sz w:val="13"/>
                <w:szCs w:val="13"/>
                <w:b w:val="1"/>
                <w:bCs w:val="1"/>
                <w:color w:val="auto"/>
              </w:rPr>
              <w:t>20%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20% Discount</w:t>
            </w: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15.39</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13.68</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12.83</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14.63</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13.00</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12.19</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78,495,380</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81,766,021</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16.11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15.71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65,413</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65,413</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65,413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65,413</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65,413</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1,063,202</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1,060,662</w:t>
            </w:r>
          </w:p>
        </w:tc>
        <w:tc>
          <w:tcPr>
            <w:tcW w:w="3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1,053,519</w:t>
            </w:r>
          </w:p>
        </w:tc>
        <w:tc>
          <w:tcPr>
            <w:tcW w:w="3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1,027,732</w:t>
            </w:r>
          </w:p>
        </w:tc>
        <w:tc>
          <w:tcPr>
            <w:tcW w:w="3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1,010,008</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Total Investment by Stockholder A (Assumed</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 be $16.25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1,063,202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tcPr>
          <w:p>
            <w:pPr>
              <w:ind w:left="300"/>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44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(2,539)</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(9,682)</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(35,470)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(53,194)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Investment per Share Held by Stockholder A</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5"/>
              </w:rPr>
              <w:t>(Assumed to be $16.25 per Share on Shares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Held Prior to Sale)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3120" w:type="dxa"/>
            <w:vAlign w:val="bottom"/>
          </w:tcPr>
          <w:p>
            <w:pPr>
              <w:ind w:left="300"/>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440"/>
              <w:spacing w:after="0"/>
              <w:rPr>
                <w:sz w:val="20"/>
                <w:szCs w:val="20"/>
                <w:color w:val="auto"/>
              </w:rPr>
            </w:pPr>
            <w:r>
              <w:rPr>
                <w:rFonts w:ascii="Arial" w:cs="Arial" w:eastAsia="Arial" w:hAnsi="Arial"/>
                <w:sz w:val="14"/>
                <w:szCs w:val="14"/>
                <w:color w:val="auto"/>
              </w:rPr>
              <w:t>Stockholder A</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16.21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16.11</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15.71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15.44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6"/>
              </w:rPr>
              <w:t>(Net Asset Value per Share Less Investment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(0.14)</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(0.54)</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(0.81)</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440"/>
              <w:spacing w:after="0" w:line="149" w:lineRule="exact"/>
              <w:rPr>
                <w:sz w:val="20"/>
                <w:szCs w:val="20"/>
                <w:color w:val="auto"/>
              </w:rPr>
            </w:pPr>
            <w:r>
              <w:rPr>
                <w:rFonts w:ascii="Arial" w:cs="Arial" w:eastAsia="Arial" w:hAnsi="Arial"/>
                <w:sz w:val="14"/>
                <w:szCs w:val="14"/>
                <w:color w:val="auto"/>
              </w:rPr>
              <w:t>(Dilution per Share Divided by Investment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440"/>
              <w:spacing w:after="0"/>
              <w:rPr>
                <w:sz w:val="20"/>
                <w:szCs w:val="20"/>
                <w:color w:val="auto"/>
              </w:rPr>
            </w:pPr>
            <w:r>
              <w:rPr>
                <w:rFonts w:ascii="Arial" w:cs="Arial" w:eastAsia="Arial" w:hAnsi="Arial"/>
                <w:sz w:val="14"/>
                <w:szCs w:val="14"/>
                <w:color w:val="auto"/>
              </w:rPr>
              <w:t>per Share)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(0.89%)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w:t>
      </w:r>
    </w:p>
    <w:p>
      <w:pPr>
        <w:ind w:right="60"/>
        <w:spacing w:after="0" w:line="254" w:lineRule="auto"/>
        <w:rPr>
          <w:sz w:val="20"/>
          <w:szCs w:val="20"/>
          <w:color w:val="auto"/>
        </w:rPr>
      </w:pPr>
      <w:r>
        <w:rPr>
          <w:rFonts w:ascii="Arial" w:cs="Arial" w:eastAsia="Arial" w:hAnsi="Arial"/>
          <w:sz w:val="18"/>
          <w:szCs w:val="18"/>
          <w:color w:val="auto"/>
        </w:rPr>
        <w:t>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9"/>
              </w:rPr>
              <w:t>Prior to Sale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50% Participation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Below NAV</w:t>
            </w:r>
          </w:p>
        </w:tc>
        <w:tc>
          <w:tcPr>
            <w:tcW w:w="26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13.68</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13.00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Shares Outstanding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65,412,817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78,495,380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78,495,380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Net Asset Value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16.25</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15.71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15.71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Dilution/Accretion to Participating Stockholder Shares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Held by Stockholder A</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Shares Held by Stockholder A</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65,413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71,954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85,037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Held by Stockholder A</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4660" w:type="dxa"/>
            <w:vAlign w:val="bottom"/>
          </w:tcPr>
          <w:p>
            <w:pPr>
              <w:ind w:left="360"/>
              <w:spacing w:after="0" w:line="201" w:lineRule="exact"/>
              <w:rPr>
                <w:sz w:val="20"/>
                <w:szCs w:val="20"/>
                <w:color w:val="auto"/>
              </w:rPr>
            </w:pPr>
            <w:r>
              <w:rPr>
                <w:rFonts w:ascii="Arial" w:cs="Arial" w:eastAsia="Arial" w:hAnsi="Arial"/>
                <w:sz w:val="18"/>
                <w:szCs w:val="18"/>
                <w:color w:val="auto"/>
              </w:rPr>
              <w:t>Total Net Asset Value Held by</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540"/>
              <w:spacing w:after="0"/>
              <w:rPr>
                <w:sz w:val="20"/>
                <w:szCs w:val="20"/>
                <w:color w:val="auto"/>
              </w:rPr>
            </w:pPr>
            <w:r>
              <w:rPr>
                <w:rFonts w:ascii="Arial" w:cs="Arial" w:eastAsia="Arial" w:hAnsi="Arial"/>
                <w:sz w:val="18"/>
                <w:szCs w:val="18"/>
                <w:color w:val="auto"/>
              </w:rPr>
              <w:t>Stockholder 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1,063,202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1,130,505</w:t>
            </w:r>
          </w:p>
        </w:tc>
        <w:tc>
          <w:tcPr>
            <w:tcW w:w="6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6.33%</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1,336,051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25.66%</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$16.25 per Share on Shares Held Prior to Sale)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1,063,202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1,152,714</w:t>
            </w: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1,331,739</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540"/>
              <w:spacing w:after="0"/>
              <w:rPr>
                <w:sz w:val="20"/>
                <w:szCs w:val="20"/>
                <w:color w:val="auto"/>
              </w:rPr>
            </w:pPr>
            <w:r>
              <w:rPr>
                <w:rFonts w:ascii="Arial" w:cs="Arial" w:eastAsia="Arial" w:hAnsi="Arial"/>
                <w:sz w:val="18"/>
                <w:szCs w:val="18"/>
                <w:color w:val="auto"/>
              </w:rPr>
              <w:t>Asset Value Less Total Investment)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(22,209)</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4,312</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Investment per Share Held by Stockholder A (Assumed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to be $16.25 per Share on Shares Held Prior to Sale)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16.02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15.71</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15.71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Asset Value per Share Less Investment per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(0.31)</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0.05</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540"/>
              <w:spacing w:after="0"/>
              <w:rPr>
                <w:sz w:val="20"/>
                <w:szCs w:val="20"/>
                <w:color w:val="auto"/>
              </w:rPr>
            </w:pPr>
            <w:r>
              <w:rPr>
                <w:rFonts w:ascii="Arial" w:cs="Arial" w:eastAsia="Arial" w:hAnsi="Arial"/>
                <w:sz w:val="18"/>
                <w:szCs w:val="18"/>
                <w:color w:val="auto"/>
                <w:w w:val="97"/>
              </w:rPr>
              <w:t>(Dilution per Share Divided by Investment per Share)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7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Example 2</w:t>
            </w:r>
          </w:p>
        </w:tc>
        <w:tc>
          <w:tcPr>
            <w:tcW w:w="60" w:type="dxa"/>
            <w:vAlign w:val="bottom"/>
          </w:tcPr>
          <w:p>
            <w:pPr>
              <w:spacing w:after="0"/>
              <w:rPr>
                <w:sz w:val="14"/>
                <w:szCs w:val="14"/>
                <w:color w:val="auto"/>
              </w:rPr>
            </w:pPr>
          </w:p>
        </w:tc>
        <w:tc>
          <w:tcPr>
            <w:tcW w:w="19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Example 3</w:t>
            </w:r>
          </w:p>
        </w:tc>
        <w:tc>
          <w:tcPr>
            <w:tcW w:w="60" w:type="dxa"/>
            <w:vAlign w:val="bottom"/>
          </w:tcPr>
          <w:p>
            <w:pPr>
              <w:spacing w:after="0"/>
              <w:rPr>
                <w:sz w:val="14"/>
                <w:szCs w:val="14"/>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center"/>
              <w:ind w:right="9"/>
              <w:spacing w:after="0" w:line="129" w:lineRule="exact"/>
              <w:rPr>
                <w:sz w:val="20"/>
                <w:szCs w:val="20"/>
                <w:color w:val="auto"/>
              </w:rPr>
            </w:pPr>
            <w:r>
              <w:rPr>
                <w:rFonts w:ascii="Arial" w:cs="Arial" w:eastAsia="Arial" w:hAnsi="Arial"/>
                <w:sz w:val="14"/>
                <w:szCs w:val="14"/>
                <w:b w:val="1"/>
                <w:bCs w:val="1"/>
                <w:color w:val="auto"/>
                <w:w w:val="99"/>
              </w:rPr>
              <w:t>5% Offering at 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center"/>
              <w:ind w:right="9"/>
              <w:spacing w:after="0" w:line="129" w:lineRule="exact"/>
              <w:rPr>
                <w:sz w:val="20"/>
                <w:szCs w:val="20"/>
                <w:color w:val="auto"/>
              </w:rPr>
            </w:pPr>
            <w:r>
              <w:rPr>
                <w:rFonts w:ascii="Arial" w:cs="Arial" w:eastAsia="Arial" w:hAnsi="Arial"/>
                <w:sz w:val="14"/>
                <w:szCs w:val="14"/>
                <w:b w:val="1"/>
                <w:bCs w:val="1"/>
                <w:color w:val="auto"/>
                <w:w w:val="99"/>
              </w:rPr>
              <w:t>10% Offering at</w:t>
            </w:r>
          </w:p>
        </w:tc>
        <w:tc>
          <w:tcPr>
            <w:tcW w:w="4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9"/>
              </w:rPr>
              <w:t>20% Offering at</w:t>
            </w:r>
          </w:p>
        </w:tc>
        <w:tc>
          <w:tcPr>
            <w:tcW w:w="4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9"/>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 w:type="dxa"/>
            <w:vAlign w:val="bottom"/>
          </w:tcPr>
          <w:p>
            <w:pPr>
              <w:spacing w:after="0"/>
              <w:rPr>
                <w:sz w:val="14"/>
                <w:szCs w:val="14"/>
                <w:color w:val="auto"/>
              </w:rPr>
            </w:pPr>
          </w:p>
        </w:tc>
        <w:tc>
          <w:tcPr>
            <w:tcW w:w="10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0"/>
              </w:rPr>
              <w:t>Discount</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10% Discount</w:t>
            </w:r>
          </w:p>
        </w:tc>
        <w:tc>
          <w:tcPr>
            <w:tcW w:w="60" w:type="dxa"/>
            <w:vAlign w:val="bottom"/>
          </w:tcPr>
          <w:p>
            <w:pPr>
              <w:spacing w:after="0"/>
              <w:rPr>
                <w:sz w:val="14"/>
                <w:szCs w:val="14"/>
                <w:color w:val="auto"/>
              </w:rPr>
            </w:pPr>
          </w:p>
        </w:tc>
        <w:tc>
          <w:tcPr>
            <w:tcW w:w="19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20% Discount</w:t>
            </w:r>
          </w:p>
        </w:tc>
        <w:tc>
          <w:tcPr>
            <w:tcW w:w="60" w:type="dxa"/>
            <w:vAlign w:val="bottom"/>
          </w:tcPr>
          <w:p>
            <w:pPr>
              <w:spacing w:after="0"/>
              <w:rPr>
                <w:sz w:val="14"/>
                <w:szCs w:val="14"/>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3"/>
              </w:rPr>
              <w:t>Below</w:t>
            </w:r>
          </w:p>
        </w:tc>
        <w:tc>
          <w:tcPr>
            <w:tcW w:w="108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16.25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15.39</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13.68</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12.83</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15.44</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14.63</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13.00</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12.19</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Arial" w:cs="Arial" w:eastAsia="Arial" w:hAnsi="Arial"/>
                <w:sz w:val="14"/>
                <w:szCs w:val="14"/>
                <w:b w:val="1"/>
                <w:bCs w:val="1"/>
                <w:color w:val="auto"/>
              </w:rPr>
              <w:t>Decrease/Increase to Net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160"/>
              <w:spacing w:after="0"/>
              <w:rPr>
                <w:sz w:val="20"/>
                <w:szCs w:val="20"/>
                <w:color w:val="auto"/>
              </w:rPr>
            </w:pPr>
            <w:r>
              <w:rPr>
                <w:rFonts w:ascii="Arial" w:cs="Arial" w:eastAsia="Arial" w:hAnsi="Arial"/>
                <w:sz w:val="14"/>
                <w:szCs w:val="14"/>
                <w:b w:val="1"/>
                <w:bCs w:val="1"/>
                <w:color w:val="auto"/>
              </w:rPr>
              <w:t>Asset Value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65,412,817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8"/>
              </w:rPr>
              <w:t>68,683,458</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8"/>
              </w:rPr>
              <w:t>71,954,099</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78,495,380</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3,270,641</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6,541,282</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1"/>
              </w:rPr>
              <w:t>13,082,563</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16,353,204</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16.21</w:t>
            </w:r>
          </w:p>
        </w:tc>
        <w:tc>
          <w:tcPr>
            <w:tcW w:w="7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(0.22%)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16.11</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15.71</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15.44</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Investor A</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3,271</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6,541</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13,083</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16,353</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0.01%</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53,033</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105,352</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205,546</w:t>
            </w: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252,501</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60"/>
              <w:spacing w:after="0"/>
              <w:rPr>
                <w:sz w:val="20"/>
                <w:szCs w:val="20"/>
                <w:color w:val="auto"/>
              </w:rPr>
            </w:pPr>
            <w:r>
              <w:rPr>
                <w:rFonts w:ascii="Arial" w:cs="Arial" w:eastAsia="Arial" w:hAnsi="Arial"/>
                <w:sz w:val="14"/>
                <w:szCs w:val="14"/>
                <w:color w:val="auto"/>
              </w:rPr>
              <w:t>Public)</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53,148</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100,701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179,025</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209,794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Dilution/Accretion to Investor 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Net Asset Value Less Total</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(115)</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4,650</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26,521</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42,707</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16.25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15.39</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13.68</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12.83</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Investor 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16.21</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16.11</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15.71</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15.44</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line="130" w:lineRule="exact"/>
              <w:rPr>
                <w:sz w:val="20"/>
                <w:szCs w:val="20"/>
                <w:color w:val="auto"/>
              </w:rPr>
            </w:pPr>
            <w:r>
              <w:rPr>
                <w:rFonts w:ascii="Arial" w:cs="Arial" w:eastAsia="Arial" w:hAnsi="Arial"/>
                <w:sz w:val="14"/>
                <w:szCs w:val="14"/>
                <w:color w:val="auto"/>
              </w:rPr>
              <w:t>Dilution/Accretion per Share Held by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60"/>
              <w:spacing w:after="0" w:line="149" w:lineRule="exact"/>
              <w:rPr>
                <w:sz w:val="20"/>
                <w:szCs w:val="20"/>
                <w:color w:val="auto"/>
              </w:rPr>
            </w:pPr>
            <w:r>
              <w:rPr>
                <w:rFonts w:ascii="Arial" w:cs="Arial" w:eastAsia="Arial" w:hAnsi="Arial"/>
                <w:sz w:val="14"/>
                <w:szCs w:val="14"/>
                <w:color w:val="auto"/>
              </w:rPr>
              <w:t>Investor A (Net Asset Value per Share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60"/>
              <w:spacing w:after="0"/>
              <w:rPr>
                <w:sz w:val="20"/>
                <w:szCs w:val="20"/>
                <w:color w:val="auto"/>
              </w:rPr>
            </w:pPr>
            <w:r>
              <w:rPr>
                <w:rFonts w:ascii="Arial" w:cs="Arial" w:eastAsia="Arial" w:hAnsi="Arial"/>
                <w:sz w:val="14"/>
                <w:szCs w:val="14"/>
                <w:color w:val="auto"/>
              </w:rPr>
              <w:t>Less Investment per Share)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(0.04)</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0.71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2.03</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2.61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Dilution/Accretion to Investor</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 (Dilution per Share Divided by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4.62%</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14.81%</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under the heading “Dividend Reinvestment Plan” in Part I, Item I of our 2018 Annual Report is incorporated herein by reference.</w:t>
      </w:r>
    </w:p>
    <w:p>
      <w:pPr>
        <w:spacing w:after="0" w:line="23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1480" w:hanging="446"/>
        <w:spacing w:after="0" w:line="312"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2" w:lineRule="exact"/>
        <w:rPr>
          <w:rFonts w:ascii="Arial" w:cs="Arial" w:eastAsia="Arial" w:hAnsi="Arial"/>
          <w:sz w:val="16"/>
          <w:szCs w:val="16"/>
          <w:color w:val="auto"/>
        </w:rPr>
      </w:pPr>
    </w:p>
    <w:p>
      <w:pPr>
        <w:ind w:left="1480" w:right="60" w:hanging="446"/>
        <w:spacing w:after="0" w:line="286" w:lineRule="auto"/>
        <w:tabs>
          <w:tab w:leader="none" w:pos="14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00" w:hanging="325"/>
        <w:spacing w:after="0" w:line="31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900" w:right="2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right="60" w:firstLine="8"/>
        <w:spacing w:after="0" w:line="255"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66"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6, 2019:</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40" w:type="dxa"/>
            <w:vAlign w:val="bottom"/>
            <w:gridSpan w:val="2"/>
            <w:vMerge w:val="restart"/>
          </w:tcPr>
          <w:p>
            <w:pPr>
              <w:jc w:val="right"/>
              <w:ind w:right="1140"/>
              <w:spacing w:after="0"/>
              <w:rPr>
                <w:sz w:val="20"/>
                <w:szCs w:val="20"/>
                <w:color w:val="auto"/>
              </w:rPr>
            </w:pPr>
            <w:r>
              <w:rPr>
                <w:rFonts w:ascii="Arial" w:cs="Arial" w:eastAsia="Arial" w:hAnsi="Arial"/>
                <w:sz w:val="14"/>
                <w:szCs w:val="14"/>
                <w:b w:val="1"/>
                <w:bCs w:val="1"/>
                <w:color w:val="auto"/>
                <w:w w:val="94"/>
              </w:rPr>
              <w:t>Amount Held by Us or for Our</w:t>
            </w:r>
          </w:p>
        </w:tc>
        <w:tc>
          <w:tcPr>
            <w:tcW w:w="2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2140" w:type="dxa"/>
            <w:vAlign w:val="bottom"/>
            <w:vMerge w:val="restart"/>
          </w:tcPr>
          <w:p>
            <w:pPr>
              <w:spacing w:after="0"/>
              <w:rPr>
                <w:sz w:val="12"/>
                <w:szCs w:val="12"/>
                <w:color w:val="auto"/>
              </w:rPr>
            </w:pPr>
          </w:p>
        </w:tc>
        <w:tc>
          <w:tcPr>
            <w:tcW w:w="2360" w:type="dxa"/>
            <w:vAlign w:val="bottom"/>
            <w:gridSpan w:val="2"/>
            <w:vMerge w:val="restart"/>
          </w:tcPr>
          <w:p>
            <w:pPr>
              <w:jc w:val="right"/>
              <w:ind w:right="1140"/>
              <w:spacing w:after="0"/>
              <w:rPr>
                <w:sz w:val="20"/>
                <w:szCs w:val="20"/>
                <w:color w:val="auto"/>
              </w:rPr>
            </w:pPr>
            <w:r>
              <w:rPr>
                <w:rFonts w:ascii="Arial" w:cs="Arial" w:eastAsia="Arial" w:hAnsi="Arial"/>
                <w:sz w:val="14"/>
                <w:szCs w:val="14"/>
                <w:b w:val="1"/>
                <w:bCs w:val="1"/>
                <w:color w:val="auto"/>
                <w:w w:val="92"/>
              </w:rPr>
              <w:t>Amount Authorized</w:t>
            </w:r>
          </w:p>
        </w:tc>
        <w:tc>
          <w:tcPr>
            <w:tcW w:w="3040" w:type="dxa"/>
            <w:vAlign w:val="bottom"/>
            <w:gridSpan w:val="2"/>
            <w:vMerge w:val="continue"/>
          </w:tcPr>
          <w:p>
            <w:pPr>
              <w:spacing w:after="0"/>
              <w:rPr>
                <w:sz w:val="12"/>
                <w:szCs w:val="12"/>
                <w:color w:val="auto"/>
              </w:rPr>
            </w:pPr>
          </w:p>
        </w:tc>
        <w:tc>
          <w:tcPr>
            <w:tcW w:w="2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Amount Held by Us or for Our</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3040" w:type="dxa"/>
            <w:vAlign w:val="bottom"/>
            <w:gridSpan w:val="2"/>
          </w:tcPr>
          <w:p>
            <w:pPr>
              <w:ind w:left="700"/>
              <w:spacing w:after="0" w:line="158" w:lineRule="exact"/>
              <w:rPr>
                <w:sz w:val="20"/>
                <w:szCs w:val="20"/>
                <w:color w:val="auto"/>
              </w:rPr>
            </w:pPr>
            <w:r>
              <w:rPr>
                <w:rFonts w:ascii="Arial" w:cs="Arial" w:eastAsia="Arial" w:hAnsi="Arial"/>
                <w:sz w:val="14"/>
                <w:szCs w:val="14"/>
                <w:b w:val="1"/>
                <w:bCs w:val="1"/>
                <w:color w:val="auto"/>
              </w:rPr>
              <w:t>Account</w:t>
            </w:r>
          </w:p>
        </w:tc>
        <w:tc>
          <w:tcPr>
            <w:tcW w:w="2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Account</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w:t>
            </w:r>
          </w:p>
        </w:tc>
        <w:tc>
          <w:tcPr>
            <w:tcW w:w="11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89,080</w:t>
            </w:r>
          </w:p>
        </w:tc>
        <w:tc>
          <w:tcPr>
            <w:tcW w:w="11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66,031,076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280" w:hanging="325"/>
        <w:spacing w:after="0" w:line="28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18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 Remedies If an Event of Default Occurs.” Second, the trustee performs certain administrative duties for us.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right="2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(i) resulting in such indebtedness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60" w:lineRule="exact"/>
        <w:rPr>
          <w:sz w:val="20"/>
          <w:szCs w:val="20"/>
          <w:color w:val="auto"/>
        </w:rPr>
      </w:pPr>
    </w:p>
    <w:p>
      <w:pPr>
        <w:ind w:left="900" w:right="180" w:hanging="325"/>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14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75"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900" w:right="14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900" w:right="40" w:hanging="325"/>
        <w:spacing w:after="0" w:line="276"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5620" w:right="5120" w:hanging="5045"/>
        <w:spacing w:after="0" w:line="536" w:lineRule="auto"/>
        <w:tabs>
          <w:tab w:leader="none" w:pos="896"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interest on a debt security; 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20" w:hanging="325"/>
        <w:spacing w:after="0" w:line="34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4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80"/>
          </w:cols>
          <w:pgMar w:left="240" w:top="459" w:right="3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 —Full Defeasance.”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00" w:hanging="325"/>
        <w:spacing w:after="0" w:line="28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right="20" w:hanging="325"/>
        <w:spacing w:after="0" w:line="27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must deliver to the trustee a legal opinion and officers’ certificate stating that all conditions precedent to defeasance have been complied with.</w:t>
      </w:r>
    </w:p>
    <w:p>
      <w:pPr>
        <w:spacing w:after="0" w:line="24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in the section entitled “Regulation as a Business Development Company” in Part I, Item 1 of our 2018 Annual Report is incorporated herein by reference.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See “Available Information” below for more information regarding where you can obtain a copy of our codes of ethics and the Proxy Voting Policies and Procedures of our Advisor.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$118,545.27.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4" w:lineRule="exact"/>
        <w:rPr>
          <w:sz w:val="20"/>
          <w:szCs w:val="20"/>
          <w:color w:val="auto"/>
        </w:rPr>
      </w:pPr>
    </w:p>
    <w:p>
      <w:pPr>
        <w:ind w:left="900" w:right="2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170">
        <w:r>
          <w:rPr>
            <w:rFonts w:ascii="Arial" w:cs="Arial" w:eastAsia="Arial" w:hAnsi="Arial"/>
            <w:sz w:val="18"/>
            <w:szCs w:val="18"/>
            <w:u w:val="single" w:color="auto"/>
            <w:color w:val="0000EE"/>
          </w:rPr>
          <w:t>February 20, 2019</w:t>
        </w:r>
      </w:hyperlink>
      <w:r>
        <w:rPr>
          <w:rFonts w:ascii="Arial" w:cs="Arial" w:eastAsia="Arial" w:hAnsi="Arial"/>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171">
        <w:r>
          <w:rPr>
            <w:rFonts w:ascii="Arial" w:cs="Arial" w:eastAsia="Arial" w:hAnsi="Arial"/>
            <w:sz w:val="18"/>
            <w:szCs w:val="18"/>
            <w:u w:val="single" w:color="auto"/>
            <w:color w:val="0000EE"/>
          </w:rPr>
          <w:t>April 5,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7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2019, filed with the SEC on May 2,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73">
        <w:r>
          <w:rPr>
            <w:rFonts w:ascii="Arial" w:cs="Arial" w:eastAsia="Arial" w:hAnsi="Arial"/>
            <w:sz w:val="18"/>
            <w:szCs w:val="18"/>
            <w:u w:val="single" w:color="auto"/>
            <w:color w:val="0000EE"/>
          </w:rPr>
          <w:t>February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74">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456"/>
        <w:spacing w:after="0" w:line="255"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93" w:lineRule="exact"/>
        <w:rPr>
          <w:rFonts w:ascii="Arial" w:cs="Arial" w:eastAsia="Arial" w:hAnsi="Arial"/>
          <w:sz w:val="18"/>
          <w:szCs w:val="18"/>
          <w:color w:val="auto"/>
        </w:rPr>
      </w:pPr>
    </w:p>
    <w:p>
      <w:pPr>
        <w:ind w:right="80" w:firstLine="456"/>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6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IRTSL@tpg.com.</w:t>
      </w:r>
    </w:p>
    <w:p>
      <w:pPr>
        <w:spacing w:after="0" w:line="211" w:lineRule="exact"/>
        <w:rPr>
          <w:rFonts w:ascii="Arial" w:cs="Arial" w:eastAsia="Arial" w:hAnsi="Arial"/>
          <w:sz w:val="18"/>
          <w:szCs w:val="18"/>
          <w:color w:val="auto"/>
        </w:rPr>
      </w:pPr>
    </w:p>
    <w:p>
      <w:pPr>
        <w:ind w:firstLine="456"/>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25.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Report of Independent Registered Public Accounting Firm of KPMG LLP, dated February 20, 2019, and the audited consolidated financial statements of TPG Specialty Lending, Inc. as of December 31, 2018 and 2017 and for the fiscal years ended December 31, 2018, 2017 and 2016 in our 2018 Annual Report, are incorporated herein by reference.</w:t>
      </w:r>
    </w:p>
    <w:p>
      <w:pPr>
        <w:spacing w:after="0" w:line="18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interim unaudited consolidated financial statements of TPG Specialty Lending, Inc. as of March 31, 2019 and for the three months ended March 31, 2019 and 2018 in our 2019 Q1 Quarterly Report are also incorporated herein by reference.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(2) Exhibits</w:t>
            </w:r>
          </w:p>
        </w:tc>
        <w:tc>
          <w:tcPr>
            <w:tcW w:w="3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527"/>
        </w:trPr>
        <w:tc>
          <w:tcPr>
            <w:tcW w:w="1420" w:type="dxa"/>
            <w:vAlign w:val="bottom"/>
          </w:tcPr>
          <w:p>
            <w:pPr>
              <w:spacing w:after="0"/>
              <w:rPr>
                <w:sz w:val="20"/>
                <w:szCs w:val="20"/>
                <w:color w:val="auto"/>
              </w:rPr>
            </w:pPr>
            <w:r>
              <w:rPr>
                <w:rFonts w:ascii="Arial" w:cs="Arial" w:eastAsia="Arial" w:hAnsi="Arial"/>
                <w:sz w:val="18"/>
                <w:szCs w:val="18"/>
                <w:color w:val="auto"/>
              </w:rPr>
              <w:t>(a)(1)</w:t>
            </w:r>
          </w:p>
        </w:tc>
        <w:tc>
          <w:tcPr>
            <w:tcW w:w="9900" w:type="dxa"/>
            <w:vAlign w:val="bottom"/>
            <w:gridSpan w:val="6"/>
          </w:tcPr>
          <w:p>
            <w:pPr>
              <w:spacing w:after="0"/>
              <w:rPr>
                <w:rFonts w:ascii="Arial" w:cs="Arial" w:eastAsia="Arial" w:hAnsi="Arial"/>
                <w:sz w:val="18"/>
                <w:szCs w:val="18"/>
                <w:color w:val="0000EE"/>
                <w:w w:val="94"/>
              </w:rPr>
            </w:pPr>
            <w:hyperlink r:id="rId176">
              <w:r>
                <w:rPr>
                  <w:rFonts w:ascii="Arial" w:cs="Arial" w:eastAsia="Arial" w:hAnsi="Arial"/>
                  <w:sz w:val="18"/>
                  <w:szCs w:val="18"/>
                  <w:color w:val="0000EE"/>
                  <w:w w:val="94"/>
                </w:rPr>
                <w:t>Amended and Restated Certificate of Incorporation (incorporated by reference to Exhibit 3.1 to Amendment No. 1 to the Company’s</w:t>
              </w:r>
            </w:hyperlink>
          </w:p>
        </w:tc>
      </w:tr>
      <w:tr>
        <w:trPr>
          <w:trHeight w:val="196"/>
        </w:trPr>
        <w:tc>
          <w:tcPr>
            <w:tcW w:w="14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Registration Statement on Form 10 filed on March 14, 2011)</w:t>
              </w:r>
            </w:hyperlink>
          </w:p>
        </w:tc>
        <w:tc>
          <w:tcPr>
            <w:tcW w:w="5220" w:type="dxa"/>
            <w:vAlign w:val="bottom"/>
            <w:tcBorders>
              <w:top w:val="single" w:sz="8" w:color="0000EE"/>
            </w:tcBorders>
            <w:gridSpan w:val="3"/>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(a)(2)</w:t>
            </w:r>
          </w:p>
        </w:tc>
        <w:tc>
          <w:tcPr>
            <w:tcW w:w="9260" w:type="dxa"/>
            <w:vAlign w:val="bottom"/>
            <w:tcBorders>
              <w:bottom w:val="single" w:sz="8" w:color="0000EE"/>
            </w:tcBorders>
            <w:gridSpan w:val="4"/>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Certificate of Amendment to Amended and Restated Certificate of Incorporation (incorporated by reference to Exhibit 3.1 to the</w:t>
              </w:r>
            </w:hyperlink>
          </w:p>
        </w:tc>
        <w:tc>
          <w:tcPr>
            <w:tcW w:w="64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48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Company’s Current Report on Form 8-K filed on March 12, 2014)</w:t>
              </w:r>
            </w:hyperlink>
          </w:p>
        </w:tc>
        <w:tc>
          <w:tcPr>
            <w:tcW w:w="5100" w:type="dxa"/>
            <w:vAlign w:val="bottom"/>
            <w:gridSpan w:val="3"/>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(a)(3)</w:t>
            </w:r>
          </w:p>
        </w:tc>
        <w:tc>
          <w:tcPr>
            <w:tcW w:w="9900" w:type="dxa"/>
            <w:vAlign w:val="bottom"/>
            <w:tcBorders>
              <w:bottom w:val="single" w:sz="8" w:color="0000EE"/>
            </w:tcBorders>
            <w:gridSpan w:val="6"/>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Certificate of Change of Registered Agent and/or Registered Office (incorporated by reference to Exhibit 3.1 to the Company’s Quarterly</w:t>
              </w:r>
            </w:hyperlink>
          </w:p>
        </w:tc>
      </w:tr>
      <w:tr>
        <w:trPr>
          <w:trHeight w:val="196"/>
        </w:trPr>
        <w:tc>
          <w:tcPr>
            <w:tcW w:w="1420" w:type="dxa"/>
            <w:vAlign w:val="bottom"/>
          </w:tcPr>
          <w:p>
            <w:pPr>
              <w:spacing w:after="0"/>
              <w:rPr>
                <w:sz w:val="17"/>
                <w:szCs w:val="17"/>
                <w:color w:val="auto"/>
              </w:rPr>
            </w:pPr>
          </w:p>
        </w:tc>
        <w:tc>
          <w:tcPr>
            <w:tcW w:w="9900" w:type="dxa"/>
            <w:vAlign w:val="bottom"/>
            <w:gridSpan w:val="6"/>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Report on Form 10-Q filed on November 7, 2016)</w:t>
              </w:r>
            </w:hyperlink>
          </w:p>
        </w:tc>
      </w:tr>
      <w:tr>
        <w:trPr>
          <w:trHeight w:val="20"/>
        </w:trPr>
        <w:tc>
          <w:tcPr>
            <w:tcW w:w="142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20" w:right="320" w:hanging="1412"/>
        <w:spacing w:after="0" w:line="277" w:lineRule="auto"/>
        <w:tabs>
          <w:tab w:leader="none" w:pos="1420" w:val="left"/>
        </w:tabs>
        <w:numPr>
          <w:ilvl w:val="0"/>
          <w:numId w:val="73"/>
        </w:numPr>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Bylaws of TPG Specialty Lending, Inc., effective as of November 7, 2016 (incorporated by reference to Exhibit 3.2 to the Company’s</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Quarterly Report on Form 10-Q filed on November 7, 2016)</w:t>
        </w:r>
      </w:hyperlink>
    </w:p>
    <w:p>
      <w:pPr>
        <w:spacing w:after="0" w:line="62" w:lineRule="exact"/>
        <w:rPr>
          <w:rFonts w:ascii="Arial" w:cs="Arial" w:eastAsia="Arial" w:hAnsi="Arial"/>
          <w:sz w:val="18"/>
          <w:szCs w:val="18"/>
          <w:u w:val="single" w:color="auto"/>
          <w:color w:val="0000EE"/>
        </w:rPr>
      </w:pPr>
    </w:p>
    <w:p>
      <w:pPr>
        <w:ind w:left="1420" w:hanging="1412"/>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0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auto"/>
              </w:rPr>
              <w:t>(d)(1)</w:t>
            </w:r>
          </w:p>
        </w:tc>
        <w:tc>
          <w:tcPr>
            <w:tcW w:w="10000" w:type="dxa"/>
            <w:vAlign w:val="bottom"/>
            <w:gridSpan w:val="18"/>
          </w:tcPr>
          <w:p>
            <w:pPr>
              <w:spacing w:after="0"/>
              <w:rPr>
                <w:rFonts w:ascii="Arial" w:cs="Arial" w:eastAsia="Arial" w:hAnsi="Arial"/>
                <w:sz w:val="18"/>
                <w:szCs w:val="18"/>
                <w:color w:val="0000EE"/>
                <w:w w:val="95"/>
              </w:rPr>
            </w:pPr>
            <w:hyperlink r:id="rId180">
              <w:r>
                <w:rPr>
                  <w:rFonts w:ascii="Arial" w:cs="Arial" w:eastAsia="Arial" w:hAnsi="Arial"/>
                  <w:sz w:val="18"/>
                  <w:szCs w:val="18"/>
                  <w:color w:val="0000EE"/>
                  <w:w w:val="95"/>
                </w:rPr>
                <w:t>Form of Common Stock Certificate (incorporated by reference to Exhibit 4.2 to the Company’s Annual Report on Form 10-K filed on</w:t>
              </w:r>
            </w:hyperlink>
          </w:p>
        </w:tc>
      </w:tr>
      <w:tr>
        <w:trPr>
          <w:trHeight w:val="196"/>
        </w:trPr>
        <w:tc>
          <w:tcPr>
            <w:tcW w:w="14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March 22, 2012)</w:t>
              </w:r>
            </w:hyperlink>
          </w:p>
        </w:tc>
        <w:tc>
          <w:tcPr>
            <w:tcW w:w="8420" w:type="dxa"/>
            <w:vAlign w:val="bottom"/>
            <w:tcBorders>
              <w:top w:val="single" w:sz="8" w:color="0000EE"/>
            </w:tcBorders>
            <w:gridSpan w:val="12"/>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(d)(2)</w:t>
            </w:r>
          </w:p>
        </w:tc>
        <w:tc>
          <w:tcPr>
            <w:tcW w:w="10000" w:type="dxa"/>
            <w:vAlign w:val="bottom"/>
            <w:gridSpan w:val="18"/>
          </w:tcPr>
          <w:p>
            <w:pPr>
              <w:spacing w:after="0"/>
              <w:rPr>
                <w:rFonts w:ascii="Arial" w:cs="Arial" w:eastAsia="Arial" w:hAnsi="Arial"/>
                <w:sz w:val="18"/>
                <w:szCs w:val="18"/>
                <w:color w:val="0000EE"/>
                <w:w w:val="97"/>
              </w:rPr>
            </w:pPr>
            <w:hyperlink r:id="rId181">
              <w:r>
                <w:rPr>
                  <w:rFonts w:ascii="Arial" w:cs="Arial" w:eastAsia="Arial" w:hAnsi="Arial"/>
                  <w:sz w:val="18"/>
                  <w:szCs w:val="18"/>
                  <w:color w:val="0000EE"/>
                  <w:w w:val="97"/>
                </w:rPr>
                <w:t>Form of Subscription Certificate (incorporated by reference to Exhibit (d)(7) to Pre-Effective Amendment No. 1 to the Company’s</w:t>
              </w:r>
            </w:hyperlink>
          </w:p>
        </w:tc>
      </w:tr>
      <w:tr>
        <w:trPr>
          <w:trHeight w:val="196"/>
        </w:trPr>
        <w:tc>
          <w:tcPr>
            <w:tcW w:w="14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Registration Statement on Form N-2 filed on July 25, 2014)</w:t>
              </w:r>
            </w:hyperlink>
          </w:p>
        </w:tc>
        <w:tc>
          <w:tcPr>
            <w:tcW w:w="5080" w:type="dxa"/>
            <w:vAlign w:val="bottom"/>
            <w:tcBorders>
              <w:top w:val="single" w:sz="8" w:color="0000EE"/>
            </w:tcBorders>
            <w:gridSpan w:val="5"/>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(d)(3)</w:t>
            </w:r>
          </w:p>
        </w:tc>
        <w:tc>
          <w:tcPr>
            <w:tcW w:w="3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Statement of Eligibility of Trustee on Form T-1</w:t>
            </w:r>
          </w:p>
        </w:tc>
        <w:tc>
          <w:tcPr>
            <w:tcW w:w="6580" w:type="dxa"/>
            <w:vAlign w:val="bottom"/>
            <w:gridSpan w:val="13"/>
          </w:tcPr>
          <w:p>
            <w:pPr>
              <w:spacing w:after="0"/>
              <w:rPr>
                <w:sz w:val="24"/>
                <w:szCs w:val="24"/>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(d)(4)</w:t>
            </w:r>
          </w:p>
        </w:tc>
        <w:tc>
          <w:tcPr>
            <w:tcW w:w="9140" w:type="dxa"/>
            <w:vAlign w:val="bottom"/>
            <w:tcBorders>
              <w:bottom w:val="single" w:sz="8" w:color="0000EE"/>
            </w:tcBorders>
            <w:gridSpan w:val="10"/>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Indenture, dated June 10, 2014, between TPG Specialty Lending, Inc. and Wells Fargo Bank, National Association, as Trustee</w:t>
              </w:r>
            </w:hyperlink>
          </w:p>
        </w:tc>
        <w:tc>
          <w:tcPr>
            <w:tcW w:w="860" w:type="dxa"/>
            <w:vAlign w:val="bottom"/>
            <w:gridSpan w:val="8"/>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(incorporated by reference to Exhibit 4.1 to the Company’s Current Report on Form 8-K filed on June 10, 2014)</w:t>
              </w:r>
            </w:hyperlink>
          </w:p>
        </w:tc>
      </w:tr>
      <w:tr>
        <w:trPr>
          <w:trHeight w:val="20"/>
        </w:trPr>
        <w:tc>
          <w:tcPr>
            <w:tcW w:w="1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(d)(5)</w:t>
            </w:r>
          </w:p>
        </w:tc>
        <w:tc>
          <w:tcPr>
            <w:tcW w:w="10000" w:type="dxa"/>
            <w:vAlign w:val="bottom"/>
            <w:tcBorders>
              <w:bottom w:val="single" w:sz="8" w:color="0000EE"/>
            </w:tcBorders>
            <w:gridSpan w:val="18"/>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Form of 4.50% Convertible Notes Due 2019 (incorporated by reference to Exhibit 4.2 to the Company’s Current Report on Form 8-K filed</w:t>
              </w:r>
            </w:hyperlink>
          </w:p>
        </w:tc>
      </w:tr>
      <w:tr>
        <w:trPr>
          <w:trHeight w:val="196"/>
        </w:trPr>
        <w:tc>
          <w:tcPr>
            <w:tcW w:w="142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82">
              <w:r>
                <w:rPr>
                  <w:rFonts w:ascii="Arial" w:cs="Arial" w:eastAsia="Arial" w:hAnsi="Arial"/>
                  <w:sz w:val="18"/>
                  <w:szCs w:val="18"/>
                  <w:color w:val="0000EE"/>
                  <w:w w:val="88"/>
                </w:rPr>
                <w:t>on June 10, 2014)</w:t>
              </w:r>
            </w:hyperlink>
          </w:p>
        </w:tc>
        <w:tc>
          <w:tcPr>
            <w:tcW w:w="8700" w:type="dxa"/>
            <w:vAlign w:val="bottom"/>
            <w:gridSpan w:val="15"/>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(d)(6)</w:t>
            </w:r>
          </w:p>
        </w:tc>
        <w:tc>
          <w:tcPr>
            <w:tcW w:w="9780" w:type="dxa"/>
            <w:vAlign w:val="bottom"/>
            <w:tcBorders>
              <w:bottom w:val="single" w:sz="8" w:color="0000EE"/>
            </w:tcBorders>
            <w:gridSpan w:val="16"/>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Indenture, dated as of February 1, 2017, between TPG Specialty Lending, Inc. and Wells Fargo Bank, National Association, as Trustee</w:t>
              </w:r>
            </w:hyperlink>
          </w:p>
        </w:tc>
        <w:tc>
          <w:tcPr>
            <w:tcW w:w="22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83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(incorporated by reference to Exhibit 4.1 to the Company’s Current Report on Form 8-K filed on February 1, 2017)</w:t>
              </w:r>
            </w:hyperlink>
          </w:p>
        </w:tc>
        <w:tc>
          <w:tcPr>
            <w:tcW w:w="1620" w:type="dxa"/>
            <w:vAlign w:val="bottom"/>
            <w:gridSpan w:val="9"/>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(d)(7)</w:t>
            </w:r>
          </w:p>
        </w:tc>
        <w:tc>
          <w:tcPr>
            <w:tcW w:w="10000" w:type="dxa"/>
            <w:vAlign w:val="bottom"/>
            <w:gridSpan w:val="18"/>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Form of 4.50% Convertible Note Due 2022 (incorporated by reference to Exhibit 4.2 to the Company’s Current Report on Form 8-K filed</w:t>
              </w:r>
            </w:hyperlink>
          </w:p>
        </w:tc>
      </w:tr>
      <w:tr>
        <w:trPr>
          <w:trHeight w:val="196"/>
        </w:trPr>
        <w:tc>
          <w:tcPr>
            <w:tcW w:w="1420" w:type="dxa"/>
            <w:vAlign w:val="bottom"/>
          </w:tcPr>
          <w:p>
            <w:pPr>
              <w:spacing w:after="0"/>
              <w:rPr>
                <w:sz w:val="17"/>
                <w:szCs w:val="17"/>
                <w:color w:val="auto"/>
              </w:rPr>
            </w:pPr>
          </w:p>
        </w:tc>
        <w:tc>
          <w:tcPr>
            <w:tcW w:w="99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on February 1, 2017)</w:t>
              </w:r>
            </w:hyperlink>
          </w:p>
        </w:tc>
        <w:tc>
          <w:tcPr>
            <w:tcW w:w="8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(d)(8)</w:t>
            </w:r>
          </w:p>
        </w:tc>
        <w:tc>
          <w:tcPr>
            <w:tcW w:w="9760" w:type="dxa"/>
            <w:vAlign w:val="bottom"/>
            <w:tcBorders>
              <w:bottom w:val="single" w:sz="8" w:color="0000EE"/>
            </w:tcBorders>
            <w:gridSpan w:val="15"/>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Indenture, dated as of January 22, 2018, between TPG Specialty Lending, Inc. and Wells Fargo Bank, National Association, as Trustee</w:t>
              </w:r>
            </w:hyperlink>
          </w:p>
        </w:tc>
        <w:tc>
          <w:tcPr>
            <w:tcW w:w="240" w:type="dxa"/>
            <w:vAlign w:val="bottom"/>
            <w:gridSpan w:val="3"/>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83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(incorporated by reference to Exhibit 4.1 to the Company’s Current Report on Form 8-K filed on January 22, 2018)</w:t>
              </w:r>
            </w:hyperlink>
          </w:p>
        </w:tc>
        <w:tc>
          <w:tcPr>
            <w:tcW w:w="1640" w:type="dxa"/>
            <w:vAlign w:val="bottom"/>
            <w:gridSpan w:val="10"/>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Arial" w:cs="Arial" w:eastAsia="Arial" w:hAnsi="Arial"/>
                <w:sz w:val="18"/>
                <w:szCs w:val="18"/>
                <w:color w:val="auto"/>
              </w:rPr>
              <w:t>(d)(9)</w:t>
            </w:r>
          </w:p>
        </w:tc>
        <w:tc>
          <w:tcPr>
            <w:tcW w:w="9460" w:type="dxa"/>
            <w:vAlign w:val="bottom"/>
            <w:tcBorders>
              <w:bottom w:val="single" w:sz="8" w:color="0000EE"/>
            </w:tcBorders>
            <w:gridSpan w:val="12"/>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First Supplemental Indenture, dated as of January 22, 2018, between TPG Specialty Lending, Inc. and Wells Fargo Bank, National</w:t>
              </w:r>
            </w:hyperlink>
          </w:p>
        </w:tc>
        <w:tc>
          <w:tcPr>
            <w:tcW w:w="540" w:type="dxa"/>
            <w:vAlign w:val="bottom"/>
            <w:gridSpan w:val="6"/>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w w:val="95"/>
              </w:rPr>
            </w:pPr>
            <w:hyperlink r:id="rId185">
              <w:r>
                <w:rPr>
                  <w:rFonts w:ascii="Arial" w:cs="Arial" w:eastAsia="Arial" w:hAnsi="Arial"/>
                  <w:sz w:val="18"/>
                  <w:szCs w:val="18"/>
                  <w:color w:val="0000EE"/>
                  <w:w w:val="95"/>
                </w:rPr>
                <w:t>Association, as Trustee (incorporated by reference to Exhibit 4.2 to the Company’s Current Report on Form 8-K filed on January 22,</w:t>
              </w:r>
            </w:hyperlink>
          </w:p>
        </w:tc>
      </w:tr>
      <w:tr>
        <w:trPr>
          <w:trHeight w:val="196"/>
        </w:trPr>
        <w:tc>
          <w:tcPr>
            <w:tcW w:w="14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5">
              <w:r>
                <w:rPr>
                  <w:rFonts w:ascii="Arial" w:cs="Arial" w:eastAsia="Arial" w:hAnsi="Arial"/>
                  <w:sz w:val="18"/>
                  <w:szCs w:val="18"/>
                  <w:color w:val="0000EE"/>
                  <w:w w:val="86"/>
                </w:rPr>
                <w:t>2018)</w:t>
              </w:r>
            </w:hyperlink>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5"/>
        </w:trPr>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80" w:type="dxa"/>
            <w:vAlign w:val="bottom"/>
            <w:gridSpan w:val="13"/>
          </w:tcPr>
          <w:p>
            <w:pPr>
              <w:ind w:left="74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500" w:type="dxa"/>
            <w:vAlign w:val="bottom"/>
            <w:gridSpan w:val="2"/>
          </w:tcPr>
          <w:p>
            <w:pPr>
              <w:spacing w:after="0"/>
              <w:rPr>
                <w:sz w:val="20"/>
                <w:szCs w:val="20"/>
                <w:color w:val="auto"/>
              </w:rPr>
            </w:pPr>
            <w:r>
              <w:rPr>
                <w:rFonts w:ascii="Arial" w:cs="Arial" w:eastAsia="Arial" w:hAnsi="Arial"/>
                <w:sz w:val="18"/>
                <w:szCs w:val="18"/>
                <w:color w:val="auto"/>
              </w:rPr>
              <w:t>(d)(10)</w:t>
            </w:r>
          </w:p>
        </w:tc>
        <w:tc>
          <w:tcPr>
            <w:tcW w:w="9900" w:type="dxa"/>
            <w:vAlign w:val="bottom"/>
            <w:gridSpan w:val="28"/>
          </w:tcPr>
          <w:p>
            <w:pPr>
              <w:spacing w:after="0"/>
              <w:rPr>
                <w:rFonts w:ascii="Arial" w:cs="Arial" w:eastAsia="Arial" w:hAnsi="Arial"/>
                <w:sz w:val="18"/>
                <w:szCs w:val="18"/>
                <w:color w:val="0000EE"/>
                <w:w w:val="97"/>
              </w:rPr>
            </w:pPr>
            <w:hyperlink r:id="rId185">
              <w:r>
                <w:rPr>
                  <w:rFonts w:ascii="Arial" w:cs="Arial" w:eastAsia="Arial" w:hAnsi="Arial"/>
                  <w:sz w:val="18"/>
                  <w:szCs w:val="18"/>
                  <w:color w:val="0000EE"/>
                  <w:w w:val="97"/>
                </w:rPr>
                <w:t>Form of 4.500% Note Due 2023 (incorporated by reference to Exhibit 4.3 to the Company’s Current Report on Form 8-K filed on</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January 22, 2018)</w:t>
              </w:r>
            </w:hyperlink>
          </w:p>
        </w:tc>
        <w:tc>
          <w:tcPr>
            <w:tcW w:w="560" w:type="dxa"/>
            <w:vAlign w:val="bottom"/>
            <w:gridSpan w:val="15"/>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(d)(11)</w:t>
            </w:r>
          </w:p>
        </w:tc>
        <w:tc>
          <w:tcPr>
            <w:tcW w:w="9900" w:type="dxa"/>
            <w:vAlign w:val="bottom"/>
            <w:gridSpan w:val="28"/>
          </w:tcPr>
          <w:p>
            <w:pPr>
              <w:spacing w:after="0"/>
              <w:rPr>
                <w:rFonts w:ascii="Arial" w:cs="Arial" w:eastAsia="Arial" w:hAnsi="Arial"/>
                <w:sz w:val="18"/>
                <w:szCs w:val="18"/>
                <w:color w:val="0000EE"/>
                <w:w w:val="97"/>
              </w:rPr>
            </w:pPr>
            <w:hyperlink r:id="rId187">
              <w:r>
                <w:rPr>
                  <w:rFonts w:ascii="Arial" w:cs="Arial" w:eastAsia="Arial" w:hAnsi="Arial"/>
                  <w:sz w:val="18"/>
                  <w:szCs w:val="18"/>
                  <w:color w:val="0000EE"/>
                  <w:w w:val="97"/>
                </w:rPr>
                <w:t>First Supplemental Indenture, dated as of June 19, 2018, between TPG Specialty Lending, Inc. and Wells Fargo Bank, National</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Association, as Trustee (incorporated by reference to Exhibit 4.1 to the Company’s Current Report on Form 8-K filed on June 19, 2018)</w:t>
              </w:r>
            </w:hyperlink>
          </w:p>
        </w:tc>
      </w:tr>
      <w:tr>
        <w:trPr>
          <w:trHeight w:val="20"/>
        </w:trPr>
        <w:tc>
          <w:tcPr>
            <w:tcW w:w="1500" w:type="dxa"/>
            <w:vAlign w:val="bottom"/>
            <w:gridSpan w:val="2"/>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(e)</w:t>
            </w:r>
          </w:p>
        </w:tc>
        <w:tc>
          <w:tcPr>
            <w:tcW w:w="9900" w:type="dxa"/>
            <w:vAlign w:val="bottom"/>
            <w:tcBorders>
              <w:bottom w:val="single" w:sz="8" w:color="0000EE"/>
            </w:tcBorders>
            <w:gridSpan w:val="28"/>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Dividend Reinvestment Plan of TPG Specialty Lending, Inc. (incorporated by reference to Exhibit (e) to Pre-Effective Amendment No. 4</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to the Company’s Registration Statement on Form N-2 filed on March 17, 2014)</w:t>
              </w:r>
            </w:hyperlink>
          </w:p>
        </w:tc>
      </w:tr>
      <w:tr>
        <w:trPr>
          <w:trHeight w:val="345"/>
        </w:trPr>
        <w:tc>
          <w:tcPr>
            <w:tcW w:w="1500" w:type="dxa"/>
            <w:vAlign w:val="bottom"/>
            <w:gridSpan w:val="2"/>
          </w:tcPr>
          <w:p>
            <w:pPr>
              <w:spacing w:after="0"/>
              <w:rPr>
                <w:sz w:val="20"/>
                <w:szCs w:val="20"/>
                <w:color w:val="auto"/>
              </w:rPr>
            </w:pPr>
            <w:r>
              <w:rPr>
                <w:rFonts w:ascii="Arial" w:cs="Arial" w:eastAsia="Arial" w:hAnsi="Arial"/>
                <w:sz w:val="18"/>
                <w:szCs w:val="18"/>
                <w:color w:val="auto"/>
              </w:rPr>
              <w:t>(f)</w:t>
            </w:r>
          </w:p>
        </w:tc>
        <w:tc>
          <w:tcPr>
            <w:tcW w:w="58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Not applicable</w:t>
            </w:r>
          </w:p>
        </w:tc>
        <w:tc>
          <w:tcPr>
            <w:tcW w:w="4100" w:type="dxa"/>
            <w:vAlign w:val="bottom"/>
            <w:gridSpan w:val="23"/>
          </w:tcPr>
          <w:p>
            <w:pPr>
              <w:spacing w:after="0"/>
              <w:rPr>
                <w:sz w:val="24"/>
                <w:szCs w:val="24"/>
                <w:color w:val="auto"/>
              </w:rPr>
            </w:pPr>
          </w:p>
        </w:tc>
      </w:tr>
      <w:tr>
        <w:trPr>
          <w:trHeight w:val="284"/>
        </w:trPr>
        <w:tc>
          <w:tcPr>
            <w:tcW w:w="1500" w:type="dxa"/>
            <w:vAlign w:val="bottom"/>
            <w:gridSpan w:val="2"/>
          </w:tcPr>
          <w:p>
            <w:pPr>
              <w:spacing w:after="0"/>
              <w:rPr>
                <w:sz w:val="20"/>
                <w:szCs w:val="20"/>
                <w:color w:val="auto"/>
              </w:rPr>
            </w:pPr>
            <w:r>
              <w:rPr>
                <w:rFonts w:ascii="Arial" w:cs="Arial" w:eastAsia="Arial" w:hAnsi="Arial"/>
                <w:sz w:val="18"/>
                <w:szCs w:val="18"/>
                <w:color w:val="auto"/>
              </w:rPr>
              <w:t>(g)</w:t>
            </w:r>
          </w:p>
        </w:tc>
        <w:tc>
          <w:tcPr>
            <w:tcW w:w="9620" w:type="dxa"/>
            <w:vAlign w:val="bottom"/>
            <w:tcBorders>
              <w:bottom w:val="single" w:sz="8" w:color="0000EE"/>
            </w:tcBorders>
            <w:gridSpan w:val="21"/>
          </w:tcPr>
          <w:p>
            <w:pPr>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Amended and Restated Investment Advisory and Management Agreement, dated December 12, 2011, between the Company and the</w:t>
              </w:r>
            </w:hyperlink>
          </w:p>
        </w:tc>
        <w:tc>
          <w:tcPr>
            <w:tcW w:w="2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Adviser (incorporated by reference to Exhibit 10.1 to the Company’s Current Report on Form 8-K filed on December 13, 2011)</w:t>
              </w:r>
            </w:hyperlink>
          </w:p>
        </w:tc>
        <w:tc>
          <w:tcPr>
            <w:tcW w:w="680" w:type="dxa"/>
            <w:vAlign w:val="bottom"/>
            <w:gridSpan w:val="17"/>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(h)(1)</w:t>
            </w:r>
          </w:p>
        </w:tc>
        <w:tc>
          <w:tcPr>
            <w:tcW w:w="9900" w:type="dxa"/>
            <w:vAlign w:val="bottom"/>
            <w:gridSpan w:val="28"/>
          </w:tcPr>
          <w:p>
            <w:pPr>
              <w:spacing w:after="0"/>
              <w:rPr>
                <w:rFonts w:ascii="Arial" w:cs="Arial" w:eastAsia="Arial" w:hAnsi="Arial"/>
                <w:sz w:val="18"/>
                <w:szCs w:val="18"/>
                <w:color w:val="0000EE"/>
                <w:w w:val="97"/>
              </w:rPr>
            </w:pPr>
            <w:hyperlink r:id="rId190">
              <w:r>
                <w:rPr>
                  <w:rFonts w:ascii="Arial" w:cs="Arial" w:eastAsia="Arial" w:hAnsi="Arial"/>
                  <w:sz w:val="18"/>
                  <w:szCs w:val="18"/>
                  <w:color w:val="0000EE"/>
                  <w:w w:val="97"/>
                </w:rPr>
                <w:t>Form of Underwriting Agreement for Equity Securities (incorporated by reference to Exhibit (h)(1) to the Company’s Registration</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Statement on Form N-2 filed on March 31, 2016)</w:t>
              </w:r>
            </w:hyperlink>
          </w:p>
        </w:tc>
        <w:tc>
          <w:tcPr>
            <w:tcW w:w="5820" w:type="dxa"/>
            <w:vAlign w:val="bottom"/>
            <w:tcBorders>
              <w:top w:val="single" w:sz="8" w:color="0000EE"/>
            </w:tcBorders>
            <w:gridSpan w:val="12"/>
          </w:tcPr>
          <w:p>
            <w:pPr>
              <w:spacing w:after="0"/>
              <w:rPr>
                <w:sz w:val="17"/>
                <w:szCs w:val="17"/>
                <w:color w:val="auto"/>
              </w:rPr>
            </w:pPr>
          </w:p>
        </w:tc>
        <w:tc>
          <w:tcPr>
            <w:tcW w:w="500" w:type="dxa"/>
            <w:vAlign w:val="bottom"/>
            <w:gridSpan w:val="12"/>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(h)(2)</w:t>
            </w:r>
          </w:p>
        </w:tc>
        <w:tc>
          <w:tcPr>
            <w:tcW w:w="9280" w:type="dxa"/>
            <w:vAlign w:val="bottom"/>
            <w:tcBorders>
              <w:bottom w:val="single" w:sz="8" w:color="0000EE"/>
            </w:tcBorders>
            <w:gridSpan w:val="12"/>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Form of Underwriting Agreement for Debt Securities (incorporated by reference to Exhibit (h)(2) to the Company’s Registration</w:t>
              </w:r>
            </w:hyperlink>
          </w:p>
        </w:tc>
        <w:tc>
          <w:tcPr>
            <w:tcW w:w="620" w:type="dxa"/>
            <w:vAlign w:val="bottom"/>
            <w:gridSpan w:val="1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Statement on Form N-2 filed on March 31, 2016)</w:t>
              </w:r>
            </w:hyperlink>
          </w:p>
        </w:tc>
      </w:tr>
      <w:tr>
        <w:trPr>
          <w:trHeight w:val="345"/>
        </w:trPr>
        <w:tc>
          <w:tcPr>
            <w:tcW w:w="1500" w:type="dxa"/>
            <w:vAlign w:val="bottom"/>
            <w:gridSpan w:val="2"/>
          </w:tcPr>
          <w:p>
            <w:pPr>
              <w:spacing w:after="0"/>
              <w:rPr>
                <w:sz w:val="20"/>
                <w:szCs w:val="20"/>
                <w:color w:val="auto"/>
              </w:rPr>
            </w:pPr>
            <w:r>
              <w:rPr>
                <w:rFonts w:ascii="Arial" w:cs="Arial" w:eastAsia="Arial" w:hAnsi="Arial"/>
                <w:sz w:val="18"/>
                <w:szCs w:val="18"/>
                <w:color w:val="auto"/>
              </w:rPr>
              <w:t>(i)</w:t>
            </w:r>
          </w:p>
        </w:tc>
        <w:tc>
          <w:tcPr>
            <w:tcW w:w="35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Not applicable</w:t>
            </w:r>
          </w:p>
        </w:tc>
        <w:tc>
          <w:tcPr>
            <w:tcW w:w="6340" w:type="dxa"/>
            <w:vAlign w:val="bottom"/>
            <w:gridSpan w:val="25"/>
          </w:tcPr>
          <w:p>
            <w:pPr>
              <w:spacing w:after="0"/>
              <w:rPr>
                <w:sz w:val="24"/>
                <w:szCs w:val="24"/>
                <w:color w:val="auto"/>
              </w:rPr>
            </w:pPr>
          </w:p>
        </w:tc>
      </w:tr>
      <w:tr>
        <w:trPr>
          <w:trHeight w:val="284"/>
        </w:trPr>
        <w:tc>
          <w:tcPr>
            <w:tcW w:w="1500" w:type="dxa"/>
            <w:vAlign w:val="bottom"/>
            <w:gridSpan w:val="2"/>
          </w:tcPr>
          <w:p>
            <w:pPr>
              <w:spacing w:after="0"/>
              <w:rPr>
                <w:sz w:val="20"/>
                <w:szCs w:val="20"/>
                <w:color w:val="auto"/>
              </w:rPr>
            </w:pPr>
            <w:r>
              <w:rPr>
                <w:rFonts w:ascii="Arial" w:cs="Arial" w:eastAsia="Arial" w:hAnsi="Arial"/>
                <w:sz w:val="18"/>
                <w:szCs w:val="18"/>
                <w:color w:val="auto"/>
              </w:rPr>
              <w:t>(j)</w:t>
            </w:r>
          </w:p>
        </w:tc>
        <w:tc>
          <w:tcPr>
            <w:tcW w:w="93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Custodian Agreement dated November 29, 2012 between TPG Specialty Lending, Inc. and State Street Bank and Trust Company</w:t>
              </w:r>
            </w:hyperlink>
          </w:p>
        </w:tc>
        <w:tc>
          <w:tcPr>
            <w:tcW w:w="52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(incorporated by reference to Exhibit 10.1 to the Company’s Current Report on Form 8-K filed on December 4, 2012)</w:t>
              </w:r>
            </w:hyperlink>
          </w:p>
        </w:tc>
        <w:tc>
          <w:tcPr>
            <w:tcW w:w="1360" w:type="dxa"/>
            <w:vAlign w:val="bottom"/>
            <w:gridSpan w:val="19"/>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(k)(1)</w:t>
            </w:r>
          </w:p>
        </w:tc>
        <w:tc>
          <w:tcPr>
            <w:tcW w:w="9780" w:type="dxa"/>
            <w:vAlign w:val="bottom"/>
            <w:tcBorders>
              <w:bottom w:val="single" w:sz="8" w:color="0000EE"/>
            </w:tcBorders>
            <w:gridSpan w:val="25"/>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Form of Indemnification Agreement between the Company and certain officers and directors (incorporated by reference to Exhibit 10.3</w:t>
              </w:r>
            </w:hyperlink>
          </w:p>
        </w:tc>
        <w:tc>
          <w:tcPr>
            <w:tcW w:w="12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to Amendment No. 1 to the Company’s Registration Statement on Form 10 filed on March 14, 2011)</w:t>
              </w:r>
            </w:hyperlink>
          </w:p>
        </w:tc>
        <w:tc>
          <w:tcPr>
            <w:tcW w:w="2640" w:type="dxa"/>
            <w:vAlign w:val="bottom"/>
            <w:gridSpan w:val="21"/>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(k)(2)</w:t>
            </w:r>
          </w:p>
        </w:tc>
        <w:tc>
          <w:tcPr>
            <w:tcW w:w="9360" w:type="dxa"/>
            <w:vAlign w:val="bottom"/>
            <w:tcBorders>
              <w:bottom w:val="single" w:sz="8" w:color="0000EE"/>
            </w:tcBorders>
            <w:gridSpan w:val="14"/>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Senior Secured Revolving Credit Agreement, dated as of August 23, 2012, among TPG Specialty Lending, Inc., as Borrower, the</w:t>
              </w:r>
            </w:hyperlink>
          </w:p>
        </w:tc>
        <w:tc>
          <w:tcPr>
            <w:tcW w:w="54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Lenders Party Hereto and SunTrust Bank, as Administrative Agent, JPMorgan Chase Bank, N.A., as Syndication Agent (incorporated by</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reference to Exhibit 10.1 to the Company’s Quarterly Report on Form 10-Q filed on November 14, 2012)</w:t>
              </w:r>
            </w:hyperlink>
          </w:p>
        </w:tc>
        <w:tc>
          <w:tcPr>
            <w:tcW w:w="2300" w:type="dxa"/>
            <w:vAlign w:val="bottom"/>
            <w:gridSpan w:val="20"/>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(k)(3)</w:t>
            </w:r>
          </w:p>
        </w:tc>
        <w:tc>
          <w:tcPr>
            <w:tcW w:w="9840" w:type="dxa"/>
            <w:vAlign w:val="bottom"/>
            <w:tcBorders>
              <w:bottom w:val="single" w:sz="8" w:color="0000EE"/>
            </w:tcBorders>
            <w:gridSpan w:val="26"/>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Amended and Restated Senior Secured Revolving Credit Agreement, dated as of July 2, 2013, among TPG Specialty Lending, Inc., the</w:t>
              </w:r>
            </w:hyperlink>
          </w:p>
        </w:tc>
        <w:tc>
          <w:tcPr>
            <w:tcW w:w="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lenders party thereto, SunTrust Bank as administrative agent and JPMorgan Chase Bank N.A. as syndication agent (incorporated by</w:t>
              </w:r>
            </w:hyperlink>
          </w:p>
        </w:tc>
        <w:tc>
          <w:tcPr>
            <w:tcW w:w="40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reference to Exhibit 10.1 to the Company’s Current Report on Form 8-K filed on July 9, 2013)</w:t>
              </w:r>
            </w:hyperlink>
          </w:p>
        </w:tc>
        <w:tc>
          <w:tcPr>
            <w:tcW w:w="3080" w:type="dxa"/>
            <w:vAlign w:val="bottom"/>
            <w:gridSpan w:val="22"/>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(k)(4)</w:t>
            </w:r>
          </w:p>
        </w:tc>
        <w:tc>
          <w:tcPr>
            <w:tcW w:w="9560" w:type="dxa"/>
            <w:vAlign w:val="bottom"/>
            <w:tcBorders>
              <w:bottom w:val="single" w:sz="8" w:color="0000EE"/>
            </w:tcBorders>
            <w:gridSpan w:val="20"/>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Second Amended and Restated Senior Secured Credit Agreement, dated February 27, 2014, among TPG Specialty Lending, Inc., as</w:t>
              </w:r>
            </w:hyperlink>
          </w:p>
        </w:tc>
        <w:tc>
          <w:tcPr>
            <w:tcW w:w="34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Borrower, the Lenders Party Hereto and SunTrust Bank, as Administrative Agent, and JPMorgan Chase Bank, N.A., as Syndication</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Agent (incorporated by reference to Exhibit 10.20 to the Company’s Annual Report on Form 10-K filed on March 4, 2014)</w:t>
              </w:r>
            </w:hyperlink>
          </w:p>
        </w:tc>
        <w:tc>
          <w:tcPr>
            <w:tcW w:w="560" w:type="dxa"/>
            <w:vAlign w:val="bottom"/>
            <w:tcBorders>
              <w:top w:val="single" w:sz="8" w:color="0000EE"/>
            </w:tcBorders>
            <w:gridSpan w:val="7"/>
          </w:tcPr>
          <w:p>
            <w:pPr>
              <w:spacing w:after="0"/>
              <w:rPr>
                <w:sz w:val="17"/>
                <w:szCs w:val="17"/>
                <w:color w:val="auto"/>
              </w:rPr>
            </w:pPr>
          </w:p>
        </w:tc>
        <w:tc>
          <w:tcPr>
            <w:tcW w:w="420" w:type="dxa"/>
            <w:vAlign w:val="bottom"/>
            <w:gridSpan w:val="11"/>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(k)(5)</w:t>
            </w:r>
          </w:p>
        </w:tc>
        <w:tc>
          <w:tcPr>
            <w:tcW w:w="9540" w:type="dxa"/>
            <w:vAlign w:val="bottom"/>
            <w:tcBorders>
              <w:bottom w:val="single" w:sz="8" w:color="0000EE"/>
            </w:tcBorders>
            <w:gridSpan w:val="19"/>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Form of Increase Letter pursuant to the Second Amended and Restated Senior Secured Credit Agreement, dated February 27, 2014,</w:t>
              </w:r>
            </w:hyperlink>
          </w:p>
        </w:tc>
        <w:tc>
          <w:tcPr>
            <w:tcW w:w="36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among TPG Specialty Lending, Inc., as Borrower, the Lenders Party Hereto and SunTrust Bank, as Administrative Agent, and JPMorgan</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Chase Bank, N.A., as Syndication Agent (incorporated by reference to Exhibit 10.3 to the Company’s Quarterly Report on Form 10-Q</w:t>
              </w:r>
            </w:hyperlink>
          </w:p>
        </w:tc>
        <w:tc>
          <w:tcPr>
            <w:tcW w:w="2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filed on August 4, 2014)</w:t>
              </w:r>
            </w:hyperlink>
          </w:p>
        </w:tc>
        <w:tc>
          <w:tcPr>
            <w:tcW w:w="8120" w:type="dxa"/>
            <w:vAlign w:val="bottom"/>
            <w:gridSpan w:val="26"/>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(k)(6)</w:t>
            </w:r>
          </w:p>
        </w:tc>
        <w:tc>
          <w:tcPr>
            <w:tcW w:w="9740" w:type="dxa"/>
            <w:vAlign w:val="bottom"/>
            <w:tcBorders>
              <w:bottom w:val="single" w:sz="8" w:color="0000EE"/>
            </w:tcBorders>
            <w:gridSpan w:val="24"/>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First Amendment to the Second Amended and Restated Senior Secured Revolving Credit Agreement, dated June 3, 2014, among TPG</w:t>
              </w:r>
            </w:hyperlink>
          </w:p>
        </w:tc>
        <w:tc>
          <w:tcPr>
            <w:tcW w:w="1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Specialty Lending, Inc., as Borrower, the Lenders party thereto and SunTrust Bank, as Administrative Agent and Collateral Agent</w:t>
              </w:r>
            </w:hyperlink>
          </w:p>
        </w:tc>
        <w:tc>
          <w:tcPr>
            <w:tcW w:w="52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(incorporated by reference to Exhibit 10.4 to the Company’s Quarterly Report on Form 10-Q filed on August 4, 2014)</w:t>
              </w:r>
            </w:hyperlink>
          </w:p>
        </w:tc>
      </w:tr>
      <w:tr>
        <w:trPr>
          <w:trHeight w:val="20"/>
        </w:trPr>
        <w:tc>
          <w:tcPr>
            <w:tcW w:w="1500" w:type="dxa"/>
            <w:vAlign w:val="bottom"/>
            <w:gridSpan w:val="2"/>
          </w:tcPr>
          <w:p>
            <w:pPr>
              <w:spacing w:after="0" w:line="20" w:lineRule="exact"/>
              <w:rPr>
                <w:sz w:val="1"/>
                <w:szCs w:val="1"/>
                <w:color w:val="auto"/>
              </w:rPr>
            </w:pPr>
          </w:p>
        </w:tc>
        <w:tc>
          <w:tcPr>
            <w:tcW w:w="8540" w:type="dxa"/>
            <w:vAlign w:val="bottom"/>
            <w:tcBorders>
              <w:right w:val="single" w:sz="8" w:color="0000EE"/>
            </w:tcBorders>
            <w:gridSpan w:val="9"/>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(k)(7)</w:t>
            </w:r>
          </w:p>
        </w:tc>
        <w:tc>
          <w:tcPr>
            <w:tcW w:w="9640" w:type="dxa"/>
            <w:vAlign w:val="bottom"/>
            <w:tcBorders>
              <w:bottom w:val="single" w:sz="8" w:color="0000EE"/>
            </w:tcBorders>
            <w:gridSpan w:val="22"/>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Second Amendment to the Second Amended and Restated Senior Secured Revolving Credit Agreement, dated June 27, 2014, among</w:t>
              </w:r>
            </w:hyperlink>
          </w:p>
        </w:tc>
        <w:tc>
          <w:tcPr>
            <w:tcW w:w="26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EE"/>
                <w:w w:val="96"/>
              </w:rPr>
            </w:pPr>
            <w:hyperlink r:id="rId199">
              <w:r>
                <w:rPr>
                  <w:rFonts w:ascii="Arial" w:cs="Arial" w:eastAsia="Arial" w:hAnsi="Arial"/>
                  <w:sz w:val="18"/>
                  <w:szCs w:val="18"/>
                  <w:color w:val="0000EE"/>
                  <w:w w:val="96"/>
                </w:rPr>
                <w:t>TPG Specialty Lending, Inc., as Borrower, Morgan Stanley Bank, N.A., as a Lender, and SunTrust Bank, as Administrative Agent</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(incorporated by reference to Exhibit 10.5 to the Company’s Quarterly Report on Form 10-Q filed on August 4, 2014)</w:t>
              </w:r>
            </w:hyperlink>
          </w:p>
        </w:tc>
        <w:tc>
          <w:tcPr>
            <w:tcW w:w="520" w:type="dxa"/>
            <w:vAlign w:val="bottom"/>
            <w:gridSpan w:val="13"/>
          </w:tcPr>
          <w:p>
            <w:pPr>
              <w:spacing w:after="0"/>
              <w:rPr>
                <w:sz w:val="17"/>
                <w:szCs w:val="17"/>
                <w:color w:val="auto"/>
              </w:rPr>
            </w:pPr>
          </w:p>
        </w:tc>
      </w:tr>
      <w:tr>
        <w:trPr>
          <w:trHeight w:val="38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960" w:type="dxa"/>
            <w:vAlign w:val="bottom"/>
            <w:tcBorders>
              <w:top w:val="single" w:sz="8" w:color="0000EE"/>
            </w:tcBorders>
            <w:gridSpan w:val="5"/>
          </w:tcPr>
          <w:p>
            <w:pPr>
              <w:ind w:left="500"/>
              <w:spacing w:after="0"/>
              <w:rPr>
                <w:sz w:val="20"/>
                <w:szCs w:val="20"/>
                <w:color w:val="auto"/>
              </w:rPr>
            </w:pPr>
            <w:r>
              <w:rPr>
                <w:rFonts w:ascii="Arial" w:cs="Arial" w:eastAsia="Arial" w:hAnsi="Arial"/>
                <w:sz w:val="18"/>
                <w:szCs w:val="18"/>
                <w:color w:val="auto"/>
              </w:rPr>
              <w:t>C-2</w:t>
            </w:r>
          </w:p>
        </w:tc>
        <w:tc>
          <w:tcPr>
            <w:tcW w:w="1360" w:type="dxa"/>
            <w:vAlign w:val="bottom"/>
            <w:gridSpan w:val="19"/>
          </w:tcPr>
          <w:p>
            <w:pPr>
              <w:spacing w:after="0"/>
              <w:rPr>
                <w:sz w:val="24"/>
                <w:szCs w:val="24"/>
                <w:color w:val="auto"/>
              </w:rPr>
            </w:pPr>
          </w:p>
        </w:tc>
      </w:tr>
    </w:tbl>
    <w:p>
      <w:pPr>
        <w:sectPr>
          <w:pgSz w:w="11900" w:h="16838" w:orient="portrait"/>
          <w:cols w:equalWidth="0" w:num="1">
            <w:col w:w="11400"/>
          </w:cols>
          <w:pgMar w:left="240" w:top="446" w:right="259" w:bottom="1440" w:gutter="0" w:footer="0" w:header="0"/>
        </w:sectPr>
      </w:pPr>
    </w:p>
    <w:bookmarkStart w:id="98" w:name="page99"/>
    <w:bookmarkEnd w:id="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1"/>
        </w:trPr>
        <w:tc>
          <w:tcPr>
            <w:tcW w:w="1500" w:type="dxa"/>
            <w:vAlign w:val="bottom"/>
            <w:gridSpan w:val="2"/>
          </w:tcPr>
          <w:p>
            <w:pPr>
              <w:spacing w:after="0"/>
              <w:rPr>
                <w:sz w:val="20"/>
                <w:szCs w:val="20"/>
                <w:color w:val="auto"/>
              </w:rPr>
            </w:pPr>
            <w:r>
              <w:rPr>
                <w:rFonts w:ascii="Arial" w:cs="Arial" w:eastAsia="Arial" w:hAnsi="Arial"/>
                <w:sz w:val="18"/>
                <w:szCs w:val="18"/>
                <w:color w:val="auto"/>
              </w:rPr>
              <w:t>(k)(8)</w:t>
            </w:r>
          </w:p>
        </w:tc>
        <w:tc>
          <w:tcPr>
            <w:tcW w:w="9760" w:type="dxa"/>
            <w:vAlign w:val="bottom"/>
            <w:tcBorders>
              <w:bottom w:val="single" w:sz="8" w:color="0000EE"/>
            </w:tcBorders>
            <w:gridSpan w:val="13"/>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Third Amendment to the Second Amended and Restated Senior Secured Revolving Credit Agreement, dated October 17, 2014, among</w:t>
              </w:r>
            </w:hyperlink>
          </w:p>
        </w:tc>
        <w:tc>
          <w:tcPr>
            <w:tcW w:w="1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TPG Specialty Lending, Inc., as Borrower, the Lenders party thereto and SunTrust Bank, as Administrative Agent (incorporated by</w:t>
              </w:r>
            </w:hyperlink>
          </w:p>
        </w:tc>
        <w:tc>
          <w:tcPr>
            <w:tcW w:w="4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reference to Exhibit 10.1 to the Company’s Quarterly Report on Form 10-Q filed on November 3, 2014)</w:t>
              </w:r>
            </w:hyperlink>
          </w:p>
        </w:tc>
      </w:tr>
      <w:tr>
        <w:trPr>
          <w:trHeight w:val="20"/>
        </w:trPr>
        <w:tc>
          <w:tcPr>
            <w:tcW w:w="1500" w:type="dxa"/>
            <w:vAlign w:val="bottom"/>
            <w:gridSpan w:val="2"/>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(k)(9)</w:t>
            </w:r>
          </w:p>
        </w:tc>
        <w:tc>
          <w:tcPr>
            <w:tcW w:w="9920" w:type="dxa"/>
            <w:vAlign w:val="bottom"/>
            <w:gridSpan w:val="15"/>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Fourth Amendment to Second Amended and Restated Senior Secured Revolving Credit Agreement, dated October 2, 2015, among TPG</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Specialty Lending, Inc., as Borrower, the Lenders party thereto and Suntrust Bank, as Administrative Agent (incorporated by reference to</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Exhibit 10.1 to the Company’s Quarterly Report on Form 10-Q filed on November 3, 2015)</w:t>
              </w:r>
            </w:hyperlink>
          </w:p>
        </w:tc>
      </w:tr>
      <w:tr>
        <w:trPr>
          <w:trHeight w:val="20"/>
        </w:trPr>
        <w:tc>
          <w:tcPr>
            <w:tcW w:w="1500" w:type="dxa"/>
            <w:vAlign w:val="bottom"/>
            <w:gridSpan w:val="2"/>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(k)(10)</w:t>
            </w:r>
          </w:p>
        </w:tc>
        <w:tc>
          <w:tcPr>
            <w:tcW w:w="9920" w:type="dxa"/>
            <w:vAlign w:val="bottom"/>
            <w:gridSpan w:val="15"/>
          </w:tcPr>
          <w:p>
            <w:pPr>
              <w:spacing w:after="0"/>
              <w:rPr>
                <w:rFonts w:ascii="Arial" w:cs="Arial" w:eastAsia="Arial" w:hAnsi="Arial"/>
                <w:sz w:val="18"/>
                <w:szCs w:val="18"/>
                <w:color w:val="0000EE"/>
                <w:w w:val="93"/>
              </w:rPr>
            </w:pPr>
            <w:hyperlink r:id="rId203">
              <w:r>
                <w:rPr>
                  <w:rFonts w:ascii="Arial" w:cs="Arial" w:eastAsia="Arial" w:hAnsi="Arial"/>
                  <w:sz w:val="18"/>
                  <w:szCs w:val="18"/>
                  <w:color w:val="0000EE"/>
                  <w:w w:val="93"/>
                </w:rPr>
                <w:t>Fifth Amendment to Second Amended and Restated Senior Secured Revolving Credit Agreement, dated December 22, 2016, among</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TPG Specialty Lending, Inc., as Borrower, the Lenders party thereto and SunTrust Bank, as Administrative Agent (incorporated by</w:t>
              </w:r>
            </w:hyperlink>
          </w:p>
        </w:tc>
        <w:tc>
          <w:tcPr>
            <w:tcW w:w="140" w:type="dxa"/>
            <w:vAlign w:val="bottom"/>
            <w:tcBorders>
              <w:top w:val="single" w:sz="8" w:color="0000EE"/>
            </w:tcBorders>
            <w:gridSpan w:val="3"/>
          </w:tcPr>
          <w:p>
            <w:pPr>
              <w:spacing w:after="0"/>
              <w:rPr>
                <w:sz w:val="17"/>
                <w:szCs w:val="17"/>
                <w:color w:val="auto"/>
              </w:rPr>
            </w:pPr>
          </w:p>
        </w:tc>
        <w:tc>
          <w:tcPr>
            <w:tcW w:w="3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reference to Exhibit 10.15 to the Company’s Annual Report on Form 10-K filed on February 22, 2017)</w:t>
              </w:r>
            </w:hyperlink>
          </w:p>
        </w:tc>
        <w:tc>
          <w:tcPr>
            <w:tcW w:w="2500" w:type="dxa"/>
            <w:vAlign w:val="bottom"/>
            <w:gridSpan w:val="12"/>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(k)(11)</w:t>
            </w:r>
          </w:p>
        </w:tc>
        <w:tc>
          <w:tcPr>
            <w:tcW w:w="9860" w:type="dxa"/>
            <w:vAlign w:val="bottom"/>
            <w:tcBorders>
              <w:bottom w:val="single" w:sz="8" w:color="0000EE"/>
            </w:tcBorders>
            <w:gridSpan w:val="14"/>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Amended and Restated Administration Agreement, dated as of February 22, 2017, between the Company and the Adviser (incorporated</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by reference to Exhibit 10.16 to the Company’s Annual Report on Form 10-K filed on February 22, 2017)</w:t>
              </w:r>
            </w:hyperlink>
          </w:p>
        </w:tc>
        <w:tc>
          <w:tcPr>
            <w:tcW w:w="2260" w:type="dxa"/>
            <w:vAlign w:val="bottom"/>
            <w:gridSpan w:val="9"/>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(k)(12)</w:t>
            </w:r>
          </w:p>
        </w:tc>
        <w:tc>
          <w:tcPr>
            <w:tcW w:w="9920" w:type="dxa"/>
            <w:vAlign w:val="bottom"/>
            <w:gridSpan w:val="15"/>
          </w:tcPr>
          <w:p>
            <w:pPr>
              <w:spacing w:after="0"/>
              <w:rPr>
                <w:rFonts w:ascii="Arial" w:cs="Arial" w:eastAsia="Arial" w:hAnsi="Arial"/>
                <w:sz w:val="18"/>
                <w:szCs w:val="18"/>
                <w:color w:val="0000EE"/>
                <w:w w:val="93"/>
              </w:rPr>
            </w:pPr>
            <w:hyperlink r:id="rId205">
              <w:r>
                <w:rPr>
                  <w:rFonts w:ascii="Arial" w:cs="Arial" w:eastAsia="Arial" w:hAnsi="Arial"/>
                  <w:sz w:val="18"/>
                  <w:szCs w:val="18"/>
                  <w:color w:val="0000EE"/>
                  <w:w w:val="93"/>
                </w:rPr>
                <w:t>Sixth Amendment to Second Amended and Restated Senior Secured Revolving Credit Agreement, dated February 20, 2018, among</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TPG Specialty Lending, Inc., as Borrower, the Lenders party thereto and SunTrust Bank, as Administrative Agent (incorporated by</w:t>
              </w:r>
            </w:hyperlink>
          </w:p>
        </w:tc>
        <w:tc>
          <w:tcPr>
            <w:tcW w:w="80" w:type="dxa"/>
            <w:vAlign w:val="bottom"/>
            <w:tcBorders>
              <w:top w:val="single" w:sz="8" w:color="0000EE"/>
            </w:tcBorders>
            <w:gridSpan w:val="2"/>
          </w:tcPr>
          <w:p>
            <w:pPr>
              <w:spacing w:after="0"/>
              <w:rPr>
                <w:sz w:val="17"/>
                <w:szCs w:val="17"/>
                <w:color w:val="auto"/>
              </w:rPr>
            </w:pPr>
          </w:p>
        </w:tc>
        <w:tc>
          <w:tcPr>
            <w:tcW w:w="38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reference to Exhibit 10.16 to the Company’s Annual Report on Form 10-K filed on February 21, 2018)</w:t>
              </w:r>
            </w:hyperlink>
          </w:p>
        </w:tc>
        <w:tc>
          <w:tcPr>
            <w:tcW w:w="2500" w:type="dxa"/>
            <w:vAlign w:val="bottom"/>
            <w:gridSpan w:val="12"/>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(k)(13)</w:t>
            </w:r>
          </w:p>
        </w:tc>
        <w:tc>
          <w:tcPr>
            <w:tcW w:w="9620" w:type="dxa"/>
            <w:vAlign w:val="bottom"/>
            <w:tcBorders>
              <w:bottom w:val="single" w:sz="8" w:color="0000EE"/>
            </w:tcBorders>
            <w:gridSpan w:val="12"/>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Seventh Amendment to Second Amended and Restated Senior Secured Revolving Credit Agreement, dated as of November 5, 2018,</w:t>
              </w:r>
            </w:hyperlink>
          </w:p>
        </w:tc>
        <w:tc>
          <w:tcPr>
            <w:tcW w:w="30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among TPG Specialty Lending, Inc., as Borrower, the Lenders party thereto and SunTrust Bank, as Administrative Agent (incorporated</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by reference to Exhibit 10.1 to the Company’s Quarterly Report on Form 10-Q filed on November 6, 2018)</w:t>
              </w:r>
            </w:hyperlink>
          </w:p>
        </w:tc>
        <w:tc>
          <w:tcPr>
            <w:tcW w:w="2020" w:type="dxa"/>
            <w:vAlign w:val="bottom"/>
            <w:tcBorders>
              <w:top w:val="single" w:sz="8" w:color="0000EE"/>
            </w:tcBorders>
            <w:gridSpan w:val="6"/>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(k)(14)</w:t>
            </w:r>
          </w:p>
        </w:tc>
        <w:tc>
          <w:tcPr>
            <w:tcW w:w="9500" w:type="dxa"/>
            <w:vAlign w:val="bottom"/>
            <w:tcBorders>
              <w:bottom w:val="single" w:sz="8" w:color="0000EE"/>
            </w:tcBorders>
            <w:gridSpan w:val="9"/>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Eighth Amendment to Second Amended and Restated Senior Secured Revolving Credit Agreement, dated as of February 14, 2019,</w:t>
              </w:r>
            </w:hyperlink>
          </w:p>
        </w:tc>
        <w:tc>
          <w:tcPr>
            <w:tcW w:w="42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among TPG Specialty Lending, Inc., as Borrower, the Lenders party thereto and SunTrust Bank, as Administrative Agent (incorporated</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by reference to Exhibit 10.16 to the Company’s Annual Report on Form 10-K filed on February 20, 2019)</w:t>
              </w:r>
            </w:hyperlink>
          </w:p>
        </w:tc>
        <w:tc>
          <w:tcPr>
            <w:tcW w:w="160" w:type="dxa"/>
            <w:vAlign w:val="bottom"/>
            <w:gridSpan w:val="2"/>
          </w:tcPr>
          <w:p>
            <w:pPr>
              <w:spacing w:after="0"/>
              <w:rPr>
                <w:sz w:val="17"/>
                <w:szCs w:val="17"/>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rPr>
              <w:t>(l)</w:t>
            </w:r>
          </w:p>
        </w:tc>
        <w:tc>
          <w:tcPr>
            <w:tcW w:w="46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Opinion and Consent of Cleary Gottlieb Steen &amp; Hamilton LLP</w:t>
            </w:r>
          </w:p>
        </w:tc>
        <w:tc>
          <w:tcPr>
            <w:tcW w:w="3020" w:type="dxa"/>
            <w:vAlign w:val="bottom"/>
            <w:tcBorders>
              <w:top w:val="single" w:sz="8" w:color="0000EE"/>
            </w:tcBorders>
            <w:gridSpan w:val="4"/>
          </w:tcPr>
          <w:p>
            <w:pPr>
              <w:spacing w:after="0"/>
              <w:rPr>
                <w:sz w:val="24"/>
                <w:szCs w:val="24"/>
                <w:color w:val="auto"/>
              </w:rPr>
            </w:pPr>
          </w:p>
        </w:tc>
        <w:tc>
          <w:tcPr>
            <w:tcW w:w="2280" w:type="dxa"/>
            <w:vAlign w:val="bottom"/>
            <w:gridSpan w:val="10"/>
          </w:tcPr>
          <w:p>
            <w:pPr>
              <w:spacing w:after="0"/>
              <w:rPr>
                <w:sz w:val="24"/>
                <w:szCs w:val="24"/>
                <w:color w:val="auto"/>
              </w:rPr>
            </w:pPr>
          </w:p>
        </w:tc>
      </w:tr>
    </w:tbl>
    <w:p>
      <w:pPr>
        <w:spacing w:after="0" w:line="121" w:lineRule="exact"/>
        <w:rPr>
          <w:sz w:val="20"/>
          <w:szCs w:val="20"/>
          <w:color w:val="auto"/>
        </w:rPr>
      </w:pPr>
    </w:p>
    <w:p>
      <w:pPr>
        <w:ind w:left="1500" w:hanging="1492"/>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(n)(1)</w:t>
            </w:r>
          </w:p>
        </w:tc>
        <w:tc>
          <w:tcPr>
            <w:tcW w:w="3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Consent of Cleary Gottlieb Steen &amp; Hamilton LLP</w:t>
            </w:r>
          </w:p>
        </w:tc>
        <w:tc>
          <w:tcPr>
            <w:tcW w:w="6100" w:type="dxa"/>
            <w:vAlign w:val="bottom"/>
            <w:gridSpan w:val="8"/>
          </w:tcPr>
          <w:p>
            <w:pPr>
              <w:spacing w:after="0"/>
              <w:rPr>
                <w:sz w:val="18"/>
                <w:szCs w:val="18"/>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(n)(2)</w:t>
            </w:r>
          </w:p>
        </w:tc>
        <w:tc>
          <w:tcPr>
            <w:tcW w:w="9780" w:type="dxa"/>
            <w:vAlign w:val="bottom"/>
            <w:gridSpan w:val="11"/>
          </w:tcPr>
          <w:p>
            <w:pPr>
              <w:spacing w:after="0"/>
              <w:rPr>
                <w:sz w:val="20"/>
                <w:szCs w:val="20"/>
                <w:color w:val="auto"/>
              </w:rPr>
            </w:pPr>
            <w:r>
              <w:rPr>
                <w:rFonts w:ascii="Arial" w:cs="Arial" w:eastAsia="Arial" w:hAnsi="Arial"/>
                <w:sz w:val="18"/>
                <w:szCs w:val="18"/>
                <w:color w:val="0000EE"/>
              </w:rPr>
              <w:t>Consent of KPMG LLP, dated May 7, 2019</w:t>
            </w: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(n)(3)</w:t>
            </w:r>
          </w:p>
        </w:tc>
        <w:tc>
          <w:tcPr>
            <w:tcW w:w="31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5"/>
              </w:rPr>
              <w:t>Report of KPMG LLP, dated May 7, 2019</w:t>
            </w:r>
          </w:p>
        </w:tc>
        <w:tc>
          <w:tcPr>
            <w:tcW w:w="6640" w:type="dxa"/>
            <w:vAlign w:val="bottom"/>
            <w:gridSpan w:val="9"/>
          </w:tcPr>
          <w:p>
            <w:pPr>
              <w:spacing w:after="0"/>
              <w:rPr>
                <w:sz w:val="24"/>
                <w:szCs w:val="24"/>
                <w:color w:val="auto"/>
              </w:rPr>
            </w:pPr>
          </w:p>
        </w:tc>
      </w:tr>
      <w:tr>
        <w:trPr>
          <w:trHeight w:val="345"/>
        </w:trPr>
        <w:tc>
          <w:tcPr>
            <w:tcW w:w="1500" w:type="dxa"/>
            <w:vAlign w:val="bottom"/>
          </w:tcPr>
          <w:p>
            <w:pPr>
              <w:spacing w:after="0"/>
              <w:rPr>
                <w:sz w:val="20"/>
                <w:szCs w:val="20"/>
                <w:color w:val="auto"/>
              </w:rPr>
            </w:pPr>
            <w:r>
              <w:rPr>
                <w:rFonts w:ascii="Arial" w:cs="Arial" w:eastAsia="Arial" w:hAnsi="Arial"/>
                <w:sz w:val="18"/>
                <w:szCs w:val="18"/>
                <w:color w:val="auto"/>
              </w:rPr>
              <w:t>(o)</w:t>
            </w:r>
          </w:p>
        </w:tc>
        <w:tc>
          <w:tcPr>
            <w:tcW w:w="3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Not applicable</w:t>
            </w:r>
          </w:p>
        </w:tc>
        <w:tc>
          <w:tcPr>
            <w:tcW w:w="6740" w:type="dxa"/>
            <w:vAlign w:val="bottom"/>
            <w:gridSpan w:val="10"/>
          </w:tcPr>
          <w:p>
            <w:pPr>
              <w:spacing w:after="0"/>
              <w:rPr>
                <w:sz w:val="24"/>
                <w:szCs w:val="24"/>
                <w:color w:val="auto"/>
              </w:rPr>
            </w:pP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(p)</w:t>
            </w:r>
          </w:p>
        </w:tc>
        <w:tc>
          <w:tcPr>
            <w:tcW w:w="9780" w:type="dxa"/>
            <w:vAlign w:val="bottom"/>
            <w:gridSpan w:val="11"/>
          </w:tcPr>
          <w:p>
            <w:pPr>
              <w:spacing w:after="0"/>
              <w:rPr>
                <w:sz w:val="20"/>
                <w:szCs w:val="20"/>
                <w:color w:val="auto"/>
              </w:rPr>
            </w:pPr>
            <w:r>
              <w:rPr>
                <w:rFonts w:ascii="Arial" w:cs="Arial" w:eastAsia="Arial" w:hAnsi="Arial"/>
                <w:sz w:val="18"/>
                <w:szCs w:val="18"/>
                <w:color w:val="auto"/>
              </w:rPr>
              <w:t>Not applicable</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(q)</w:t>
            </w:r>
          </w:p>
        </w:tc>
        <w:tc>
          <w:tcPr>
            <w:tcW w:w="9780" w:type="dxa"/>
            <w:vAlign w:val="bottom"/>
            <w:gridSpan w:val="11"/>
          </w:tcPr>
          <w:p>
            <w:pPr>
              <w:spacing w:after="0"/>
              <w:rPr>
                <w:sz w:val="20"/>
                <w:szCs w:val="20"/>
                <w:color w:val="auto"/>
              </w:rPr>
            </w:pPr>
            <w:r>
              <w:rPr>
                <w:rFonts w:ascii="Arial" w:cs="Arial" w:eastAsia="Arial" w:hAnsi="Arial"/>
                <w:sz w:val="18"/>
                <w:szCs w:val="18"/>
                <w:color w:val="auto"/>
              </w:rPr>
              <w:t>Not applicable</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(r)(1)</w:t>
            </w:r>
          </w:p>
        </w:tc>
        <w:tc>
          <w:tcPr>
            <w:tcW w:w="9780" w:type="dxa"/>
            <w:vAlign w:val="bottom"/>
            <w:gridSpan w:val="11"/>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Code of Ethics of TPG Specialty Lending, Inc. (incorporated by reference to Exhibit (r)(1) to Pre-Effective Amendment No. 4 to the</w:t>
              </w:r>
            </w:hyperlink>
          </w:p>
        </w:tc>
      </w:tr>
      <w:tr>
        <w:trPr>
          <w:trHeight w:val="196"/>
        </w:trPr>
        <w:tc>
          <w:tcPr>
            <w:tcW w:w="150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Company’s Registration Statement on Form N-2 filed on March 17, 2014)</w:t>
              </w:r>
            </w:hyperlink>
          </w:p>
        </w:tc>
        <w:tc>
          <w:tcPr>
            <w:tcW w:w="4180" w:type="dxa"/>
            <w:vAlign w:val="bottom"/>
            <w:tcBorders>
              <w:top w:val="single" w:sz="8" w:color="0000EE"/>
            </w:tcBorders>
            <w:gridSpan w:val="3"/>
          </w:tcPr>
          <w:p>
            <w:pPr>
              <w:spacing w:after="0"/>
              <w:rPr>
                <w:sz w:val="17"/>
                <w:szCs w:val="17"/>
                <w:color w:val="auto"/>
              </w:rPr>
            </w:pPr>
          </w:p>
        </w:tc>
        <w:tc>
          <w:tcPr>
            <w:tcW w:w="240" w:type="dxa"/>
            <w:vAlign w:val="bottom"/>
            <w:gridSpan w:val="3"/>
          </w:tcPr>
          <w:p>
            <w:pPr>
              <w:spacing w:after="0"/>
              <w:rPr>
                <w:sz w:val="17"/>
                <w:szCs w:val="17"/>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(r)(2)</w:t>
            </w:r>
          </w:p>
        </w:tc>
        <w:tc>
          <w:tcPr>
            <w:tcW w:w="9780" w:type="dxa"/>
            <w:vAlign w:val="bottom"/>
            <w:tcBorders>
              <w:bottom w:val="single" w:sz="8" w:color="0000EE"/>
            </w:tcBorders>
            <w:gridSpan w:val="11"/>
          </w:tcPr>
          <w:p>
            <w:pPr>
              <w:spacing w:after="0"/>
              <w:rPr>
                <w:rFonts w:ascii="Arial" w:cs="Arial" w:eastAsia="Arial" w:hAnsi="Arial"/>
                <w:sz w:val="18"/>
                <w:szCs w:val="18"/>
                <w:color w:val="0000EE"/>
                <w:w w:val="92"/>
              </w:rPr>
            </w:pPr>
            <w:hyperlink r:id="rId209">
              <w:r>
                <w:rPr>
                  <w:rFonts w:ascii="Arial" w:cs="Arial" w:eastAsia="Arial" w:hAnsi="Arial"/>
                  <w:sz w:val="18"/>
                  <w:szCs w:val="18"/>
                  <w:color w:val="0000EE"/>
                  <w:w w:val="92"/>
                </w:rPr>
                <w:t>Code of Ethics of TSL Advisers, LLC (incorporated by reference to Exhibit (r)(2) to Pre-Effective Amendment No. 4 to the Company’s</w:t>
              </w:r>
            </w:hyperlink>
          </w:p>
        </w:tc>
      </w:tr>
      <w:tr>
        <w:trPr>
          <w:trHeight w:val="196"/>
        </w:trPr>
        <w:tc>
          <w:tcPr>
            <w:tcW w:w="150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Registration Statement on Form N-2 filed on March 17, 2014)</w:t>
              </w:r>
            </w:hyperlink>
          </w:p>
        </w:tc>
      </w:tr>
      <w:tr>
        <w:trPr>
          <w:trHeight w:val="20"/>
        </w:trPr>
        <w:tc>
          <w:tcPr>
            <w:tcW w:w="1500" w:type="dxa"/>
            <w:vAlign w:val="bottom"/>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9700" w:type="dxa"/>
            <w:vAlign w:val="bottom"/>
            <w:tcBorders>
              <w:bottom w:val="single" w:sz="8" w:color="0000EE"/>
            </w:tcBorders>
            <w:gridSpan w:val="10"/>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Form of Preliminary Prospectus Supplement For Common Stock Offerings (incorporated by reference to Exhibit 99.1 to Pre-Effective</w:t>
              </w:r>
            </w:hyperlink>
          </w:p>
        </w:tc>
        <w:tc>
          <w:tcPr>
            <w:tcW w:w="8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7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Amendment No. 1 to the Company’s Registration Statement on Form N-2 filed on July 25, 2014)</w:t>
              </w:r>
            </w:hyperlink>
          </w:p>
        </w:tc>
        <w:tc>
          <w:tcPr>
            <w:tcW w:w="2740" w:type="dxa"/>
            <w:vAlign w:val="bottom"/>
            <w:gridSpan w:val="4"/>
          </w:tcPr>
          <w:p>
            <w:pPr>
              <w:spacing w:after="0"/>
              <w:rPr>
                <w:sz w:val="17"/>
                <w:szCs w:val="17"/>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99.2</w:t>
            </w:r>
          </w:p>
        </w:tc>
        <w:tc>
          <w:tcPr>
            <w:tcW w:w="9680" w:type="dxa"/>
            <w:vAlign w:val="bottom"/>
            <w:tcBorders>
              <w:bottom w:val="single" w:sz="8" w:color="0000EE"/>
            </w:tcBorders>
            <w:gridSpan w:val="9"/>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Form of Preliminary Prospectus Supplement For Preferred Stock Offerings (incorporated by reference to Exhibit 99.2 to Pre-Effective</w:t>
              </w:r>
            </w:hyperlink>
          </w:p>
        </w:tc>
        <w:tc>
          <w:tcPr>
            <w:tcW w:w="100" w:type="dxa"/>
            <w:vAlign w:val="bottom"/>
            <w:gridSpan w:val="2"/>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7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Amendment No. 1 to the Company’s Registration Statement on Form N-2 filed on July 25, 2014)</w:t>
              </w:r>
            </w:hyperlink>
          </w:p>
        </w:tc>
        <w:tc>
          <w:tcPr>
            <w:tcW w:w="2760" w:type="dxa"/>
            <w:vAlign w:val="bottom"/>
            <w:gridSpan w:val="5"/>
          </w:tcPr>
          <w:p>
            <w:pPr>
              <w:spacing w:after="0"/>
              <w:rPr>
                <w:sz w:val="17"/>
                <w:szCs w:val="17"/>
                <w:color w:val="auto"/>
              </w:rPr>
            </w:pPr>
          </w:p>
        </w:tc>
      </w:tr>
      <w:tr>
        <w:trPr>
          <w:trHeight w:val="385"/>
        </w:trPr>
        <w:tc>
          <w:tcPr>
            <w:tcW w:w="1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8"/>
          </w:tcPr>
          <w:p>
            <w:pPr>
              <w:ind w:left="400"/>
              <w:spacing w:after="0"/>
              <w:rPr>
                <w:sz w:val="20"/>
                <w:szCs w:val="20"/>
                <w:color w:val="auto"/>
              </w:rPr>
            </w:pPr>
            <w:r>
              <w:rPr>
                <w:rFonts w:ascii="Arial" w:cs="Arial" w:eastAsia="Arial" w:hAnsi="Arial"/>
                <w:sz w:val="18"/>
                <w:szCs w:val="18"/>
                <w:color w:val="auto"/>
              </w:rPr>
              <w:t>C-3</w:t>
            </w:r>
          </w:p>
        </w:tc>
      </w:tr>
    </w:tbl>
    <w:p>
      <w:pPr>
        <w:sectPr>
          <w:pgSz w:w="11900" w:h="16838" w:orient="portrait"/>
          <w:cols w:equalWidth="0" w:num="1">
            <w:col w:w="11420"/>
          </w:cols>
          <w:pgMar w:left="240" w:top="446"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99.3</w:t>
            </w:r>
          </w:p>
        </w:tc>
        <w:tc>
          <w:tcPr>
            <w:tcW w:w="10040" w:type="dxa"/>
            <w:vAlign w:val="bottom"/>
            <w:gridSpan w:val="5"/>
          </w:tcPr>
          <w:p>
            <w:pPr>
              <w:spacing w:after="0"/>
              <w:rPr>
                <w:rFonts w:ascii="Arial" w:cs="Arial" w:eastAsia="Arial" w:hAnsi="Arial"/>
                <w:sz w:val="18"/>
                <w:szCs w:val="18"/>
                <w:color w:val="0000EE"/>
                <w:w w:val="95"/>
              </w:rPr>
            </w:pPr>
            <w:hyperlink r:id="rId213">
              <w:r>
                <w:rPr>
                  <w:rFonts w:ascii="Arial" w:cs="Arial" w:eastAsia="Arial" w:hAnsi="Arial"/>
                  <w:sz w:val="18"/>
                  <w:szCs w:val="18"/>
                  <w:color w:val="0000EE"/>
                  <w:w w:val="95"/>
                </w:rPr>
                <w:t>Form of Preliminary Prospectus Supplement For Debt Securities Offerings (incorporated by reference to Exhibit 99.3 to Pre-Effective</w:t>
              </w:r>
            </w:hyperlink>
          </w:p>
        </w:tc>
      </w:tr>
      <w:tr>
        <w:trPr>
          <w:trHeight w:val="196"/>
        </w:trPr>
        <w:tc>
          <w:tcPr>
            <w:tcW w:w="116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Amendment No. 1 to the Company’s Registration Statement on Form N-2 filed on July 25, 2014)</w:t>
              </w:r>
            </w:hyperlink>
          </w:p>
        </w:tc>
        <w:tc>
          <w:tcPr>
            <w:tcW w:w="264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99.4</w:t>
            </w:r>
          </w:p>
        </w:tc>
        <w:tc>
          <w:tcPr>
            <w:tcW w:w="10040" w:type="dxa"/>
            <w:vAlign w:val="bottom"/>
            <w:gridSpan w:val="5"/>
          </w:tcPr>
          <w:p>
            <w:pPr>
              <w:spacing w:after="0"/>
              <w:rPr>
                <w:rFonts w:ascii="Arial" w:cs="Arial" w:eastAsia="Arial" w:hAnsi="Arial"/>
                <w:sz w:val="18"/>
                <w:szCs w:val="18"/>
                <w:color w:val="0000EE"/>
                <w:w w:val="92"/>
              </w:rPr>
            </w:pPr>
            <w:hyperlink r:id="rId214">
              <w:r>
                <w:rPr>
                  <w:rFonts w:ascii="Arial" w:cs="Arial" w:eastAsia="Arial" w:hAnsi="Arial"/>
                  <w:sz w:val="18"/>
                  <w:szCs w:val="18"/>
                  <w:color w:val="0000EE"/>
                  <w:w w:val="92"/>
                </w:rPr>
                <w:t>Form of Preliminary Prospectus Supplement For Rights Offerings (incorporated by reference to Exhibit 99.4 to Pre-Effective Amendment</w:t>
              </w:r>
            </w:hyperlink>
          </w:p>
        </w:tc>
      </w:tr>
      <w:tr>
        <w:trPr>
          <w:trHeight w:val="196"/>
        </w:trPr>
        <w:tc>
          <w:tcPr>
            <w:tcW w:w="1160" w:type="dxa"/>
            <w:vAlign w:val="bottom"/>
          </w:tcPr>
          <w:p>
            <w:pPr>
              <w:spacing w:after="0"/>
              <w:rPr>
                <w:sz w:val="17"/>
                <w:szCs w:val="17"/>
                <w:color w:val="auto"/>
              </w:rPr>
            </w:pPr>
          </w:p>
        </w:tc>
        <w:tc>
          <w:tcPr>
            <w:tcW w:w="99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No. 1 to the Company’s Registration Statement on Form N-2 filed on July 25, 2014)</w:t>
              </w:r>
            </w:hyperlink>
          </w:p>
        </w:tc>
        <w:tc>
          <w:tcPr>
            <w:tcW w:w="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99.5</w:t>
            </w:r>
          </w:p>
        </w:tc>
        <w:tc>
          <w:tcPr>
            <w:tcW w:w="10040" w:type="dxa"/>
            <w:vAlign w:val="bottom"/>
            <w:tcBorders>
              <w:bottom w:val="single" w:sz="8" w:color="0000EE"/>
            </w:tcBorders>
            <w:gridSpan w:val="5"/>
          </w:tcPr>
          <w:p>
            <w:pPr>
              <w:spacing w:after="0"/>
              <w:rPr>
                <w:rFonts w:ascii="Arial" w:cs="Arial" w:eastAsia="Arial" w:hAnsi="Arial"/>
                <w:sz w:val="18"/>
                <w:szCs w:val="18"/>
                <w:color w:val="0000EE"/>
                <w:w w:val="91"/>
              </w:rPr>
            </w:pPr>
            <w:hyperlink r:id="rId215">
              <w:r>
                <w:rPr>
                  <w:rFonts w:ascii="Arial" w:cs="Arial" w:eastAsia="Arial" w:hAnsi="Arial"/>
                  <w:sz w:val="18"/>
                  <w:szCs w:val="18"/>
                  <w:color w:val="0000EE"/>
                  <w:w w:val="91"/>
                </w:rPr>
                <w:t>Form of Preliminary Prospectus Supplement For Warrant Offerings (incorporated by reference to Exhibit 99.5 to Pre-Effective Amendment</w:t>
              </w:r>
            </w:hyperlink>
          </w:p>
        </w:tc>
      </w:tr>
      <w:tr>
        <w:trPr>
          <w:trHeight w:val="196"/>
        </w:trPr>
        <w:tc>
          <w:tcPr>
            <w:tcW w:w="1160" w:type="dxa"/>
            <w:vAlign w:val="bottom"/>
          </w:tcPr>
          <w:p>
            <w:pPr>
              <w:spacing w:after="0"/>
              <w:rPr>
                <w:sz w:val="17"/>
                <w:szCs w:val="17"/>
                <w:color w:val="auto"/>
              </w:rPr>
            </w:pPr>
          </w:p>
        </w:tc>
        <w:tc>
          <w:tcPr>
            <w:tcW w:w="10040" w:type="dxa"/>
            <w:vAlign w:val="bottom"/>
            <w:gridSpan w:val="5"/>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No. 1 to the Company’s Registration Statement on Form N-2 filed on July 25, 2014)</w:t>
              </w:r>
            </w:hyperlink>
          </w:p>
        </w:tc>
      </w:tr>
      <w:tr>
        <w:trPr>
          <w:trHeight w:val="20"/>
        </w:trPr>
        <w:tc>
          <w:tcPr>
            <w:tcW w:w="1160" w:type="dxa"/>
            <w:vAlign w:val="bottom"/>
          </w:tcPr>
          <w:p>
            <w:pPr>
              <w:spacing w:after="0" w:line="20" w:lineRule="exact"/>
              <w:rPr>
                <w:sz w:val="1"/>
                <w:szCs w:val="1"/>
                <w:color w:val="auto"/>
              </w:rPr>
            </w:pPr>
          </w:p>
        </w:tc>
        <w:tc>
          <w:tcPr>
            <w:tcW w:w="60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225,500**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100,000</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300,000</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28,625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835,025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3" w:lineRule="exact"/>
        <w:rPr>
          <w:sz w:val="20"/>
          <w:szCs w:val="20"/>
          <w:color w:val="auto"/>
        </w:rPr>
      </w:pPr>
    </w:p>
    <w:p>
      <w:pPr>
        <w:ind w:right="580" w:firstLine="8"/>
        <w:spacing w:after="0" w:line="323" w:lineRule="auto"/>
        <w:tabs>
          <w:tab w:leader="none" w:pos="446" w:val="left"/>
        </w:tabs>
        <w:numPr>
          <w:ilvl w:val="0"/>
          <w:numId w:val="76"/>
        </w:numPr>
        <w:rPr>
          <w:rFonts w:ascii="Arial" w:cs="Arial" w:eastAsia="Arial" w:hAnsi="Arial"/>
          <w:sz w:val="16"/>
          <w:szCs w:val="16"/>
          <w:color w:val="auto"/>
        </w:rPr>
      </w:pPr>
      <w:r>
        <w:rPr>
          <w:rFonts w:ascii="Arial" w:cs="Arial" w:eastAsia="Arial" w:hAnsi="Arial"/>
          <w:sz w:val="16"/>
          <w:szCs w:val="16"/>
          <w:color w:val="auto"/>
        </w:rPr>
        <w:t>$90,900 of this amount has been offset against filing fees associated with unsold securities registered under a previous registration statement. ** $225,500 of this amount has been offset against filing fees associated with unsold securities registered under a previous registration statement.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contained in the section entitled “Summary” in the Registration Statement and in the sections entitled “Election of Directors,” “Corporate Governance,” “Certain Relationships and Related Party Transactions” and “Security Ownership of Certain Beneficial Owners and Management” in our 2019 Annual Proxy and in our 2018 Annual Report is incorporated herein by reference.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3, 2019.</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720" w:type="dxa"/>
            <w:vAlign w:val="bottom"/>
            <w:gridSpan w:val="3"/>
          </w:tcPr>
          <w:p>
            <w:pPr>
              <w:jc w:val="center"/>
              <w:ind w:left="3839"/>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22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Record</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3980" w:type="dxa"/>
            <w:vAlign w:val="bottom"/>
          </w:tcPr>
          <w:p>
            <w:pPr>
              <w:spacing w:after="0"/>
              <w:rPr>
                <w:sz w:val="15"/>
                <w:szCs w:val="15"/>
                <w:color w:val="auto"/>
              </w:rPr>
            </w:pPr>
          </w:p>
        </w:tc>
        <w:tc>
          <w:tcPr>
            <w:tcW w:w="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$0.01 par value</w:t>
            </w:r>
          </w:p>
        </w:tc>
        <w:tc>
          <w:tcPr>
            <w:tcW w:w="39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C-4</w:t>
            </w: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7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the section entitled “Summary” in this Registration Statement and in the sections entitled “Corporate Governance”, “Certain Relationships and Related Party Transactions” and “Management Agreements” in our 2019 Annual Proxy and in Part I, Item 1 of our 2018 Annual Report, as well as Note 3 to our consolidated financial statements in our 2019 Q1 Quarterly Report, each of which are incorporated herein by reference. Additional information regarding the Adviser and its officers is set forth in its Form ADV, filed with the SEC (SEC File No. 801-72185), and is incorporated herein by reference.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460" w:right="120" w:hanging="452"/>
        <w:spacing w:after="0" w:line="26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308" w:lineRule="auto"/>
        <w:rPr>
          <w:sz w:val="20"/>
          <w:szCs w:val="20"/>
          <w:color w:val="auto"/>
        </w:rPr>
      </w:pPr>
      <w:r>
        <w:rPr>
          <w:rFonts w:ascii="Arial" w:cs="Arial" w:eastAsia="Arial" w:hAnsi="Arial"/>
          <w:sz w:val="17"/>
          <w:szCs w:val="17"/>
          <w:color w:val="auto"/>
        </w:rPr>
        <w:t>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5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40" w:hanging="567"/>
        <w:spacing w:after="0" w:line="272" w:lineRule="auto"/>
        <w:tabs>
          <w:tab w:leader="none" w:pos="1480" w:val="left"/>
        </w:tabs>
        <w:numPr>
          <w:ilvl w:val="2"/>
          <w:numId w:val="7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or other applicable SEC rule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240" w:hanging="567"/>
        <w:spacing w:after="0" w:line="277" w:lineRule="auto"/>
        <w:tabs>
          <w:tab w:leader="none" w:pos="14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above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SEC by us pursuant to Section 13 or Section 15(d) of the Exchange Act that are incorporated by reference in the registration statement, or is contained in a form of prospectus filed pursuant to Rule 424(b), or other applicable SEC rule under the Securities Act, that is part of the registration statement;</w:t>
      </w:r>
    </w:p>
    <w:p>
      <w:pPr>
        <w:spacing w:after="0" w:line="92" w:lineRule="exact"/>
        <w:rPr>
          <w:sz w:val="20"/>
          <w:szCs w:val="20"/>
          <w:color w:val="auto"/>
        </w:rPr>
      </w:pPr>
    </w:p>
    <w:p>
      <w:pPr>
        <w:ind w:left="900" w:right="360" w:hanging="446"/>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we are relying on Rule 430B:</w:t>
      </w:r>
    </w:p>
    <w:p>
      <w:pPr>
        <w:spacing w:after="0" w:line="130" w:lineRule="exact"/>
        <w:rPr>
          <w:rFonts w:ascii="Arial" w:cs="Arial" w:eastAsia="Arial" w:hAnsi="Arial"/>
          <w:sz w:val="18"/>
          <w:szCs w:val="18"/>
          <w:color w:val="auto"/>
        </w:rPr>
      </w:pPr>
    </w:p>
    <w:p>
      <w:pPr>
        <w:ind w:left="1920" w:right="300" w:hanging="440"/>
        <w:spacing w:after="0" w:line="277" w:lineRule="auto"/>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each prospectus filed by us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920" w:right="80" w:hanging="440"/>
        <w:spacing w:after="0" w:line="255" w:lineRule="auto"/>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40"/>
        <w:spacing w:after="0" w:line="273" w:lineRule="auto"/>
        <w:rPr>
          <w:sz w:val="20"/>
          <w:szCs w:val="20"/>
          <w:color w:val="auto"/>
        </w:rPr>
      </w:pPr>
      <w:r>
        <w:rPr>
          <w:rFonts w:ascii="Arial" w:cs="Arial" w:eastAsia="Arial" w:hAnsi="Arial"/>
          <w:sz w:val="17"/>
          <w:szCs w:val="17"/>
          <w:color w:val="auto"/>
        </w:rPr>
        <w:t>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84" w:lineRule="exact"/>
        <w:rPr>
          <w:sz w:val="20"/>
          <w:szCs w:val="20"/>
          <w:color w:val="auto"/>
        </w:rPr>
      </w:pPr>
    </w:p>
    <w:p>
      <w:pPr>
        <w:ind w:left="1480" w:right="100" w:hanging="567"/>
        <w:spacing w:after="0" w:line="271" w:lineRule="auto"/>
        <w:tabs>
          <w:tab w:leader="none" w:pos="14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if we are subject to Rule 430C, each prospectus filed pursuant to Rule 424(b) or Rule 497(b), (c), (d), or (e) under the Securities Act, as applicable, as part of a registration statement related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84"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92" w:lineRule="exact"/>
        <w:rPr>
          <w:rFonts w:ascii="Arial" w:cs="Arial" w:eastAsia="Arial" w:hAnsi="Arial"/>
          <w:sz w:val="18"/>
          <w:szCs w:val="18"/>
          <w:color w:val="auto"/>
        </w:rPr>
      </w:pPr>
    </w:p>
    <w:p>
      <w:pPr>
        <w:ind w:left="1480" w:right="160" w:hanging="567"/>
        <w:spacing w:after="0" w:line="277"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424 or Rule 497 under the Securities Act, as applicable;</w:t>
      </w:r>
    </w:p>
    <w:p>
      <w:pPr>
        <w:spacing w:after="0" w:line="76" w:lineRule="exact"/>
        <w:rPr>
          <w:sz w:val="20"/>
          <w:szCs w:val="20"/>
          <w:color w:val="auto"/>
        </w:rPr>
      </w:pPr>
    </w:p>
    <w:p>
      <w:pPr>
        <w:ind w:left="1480" w:hanging="567"/>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free writing prospectus relating to the offering prepared by or on behalf of us or used or referred to by us;</w:t>
      </w:r>
    </w:p>
    <w:p>
      <w:pPr>
        <w:spacing w:after="0" w:line="130" w:lineRule="exact"/>
        <w:rPr>
          <w:rFonts w:ascii="Arial" w:cs="Arial" w:eastAsia="Arial" w:hAnsi="Arial"/>
          <w:sz w:val="18"/>
          <w:szCs w:val="18"/>
          <w:color w:val="auto"/>
        </w:rPr>
      </w:pPr>
    </w:p>
    <w:p>
      <w:pPr>
        <w:ind w:left="1480" w:right="280" w:hanging="567"/>
        <w:spacing w:after="0" w:line="277"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or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right="260" w:hanging="452"/>
        <w:spacing w:after="0" w:line="31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undertake that, for purposes of determining any liability under the Securities Act, each filing of our annual report pursuant to Section 13(a) or Section15(d)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52" w:lineRule="exact"/>
        <w:rPr>
          <w:rFonts w:ascii="Arial" w:cs="Arial" w:eastAsia="Arial" w:hAnsi="Arial"/>
          <w:sz w:val="16"/>
          <w:szCs w:val="16"/>
          <w:color w:val="auto"/>
        </w:rPr>
      </w:pPr>
    </w:p>
    <w:p>
      <w:pPr>
        <w:ind w:left="460" w:right="60" w:hanging="452"/>
        <w:spacing w:after="0" w:line="273"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question whether such indemnification by us is against public policy as expressed in the Securities Act and will be governed by the final adjudication of such issue.</w:t>
      </w:r>
    </w:p>
    <w:p>
      <w:pPr>
        <w:spacing w:after="0" w:line="7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7</w:t>
      </w:r>
      <w:r>
        <w:rPr>
          <w:rFonts w:ascii="Arial" w:cs="Arial" w:eastAsia="Arial" w:hAnsi="Arial"/>
          <w:sz w:val="14"/>
          <w:szCs w:val="14"/>
          <w:color w:val="auto"/>
        </w:rPr>
        <w:t>th</w:t>
      </w:r>
      <w:r>
        <w:rPr>
          <w:rFonts w:ascii="Arial" w:cs="Arial" w:eastAsia="Arial" w:hAnsi="Arial"/>
          <w:sz w:val="17"/>
          <w:szCs w:val="17"/>
          <w:color w:val="auto"/>
        </w:rPr>
        <w:t xml:space="preserve"> day of May, 2019.</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Ian Simmonds</w:t>
            </w:r>
          </w:p>
        </w:tc>
      </w:tr>
      <w:tr>
        <w:trPr>
          <w:trHeight w:val="205"/>
        </w:trPr>
        <w:tc>
          <w:tcPr>
            <w:tcW w:w="380" w:type="dxa"/>
            <w:vAlign w:val="bottom"/>
          </w:tcPr>
          <w:p>
            <w:pPr>
              <w:spacing w:after="0"/>
              <w:rPr>
                <w:sz w:val="17"/>
                <w:szCs w:val="17"/>
                <w:color w:val="auto"/>
              </w:rPr>
            </w:pPr>
          </w:p>
        </w:tc>
        <w:tc>
          <w:tcPr>
            <w:tcW w:w="418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 Ian Simmonds</w:t>
            </w:r>
          </w:p>
        </w:tc>
      </w:tr>
      <w:tr>
        <w:trPr>
          <w:trHeight w:val="234"/>
        </w:trPr>
        <w:tc>
          <w:tcPr>
            <w:tcW w:w="3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 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Each officer and director of TPG Specialty Lending, Inc. whose signature appears below constitutes and appoints Michael Fishman, Joshua Easterly, Ian Simmonds, David Stiepleman, Jennifer Gordon and Ken Burke,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40" w:type="dxa"/>
            <w:vAlign w:val="bottom"/>
          </w:tcPr>
          <w:p>
            <w:pPr>
              <w:spacing w:after="0"/>
              <w:rPr>
                <w:sz w:val="14"/>
                <w:szCs w:val="14"/>
                <w:color w:val="auto"/>
              </w:rPr>
            </w:pPr>
          </w:p>
        </w:tc>
        <w:tc>
          <w:tcPr>
            <w:tcW w:w="5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Title</w:t>
            </w:r>
          </w:p>
        </w:tc>
        <w:tc>
          <w:tcPr>
            <w:tcW w:w="134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Joshua Easterly</w:t>
            </w:r>
          </w:p>
        </w:tc>
        <w:tc>
          <w:tcPr>
            <w:tcW w:w="50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Chief Executive Officer, Director and Chairman of the Board</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7"/>
              </w:rPr>
              <w:t>Joshua Easterly</w:t>
            </w:r>
          </w:p>
        </w:tc>
        <w:tc>
          <w:tcPr>
            <w:tcW w:w="50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of Directors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Ian Simmonds</w:t>
            </w:r>
          </w:p>
        </w:tc>
        <w:tc>
          <w:tcPr>
            <w:tcW w:w="500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Chief Financial Officer (Principal Financial Officer)</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Ian Simmonds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Michael Graf</w:t>
            </w:r>
          </w:p>
        </w:tc>
        <w:tc>
          <w:tcPr>
            <w:tcW w:w="50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Vice President and Principal Accounting Officer (Principal</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4"/>
              </w:rPr>
              <w:t>Michael Graf</w:t>
            </w:r>
          </w:p>
        </w:tc>
        <w:tc>
          <w:tcPr>
            <w:tcW w:w="500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Accounting Officer)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John A. Ross</w:t>
            </w:r>
          </w:p>
        </w:tc>
        <w:tc>
          <w:tcPr>
            <w:tcW w:w="50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Director and Chairman of the Audit Committee</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9"/>
              </w:rPr>
              <w:t>John A. Ross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Hurley Doddy</w:t>
            </w:r>
          </w:p>
        </w:tc>
        <w:tc>
          <w:tcPr>
            <w:tcW w:w="50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5"/>
              </w:rPr>
              <w:t>Hurley Doddy</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Fishman</w:t>
            </w:r>
          </w:p>
        </w:tc>
        <w:tc>
          <w:tcPr>
            <w:tcW w:w="50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2"/>
              </w:rPr>
              <w:t>Michael Fishman</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Jennifer Gordon</w:t>
            </w:r>
          </w:p>
        </w:tc>
        <w:tc>
          <w:tcPr>
            <w:tcW w:w="50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1"/>
              </w:rPr>
              <w:t>Jennifer Gordon</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40" w:type="dxa"/>
            <w:vAlign w:val="bottom"/>
          </w:tcPr>
          <w:p>
            <w:pPr>
              <w:spacing w:after="0"/>
              <w:rPr>
                <w:sz w:val="14"/>
                <w:szCs w:val="14"/>
                <w:color w:val="auto"/>
              </w:rPr>
            </w:pPr>
          </w:p>
        </w:tc>
        <w:tc>
          <w:tcPr>
            <w:tcW w:w="404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97"/>
              </w:rPr>
              <w:t>Title</w:t>
            </w:r>
          </w:p>
        </w:tc>
        <w:tc>
          <w:tcPr>
            <w:tcW w:w="2300" w:type="dxa"/>
            <w:vAlign w:val="bottom"/>
            <w:gridSpan w:val="3"/>
          </w:tcPr>
          <w:p>
            <w:pPr>
              <w:jc w:val="center"/>
              <w:ind w:left="1276"/>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Richard A. Higginbotham</w:t>
            </w:r>
          </w:p>
        </w:tc>
        <w:tc>
          <w:tcPr>
            <w:tcW w:w="4040" w:type="dxa"/>
            <w:vAlign w:val="bottom"/>
            <w:gridSpan w:val="3"/>
          </w:tcPr>
          <w:p>
            <w:pPr>
              <w:jc w:val="center"/>
              <w:ind w:left="596"/>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jc w:val="center"/>
              <w:ind w:left="1296"/>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3"/>
              </w:rPr>
              <w:t>Richard A. Higginbotham</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Ronald K. Tanemura</w:t>
            </w:r>
          </w:p>
        </w:tc>
        <w:tc>
          <w:tcPr>
            <w:tcW w:w="4040" w:type="dxa"/>
            <w:vAlign w:val="bottom"/>
            <w:gridSpan w:val="3"/>
          </w:tcPr>
          <w:p>
            <w:pPr>
              <w:jc w:val="center"/>
              <w:ind w:left="596"/>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jc w:val="center"/>
              <w:ind w:left="1296"/>
              <w:spacing w:after="0"/>
              <w:rPr>
                <w:sz w:val="20"/>
                <w:szCs w:val="20"/>
                <w:color w:val="auto"/>
              </w:rPr>
            </w:pPr>
            <w:r>
              <w:rPr>
                <w:rFonts w:ascii="Arial" w:cs="Arial" w:eastAsia="Arial" w:hAnsi="Arial"/>
                <w:sz w:val="18"/>
                <w:szCs w:val="18"/>
                <w:color w:val="auto"/>
                <w:w w:val="92"/>
              </w:rPr>
              <w:t>May 7, 2019</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Ronald K. Tanemura</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0840"/>
          </w:cols>
          <w:pgMar w:left="240" w:top="459" w:right="8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0"/>
          <w:szCs w:val="20"/>
          <w:color w:val="auto"/>
        </w:rPr>
      </w:pPr>
    </w:p>
    <w:p>
      <w:pPr>
        <w:ind w:left="460" w:right="560" w:hanging="452"/>
        <w:spacing w:after="0" w:line="256" w:lineRule="auto"/>
        <w:tabs>
          <w:tab w:leader="none" w:pos="460" w:val="left"/>
        </w:tabs>
        <w:numPr>
          <w:ilvl w:val="0"/>
          <w:numId w:val="8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129540</wp:posOffset>
            </wp:positionV>
            <wp:extent cx="15176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WELLS FARGO BANK, NATIONAL ASSOCIATION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3"/>
          </w:tcPr>
          <w:p>
            <w:pPr>
              <w:jc w:val="center"/>
              <w:ind w:left="347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6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335"/>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0"/>
              </w:rPr>
              <w:t>A National Banking Association</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91"/>
              </w:rPr>
              <w:t>94-1347393</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93"/>
              </w:rPr>
              <w:t>(Jurisdiction of incorporation or</w:t>
            </w:r>
          </w:p>
        </w:tc>
        <w:tc>
          <w:tcPr>
            <w:tcW w:w="35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organization if not a U.S. national bank)</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0"/>
              </w:rPr>
              <w:t>101 North Phillips Avenue</w:t>
            </w:r>
          </w:p>
        </w:tc>
        <w:tc>
          <w:tcPr>
            <w:tcW w:w="3560" w:type="dxa"/>
            <w:vAlign w:val="bottom"/>
          </w:tcPr>
          <w:p>
            <w:pPr>
              <w:spacing w:after="0"/>
              <w:rPr>
                <w:sz w:val="24"/>
                <w:szCs w:val="24"/>
                <w:color w:val="auto"/>
              </w:rPr>
            </w:pPr>
          </w:p>
        </w:tc>
      </w:tr>
      <w:tr>
        <w:trPr>
          <w:trHeight w:val="225"/>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0"/>
              </w:rPr>
              <w:t>Sioux Falls, South Dakota</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7"/>
              </w:rPr>
              <w:t>57104</w:t>
            </w:r>
          </w:p>
        </w:tc>
      </w:tr>
      <w:tr>
        <w:trPr>
          <w:trHeight w:val="186"/>
        </w:trPr>
        <w:tc>
          <w:tcPr>
            <w:tcW w:w="786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(Zip code)</w:t>
            </w:r>
          </w:p>
        </w:tc>
      </w:tr>
      <w:tr>
        <w:trPr>
          <w:trHeight w:val="291"/>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2"/>
              </w:rPr>
              <w:t>Wells Fargo &amp; Company</w:t>
            </w:r>
          </w:p>
        </w:tc>
        <w:tc>
          <w:tcPr>
            <w:tcW w:w="3560" w:type="dxa"/>
            <w:vAlign w:val="bottom"/>
          </w:tcPr>
          <w:p>
            <w:pPr>
              <w:spacing w:after="0"/>
              <w:rPr>
                <w:sz w:val="24"/>
                <w:szCs w:val="24"/>
                <w:color w:val="auto"/>
              </w:rPr>
            </w:pPr>
          </w:p>
        </w:tc>
      </w:tr>
      <w:tr>
        <w:trPr>
          <w:trHeight w:val="216"/>
        </w:trPr>
        <w:tc>
          <w:tcPr>
            <w:tcW w:w="7860" w:type="dxa"/>
            <w:vAlign w:val="bottom"/>
            <w:gridSpan w:val="3"/>
          </w:tcPr>
          <w:p>
            <w:pPr>
              <w:jc w:val="center"/>
              <w:ind w:left="3478"/>
              <w:spacing w:after="0"/>
              <w:rPr>
                <w:sz w:val="20"/>
                <w:szCs w:val="20"/>
                <w:color w:val="auto"/>
              </w:rPr>
            </w:pPr>
            <w:r>
              <w:rPr>
                <w:rFonts w:ascii="Arial" w:cs="Arial" w:eastAsia="Arial" w:hAnsi="Arial"/>
                <w:sz w:val="18"/>
                <w:szCs w:val="18"/>
                <w:b w:val="1"/>
                <w:bCs w:val="1"/>
                <w:color w:val="auto"/>
                <w:w w:val="91"/>
              </w:rPr>
              <w:t>Law Department, Trust Section</w:t>
            </w:r>
          </w:p>
        </w:tc>
        <w:tc>
          <w:tcPr>
            <w:tcW w:w="35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6"/>
              </w:rPr>
              <w:t>MAC N9305-175</w:t>
            </w:r>
          </w:p>
        </w:tc>
        <w:tc>
          <w:tcPr>
            <w:tcW w:w="3560" w:type="dxa"/>
            <w:vAlign w:val="bottom"/>
          </w:tcPr>
          <w:p>
            <w:pPr>
              <w:spacing w:after="0"/>
              <w:rPr>
                <w:sz w:val="18"/>
                <w:szCs w:val="18"/>
                <w:color w:val="auto"/>
              </w:rPr>
            </w:pPr>
          </w:p>
        </w:tc>
      </w:tr>
      <w:tr>
        <w:trPr>
          <w:trHeight w:val="216"/>
        </w:trPr>
        <w:tc>
          <w:tcPr>
            <w:tcW w:w="7860" w:type="dxa"/>
            <w:vAlign w:val="bottom"/>
            <w:gridSpan w:val="3"/>
          </w:tcPr>
          <w:p>
            <w:pPr>
              <w:jc w:val="center"/>
              <w:ind w:left="3478"/>
              <w:spacing w:after="0"/>
              <w:rPr>
                <w:sz w:val="20"/>
                <w:szCs w:val="20"/>
                <w:color w:val="auto"/>
              </w:rPr>
            </w:pPr>
            <w:r>
              <w:rPr>
                <w:rFonts w:ascii="Arial" w:cs="Arial" w:eastAsia="Arial" w:hAnsi="Arial"/>
                <w:sz w:val="18"/>
                <w:szCs w:val="18"/>
                <w:b w:val="1"/>
                <w:bCs w:val="1"/>
                <w:color w:val="auto"/>
                <w:w w:val="91"/>
              </w:rPr>
              <w:t>Sixth Street and Marquette Avenue, 17</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5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Minneapolis, Minnesota 55479</w:t>
            </w:r>
          </w:p>
        </w:tc>
        <w:tc>
          <w:tcPr>
            <w:tcW w:w="356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(612) 667-4608</w:t>
            </w:r>
          </w:p>
        </w:tc>
        <w:tc>
          <w:tcPr>
            <w:tcW w:w="9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186"/>
        </w:trPr>
        <w:tc>
          <w:tcPr>
            <w:tcW w:w="7860" w:type="dxa"/>
            <w:vAlign w:val="bottom"/>
            <w:gridSpan w:val="3"/>
          </w:tcPr>
          <w:p>
            <w:pPr>
              <w:jc w:val="center"/>
              <w:ind w:left="347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560" w:type="dxa"/>
            <w:vAlign w:val="bottom"/>
          </w:tcPr>
          <w:p>
            <w:pPr>
              <w:spacing w:after="0"/>
              <w:rPr>
                <w:sz w:val="16"/>
                <w:szCs w:val="16"/>
                <w:color w:val="auto"/>
              </w:rPr>
            </w:pPr>
          </w:p>
        </w:tc>
      </w:tr>
      <w:tr>
        <w:trPr>
          <w:trHeight w:val="228"/>
        </w:trPr>
        <w:tc>
          <w:tcPr>
            <w:tcW w:w="45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95"/>
        </w:trPr>
        <w:tc>
          <w:tcPr>
            <w:tcW w:w="4520" w:type="dxa"/>
            <w:vAlign w:val="bottom"/>
          </w:tcPr>
          <w:p>
            <w:pPr>
              <w:spacing w:after="0"/>
              <w:rPr>
                <w:sz w:val="24"/>
                <w:szCs w:val="24"/>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TPG Specialty Lending, Inc.</w:t>
            </w:r>
          </w:p>
        </w:tc>
        <w:tc>
          <w:tcPr>
            <w:tcW w:w="3560" w:type="dxa"/>
            <w:vAlign w:val="bottom"/>
          </w:tcPr>
          <w:p>
            <w:pPr>
              <w:spacing w:after="0"/>
              <w:rPr>
                <w:sz w:val="24"/>
                <w:szCs w:val="24"/>
                <w:color w:val="auto"/>
              </w:rPr>
            </w:pPr>
          </w:p>
        </w:tc>
      </w:tr>
      <w:tr>
        <w:trPr>
          <w:trHeight w:val="186"/>
        </w:trPr>
        <w:tc>
          <w:tcPr>
            <w:tcW w:w="7860" w:type="dxa"/>
            <w:vAlign w:val="bottom"/>
            <w:gridSpan w:val="3"/>
          </w:tcPr>
          <w:p>
            <w:pPr>
              <w:jc w:val="center"/>
              <w:ind w:left="347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60" w:type="dxa"/>
            <w:vAlign w:val="bottom"/>
          </w:tcPr>
          <w:p>
            <w:pPr>
              <w:spacing w:after="0"/>
              <w:rPr>
                <w:sz w:val="16"/>
                <w:szCs w:val="16"/>
                <w:color w:val="auto"/>
              </w:rPr>
            </w:pPr>
          </w:p>
        </w:tc>
      </w:tr>
      <w:tr>
        <w:trPr>
          <w:trHeight w:val="215"/>
        </w:trPr>
        <w:tc>
          <w:tcPr>
            <w:tcW w:w="45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349"/>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91"/>
              </w:rPr>
              <w:t>27-3380000</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incorporation or organization)</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9"/>
              </w:rPr>
              <w:t>301 Commerce Street, Suite 3300</w:t>
            </w:r>
          </w:p>
        </w:tc>
        <w:tc>
          <w:tcPr>
            <w:tcW w:w="3560" w:type="dxa"/>
            <w:vAlign w:val="bottom"/>
          </w:tcPr>
          <w:p>
            <w:pPr>
              <w:spacing w:after="0"/>
              <w:rPr>
                <w:sz w:val="24"/>
                <w:szCs w:val="24"/>
                <w:color w:val="auto"/>
              </w:rPr>
            </w:pPr>
          </w:p>
        </w:tc>
      </w:tr>
      <w:tr>
        <w:trPr>
          <w:trHeight w:val="225"/>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7"/>
              </w:rPr>
              <w:t>Fort Worth, TX</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7"/>
              </w:rPr>
              <w:t>76102</w:t>
            </w:r>
          </w:p>
        </w:tc>
      </w:tr>
      <w:tr>
        <w:trPr>
          <w:trHeight w:val="186"/>
        </w:trPr>
        <w:tc>
          <w:tcPr>
            <w:tcW w:w="786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8"/>
              </w:rPr>
              <w:t>(Zip Code)</w:t>
            </w:r>
          </w:p>
        </w:tc>
      </w:tr>
      <w:tr>
        <w:trPr>
          <w:trHeight w:val="215"/>
        </w:trPr>
        <w:tc>
          <w:tcPr>
            <w:tcW w:w="45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95"/>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8"/>
              </w:rPr>
              <w:t>Debt Securities</w:t>
            </w:r>
          </w:p>
        </w:tc>
        <w:tc>
          <w:tcPr>
            <w:tcW w:w="356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60" w:type="dxa"/>
            <w:vAlign w:val="bottom"/>
          </w:tcPr>
          <w:p>
            <w:pPr>
              <w:spacing w:after="0"/>
              <w:rPr>
                <w:sz w:val="16"/>
                <w:szCs w:val="16"/>
                <w:color w:val="auto"/>
              </w:rPr>
            </w:pPr>
          </w:p>
        </w:tc>
      </w:tr>
      <w:tr>
        <w:trPr>
          <w:trHeight w:val="147"/>
        </w:trPr>
        <w:tc>
          <w:tcPr>
            <w:tcW w:w="4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560" w:type="dxa"/>
            <w:vAlign w:val="bottom"/>
            <w:tcBorders>
              <w:bottom w:val="single" w:sz="8" w:color="auto"/>
            </w:tcBorders>
          </w:tcPr>
          <w:p>
            <w:pPr>
              <w:spacing w:after="0"/>
              <w:rPr>
                <w:sz w:val="12"/>
                <w:szCs w:val="12"/>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Item1. </w:t>
      </w:r>
      <w:r>
        <w:rPr>
          <w:rFonts w:ascii="Arial" w:cs="Arial" w:eastAsia="Arial" w:hAnsi="Arial"/>
          <w:sz w:val="18"/>
          <w:szCs w:val="18"/>
          <w:u w:val="single" w:color="auto"/>
          <w:color w:val="auto"/>
        </w:rPr>
        <w:t>General Information.</w:t>
      </w:r>
      <w:r>
        <w:rPr>
          <w:rFonts w:ascii="Arial" w:cs="Arial" w:eastAsia="Arial" w:hAnsi="Arial"/>
          <w:sz w:val="18"/>
          <w:szCs w:val="18"/>
          <w:color w:val="auto"/>
        </w:rPr>
        <w:t xml:space="preserve"> Furnish the following information as to the trustee:</w:t>
      </w:r>
    </w:p>
    <w:p>
      <w:pPr>
        <w:spacing w:after="0" w:line="13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20" w:right="5820" w:hanging="466"/>
        <w:spacing w:after="0" w:line="483" w:lineRule="auto"/>
        <w:tabs>
          <w:tab w:leader="none" w:pos="898" w:val="left"/>
        </w:tabs>
        <w:numPr>
          <w:ilvl w:val="0"/>
          <w:numId w:val="88"/>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Affiliations with Obligor.</w:t>
      </w:r>
      <w:r>
        <w:rPr>
          <w:rFonts w:ascii="Arial" w:cs="Arial" w:eastAsia="Arial" w:hAnsi="Arial"/>
          <w:sz w:val="18"/>
          <w:szCs w:val="18"/>
          <w:color w:val="auto"/>
        </w:rPr>
        <w:t xml:space="preserve"> If the obligor is an affiliate of the trustee, describe each such affiliation.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with respect to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 responses are included for Items 3-14 of this Form T-1 because the obligor is not in default as provided under Item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u w:val="single" w:color="auto"/>
          <w:color w:val="auto"/>
        </w:rPr>
        <w:t>Foreign Trustee.</w:t>
      </w:r>
      <w:r>
        <w:rPr>
          <w:rFonts w:ascii="Arial" w:cs="Arial" w:eastAsia="Arial" w:hAnsi="Arial"/>
          <w:sz w:val="18"/>
          <w:szCs w:val="18"/>
          <w:color w:val="auto"/>
        </w:rPr>
        <w:t xml:space="preserve">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16. </w:t>
      </w:r>
      <w:r>
        <w:rPr>
          <w:rFonts w:ascii="Arial" w:cs="Arial" w:eastAsia="Arial" w:hAnsi="Arial"/>
          <w:sz w:val="18"/>
          <w:szCs w:val="18"/>
          <w:u w:val="single" w:color="auto"/>
          <w:color w:val="auto"/>
        </w:rPr>
        <w:t>List of Exhibits.</w:t>
      </w:r>
      <w:r>
        <w:rPr>
          <w:rFonts w:ascii="Arial" w:cs="Arial" w:eastAsia="Arial" w:hAnsi="Arial"/>
          <w:sz w:val="18"/>
          <w:szCs w:val="18"/>
          <w:color w:val="auto"/>
        </w:rPr>
        <w:t xml:space="preserve"> List below all exhibits filed as a part of this Statement of Eligibility.</w:t>
      </w:r>
    </w:p>
    <w:p>
      <w:pPr>
        <w:sectPr>
          <w:pgSz w:w="11900" w:h="16838" w:orient="portrait"/>
          <w:cols w:equalWidth="0" w:num="1">
            <w:col w:w="11040"/>
          </w:cols>
          <w:pgMar w:left="240" w:top="274" w:right="61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 copy of the Articles of Association of the trustee now in effect.*</w:t>
      </w:r>
    </w:p>
    <w:p>
      <w:pPr>
        <w:spacing w:after="0" w:line="211"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copy of the Comptroller of the Currency Certificate of Corporate Existence for Wells Fargo Bank, National Association, dated January 14, 2015.*</w:t>
      </w:r>
    </w:p>
    <w:p>
      <w:pPr>
        <w:spacing w:after="0" w:line="170"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Exhibit 3.</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 copy of the Comptroller of the Currency Certification of Fiduciary Powers for Wells Fargo Bank, National Association, dated January 6, 2014.*</w:t>
      </w:r>
    </w:p>
    <w:p>
      <w:pPr>
        <w:spacing w:after="0" w:line="170"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Exhibit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Copy of By-laws of the trustee as now in effect.*</w:t>
      </w:r>
    </w:p>
    <w:p>
      <w:pPr>
        <w:spacing w:after="0" w:line="211"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5.</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1"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6.</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consent of the trustee required by Section 321(b) of the Act.</w:t>
      </w:r>
    </w:p>
    <w:p>
      <w:pPr>
        <w:spacing w:after="0" w:line="211"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7.</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copy of the latest report of condition of the trustee published pursuant to law or the requirements of its supervising or examining authority.</w:t>
      </w:r>
    </w:p>
    <w:p>
      <w:pPr>
        <w:spacing w:after="0" w:line="170"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Exhibit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11"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9.</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1" w:lineRule="exact"/>
        <w:rPr>
          <w:sz w:val="20"/>
          <w:szCs w:val="20"/>
          <w:color w:val="auto"/>
        </w:rPr>
      </w:pPr>
    </w:p>
    <w:p>
      <w:pPr>
        <w:sectPr>
          <w:pgSz w:w="11900" w:h="16838" w:orient="portrait"/>
          <w:cols w:equalWidth="0" w:num="2">
            <w:col w:w="1180" w:space="660"/>
            <w:col w:w="9200"/>
          </w:cols>
          <w:pgMar w:left="240" w:top="274" w:right="619" w:bottom="1440" w:gutter="0" w:footer="0" w:header="0"/>
          <w:type w:val="continuous"/>
        </w:sectPr>
      </w:pPr>
    </w:p>
    <w:p>
      <w:pPr>
        <w:spacing w:after="0" w:line="64" w:lineRule="exact"/>
        <w:rPr>
          <w:sz w:val="20"/>
          <w:szCs w:val="20"/>
          <w:color w:val="auto"/>
        </w:rPr>
      </w:pPr>
    </w:p>
    <w:p>
      <w:pPr>
        <w:ind w:left="220" w:hanging="212"/>
        <w:spacing w:after="0" w:line="277"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to the Filing 305B2 dated March 13, 2015 of file number 333-190926.</w:t>
      </w:r>
    </w:p>
    <w:p>
      <w:pPr>
        <w:sectPr>
          <w:pgSz w:w="11900" w:h="16838" w:orient="portrait"/>
          <w:cols w:equalWidth="0" w:num="1">
            <w:col w:w="11040"/>
          </w:cols>
          <w:pgMar w:left="240" w:top="274" w:right="619" w:bottom="1440" w:gutter="0" w:footer="0" w:header="0"/>
          <w:type w:val="continuous"/>
        </w:sectPr>
      </w:pPr>
    </w:p>
    <w:bookmarkStart w:id="109" w:name="page110"/>
    <w:bookmarkEnd w:id="109"/>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New York and State of New York on the 22</w:t>
      </w:r>
      <w:r>
        <w:rPr>
          <w:rFonts w:ascii="Arial" w:cs="Arial" w:eastAsia="Arial" w:hAnsi="Arial"/>
          <w:sz w:val="14"/>
          <w:szCs w:val="14"/>
          <w:color w:val="auto"/>
        </w:rPr>
        <w:t>nd</w:t>
      </w:r>
      <w:r>
        <w:rPr>
          <w:rFonts w:ascii="Arial" w:cs="Arial" w:eastAsia="Arial" w:hAnsi="Arial"/>
          <w:sz w:val="17"/>
          <w:szCs w:val="17"/>
          <w:color w:val="auto"/>
        </w:rPr>
        <w:t xml:space="preserve"> day of April, 2019.</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D. Gonzalez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180"/>
          </w:cols>
          <w:pgMar w:left="240" w:top="274" w:right="479" w:bottom="1440" w:gutter="0" w:footer="0" w:header="0"/>
        </w:sectPr>
      </w:pPr>
    </w:p>
    <w:bookmarkStart w:id="110" w:name="page111"/>
    <w:bookmarkEnd w:id="110"/>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D. Gonzalez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20"/>
          </w:cols>
          <w:pgMar w:left="240" w:top="274" w:right="7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December 31, 2018, filed in accordance with 12 U.S.C. §161 for National Banks.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w w:val="98"/>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ASSETS</w:t>
            </w: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Cash and balances due from depository institutions: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Noninterest-bearing balances and currency and coin</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22,427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Interest-bearing balances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149,483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Securities: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Held-to-maturity securities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144,679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Available-for-sale securities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255,037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Equity Securities with readily determinable fair value not held for trading</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Federal funds sold and securities purchased under agreements to resell:</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Federal funds sold in domestic offices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Securities purchased under agreements to resell</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41,906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Loans and lease financing receivables: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Loans and leases held for sale</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7,833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Loans and leases, net of unearned income</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923,885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LESS: Allowance for loan and lease losses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9,504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Loans and leases, net of unearned income and allowance</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914,381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Trading Assets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40,722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Premises and fixed assets (including capitalized leases)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7,982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real estate owned</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Investments in unconsolidated subsidiaries and associated companies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12,863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Direct and indirect investments in real estate ventures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Intangible assets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39,280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51,879</w:t>
            </w:r>
          </w:p>
        </w:tc>
        <w:tc>
          <w:tcPr>
            <w:tcW w:w="0" w:type="dxa"/>
            <w:vAlign w:val="bottom"/>
          </w:tcPr>
          <w:p>
            <w:pPr>
              <w:spacing w:after="0"/>
              <w:rPr>
                <w:sz w:val="1"/>
                <w:szCs w:val="1"/>
                <w:color w:val="auto"/>
              </w:rPr>
            </w:pPr>
          </w:p>
        </w:tc>
      </w:tr>
      <w:tr>
        <w:trPr>
          <w:trHeight w:val="169"/>
        </w:trPr>
        <w:tc>
          <w:tcPr>
            <w:tcW w:w="10440" w:type="dxa"/>
            <w:vAlign w:val="bottom"/>
            <w:gridSpan w:val="2"/>
          </w:tcPr>
          <w:p>
            <w:pPr>
              <w:spacing w:after="0" w:line="169" w:lineRule="exact"/>
              <w:rPr>
                <w:sz w:val="20"/>
                <w:szCs w:val="20"/>
                <w:color w:val="auto"/>
              </w:rPr>
            </w:pPr>
            <w:r>
              <w:rPr>
                <w:rFonts w:ascii="Arial" w:cs="Arial" w:eastAsia="Arial" w:hAnsi="Arial"/>
                <w:sz w:val="15"/>
                <w:szCs w:val="15"/>
                <w:color w:val="auto"/>
              </w:rPr>
              <w:t>Total assets</w:t>
            </w: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1,689,351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4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LIABILITIES</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Deposits: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 domestic offices</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1,282,404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600"/>
              <w:spacing w:after="0" w:line="162" w:lineRule="exact"/>
              <w:rPr>
                <w:sz w:val="20"/>
                <w:szCs w:val="20"/>
                <w:color w:val="auto"/>
              </w:rPr>
            </w:pPr>
            <w:r>
              <w:rPr>
                <w:rFonts w:ascii="Arial" w:cs="Arial" w:eastAsia="Arial" w:hAnsi="Arial"/>
                <w:sz w:val="15"/>
                <w:szCs w:val="15"/>
                <w:color w:val="auto"/>
              </w:rPr>
              <w:t>Noninterest-bearing</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399,731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Interest-bearing</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882,673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In foreign offices, Edge and Agreement subsidiaries, and IBFs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59,567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Noninterest-bearing</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1,084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600"/>
              <w:spacing w:after="0" w:line="162" w:lineRule="exact"/>
              <w:rPr>
                <w:sz w:val="20"/>
                <w:szCs w:val="20"/>
                <w:color w:val="auto"/>
              </w:rPr>
            </w:pPr>
            <w:r>
              <w:rPr>
                <w:rFonts w:ascii="Arial" w:cs="Arial" w:eastAsia="Arial" w:hAnsi="Arial"/>
                <w:sz w:val="15"/>
                <w:szCs w:val="15"/>
                <w:color w:val="auto"/>
              </w:rPr>
              <w:t>Interest-bearing</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58,483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Federal funds purchased and securities sold under agreements to repurchase:</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ind w:left="300"/>
              <w:spacing w:after="0" w:line="162" w:lineRule="exact"/>
              <w:rPr>
                <w:sz w:val="20"/>
                <w:szCs w:val="20"/>
                <w:color w:val="auto"/>
              </w:rPr>
            </w:pPr>
            <w:r>
              <w:rPr>
                <w:rFonts w:ascii="Arial" w:cs="Arial" w:eastAsia="Arial" w:hAnsi="Arial"/>
                <w:sz w:val="15"/>
                <w:szCs w:val="15"/>
                <w:color w:val="auto"/>
              </w:rPr>
              <w:t>Federal funds purchased in domestic offices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6,516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Securities sold under agreements to repurchase</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5,959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Trading liabilities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11,537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borrowed money (includes mortgage indebtedness and obligations under capitalized leases)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115,522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Subordinated notes and debentures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11,751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liabilities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30,852</w:t>
            </w:r>
          </w:p>
        </w:tc>
        <w:tc>
          <w:tcPr>
            <w:tcW w:w="0" w:type="dxa"/>
            <w:vAlign w:val="bottom"/>
          </w:tcPr>
          <w:p>
            <w:pPr>
              <w:spacing w:after="0"/>
              <w:rPr>
                <w:sz w:val="1"/>
                <w:szCs w:val="1"/>
                <w:color w:val="auto"/>
              </w:rPr>
            </w:pPr>
          </w:p>
        </w:tc>
      </w:tr>
      <w:tr>
        <w:trPr>
          <w:trHeight w:val="188"/>
        </w:trPr>
        <w:tc>
          <w:tcPr>
            <w:tcW w:w="1044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1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1,524,108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10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EQUITY CAPITAL</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Perpetual preferred stock and related surplus</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Common stock</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Surplus (exclude all surplus related to preferred stock)</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114,541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Retained earnings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53,527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tcPr>
          <w:p>
            <w:pPr>
              <w:spacing w:after="0" w:line="162" w:lineRule="exact"/>
              <w:rPr>
                <w:sz w:val="20"/>
                <w:szCs w:val="20"/>
                <w:color w:val="auto"/>
              </w:rPr>
            </w:pPr>
            <w:r>
              <w:rPr>
                <w:rFonts w:ascii="Arial" w:cs="Arial" w:eastAsia="Arial" w:hAnsi="Arial"/>
                <w:sz w:val="15"/>
                <w:szCs w:val="15"/>
                <w:color w:val="auto"/>
              </w:rPr>
              <w:t>Accumulated other comprehensive income</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–3,686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equity capital components</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40" w:type="dxa"/>
            <w:vAlign w:val="bottom"/>
            <w:gridSpan w:val="2"/>
          </w:tcPr>
          <w:p>
            <w:pPr>
              <w:spacing w:after="0" w:line="169" w:lineRule="exact"/>
              <w:rPr>
                <w:sz w:val="20"/>
                <w:szCs w:val="20"/>
                <w:color w:val="auto"/>
              </w:rPr>
            </w:pPr>
            <w:r>
              <w:rPr>
                <w:rFonts w:ascii="Arial" w:cs="Arial" w:eastAsia="Arial" w:hAnsi="Arial"/>
                <w:sz w:val="15"/>
                <w:szCs w:val="15"/>
                <w:color w:val="auto"/>
              </w:rPr>
              <w:t>Total bank equity capital</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164,901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Noncontrolling (minority) interests in consolidated subsidiaries</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440" w:type="dxa"/>
            <w:vAlign w:val="bottom"/>
            <w:gridSpan w:val="2"/>
          </w:tcPr>
          <w:p>
            <w:pPr>
              <w:spacing w:after="0" w:line="169" w:lineRule="exact"/>
              <w:rPr>
                <w:sz w:val="20"/>
                <w:szCs w:val="20"/>
                <w:color w:val="auto"/>
              </w:rPr>
            </w:pPr>
            <w:r>
              <w:rPr>
                <w:rFonts w:ascii="Arial" w:cs="Arial" w:eastAsia="Arial" w:hAnsi="Arial"/>
                <w:sz w:val="15"/>
                <w:szCs w:val="15"/>
                <w:color w:val="auto"/>
              </w:rPr>
              <w:t>Total equity capital</w:t>
            </w:r>
          </w:p>
        </w:tc>
        <w:tc>
          <w:tcPr>
            <w:tcW w:w="1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165,243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liabilities, and equity capital</w:t>
            </w:r>
          </w:p>
        </w:tc>
        <w:tc>
          <w:tcPr>
            <w:tcW w:w="120" w:type="dxa"/>
            <w:vAlign w:val="bottom"/>
            <w:tcBorders>
              <w:top w:val="single" w:sz="8" w:color="auto"/>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1,689,351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2" w:name="page113"/>
    <w:bookmarkEnd w:id="112"/>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John R. Shrewsberry, Sr.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 R. Shrewsberry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Sr. 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Quigley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Theodore F. Craver,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B. Peetz</w:t>
      </w:r>
    </w:p>
    <w:p>
      <w:pPr>
        <w:sectPr>
          <w:pgSz w:w="11900" w:h="16838" w:orient="portrait"/>
          <w:cols w:equalWidth="0" w:num="1">
            <w:col w:w="11420"/>
          </w:cols>
          <w:pgMar w:left="240" w:top="274" w:right="239" w:bottom="1440" w:gutter="0" w:footer="0" w:header="0"/>
        </w:sectPr>
      </w:pPr>
    </w:p>
    <w:bookmarkStart w:id="113" w:name="page114"/>
    <w:bookmarkEnd w:id="113"/>
    <w:p>
      <w:pPr>
        <w:spacing w:after="0" w:line="200" w:lineRule="exact"/>
        <w:rPr>
          <w:sz w:val="20"/>
          <w:szCs w:val="20"/>
          <w:color w:val="auto"/>
        </w:rPr>
      </w:pPr>
    </w:p>
    <w:p>
      <w:pPr>
        <w:spacing w:after="0" w:line="25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200" w:lineRule="exact"/>
        <w:rPr>
          <w:sz w:val="20"/>
          <w:szCs w:val="20"/>
          <w:color w:val="auto"/>
        </w:rPr>
      </w:pPr>
    </w:p>
    <w:p>
      <w:pPr>
        <w:spacing w:after="0" w:line="31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One Liberty Plaza</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New York, NY 10006-1470</w:t>
      </w:r>
    </w:p>
    <w:p>
      <w:pPr>
        <w:spacing w:after="0" w:line="9" w:lineRule="exact"/>
        <w:rPr>
          <w:sz w:val="20"/>
          <w:szCs w:val="20"/>
          <w:color w:val="auto"/>
        </w:rPr>
      </w:pPr>
    </w:p>
    <w:p>
      <w:pPr>
        <w:ind w:left="2360" w:hanging="191"/>
        <w:spacing w:after="0"/>
        <w:tabs>
          <w:tab w:leader="none" w:pos="2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+1212 225 2000</w:t>
      </w:r>
    </w:p>
    <w:p>
      <w:pPr>
        <w:spacing w:after="0" w:line="9" w:lineRule="exact"/>
        <w:rPr>
          <w:rFonts w:ascii="Arial" w:cs="Arial" w:eastAsia="Arial" w:hAnsi="Arial"/>
          <w:sz w:val="18"/>
          <w:szCs w:val="18"/>
          <w:color w:val="auto"/>
        </w:rPr>
      </w:pPr>
    </w:p>
    <w:p>
      <w:pPr>
        <w:ind w:left="2360" w:hanging="191"/>
        <w:spacing w:after="0"/>
        <w:tabs>
          <w:tab w:leader="none" w:pos="2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+1212 225 3999</w:t>
      </w:r>
    </w:p>
    <w:p>
      <w:pPr>
        <w:spacing w:after="0" w:line="1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clearygottlieb.com</w:t>
      </w:r>
    </w:p>
    <w:p>
      <w:pPr>
        <w:spacing w:after="0" w:line="200" w:lineRule="exact"/>
        <w:rPr>
          <w:sz w:val="20"/>
          <w:szCs w:val="20"/>
          <w:color w:val="auto"/>
        </w:rPr>
      </w:pPr>
    </w:p>
    <w:p>
      <w:pPr>
        <w:spacing w:after="0" w:line="304" w:lineRule="exact"/>
        <w:rPr>
          <w:sz w:val="20"/>
          <w:szCs w:val="20"/>
          <w:color w:val="auto"/>
        </w:rPr>
      </w:pPr>
    </w:p>
    <w:p>
      <w:pPr>
        <w:jc w:val="center"/>
        <w:ind w:left="780" w:right="160"/>
        <w:spacing w:after="0" w:line="264" w:lineRule="auto"/>
        <w:rPr>
          <w:sz w:val="20"/>
          <w:szCs w:val="20"/>
          <w:color w:val="auto"/>
        </w:rPr>
      </w:pPr>
      <w:r>
        <w:rPr>
          <w:rFonts w:ascii="Arial" w:cs="Arial" w:eastAsia="Arial" w:hAnsi="Arial"/>
          <w:sz w:val="13"/>
          <w:szCs w:val="13"/>
          <w:color w:val="auto"/>
        </w:rPr>
        <w:t>WASHINGTON, D.C. • PARIS • BRUSSELS • LONDON • MOSCOW FRANKFURT • COLOGNE • ROME • MILAN • HONG KONG BEIJING • BUENOS AIRES • SAO PAULO • ABU DHABI • SEOUL</w:t>
      </w:r>
    </w:p>
    <w:p>
      <w:pPr>
        <w:spacing w:after="0" w:line="200" w:lineRule="exact"/>
        <w:rPr>
          <w:sz w:val="20"/>
          <w:szCs w:val="20"/>
          <w:color w:val="auto"/>
        </w:rPr>
      </w:pPr>
    </w:p>
    <w:p>
      <w:pPr>
        <w:spacing w:after="0" w:line="256" w:lineRule="exact"/>
        <w:rPr>
          <w:sz w:val="20"/>
          <w:szCs w:val="20"/>
          <w:color w:val="auto"/>
        </w:rPr>
      </w:pPr>
    </w:p>
    <w:p>
      <w:pPr>
        <w:jc w:val="both"/>
        <w:ind w:left="2120" w:right="1500" w:firstLine="34"/>
        <w:spacing w:after="0" w:line="342" w:lineRule="auto"/>
        <w:tabs>
          <w:tab w:leader="none" w:pos="2377" w:val="left"/>
        </w:tabs>
        <w:numPr>
          <w:ilvl w:val="0"/>
          <w:numId w:val="92"/>
        </w:numPr>
        <w:rPr>
          <w:rFonts w:ascii="Arial" w:cs="Arial" w:eastAsia="Arial" w:hAnsi="Arial"/>
          <w:sz w:val="16"/>
          <w:szCs w:val="16"/>
          <w:color w:val="auto"/>
        </w:rPr>
      </w:pPr>
      <w:r>
        <w:rPr>
          <w:rFonts w:ascii="Arial" w:cs="Arial" w:eastAsia="Arial" w:hAnsi="Arial"/>
          <w:sz w:val="16"/>
          <w:szCs w:val="16"/>
          <w:color w:val="auto"/>
        </w:rPr>
        <w:t>+1212 225 2286 afleisher@cgsh.com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80" w:type="dxa"/>
            <w:vAlign w:val="bottom"/>
          </w:tcPr>
          <w:p>
            <w:pPr>
              <w:ind w:left="1400"/>
              <w:spacing w:after="0"/>
              <w:rPr>
                <w:sz w:val="20"/>
                <w:szCs w:val="20"/>
                <w:color w:val="auto"/>
              </w:rPr>
            </w:pPr>
            <w:r>
              <w:rPr>
                <w:rFonts w:ascii="Arial" w:cs="Arial" w:eastAsia="Arial" w:hAnsi="Arial"/>
                <w:sz w:val="18"/>
                <w:szCs w:val="18"/>
                <w:b w:val="1"/>
                <w:bCs w:val="1"/>
                <w:color w:val="auto"/>
                <w:w w:val="92"/>
              </w:rPr>
              <w:t>Exhibit (l)</w:t>
            </w:r>
          </w:p>
        </w:tc>
        <w:tc>
          <w:tcPr>
            <w:tcW w:w="0" w:type="dxa"/>
            <w:vAlign w:val="bottom"/>
          </w:tcPr>
          <w:p>
            <w:pPr>
              <w:spacing w:after="0"/>
              <w:rPr>
                <w:sz w:val="1"/>
                <w:szCs w:val="1"/>
                <w:color w:val="auto"/>
              </w:rPr>
            </w:pPr>
          </w:p>
        </w:tc>
      </w:tr>
      <w:tr>
        <w:trPr>
          <w:trHeight w:val="355"/>
        </w:trPr>
        <w:tc>
          <w:tcPr>
            <w:tcW w:w="1640" w:type="dxa"/>
            <w:vAlign w:val="bottom"/>
          </w:tcPr>
          <w:p>
            <w:pPr>
              <w:spacing w:after="0"/>
              <w:rPr>
                <w:sz w:val="20"/>
                <w:szCs w:val="20"/>
                <w:color w:val="auto"/>
              </w:rPr>
            </w:pPr>
            <w:r>
              <w:rPr>
                <w:rFonts w:ascii="Arial" w:cs="Arial" w:eastAsia="Arial" w:hAnsi="Arial"/>
                <w:sz w:val="11"/>
                <w:szCs w:val="11"/>
                <w:color w:val="auto"/>
              </w:rPr>
              <w:t>VICTOR I. LEWKOW</w:t>
            </w:r>
          </w:p>
        </w:tc>
        <w:tc>
          <w:tcPr>
            <w:tcW w:w="1780" w:type="dxa"/>
            <w:vAlign w:val="bottom"/>
          </w:tcPr>
          <w:p>
            <w:pPr>
              <w:ind w:left="220"/>
              <w:spacing w:after="0"/>
              <w:rPr>
                <w:sz w:val="20"/>
                <w:szCs w:val="20"/>
                <w:color w:val="auto"/>
              </w:rPr>
            </w:pPr>
            <w:r>
              <w:rPr>
                <w:rFonts w:ascii="Arial" w:cs="Arial" w:eastAsia="Arial" w:hAnsi="Arial"/>
                <w:sz w:val="11"/>
                <w:szCs w:val="11"/>
                <w:color w:val="auto"/>
              </w:rPr>
              <w:t>FRANCISCO L. CESTERO</w:t>
            </w:r>
          </w:p>
        </w:tc>
        <w:tc>
          <w:tcPr>
            <w:tcW w:w="2180" w:type="dxa"/>
            <w:vAlign w:val="bottom"/>
          </w:tcPr>
          <w:p>
            <w:pPr>
              <w:ind w:left="200"/>
              <w:spacing w:after="0"/>
              <w:rPr>
                <w:sz w:val="20"/>
                <w:szCs w:val="20"/>
                <w:color w:val="auto"/>
              </w:rPr>
            </w:pPr>
            <w:r>
              <w:rPr>
                <w:rFonts w:ascii="Arial" w:cs="Arial" w:eastAsia="Arial" w:hAnsi="Arial"/>
                <w:sz w:val="11"/>
                <w:szCs w:val="11"/>
                <w:color w:val="auto"/>
              </w:rPr>
              <w:t>DAVID H. HERRINGTON</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THOMAS J. MOLONEY</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FRANCESCA L. ODELL</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KIMBERLY R. SPOERRI</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DAVID G. SABEL</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WILLIAM L. MCRAE</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AARON J. MEYERS</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JONATHAN I. BLACKMAN</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JASON FACTOR</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DANIEL C. REYNOLDS</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YARON Z. REICH</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JOON H. KIM</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ABENA A. MAINOO</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RICHARD S. LINCER</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MARGARET S. PEPONIS</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HUGH C. CONROY, JR.</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JAMES A. DUNCAN</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LISA M. SCHWEITZER</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JOSEPH LANZKRON</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STEVEN M. LOEB</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JUAN G. GIRALDEZ</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MAURICE R. GINDI</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CRAIG B. BROD</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DUANE MCLAUGHLIN</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KATHERINE R. REAVES</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NICOLAS GRABAR</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BREON S. PEACE</w:t>
            </w:r>
          </w:p>
        </w:tc>
        <w:tc>
          <w:tcPr>
            <w:tcW w:w="2180" w:type="dxa"/>
            <w:vAlign w:val="bottom"/>
          </w:tcPr>
          <w:p>
            <w:pPr>
              <w:ind w:left="200"/>
              <w:spacing w:after="0" w:line="122" w:lineRule="exact"/>
              <w:rPr>
                <w:sz w:val="20"/>
                <w:szCs w:val="20"/>
                <w:color w:val="auto"/>
              </w:rPr>
            </w:pPr>
            <w:r>
              <w:rPr>
                <w:rFonts w:ascii="Arial" w:cs="Arial" w:eastAsia="Arial" w:hAnsi="Arial"/>
                <w:sz w:val="11"/>
                <w:szCs w:val="11"/>
                <w:color w:val="auto"/>
              </w:rPr>
              <w:t>RAHUL MUKHI</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CHRISTOPHER E. AUSTIN</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MEREDITH E. KOTLER</w:t>
            </w:r>
          </w:p>
        </w:tc>
        <w:tc>
          <w:tcPr>
            <w:tcW w:w="2180" w:type="dxa"/>
            <w:vAlign w:val="bottom"/>
          </w:tcPr>
          <w:p>
            <w:pPr>
              <w:ind w:left="320"/>
              <w:spacing w:after="0" w:line="122" w:lineRule="exact"/>
              <w:rPr>
                <w:sz w:val="20"/>
                <w:szCs w:val="20"/>
                <w:color w:val="auto"/>
              </w:rPr>
            </w:pPr>
            <w:r>
              <w:rPr>
                <w:rFonts w:ascii="Arial" w:cs="Arial" w:eastAsia="Arial" w:hAnsi="Arial"/>
                <w:sz w:val="11"/>
                <w:szCs w:val="11"/>
                <w:color w:val="auto"/>
              </w:rPr>
              <w:t>RESIDENT PARTNERS</w:t>
            </w: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HOWARD S. ZELBO</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CHANTAL E. KORDULA</w:t>
            </w:r>
          </w:p>
        </w:tc>
        <w:tc>
          <w:tcPr>
            <w:tcW w:w="2180" w:type="dxa"/>
            <w:vAlign w:val="bottom"/>
            <w:vMerge w:val="restart"/>
          </w:tcPr>
          <w:p>
            <w:pPr>
              <w:ind w:left="200"/>
              <w:spacing w:after="0"/>
              <w:rPr>
                <w:sz w:val="20"/>
                <w:szCs w:val="20"/>
                <w:color w:val="auto"/>
              </w:rPr>
            </w:pPr>
            <w:r>
              <w:rPr>
                <w:rFonts w:ascii="Arial" w:cs="Arial" w:eastAsia="Arial" w:hAnsi="Arial"/>
                <w:sz w:val="11"/>
                <w:szCs w:val="11"/>
                <w:color w:val="auto"/>
              </w:rPr>
              <w:t>SANDRA M. ROCKS</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DAVID E. BRODSKY</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BENET J. O’REILLY</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S. DOUGLAS BORISKY</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ARTHUR H. KOHN</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ADAM E. FLEISHER</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JUDITH KASSEL</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RICHARD J. COOPER</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SEAN A. O’NEAL</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DAVID E. WEBB</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JEFFREY S. LEWIS</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GLENN P. MCGRORY</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PENELOPE L. CHRISTOPHOROU</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PAUL J. SHIM</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MATTHEW P. SALERNO</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BOAZ S. MORAG</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STEVEN L. WILNER</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MICHAEL J. ALBANO</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MARY E. ALCOCK</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ERIKA W. NIJENHUIS</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VICTOR L. HOU</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HEIDE H. ILGENFRITZ</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ANDRES DE LA CRUZ</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ROGER A. COOPER</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KATHLEEN M. EMBERGER</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DAVID C. LOPEZ</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AMY R. SHAPIRO</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AVRAM E. LUFT</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MICHAEL A. GERSTENZANG</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JENNIFER KENNEDY PARK</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ANDREW WEAVER</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LEWIS J. LIMAN</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ELIZABETH LENAS</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HELENA K. GRANNIS</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LEV L. DASSIN</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LUKE A. BAREFOOT</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JOHN V. HARRISON</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NEIL Q. WHORISKEY</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PAMELA L. MARCOGLIESE</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CAROLINE F. HAYDAY</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JORGE U. JUANTORENA</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PAUL M. TIGER</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NEIL R. MARKEL</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MICHAEL D. WEINBERGER</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JONATHAN S. KOLODNER</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KENNETH S. BLAZEJEWSKI</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DAVID LEINWAND</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DANIEL ILAN</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ANDREA M. BASHAM</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DIANA L. WOLLMAN</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MEYER H. FEDIDA</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LAURA BAGARELLA</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JEFFREY A. ROSENTHAL</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ADRIAN R. LEIPSIC</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SHIRLEY M. LO</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ETHAN A. KLINGSBERG</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ELIZABETH VICENS</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JONATHAN D.W. GIFFORD</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MICHAEL D. DAYAN</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ADAM J. BRENNEMAN</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SUSANNA E. PARKER</w:t>
            </w:r>
          </w:p>
        </w:tc>
        <w:tc>
          <w:tcPr>
            <w:tcW w:w="0" w:type="dxa"/>
            <w:vAlign w:val="bottom"/>
          </w:tcPr>
          <w:p>
            <w:pPr>
              <w:spacing w:after="0"/>
              <w:rPr>
                <w:sz w:val="1"/>
                <w:szCs w:val="1"/>
                <w:color w:val="auto"/>
              </w:rPr>
            </w:pPr>
          </w:p>
        </w:tc>
      </w:tr>
      <w:tr>
        <w:trPr>
          <w:trHeight w:val="8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CARMINE D. BOCCUZZI, JR.</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ARI D. MACKINNON</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2180" w:type="dxa"/>
            <w:vAlign w:val="bottom"/>
            <w:vMerge w:val="restart"/>
          </w:tcPr>
          <w:p>
            <w:pPr>
              <w:ind w:left="320"/>
              <w:spacing w:after="0"/>
              <w:rPr>
                <w:sz w:val="20"/>
                <w:szCs w:val="20"/>
                <w:color w:val="auto"/>
              </w:rPr>
            </w:pPr>
            <w:r>
              <w:rPr>
                <w:rFonts w:ascii="Arial" w:cs="Arial" w:eastAsia="Arial" w:hAnsi="Arial"/>
                <w:sz w:val="11"/>
                <w:szCs w:val="11"/>
                <w:color w:val="auto"/>
              </w:rPr>
              <w:t>RESIDENT COUNSEL</w:t>
            </w:r>
          </w:p>
        </w:tc>
        <w:tc>
          <w:tcPr>
            <w:tcW w:w="0" w:type="dxa"/>
            <w:vAlign w:val="bottom"/>
          </w:tcPr>
          <w:p>
            <w:pPr>
              <w:spacing w:after="0"/>
              <w:rPr>
                <w:sz w:val="1"/>
                <w:szCs w:val="1"/>
                <w:color w:val="auto"/>
              </w:rPr>
            </w:pPr>
          </w:p>
        </w:tc>
      </w:tr>
      <w:tr>
        <w:trPr>
          <w:trHeight w:val="96"/>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JEFFREY D. KARPF</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JAMES E. LANGSTON</w:t>
            </w: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640" w:type="dxa"/>
            <w:vAlign w:val="bottom"/>
            <w:vMerge w:val="continue"/>
          </w:tcPr>
          <w:p>
            <w:pPr>
              <w:spacing w:after="0"/>
              <w:rPr>
                <w:sz w:val="2"/>
                <w:szCs w:val="2"/>
                <w:color w:val="auto"/>
              </w:rPr>
            </w:pPr>
          </w:p>
        </w:tc>
        <w:tc>
          <w:tcPr>
            <w:tcW w:w="1780" w:type="dxa"/>
            <w:vAlign w:val="bottom"/>
            <w:vMerge w:val="continue"/>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KIMBERLY BROWN</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JARED GERBER</w:t>
            </w:r>
          </w:p>
        </w:tc>
        <w:tc>
          <w:tcPr>
            <w:tcW w:w="2180" w:type="dxa"/>
            <w:vAlign w:val="bottom"/>
            <w:vMerge w:val="restart"/>
          </w:tcPr>
          <w:p>
            <w:pPr>
              <w:ind w:left="200"/>
              <w:spacing w:after="0"/>
              <w:rPr>
                <w:sz w:val="20"/>
                <w:szCs w:val="20"/>
                <w:color w:val="auto"/>
              </w:rPr>
            </w:pPr>
            <w:r>
              <w:rPr>
                <w:rFonts w:ascii="Arial" w:cs="Arial" w:eastAsia="Arial" w:hAnsi="Arial"/>
                <w:sz w:val="11"/>
                <w:szCs w:val="11"/>
                <w:color w:val="auto"/>
              </w:rPr>
              <w:t>LOUISE M. PARENT</w:t>
            </w:r>
          </w:p>
        </w:tc>
        <w:tc>
          <w:tcPr>
            <w:tcW w:w="0" w:type="dxa"/>
            <w:vAlign w:val="bottom"/>
          </w:tcPr>
          <w:p>
            <w:pPr>
              <w:spacing w:after="0"/>
              <w:rPr>
                <w:sz w:val="1"/>
                <w:szCs w:val="1"/>
                <w:color w:val="auto"/>
              </w:rPr>
            </w:pPr>
          </w:p>
        </w:tc>
      </w:tr>
      <w:tr>
        <w:trPr>
          <w:trHeight w:val="41"/>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BLACKLOW</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COLIN D. LLOYD</w:t>
            </w:r>
          </w:p>
        </w:tc>
        <w:tc>
          <w:tcPr>
            <w:tcW w:w="2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180" w:type="dxa"/>
            <w:vAlign w:val="bottom"/>
            <w:vMerge w:val="restart"/>
          </w:tcPr>
          <w:p>
            <w:pPr>
              <w:ind w:left="320"/>
              <w:spacing w:after="0"/>
              <w:rPr>
                <w:sz w:val="20"/>
                <w:szCs w:val="20"/>
                <w:color w:val="auto"/>
              </w:rPr>
            </w:pPr>
            <w:r>
              <w:rPr>
                <w:rFonts w:ascii="Arial" w:cs="Arial" w:eastAsia="Arial" w:hAnsi="Arial"/>
                <w:sz w:val="11"/>
                <w:szCs w:val="11"/>
                <w:color w:val="auto"/>
              </w:rPr>
              <w:t>OF COUNSEL</w:t>
            </w:r>
          </w:p>
        </w:tc>
        <w:tc>
          <w:tcPr>
            <w:tcW w:w="0" w:type="dxa"/>
            <w:vAlign w:val="bottom"/>
          </w:tcPr>
          <w:p>
            <w:pPr>
              <w:spacing w:after="0"/>
              <w:rPr>
                <w:sz w:val="1"/>
                <w:szCs w:val="1"/>
                <w:color w:val="auto"/>
              </w:rPr>
            </w:pPr>
          </w:p>
        </w:tc>
      </w:tr>
      <w:tr>
        <w:trPr>
          <w:trHeight w:val="55"/>
        </w:trPr>
        <w:tc>
          <w:tcPr>
            <w:tcW w:w="1640" w:type="dxa"/>
            <w:vAlign w:val="bottom"/>
            <w:vMerge w:val="restart"/>
          </w:tcPr>
          <w:p>
            <w:pPr>
              <w:spacing w:after="0" w:line="122" w:lineRule="exact"/>
              <w:rPr>
                <w:sz w:val="20"/>
                <w:szCs w:val="20"/>
                <w:color w:val="auto"/>
              </w:rPr>
            </w:pPr>
            <w:r>
              <w:rPr>
                <w:rFonts w:ascii="Arial" w:cs="Arial" w:eastAsia="Arial" w:hAnsi="Arial"/>
                <w:sz w:val="11"/>
                <w:szCs w:val="11"/>
                <w:color w:val="auto"/>
              </w:rPr>
              <w:t>ROBERT J. RAYMOND</w:t>
            </w:r>
          </w:p>
        </w:tc>
        <w:tc>
          <w:tcPr>
            <w:tcW w:w="1780" w:type="dxa"/>
            <w:vAlign w:val="bottom"/>
            <w:vMerge w:val="restart"/>
          </w:tcPr>
          <w:p>
            <w:pPr>
              <w:ind w:left="220"/>
              <w:spacing w:after="0" w:line="122" w:lineRule="exact"/>
              <w:rPr>
                <w:sz w:val="20"/>
                <w:szCs w:val="20"/>
                <w:color w:val="auto"/>
              </w:rPr>
            </w:pPr>
            <w:r>
              <w:rPr>
                <w:rFonts w:ascii="Arial" w:cs="Arial" w:eastAsia="Arial" w:hAnsi="Arial"/>
                <w:sz w:val="11"/>
                <w:szCs w:val="11"/>
                <w:color w:val="auto"/>
              </w:rPr>
              <w:t>COREY M. GOODMAN</w:t>
            </w:r>
          </w:p>
        </w:tc>
        <w:tc>
          <w:tcPr>
            <w:tcW w:w="2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64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SUNG K. KANG</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RISHI ZUTSHI</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line="122" w:lineRule="exact"/>
              <w:rPr>
                <w:sz w:val="20"/>
                <w:szCs w:val="20"/>
                <w:color w:val="auto"/>
              </w:rPr>
            </w:pPr>
            <w:r>
              <w:rPr>
                <w:rFonts w:ascii="Arial" w:cs="Arial" w:eastAsia="Arial" w:hAnsi="Arial"/>
                <w:sz w:val="11"/>
                <w:szCs w:val="11"/>
                <w:color w:val="auto"/>
              </w:rPr>
              <w:t>LEONARD C. JACOBY</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JANE VANLARE</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40" w:type="dxa"/>
            <w:vAlign w:val="bottom"/>
          </w:tcPr>
          <w:p>
            <w:pPr>
              <w:spacing w:after="0"/>
              <w:rPr>
                <w:sz w:val="20"/>
                <w:szCs w:val="20"/>
                <w:color w:val="auto"/>
              </w:rPr>
            </w:pPr>
            <w:r>
              <w:rPr>
                <w:rFonts w:ascii="Arial" w:cs="Arial" w:eastAsia="Arial" w:hAnsi="Arial"/>
                <w:sz w:val="11"/>
                <w:szCs w:val="11"/>
                <w:color w:val="auto"/>
              </w:rPr>
              <w:t>SANDRA L. FLOW</w:t>
            </w:r>
          </w:p>
        </w:tc>
        <w:tc>
          <w:tcPr>
            <w:tcW w:w="17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00" w:space="720"/>
            <w:col w:w="5600"/>
          </w:cols>
          <w:pgMar w:left="240" w:top="121" w:right="239" w:bottom="1440" w:gutter="0" w:footer="0" w:header="0"/>
        </w:sectPr>
      </w:pP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a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N-2 (including the documents incorporated by reference therein,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offering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together or separately and in one or more series (if applicable), of up to an aggregate offering price of $750,000,000 of (a)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(b) shares of the Company’s preferred stock, par value $0.01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(c) debt securities of the Company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(d) subscription rights to purchase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Rights</w:t>
      </w:r>
      <w:r>
        <w:rPr>
          <w:rFonts w:ascii="Arial" w:cs="Arial" w:eastAsia="Arial" w:hAnsi="Arial"/>
          <w:sz w:val="16"/>
          <w:szCs w:val="16"/>
          <w:color w:val="auto"/>
        </w:rPr>
        <w:t>”); and (e) warrants to purchase Debt Securities, Preferred Stock, Common Stock or other securities, property or assets or other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The Common Stock, Preferred Stock, Debt Securities, Rights and Warrants are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registered under the Registration Statement will be offered on a continuous or delayed basis pursuant to the provisions of Rule 415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terms of the Preferred Stock are to be established in one or more certificates of designation, rights and preferences filed with the Secretary of State of the State of Delaware (each, a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Debt Securities are to be issued in one or more series pursuant to an indenture (as amended or supplemented,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January 22, 2018 between the Company and Wells Fargo Bank, National Association. The Rights are to be issued under one or more rights agreements (each, a “</w:t>
      </w:r>
      <w:r>
        <w:rPr>
          <w:rFonts w:ascii="Arial" w:cs="Arial" w:eastAsia="Arial" w:hAnsi="Arial"/>
          <w:sz w:val="18"/>
          <w:szCs w:val="18"/>
          <w:u w:val="single" w:color="auto"/>
          <w:color w:val="auto"/>
        </w:rPr>
        <w:t>Rights Agreement</w:t>
      </w:r>
      <w:r>
        <w:rPr>
          <w:rFonts w:ascii="Arial" w:cs="Arial" w:eastAsia="Arial" w:hAnsi="Arial"/>
          <w:sz w:val="18"/>
          <w:szCs w:val="18"/>
          <w:color w:val="auto"/>
        </w:rPr>
        <w:t>”) between the Company and the rights agent to be named therein. The Warrants are to be issued under one or more warrant agreements (each, a “</w:t>
      </w:r>
      <w:r>
        <w:rPr>
          <w:rFonts w:ascii="Arial" w:cs="Arial" w:eastAsia="Arial" w:hAnsi="Arial"/>
          <w:sz w:val="18"/>
          <w:szCs w:val="18"/>
          <w:u w:val="single" w:color="auto"/>
          <w:color w:val="auto"/>
        </w:rPr>
        <w:t>Warrant Agreement</w:t>
      </w:r>
      <w:r>
        <w:rPr>
          <w:rFonts w:ascii="Arial" w:cs="Arial" w:eastAsia="Arial" w:hAnsi="Arial"/>
          <w:sz w:val="18"/>
          <w:szCs w:val="18"/>
          <w:color w:val="auto"/>
        </w:rPr>
        <w:t>”) to be entered into between the Company and the warrant agent to be named therein.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Cleary Gottlieb Steen &amp; Hamilton LLP or an affiliated entity has an office in each of the cities listed above.</w:t>
      </w:r>
    </w:p>
    <w:p>
      <w:pPr>
        <w:sectPr>
          <w:pgSz w:w="11900" w:h="16838" w:orient="portrait"/>
          <w:cols w:equalWidth="0" w:num="1">
            <w:col w:w="11420"/>
          </w:cols>
          <w:pgMar w:left="240" w:top="121"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form of Certificate of Common Stock included as Exhibit (d)(1)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executed copy of the Indenture, a conformed copy of which is included as Exhibit (d)(8)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form of Subscription Certificate included as Exhibit (d)(2) to the Registration Statement;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as amended, certified by the Secretary of State of the State of Delaware, and Bylaws, certified by the corporate secretary of the Company.</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131" w:lineRule="exact"/>
        <w:rPr>
          <w:sz w:val="20"/>
          <w:szCs w:val="20"/>
          <w:color w:val="auto"/>
        </w:rPr>
      </w:pPr>
    </w:p>
    <w:p>
      <w:pPr>
        <w:ind w:left="900" w:right="2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Common Stock, including Common Stock to be issued upon conversion, exchange or exercise of any other Security in accordance with its terms, will be validly issued by the Company, fully paid and nonassessable.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Preferred Stock will be validly issued by the Company, fully paid and nonassessable.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Debt Securities will be the valid, binding and enforceable obligations of the Company, entitled to the benefits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Rights will be the valid, binding and enforceable obligations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Warrants will be the valid, binding and enforceable obligations of the Company.</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Insofar as the foregoing opinions relate to the validity, binding effect or enforceability of any agreement or obligation of the Company, (x) we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and (y) such opinions are subject to applicable bankruptcy, insolvency and similar laws affecting creditors’ rights generally and to general principles of equity.</w:t>
      </w:r>
    </w:p>
    <w:p>
      <w:pPr>
        <w:spacing w:after="0" w:line="17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rendering the opinions expressed above, we have further assumed that (i) prior to the issuance of the Securities, the Company will authorize the offering and issuance of the Securities and will duly authorize, approve and establish the final terms and conditions thereof, which terms will conform to the descriptions thereof in the Registration Statement and the related prospectus supplements, the terms of any agreement governing those Securities and, in the case of Preferred Stock, the provisions of the Company’s Amended and Restated Certificate of Incorporation, as amended, and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(ii) prior to the issuance of the Securities, the Company will duly authorize, execute and deliver any applicable Rights Agreement and Warrant Agreement and any other agreement governing the Securities or otherwise necessary with respect to the Securities or contemplated by the Securities or the Registration Statement and will take any other appropriate or necessary corporate action, including the filing of any Certificate of Designation with the Secretary of State of the State of Delaware; (iii) any agreement governing the Securities and</w:t>
      </w:r>
    </w:p>
    <w:p>
      <w:pPr>
        <w:sectPr>
          <w:pgSz w:w="11900" w:h="16838" w:orient="portrait"/>
          <w:cols w:equalWidth="0" w:num="1">
            <w:col w:w="11400"/>
          </w:cols>
          <w:pgMar w:left="240" w:top="274"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3</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instruments evidencing the Securities will be governed by New York law; (iv) the Subscription Certificate will conform to the form thereof filed as exhibits to the Registration Statement; (v) the Securities will be offered, issued, sold and delivered in compliance with applicable law and any requirements therefor set forth in any corporate action authorizing such Securities and any agreement governing such Securities and in the manner contemplated by the Registration Statement and the related prospectus supplements describing the Securities and the offering thereof; (vi) the Securities will be offered, sold and delivered to, and paid for by, the purchasers thereof at the price specified in, and in accordance with the terms of, an agreement or agreements duly authorized, executed and delivered by the parties thereto, which price, in the case of Common Stock or Preferred Stock, shall not be less than the respective par value thereof; and (vii) if issued in certificated form, certificates representing the Securities will be duly executed and delivered and, to the extent required by any applicable agreement, duly authenticated or countersigned, and if issued in book-entry form, the Securities will be duly registered to the extent required by any applicable agreement.</w:t>
      </w:r>
    </w:p>
    <w:p>
      <w:pPr>
        <w:spacing w:after="0" w:line="18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rendering the opinions expressed in paragraph 3 above, we have assumed that each series of Debt Securities will be issued with an original aggregate principal amount (or in the case of Debt Securities issued at an original issue discount, an aggregate issue price) of $2,500,000 or more.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note that any designation in the Securities or any applicable agreement governing those Securities of the U.S. federal courts sitting in New York City as the venue for actions or proceedings relating to such Securities is (notwithstanding any waiver thereof) subject to the power of such courts to transfer actions pursuant to 28 U.S.C. §1404(a) or to dismiss such actions or proceedings on the grounds that such a federal court is an inconvenient forum for such an action or proceeding.</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 In addition, to the extent that any Securities or applicable agreement governing those Securities includes a provision relating to indemnification against any loss in obtaining currency due from a court judgment in another currency, we express no opinion as to the enforceability of such provision.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hereby consent to the use of our name in the prospectus constituting a part of the Registration Statement under the heading “Legal Matters” and in any prospectus supplement related thereto as counsel for the Company that has passed on the validity of the Securities, and to the use of this opinion as a part (Exhibit (l)) of the Registration Statement. In giving this consent, we do not thereby admit that we are within the category of persons whose consent is required under Section 7 of the Securities Act or the rules and regulations of the Commission thereunder. 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11" w:lineRule="exact"/>
        <w:rPr>
          <w:sz w:val="20"/>
          <w:szCs w:val="20"/>
          <w:color w:val="auto"/>
        </w:rPr>
      </w:pPr>
    </w:p>
    <w:p>
      <w:pPr>
        <w:ind w:left="686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Adam E. Fleisher, a Partner</w:t>
      </w:r>
    </w:p>
    <w:p>
      <w:pPr>
        <w:sectPr>
          <w:pgSz w:w="11900" w:h="16838" w:orient="portrait"/>
          <w:cols w:equalWidth="0" w:num="1">
            <w:col w:w="11420"/>
          </w:cols>
          <w:pgMar w:left="240" w:top="27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consent to the use of our report, dated February 20, 2019, with respect to the consolidated financial statements and the effectiveness of internal control over financial reporting, incorporated by reference herein, to the use of our report, dated May 7, 2019, on the senior securities table of the Company, included herein, and to the references to our firm under the headings “Senior Securities” and “Experts” in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2019</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(n)(3)</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Report of Independent Registered Public Accounting Firm on Supplemental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audited, in accordance with the standards of the Public Company Accounting Oversight Board (United States), the consolidated financial statements of TPG Specialty Lending, Inc. and subsidiaries (the Company) as of December 31, 2018 and 2017 and for each of the years in the three-year period ended December 31, 2018, and our report dated February 20, 2019 expressed an unqualified opinion on those consolidated financial statements. We have not performed any procedures with respect to the audited consolidated financial statements subsequent to February 20, 2019.</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senior securities table included in the Form N-2 under the caption “Senior Securities” (the Senior Securities Table) has been subjected to audit procedures performed in conjunction with the audit of the Company’s consolidated financial statements. The Senior Securities Table is the responsibility of the Company’s management. Our audit procedures included determining whether the Senior Securities Table reconciles to the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consolidated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lvl w:ilvl="1">
      <w:lvlJc w:val="left"/>
      <w:lvlText w:val="•"/>
      <w:numFmt w:val="bullet"/>
      <w:start w:val="1"/>
    </w:lvl>
  </w:abstractNum>
  <w:abstractNum w:abstractNumId="4">
    <w:nsid w:val="579478FE"/>
    <w:multiLevelType w:val="hybridMultilevel"/>
    <w:lvl w:ilvl="0">
      <w:lvlJc w:val="left"/>
      <w:lvlText w:val="•"/>
      <w:numFmt w:val="bullet"/>
      <w:start w:val="1"/>
    </w:lvl>
    <w:lvl w:ilvl="1">
      <w:lvlJc w:val="left"/>
      <w:lvlText w:val="•"/>
      <w:numFmt w:val="bullet"/>
      <w:start w:val="1"/>
    </w:lvl>
  </w:abstractNum>
  <w:abstractNum w:abstractNumId="5">
    <w:nsid w:val="749ABB43"/>
    <w:multiLevelType w:val="hybridMultilevel"/>
    <w:lvl w:ilvl="0">
      <w:lvlJc w:val="left"/>
      <w:lvlText w:val="•"/>
      <w:numFmt w:val="bullet"/>
      <w:start w:val="1"/>
    </w:lvl>
    <w:lvl w:ilvl="1">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1)"/>
      <w:numFmt w:val="decimal"/>
      <w:start w:val="817"/>
    </w:lvl>
  </w:abstractNum>
  <w:abstractNum w:abstractNumId="11">
    <w:nsid w:val="70C6A529"/>
    <w:multiLevelType w:val="hybridMultilevel"/>
    <w:lvl w:ilvl="0">
      <w:lvlJc w:val="left"/>
      <w:lvlText w:val="(%1)"/>
      <w:numFmt w:val="lowerLetter"/>
      <w:start w:val="2"/>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6"/>
    </w:lvl>
  </w:abstractNum>
  <w:abstractNum w:abstractNumId="14">
    <w:nsid w:val="4F4EF005"/>
    <w:multiLevelType w:val="hybridMultilevel"/>
    <w:lvl w:ilvl="0">
      <w:lvlJc w:val="left"/>
      <w:lvlText w:val="(%1)"/>
      <w:numFmt w:val="decimal"/>
      <w:start w:val="8"/>
    </w:lvl>
  </w:abstractNum>
  <w:abstractNum w:abstractNumId="15">
    <w:nsid w:val="23F9C13C"/>
    <w:multiLevelType w:val="hybridMultilevel"/>
    <w:lvl w:ilvl="0">
      <w:lvlJc w:val="left"/>
      <w:lvlText w:val="(%1)"/>
      <w:numFmt w:val="decimal"/>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decimal"/>
      <w:start w:val="1"/>
    </w:lvl>
    <w:lvl w:ilvl="1">
      <w:lvlJc w:val="left"/>
      <w:lvlText w:val="(%2)"/>
      <w:numFmt w:val="lowerLetter"/>
      <w:start w:val="2"/>
    </w:lvl>
  </w:abstractNum>
  <w:abstractNum w:abstractNumId="28">
    <w:nsid w:val="3F6AB60F"/>
    <w:multiLevelType w:val="hybridMultilevel"/>
    <w:lvl w:ilvl="0">
      <w:lvlJc w:val="left"/>
      <w:lvlText w:val="(%1)"/>
      <w:numFmt w:val="decimal"/>
      <w:start w:val="7"/>
    </w:lvl>
    <w:lvl w:ilvl="1">
      <w:lvlJc w:val="left"/>
      <w:lvlText w:val="%2"/>
      <w:numFmt w:val="lowerLetter"/>
      <w:start w:val="1"/>
    </w:lvl>
  </w:abstractNum>
  <w:abstractNum w:abstractNumId="29">
    <w:nsid w:val="61574095"/>
    <w:multiLevelType w:val="hybridMultilevel"/>
    <w:lvl w:ilvl="0">
      <w:lvlJc w:val="left"/>
      <w:lvlText w:val="%1"/>
      <w:numFmt w:val="decimal"/>
      <w:start w:val="1"/>
    </w:lvl>
    <w:lvl w:ilvl="1">
      <w:lvlJc w:val="left"/>
      <w:lvlText w:val="(%2)"/>
      <w:numFmt w:val="lowerLetter"/>
      <w:start w:val="1"/>
    </w:lvl>
  </w:abstractNum>
  <w:abstractNum w:abstractNumId="30">
    <w:nsid w:val="7E0C57B1"/>
    <w:multiLevelType w:val="hybridMultilevel"/>
    <w:lvl w:ilvl="0">
      <w:lvlJc w:val="left"/>
      <w:lvlText w:val="(%1)"/>
      <w:numFmt w:val="decimal"/>
      <w:start w:val="8"/>
    </w:lvl>
    <w:lvl w:ilvl="1">
      <w:lvlJc w:val="left"/>
      <w:lvlText w:val="%2"/>
      <w:numFmt w:val="lowerLetter"/>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lvl w:ilvl="1">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1)"/>
      <w:numFmt w:val="lowerRoman"/>
      <w:start w:val="1"/>
    </w:lvl>
  </w:abstractNum>
  <w:abstractNum w:abstractNumId="42">
    <w:nsid w:val="100F8FCA"/>
    <w:multiLevelType w:val="hybridMultilevel"/>
    <w:lvl w:ilvl="0">
      <w:lvlJc w:val="left"/>
      <w:lvlText w:val="(%1)"/>
      <w:numFmt w:val="lowerRoman"/>
      <w:start w:val="3"/>
    </w:lvl>
  </w:abstractNum>
  <w:abstractNum w:abstractNumId="43">
    <w:nsid w:val="6590700B"/>
    <w:multiLevelType w:val="hybridMultilevel"/>
    <w:lvl w:ilvl="0">
      <w:lvlJc w:val="left"/>
      <w:lvlText w:val="(%1)"/>
      <w:numFmt w:val="lowerRoman"/>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1)"/>
      <w:numFmt w:val="lowerLetter"/>
      <w:start w:val="2"/>
    </w:lvl>
  </w:abstractNum>
  <w:abstractNum w:abstractNumId="73">
    <w:nsid w:val="100F59DC"/>
    <w:multiLevelType w:val="hybridMultilevel"/>
    <w:lvl w:ilvl="0">
      <w:lvlJc w:val="left"/>
      <w:lvlText w:val="(%1)"/>
      <w:numFmt w:val="lowerLetter"/>
      <w:start w:val="13"/>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9">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0">
    <w:nsid w:val="4C04A8AF"/>
    <w:multiLevelType w:val="hybridMultilevel"/>
    <w:lvl w:ilvl="0">
      <w:lvlJc w:val="left"/>
      <w:lvlText w:val="%1"/>
      <w:numFmt w:val="lowerLetter"/>
      <w:start w:val="1"/>
    </w:lvl>
    <w:lvl w:ilvl="1">
      <w:lvlJc w:val="left"/>
      <w:lvlText w:val="(%2)"/>
      <w:numFmt w:val="lowerLetter"/>
      <w:start w:val="35"/>
    </w:lvl>
  </w:abstractNum>
  <w:abstractNum w:abstractNumId="81">
    <w:nsid w:val="1716703B"/>
    <w:multiLevelType w:val="hybridMultilevel"/>
    <w:lvl w:ilvl="0">
      <w:lvlJc w:val="left"/>
      <w:lvlText w:val="(%1)"/>
      <w:numFmt w:val="lowerLetter"/>
      <w:start w:val="5"/>
    </w:lvl>
    <w:lvl w:ilvl="1">
      <w:lvlJc w:val="left"/>
      <w:lvlText w:val="(%2)"/>
      <w:numFmt w:val="lowerLetter"/>
      <w:start w:val="9"/>
    </w:lvl>
  </w:abstractNum>
  <w:abstractNum w:abstractNumId="82">
    <w:nsid w:val="14E17E33"/>
    <w:multiLevelType w:val="hybridMultilevel"/>
    <w:lvl w:ilvl="0">
      <w:lvlJc w:val="left"/>
      <w:lvlText w:val="%1"/>
      <w:numFmt w:val="decimal"/>
      <w:start w:val="1"/>
    </w:lvl>
    <w:lvl w:ilvl="1">
      <w:lvlJc w:val="left"/>
      <w:lvlText w:val="(%2)"/>
      <w:numFmt w:val="lowerRoman"/>
      <w:start w:val="2"/>
    </w:lvl>
  </w:abstractNum>
  <w:abstractNum w:abstractNumId="83">
    <w:nsid w:val="3222E7CD"/>
    <w:multiLevelType w:val="hybridMultilevel"/>
    <w:lvl w:ilvl="0">
      <w:lvlJc w:val="left"/>
      <w:lvlText w:val="(%1)"/>
      <w:numFmt w:val="decimal"/>
      <w:start w:val="5"/>
    </w:lvl>
    <w:lvl w:ilvl="1">
      <w:lvlJc w:val="left"/>
      <w:lvlText w:val="%2"/>
      <w:numFmt w:val="lowerRoman"/>
      <w:start w:val="1"/>
    </w:lvl>
  </w:abstractNum>
  <w:abstractNum w:abstractNumId="84">
    <w:nsid w:val="74DE0EE3"/>
    <w:multiLevelType w:val="hybridMultilevel"/>
    <w:lvl w:ilvl="0">
      <w:lvlJc w:val="left"/>
      <w:lvlText w:val="(%1)"/>
      <w:numFmt w:val="decimal"/>
      <w:start w:val="8"/>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2"/>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1:"/>
      <w:numFmt w:val="upperLetter"/>
      <w:start w:val="20"/>
    </w:lvl>
  </w:abstractNum>
  <w:abstractNum w:abstractNumId="90">
    <w:nsid w:val="57FC4FBB"/>
    <w:multiLevelType w:val="hybridMultilevel"/>
    <w:lvl w:ilvl="0">
      <w:lvlJc w:val="left"/>
      <w:lvlText w:val="%1:"/>
      <w:numFmt w:val="upperLetter"/>
      <w:start w:val="6"/>
    </w:lvl>
  </w:abstractNum>
  <w:abstractNum w:abstractNumId="91">
    <w:nsid w:val="CC1016F"/>
    <w:multiLevelType w:val="hybridMultilevel"/>
    <w:lvl w:ilvl="0">
      <w:lvlJc w:val="left"/>
      <w:lvlText w:val="%1:"/>
      <w:numFmt w:val="upperLetter"/>
      <w:start w:val="4"/>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5" Type="http://schemas.openxmlformats.org/officeDocument/2006/relationships/image" Target="media/image163.png"/><Relationship Id="rId186" Type="http://schemas.openxmlformats.org/officeDocument/2006/relationships/image" Target="media/image164.png"/><Relationship Id="rId200" Type="http://schemas.openxmlformats.org/officeDocument/2006/relationships/image" Target="media/image165.png"/><Relationship Id="rId212"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170" Type="http://schemas.openxmlformats.org/officeDocument/2006/relationships/hyperlink" Target="http://www.sec.gov/Archives/edgar/data/1508655/000156459019003442/tslx-10k_20181231.htm" TargetMode="External"/><Relationship Id="rId171" Type="http://schemas.openxmlformats.org/officeDocument/2006/relationships/hyperlink" Target="http://www.sec.gov/Archives/edgar/data/1508655/000119312519099195/d928549ddef14a.htm" TargetMode="External"/><Relationship Id="rId172" Type="http://schemas.openxmlformats.org/officeDocument/2006/relationships/hyperlink" Target="http://www.sec.gov/Archives/edgar/data/1508655/000156459019015321/tslx-10q_20190331.htm" TargetMode="External"/><Relationship Id="rId173" Type="http://schemas.openxmlformats.org/officeDocument/2006/relationships/hyperlink" Target="http://www.sec.gov/Archives/edgar/data/1508655/000119312519025867/d642257d8k.htm" TargetMode="External"/><Relationship Id="rId174" Type="http://schemas.openxmlformats.org/officeDocument/2006/relationships/hyperlink" Target="http://www.sec.gov/Archives/edgar/data/1508655/000119312519041197/d710691d8k.htm" TargetMode="External"/><Relationship Id="rId176" Type="http://schemas.openxmlformats.org/officeDocument/2006/relationships/hyperlink" Target="http://www.sec.gov/Archives/edgar/data/1508655/000095012311025019/y90239exv3w1.htm" TargetMode="External"/><Relationship Id="rId177" Type="http://schemas.openxmlformats.org/officeDocument/2006/relationships/hyperlink" Target="http://www.sec.gov/Archives/edgar/data/1508655/000119312514095223/d691342dex31.htm" TargetMode="External"/><Relationship Id="rId178" Type="http://schemas.openxmlformats.org/officeDocument/2006/relationships/hyperlink" Target="http://www.sec.gov/Archives/edgar/data/1508655/000156459016027941/tslx-ex31_210.htm" TargetMode="External"/><Relationship Id="rId179" Type="http://schemas.openxmlformats.org/officeDocument/2006/relationships/hyperlink" Target="http://www.sec.gov/Archives/edgar/data/1508655/000156459016027941/tslx-ex32_139.htm" TargetMode="External"/><Relationship Id="rId180" Type="http://schemas.openxmlformats.org/officeDocument/2006/relationships/hyperlink" Target="http://www.sec.gov/Archives/edgar/data/1508655/000119312512127485/d318388dex42.htm" TargetMode="External"/><Relationship Id="rId181" Type="http://schemas.openxmlformats.org/officeDocument/2006/relationships/hyperlink" Target="http://www.sec.gov/Archives/edgar/data/1508655/000119312514280584/d744245dex99d7.htm" TargetMode="External"/><Relationship Id="rId182" Type="http://schemas.openxmlformats.org/officeDocument/2006/relationships/hyperlink" Target="http://www.sec.gov/Archives/edgar/data/1508655/000119312514232207/d738714dex41.htm" TargetMode="External"/><Relationship Id="rId183" Type="http://schemas.openxmlformats.org/officeDocument/2006/relationships/hyperlink" Target="http://www.sec.gov/Archives/edgar/data/1508655/000119312517027505/d341977dex41.htm" TargetMode="External"/><Relationship Id="rId184" Type="http://schemas.openxmlformats.org/officeDocument/2006/relationships/hyperlink" Target="http://www.sec.gov/Archives/edgar/data/1508655/000119312518016134/d428064dex41.htm" TargetMode="External"/><Relationship Id="rId185" Type="http://schemas.openxmlformats.org/officeDocument/2006/relationships/hyperlink" Target="http://www.sec.gov/Archives/edgar/data/1508655/000119312518016134/d428064dex42.htm" TargetMode="External"/><Relationship Id="rId187" Type="http://schemas.openxmlformats.org/officeDocument/2006/relationships/hyperlink" Target="http://www.sec.gov/Archives/edgar/data/1508655/000119312518196892/d612351dex41.htm" TargetMode="External"/><Relationship Id="rId188" Type="http://schemas.openxmlformats.org/officeDocument/2006/relationships/hyperlink" Target="http://www.sec.gov/Archives/edgar/data/1508655/000119312514102674/d630521dex99e.htm" TargetMode="External"/><Relationship Id="rId189" Type="http://schemas.openxmlformats.org/officeDocument/2006/relationships/hyperlink" Target="http://www.sec.gov/Archives/edgar/data/1508655/000119312511339263/d269504dex101.htm" TargetMode="External"/><Relationship Id="rId190" Type="http://schemas.openxmlformats.org/officeDocument/2006/relationships/hyperlink" Target="http://www.sec.gov/Archives/edgar/data/1508655/000119312516525998/d167944dex99h1.htm" TargetMode="External"/><Relationship Id="rId191" Type="http://schemas.openxmlformats.org/officeDocument/2006/relationships/hyperlink" Target="http://www.sec.gov/Archives/edgar/data/1508655/000119312516525998/d167944dex99h2.htm" TargetMode="External"/><Relationship Id="rId192" Type="http://schemas.openxmlformats.org/officeDocument/2006/relationships/hyperlink" Target="http://www.sec.gov/Archives/edgar/data/1508655/000119312512490609/d446947dex101.htm" TargetMode="External"/><Relationship Id="rId193" Type="http://schemas.openxmlformats.org/officeDocument/2006/relationships/hyperlink" Target="http://www.sec.gov/Archives/edgar/data/1508655/000095012311025019/y90239exv10w3.htm" TargetMode="External"/><Relationship Id="rId194" Type="http://schemas.openxmlformats.org/officeDocument/2006/relationships/hyperlink" Target="http://www.sec.gov/Archives/edgar/data/1508655/000119312512469369/d434820dex101.htm" TargetMode="External"/><Relationship Id="rId195" Type="http://schemas.openxmlformats.org/officeDocument/2006/relationships/hyperlink" Target="http://www.sec.gov/Archives/edgar/data/1508655/000119312513285854/d565284dex101.htm" TargetMode="External"/><Relationship Id="rId196" Type="http://schemas.openxmlformats.org/officeDocument/2006/relationships/hyperlink" Target="http://www.sec.gov/Archives/edgar/data/1508655/000119312514082476/d673597dex1020.htm" TargetMode="External"/><Relationship Id="rId197" Type="http://schemas.openxmlformats.org/officeDocument/2006/relationships/hyperlink" Target="http://www.sec.gov/Archives/edgar/data/1508655/000119312514293593/d769019dex103.htm" TargetMode="External"/><Relationship Id="rId198" Type="http://schemas.openxmlformats.org/officeDocument/2006/relationships/hyperlink" Target="http://www.sec.gov/Archives/edgar/data/1508655/000119312514293593/d769019dex104.htm" TargetMode="External"/><Relationship Id="rId199" Type="http://schemas.openxmlformats.org/officeDocument/2006/relationships/hyperlink" Target="http://www.sec.gov/Archives/edgar/data/1508655/000119312514293593/d769019dex105.htm" TargetMode="External"/><Relationship Id="rId201" Type="http://schemas.openxmlformats.org/officeDocument/2006/relationships/hyperlink" Target="http://www.sec.gov/Archives/edgar/data/1508655/000119312514394267/d813731dex101.htm" TargetMode="External"/><Relationship Id="rId202" Type="http://schemas.openxmlformats.org/officeDocument/2006/relationships/hyperlink" Target="http://www.sec.gov/Archives/edgar/data/1508655/000156459015009165/tslx-ex101_394.htm" TargetMode="External"/><Relationship Id="rId203" Type="http://schemas.openxmlformats.org/officeDocument/2006/relationships/hyperlink" Target="http://www.sec.gov/Archives/edgar/data/1508655/000156459017002010/tslx-ex1015_196.htm" TargetMode="External"/><Relationship Id="rId204" Type="http://schemas.openxmlformats.org/officeDocument/2006/relationships/hyperlink" Target="http://www.sec.gov/Archives/edgar/data/1508655/000156459017002010/tslx-ex1016_267.htm" TargetMode="External"/><Relationship Id="rId205" Type="http://schemas.openxmlformats.org/officeDocument/2006/relationships/hyperlink" Target="http://www.sec.gov/Archives/edgar/data/1508655/000156459018002665/tslx-ex1016_374.htm" TargetMode="External"/><Relationship Id="rId206" Type="http://schemas.openxmlformats.org/officeDocument/2006/relationships/hyperlink" Target="http://www.sec.gov/Archives/edgar/data/1508655/000156459018027390/tslx-ex101_128.htm" TargetMode="External"/><Relationship Id="rId207" Type="http://schemas.openxmlformats.org/officeDocument/2006/relationships/hyperlink" Target="http://www.sec.gov/Archives/edgar/data/1508655/000156459019003442/tslx-ex1016_204.htm" TargetMode="External"/><Relationship Id="rId208" Type="http://schemas.openxmlformats.org/officeDocument/2006/relationships/hyperlink" Target="http://www.sec.gov/Archives/edgar/data/1508655/000119312514102674/d630521dex99r1.htm" TargetMode="External"/><Relationship Id="rId209" Type="http://schemas.openxmlformats.org/officeDocument/2006/relationships/hyperlink" Target="http://www.sec.gov/Archives/edgar/data/1508655/000119312514102674/d630521dex99r2.htm" TargetMode="External"/><Relationship Id="rId210" Type="http://schemas.openxmlformats.org/officeDocument/2006/relationships/hyperlink" Target="http://www.sec.gov/Archives/edgar/data/1508655/000119312514280584/d744245dex991.htm" TargetMode="External"/><Relationship Id="rId211" Type="http://schemas.openxmlformats.org/officeDocument/2006/relationships/hyperlink" Target="http://www.sec.gov/Archives/edgar/data/1508655/000119312514280584/d744245dex992.htm" TargetMode="External"/><Relationship Id="rId213" Type="http://schemas.openxmlformats.org/officeDocument/2006/relationships/hyperlink" Target="http://www.sec.gov/Archives/edgar/data/1508655/000119312514280584/d744245dex993.htm" TargetMode="External"/><Relationship Id="rId214" Type="http://schemas.openxmlformats.org/officeDocument/2006/relationships/hyperlink" Target="http://www.sec.gov/Archives/edgar/data/1508655/000119312514280584/d744245dex994.htm" TargetMode="External"/><Relationship Id="rId215" Type="http://schemas.openxmlformats.org/officeDocument/2006/relationships/hyperlink" Target="http://www.sec.gov/Archives/edgar/data/1508655/000119312514280584/d744245d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2019-12-02T23:29:30Z</dcterms:created>
  <dcterms:modified xsi:type="dcterms:W3CDTF">2019-12-02T23:29:30Z</dcterms:modified>
</cp:coreProperties>
</file>