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378"/>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22"/>
                <w:szCs w:val="22"/>
                <w:b w:val="1"/>
                <w:bCs w:val="1"/>
                <w:color w:val="auto"/>
                <w:w w:val="94"/>
              </w:rPr>
              <w:t>(RULE 14a-101)</w:t>
            </w:r>
          </w:p>
        </w:tc>
      </w:tr>
      <w:tr>
        <w:trPr>
          <w:trHeight w:val="219"/>
        </w:trPr>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1100" w:type="dxa"/>
            <w:vAlign w:val="bottom"/>
          </w:tcPr>
          <w:p>
            <w:pPr>
              <w:spacing w:after="0"/>
              <w:rPr>
                <w:sz w:val="19"/>
                <w:szCs w:val="19"/>
                <w:color w:val="auto"/>
              </w:rPr>
            </w:pPr>
          </w:p>
        </w:tc>
      </w:tr>
      <w:tr>
        <w:trPr>
          <w:trHeight w:val="317"/>
        </w:trPr>
        <w:tc>
          <w:tcPr>
            <w:tcW w:w="2300" w:type="dxa"/>
            <w:vAlign w:val="bottom"/>
          </w:tcPr>
          <w:p>
            <w:pPr>
              <w:spacing w:after="0"/>
              <w:rPr>
                <w:sz w:val="24"/>
                <w:szCs w:val="24"/>
                <w:color w:val="auto"/>
              </w:rPr>
            </w:pPr>
          </w:p>
        </w:tc>
        <w:tc>
          <w:tcPr>
            <w:tcW w:w="5460" w:type="dxa"/>
            <w:vAlign w:val="bottom"/>
            <w:gridSpan w:val="3"/>
          </w:tcPr>
          <w:p>
            <w:pPr>
              <w:jc w:val="center"/>
              <w:ind w:left="843"/>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2300" w:type="dxa"/>
            <w:vAlign w:val="bottom"/>
          </w:tcPr>
          <w:p>
            <w:pPr>
              <w:spacing w:after="0"/>
              <w:rPr>
                <w:sz w:val="24"/>
                <w:szCs w:val="24"/>
                <w:color w:val="auto"/>
              </w:rPr>
            </w:pPr>
          </w:p>
        </w:tc>
        <w:tc>
          <w:tcPr>
            <w:tcW w:w="5460" w:type="dxa"/>
            <w:vAlign w:val="bottom"/>
            <w:gridSpan w:val="3"/>
          </w:tcPr>
          <w:p>
            <w:pPr>
              <w:jc w:val="center"/>
              <w:ind w:left="823"/>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334"/>
        </w:trPr>
        <w:tc>
          <w:tcPr>
            <w:tcW w:w="230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460" w:type="dxa"/>
            <w:vAlign w:val="bottom"/>
            <w:gridSpan w:val="3"/>
          </w:tcPr>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30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2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07"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80" w:hanging="66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80" w:hanging="664"/>
        <w:spacing w:after="0"/>
        <w:tabs>
          <w:tab w:leader="none" w:pos="7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80" w:hanging="664"/>
        <w:spacing w:after="0"/>
        <w:tabs>
          <w:tab w:leader="none" w:pos="7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4" w:lineRule="exact"/>
        <w:rPr>
          <w:sz w:val="24"/>
          <w:szCs w:val="24"/>
          <w:color w:val="auto"/>
        </w:rPr>
      </w:pPr>
    </w:p>
    <w:p>
      <w:pPr>
        <w:jc w:val="center"/>
        <w:ind w:right="-27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560" w:hanging="904"/>
        <w:spacing w:after="0" w:line="277" w:lineRule="auto"/>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60" w:hanging="544"/>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60" w:right="160" w:hanging="544"/>
        <w:spacing w:after="0" w:line="306"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-2787650</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-2487930</wp:posOffset>
            </wp:positionV>
            <wp:extent cx="6077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-2050415</wp:posOffset>
            </wp:positionV>
            <wp:extent cx="607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-1750695</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-1450340</wp:posOffset>
            </wp:positionV>
            <wp:extent cx="607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-653415</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-396240</wp:posOffset>
            </wp:positionV>
            <wp:extent cx="6077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-139065</wp:posOffset>
            </wp:positionV>
            <wp:extent cx="607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117475</wp:posOffset>
            </wp:positionV>
            <wp:extent cx="6077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pleased to invite you to attend a Special Meeting of Stockholders of TPG Specialty Lending, Inc. to be held on May 28, 2020, at 9:30 a.m., local time, at the offices of Cleary Gottlieb Steen &amp; Hamilton LLP, 450 Park Avenue, 28th Floor, New York, NY 10022.</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w:t>
      </w:r>
    </w:p>
    <w:p>
      <w:pPr>
        <w:spacing w:after="0" w:line="176"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You will also receive separate proxy materials for the Annual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Important Notice Regarding the Availability of Proxy Material for the Special Meeting of Stockholders to Be Held on May 28, 2020.</w:t>
      </w:r>
    </w:p>
    <w:p>
      <w:pPr>
        <w:spacing w:after="0" w:line="2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proxy statement is available online at www.proxyvote.com.</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information applicable to the Special Meeting of Stockholders may be found in the proxy statement and accompanying proxy card:</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date, time and location of the meeting;</w:t>
      </w:r>
    </w:p>
    <w:p>
      <w:pPr>
        <w:spacing w:after="0" w:line="131" w:lineRule="exact"/>
        <w:rPr>
          <w:sz w:val="20"/>
          <w:szCs w:val="20"/>
          <w:color w:val="auto"/>
        </w:rPr>
      </w:pPr>
    </w:p>
    <w:p>
      <w:pPr>
        <w:ind w:left="1080" w:right="3180"/>
        <w:spacing w:after="0" w:line="404" w:lineRule="auto"/>
        <w:rPr>
          <w:sz w:val="20"/>
          <w:szCs w:val="20"/>
          <w:color w:val="auto"/>
        </w:rPr>
      </w:pPr>
      <w:r>
        <w:rPr>
          <w:rFonts w:ascii="Arial" w:cs="Arial" w:eastAsia="Arial" w:hAnsi="Arial"/>
          <w:sz w:val="18"/>
          <w:szCs w:val="18"/>
          <w:color w:val="auto"/>
        </w:rPr>
        <w:t>a list of the matters intended to be acted on and our recommendations regarding those matters; any control/identification numbers that you need to access proxy material online; and information about attending the meeting and voting in person.</w:t>
      </w:r>
    </w:p>
    <w:p>
      <w:pPr>
        <w:sectPr>
          <w:pgSz w:w="11900" w:h="16838" w:orient="portrait"/>
          <w:cols w:equalWidth="0" w:num="1">
            <w:col w:w="11060"/>
          </w:cols>
          <w:pgMar w:left="32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NOTICE IS HEREBY GIVEN that a Special Meeting of Stockholders of TPG Specialty Lending, Inc. will be held at the offices of Cleary Gottlieb Steen &amp; Hamilton LLP, 450 Park Avenue, 28th Floor, New York, NY 10022 on May 28, 2020, at 9:30 a.m., local time. The Special Meeting of Stockholders is being held for the following purpose:</w:t>
      </w:r>
    </w:p>
    <w:p>
      <w:pPr>
        <w:spacing w:after="0" w:line="76" w:lineRule="exact"/>
        <w:rPr>
          <w:sz w:val="20"/>
          <w:szCs w:val="20"/>
          <w:color w:val="auto"/>
        </w:rPr>
      </w:pPr>
    </w:p>
    <w:p>
      <w:pPr>
        <w:jc w:val="both"/>
        <w:ind w:left="560" w:right="100" w:firstLine="419"/>
        <w:spacing w:after="0" w:line="259" w:lineRule="auto"/>
        <w:tabs>
          <w:tab w:leader="none" w:pos="11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Only stockholders of record at the close of business on March 30, 2020, are entitled to notice of and to vote at the Special Meeting of Stockholders or any postponement or adjournment thereof.</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Your vote is extremely important to us. If you are unable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w:t>
      </w:r>
    </w:p>
    <w:p>
      <w:pPr>
        <w:spacing w:after="0" w:line="292" w:lineRule="exact"/>
        <w:rPr>
          <w:sz w:val="20"/>
          <w:szCs w:val="20"/>
          <w:color w:val="auto"/>
        </w:rPr>
      </w:pPr>
    </w:p>
    <w:p>
      <w:pPr>
        <w:ind w:left="220" w:right="140" w:hanging="107"/>
        <w:spacing w:after="0" w:line="282" w:lineRule="auto"/>
        <w:rPr>
          <w:sz w:val="20"/>
          <w:szCs w:val="20"/>
          <w:color w:val="auto"/>
        </w:rPr>
      </w:pPr>
      <w:r>
        <w:rPr>
          <w:rFonts w:ascii="Arial" w:cs="Arial" w:eastAsia="Arial" w:hAnsi="Arial"/>
          <w:sz w:val="18"/>
          <w:szCs w:val="18"/>
          <w:b w:val="1"/>
          <w:bCs w:val="1"/>
          <w:color w:val="auto"/>
        </w:rPr>
        <w:t>THE BOARD OF DIRECTORS, INCLUDING THE INDEPENDENT DIRECTORS, UNANIMOUSLY RECOMMENDS THAT YOU VOTE FOR THE PROPOSAL.</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207"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5"/>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Proxy Statement for a Special Meeting of Stockholders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gridSpan w:val="5"/>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Security Ownership of Certain Beneficial Owners and Management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10660" w:type="dxa"/>
            <w:vAlign w:val="bottom"/>
            <w:gridSpan w:val="5"/>
          </w:tcPr>
          <w:p>
            <w:pPr>
              <w:spacing w:after="0" w:line="190"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Proposal No. 1 Authorization of the Company to Sell or Otherwise Issue Shares of its Common Stock at a Price Below its Then-Current Net</w:t>
              </w:r>
            </w:hyperlink>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Asset Value Per Share in One or More Offerings, in Each Case Subject to the Approval of its Board of Directors and Subject to the</w:t>
              </w:r>
            </w:hyperlink>
          </w:p>
        </w:tc>
        <w:tc>
          <w:tcPr>
            <w:tcW w:w="56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480" w:type="dxa"/>
            <w:vAlign w:val="bottom"/>
            <w:gridSpan w:val="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Conditions Set Forth in this Proposal</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8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Other Business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Stockholder Proposals and Nominations for the 2021 Annual Meeting of Stockholders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5"/>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Annual Report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660" w:type="dxa"/>
            <w:vAlign w:val="bottom"/>
            <w:gridSpan w:val="5"/>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Householding of Proxy Materials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066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Privacy Principles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37310"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jc w:val="center"/>
        <w:ind w:right="-139"/>
        <w:spacing w:after="0"/>
        <w:tabs>
          <w:tab w:leader="none" w:pos="120" w:val="left"/>
        </w:tabs>
        <w:rPr>
          <w:sz w:val="20"/>
          <w:szCs w:val="20"/>
          <w:color w:val="auto"/>
        </w:rPr>
      </w:pPr>
      <w:r>
        <w:rPr>
          <w:rFonts w:ascii="Arial" w:cs="Arial" w:eastAsia="Arial" w:hAnsi="Arial"/>
          <w:sz w:val="18"/>
          <w:szCs w:val="18"/>
          <w:color w:val="auto"/>
        </w:rPr>
        <w:t>The accompanying proxy is solicited on behalf of the Board of Directors (the</w:t>
      </w:r>
      <w:r>
        <w:rPr>
          <w:sz w:val="20"/>
          <w:szCs w:val="20"/>
          <w:color w:val="auto"/>
        </w:rPr>
        <w:tab/>
      </w:r>
      <w:r>
        <w:rPr>
          <w:rFonts w:ascii="Arial" w:cs="Arial" w:eastAsia="Arial" w:hAnsi="Arial"/>
          <w:sz w:val="16"/>
          <w:szCs w:val="16"/>
          <w:color w:val="auto"/>
        </w:rPr>
        <w:t>Board ) of TPG Specialty Lending, Inc., which is sometimes</w:t>
      </w:r>
    </w:p>
    <w:p>
      <w:pPr>
        <w:spacing w:after="0" w:line="23" w:lineRule="exact"/>
        <w:rPr>
          <w:sz w:val="20"/>
          <w:szCs w:val="20"/>
          <w:color w:val="auto"/>
        </w:rPr>
      </w:pPr>
    </w:p>
    <w:p>
      <w:pPr>
        <w:jc w:val="center"/>
        <w:ind w:right="-119"/>
        <w:spacing w:after="0"/>
        <w:tabs>
          <w:tab w:leader="none" w:pos="120" w:val="left"/>
          <w:tab w:leader="none" w:pos="240" w:val="left"/>
          <w:tab w:leader="none" w:pos="240" w:val="left"/>
          <w:tab w:leader="none" w:pos="240" w:val="left"/>
          <w:tab w:leader="none" w:pos="140" w:val="left"/>
          <w:tab w:leader="none" w:pos="120" w:val="left"/>
          <w:tab w:leader="none" w:pos="120" w:val="left"/>
          <w:tab w:leader="none" w:pos="140" w:val="left"/>
          <w:tab w:leader="none" w:pos="140" w:val="left"/>
        </w:tabs>
        <w:rPr>
          <w:sz w:val="20"/>
          <w:szCs w:val="20"/>
          <w:color w:val="auto"/>
        </w:rPr>
      </w:pPr>
      <w:r>
        <w:rPr>
          <w:rFonts w:ascii="Arial" w:cs="Arial" w:eastAsia="Arial" w:hAnsi="Arial"/>
          <w:sz w:val="18"/>
          <w:szCs w:val="18"/>
          <w:color w:val="auto"/>
        </w:rPr>
        <w:t>referred to in this proxy statement as</w:t>
        <w:tab/>
        <w:t>TSLX,</w:t>
        <w:tab/>
        <w:t>we,</w:t>
        <w:tab/>
        <w:t>us,</w:t>
        <w:tab/>
        <w:t>our,</w:t>
        <w:tab/>
        <w:t>or the</w:t>
        <w:tab/>
        <w:t>Company,</w:t>
        <w:tab/>
        <w:t>for use at a Special Meeting of Stockholders (the</w:t>
        <w:tab/>
        <w:t>Meeting</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jc w:val="both"/>
        <w:ind w:left="120" w:right="60" w:firstLine="108"/>
        <w:spacing w:after="0" w:line="302" w:lineRule="auto"/>
        <w:rPr>
          <w:sz w:val="20"/>
          <w:szCs w:val="20"/>
          <w:color w:val="auto"/>
        </w:rPr>
      </w:pPr>
      <w:r>
        <w:rPr>
          <w:rFonts w:ascii="Arial" w:cs="Arial" w:eastAsia="Arial" w:hAnsi="Arial"/>
          <w:sz w:val="16"/>
          <w:szCs w:val="16"/>
          <w:color w:val="auto"/>
        </w:rPr>
        <w:t>Special Meeting ) to be held at the offices of Cleary Gottlieb Steen &amp; Hamilton LLP, 450 Park Avenue, 28th Floor, New York, NY 10022 on May 28, 2020, at 9:30 a.m., local time. Only holders of record of our common stock at the close of business on March 30, 2020, which is the record date, will be entitled to vote at the Meeting. At the close of business on the record date, we had 66,512,097 shares of common stock outstanding and entitled to vote.</w:t>
      </w:r>
    </w:p>
    <w:p>
      <w:pPr>
        <w:spacing w:after="0" w:line="15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17, 2020. This proxy statement, including the accompanying form of proxy (collectively, the Proxy Statement ), will first be made available to stockholders on or about April 17, 2020. The Proxy Statement can be accessed online at www.proxyvote.com.</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 s common stock represented by the proxy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Meeting of Stockholders is being held for the following purpose:</w:t>
      </w:r>
    </w:p>
    <w:p>
      <w:pPr>
        <w:spacing w:after="0" w:line="225" w:lineRule="exact"/>
        <w:rPr>
          <w:sz w:val="20"/>
          <w:szCs w:val="20"/>
          <w:color w:val="auto"/>
        </w:rPr>
      </w:pPr>
    </w:p>
    <w:p>
      <w:pPr>
        <w:jc w:val="both"/>
        <w:ind w:left="120" w:right="120" w:firstLine="436"/>
        <w:spacing w:after="0" w:line="25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Arial" w:cs="Arial" w:eastAsia="Arial" w:hAnsi="Arial"/>
          <w:sz w:val="17"/>
          <w:szCs w:val="17"/>
          <w:b w:val="1"/>
          <w:bCs w:val="1"/>
          <w:color w:val="auto"/>
        </w:rPr>
        <w:t>For this reason, it is imperative that stockholders vote or</w:t>
      </w:r>
      <w:r>
        <w:rPr>
          <w:rFonts w:ascii="Arial" w:cs="Arial" w:eastAsia="Arial" w:hAnsi="Arial"/>
          <w:sz w:val="17"/>
          <w:szCs w:val="17"/>
          <w:color w:val="auto"/>
        </w:rPr>
        <w:t xml:space="preserve"> </w:t>
      </w:r>
      <w:r>
        <w:rPr>
          <w:rFonts w:ascii="Arial" w:cs="Arial" w:eastAsia="Arial" w:hAnsi="Arial"/>
          <w:sz w:val="17"/>
          <w:szCs w:val="17"/>
          <w:b w:val="1"/>
          <w:bCs w:val="1"/>
          <w:color w:val="auto"/>
        </w:rPr>
        <w:t>provide instructions to their broker as to how to vote.</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 of (1) the outstanding shares of the Company s common stock and (2) the outstanding shares of the Company s common stock held by persons that are not affiliated persons of the Company, is required to approve Proposal 1. Under the 1940 Act, the vote of holders of a majority means the vote of the holders of the lesser of (a) 67% or more of the outstanding shares of the Company s common stock present or represented by proxy at the Special Meeting if the holders of more than 50% of the shares of the Company s common stock are present or represented by proxy or (b) more than 50% of the</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outstanding shares of the Company s common stock. Abstentions will have the effect of a vote against Proposal 1. While broker non-votes would have the effect of a vote against Proposal 1, we do not expect any broker non-votes at the Meeting because there are no routine proposals to be voted on at the Meeting.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$75,000, plus reimbursement of expenses.</w:t>
      </w:r>
    </w:p>
    <w:p>
      <w:pPr>
        <w:spacing w:after="0" w:line="184" w:lineRule="exact"/>
        <w:rPr>
          <w:sz w:val="20"/>
          <w:szCs w:val="20"/>
          <w:color w:val="auto"/>
        </w:rPr>
      </w:pPr>
    </w:p>
    <w:p>
      <w:pPr>
        <w:ind w:left="120" w:right="460" w:firstLine="440"/>
        <w:spacing w:after="0" w:line="291"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Company and/or officers or employees of TSL Advisers, LLC, the Company s investment adviser (the</w:t>
      </w:r>
    </w:p>
    <w:p>
      <w:pPr>
        <w:ind w:left="120" w:right="260" w:firstLine="108"/>
        <w:spacing w:after="0" w:line="260" w:lineRule="auto"/>
        <w:rPr>
          <w:sz w:val="20"/>
          <w:szCs w:val="20"/>
          <w:color w:val="auto"/>
        </w:rPr>
      </w:pPr>
      <w:r>
        <w:rPr>
          <w:rFonts w:ascii="Arial" w:cs="Arial" w:eastAsia="Arial" w:hAnsi="Arial"/>
          <w:sz w:val="18"/>
          <w:szCs w:val="18"/>
          <w:color w:val="auto"/>
        </w:rPr>
        <w:t>Adviser ). No additional compensation will be paid to such directors, officers or regular employees for such services. The address of the Adviser is 2100 McKinney Avenue, Suite 1500, Dallas, TX 75201.</w:t>
      </w:r>
    </w:p>
    <w:p>
      <w:pPr>
        <w:spacing w:after="0" w:line="18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has engaged the services of D.F. King &amp; Co., Inc. ( D.F. King )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part of our effort to maintain a safe and healthy environment at the Meeting, we are closely monitoring statements issued by the World Health Organization (who.int), the Centers for Disease Control and Prevention (cdc.gov) and other federal, state and local government authorities regarding the coronavirus (COVID-19) outbreak. For that reason, we reserve the right to reconsider the date, time, and/or means of convening the Meeting, including by holding the meeting virtually over the internet via webcast. If we take this step, we will announce the decision to do so in advance, and details on how to participate will be issued by press release, posted on our website, and filed with the SEC as additional proxy material. We also encourage attendees to review guidance from public health authorities on this issue. We urge you to retain your control or proxy voting number after you vote in case changes are made to the meeting format and such information is again required.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You can contact us by mail sent to the attention of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or by email at kburke@tpg.com. You can call us by dialing (212) 601-4753. You can access our proxy materials online at www.proxyvote.com.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30, 2020, the beneficial ownership as indicated in the Company s books and records of each current director, the nominees for director, the Company s Named Executive Officers, the Company s executive officers and directors as a group, and each person known to the Company to beneficially own 5% or more of the outstanding shares of the Company s common stock. With respect to persons known to the Company to beneficially own 5% or more of the outstanding shares of the Company s common stock, the Company bases such knowledge on beneficial ownership filings made by the holders with the SEC.</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percentage ownership is based on 66,512,097 shares of common stock outstanding as of March 30, 2020. To the Company 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Individual or Identity of Group</w:t>
            </w:r>
          </w:p>
        </w:tc>
        <w:tc>
          <w:tcPr>
            <w:tcW w:w="6000" w:type="dxa"/>
            <w:vAlign w:val="bottom"/>
            <w:vMerge w:val="restart"/>
          </w:tcPr>
          <w:p>
            <w:pPr>
              <w:spacing w:after="0"/>
              <w:rPr>
                <w:sz w:val="12"/>
                <w:szCs w:val="12"/>
                <w:color w:val="auto"/>
              </w:rPr>
            </w:pPr>
          </w:p>
        </w:tc>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6000" w:type="dxa"/>
            <w:vAlign w:val="bottom"/>
            <w:vMerge w:val="continue"/>
          </w:tcPr>
          <w:p>
            <w:pPr>
              <w:spacing w:after="0"/>
              <w:rPr>
                <w:sz w:val="15"/>
                <w:szCs w:val="15"/>
                <w:color w:val="auto"/>
              </w:rPr>
            </w:pPr>
          </w:p>
        </w:tc>
        <w:tc>
          <w:tcPr>
            <w:tcW w:w="160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89"/>
        </w:trPr>
        <w:tc>
          <w:tcPr>
            <w:tcW w:w="8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Joshua Easterly </w:t>
            </w:r>
            <w:r>
              <w:rPr>
                <w:rFonts w:ascii="Arial" w:cs="Arial" w:eastAsia="Arial" w:hAnsi="Arial"/>
                <w:sz w:val="15"/>
                <w:szCs w:val="15"/>
                <w:color w:val="auto"/>
              </w:rPr>
              <w:t>(2)</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38,507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Michael Fishman </w:t>
            </w:r>
            <w:r>
              <w:rPr>
                <w:rFonts w:ascii="Arial" w:cs="Arial" w:eastAsia="Arial" w:hAnsi="Arial"/>
                <w:sz w:val="15"/>
                <w:szCs w:val="15"/>
                <w:color w:val="auto"/>
              </w:rPr>
              <w:t>(3)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Jennifer Gordon</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 xml:space="preserve">David Stiepleman </w:t>
            </w:r>
            <w:r>
              <w:rPr>
                <w:rFonts w:ascii="Arial" w:cs="Arial" w:eastAsia="Arial" w:hAnsi="Arial"/>
                <w:sz w:val="15"/>
                <w:szCs w:val="15"/>
                <w:color w:val="auto"/>
              </w:rPr>
              <w:t>(4)</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11,079</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Hurley Doddy</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8,088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22,000</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John Ross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26,701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Judy Slotkin</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2,946</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Robert (Bo) Stanley </w:t>
            </w:r>
            <w:r>
              <w:rPr>
                <w:rFonts w:ascii="Arial" w:cs="Arial" w:eastAsia="Arial" w:hAnsi="Arial"/>
                <w:sz w:val="15"/>
                <w:szCs w:val="15"/>
                <w:color w:val="auto"/>
              </w:rPr>
              <w:t>(5)</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14,907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All Directors and Executive Officers as a Group (16 persons) </w:t>
            </w:r>
            <w:r>
              <w:rPr>
                <w:rFonts w:ascii="Arial" w:cs="Arial" w:eastAsia="Arial" w:hAnsi="Arial"/>
                <w:sz w:val="15"/>
                <w:szCs w:val="15"/>
                <w:color w:val="auto"/>
              </w:rPr>
              <w:t>(6)(7)</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2,940,556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State Teachers Retirement Board of Ohio </w:t>
            </w:r>
            <w:r>
              <w:rPr>
                <w:rFonts w:ascii="Arial" w:cs="Arial" w:eastAsia="Arial" w:hAnsi="Arial"/>
                <w:sz w:val="15"/>
                <w:szCs w:val="15"/>
                <w:color w:val="auto"/>
              </w:rPr>
              <w:t>(8)</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5,749,659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(9)</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5,463,196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 xml:space="preserve">Division of Investment, Department of Treasury, State of New Jersey </w:t>
            </w:r>
            <w:r>
              <w:rPr>
                <w:rFonts w:ascii="Arial" w:cs="Arial" w:eastAsia="Arial" w:hAnsi="Arial"/>
                <w:sz w:val="15"/>
                <w:szCs w:val="15"/>
                <w:color w:val="auto"/>
              </w:rPr>
              <w:t>(10)</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4,300,000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540" w:right="20" w:hanging="419"/>
        <w:spacing w:after="0" w:line="292" w:lineRule="auto"/>
        <w:tabs>
          <w:tab w:leader="none" w:pos="520" w:val="left"/>
        </w:tabs>
        <w:rPr>
          <w:sz w:val="20"/>
          <w:szCs w:val="20"/>
          <w:color w:val="auto"/>
        </w:rPr>
      </w:pPr>
      <w:r>
        <w:rPr>
          <w:rFonts w:ascii="Arial" w:cs="Arial" w:eastAsia="Arial" w:hAnsi="Arial"/>
          <w:sz w:val="16"/>
          <w:szCs w:val="16"/>
          <w:color w:val="auto"/>
        </w:rPr>
        <w:t>(1)</w:t>
        <w:tab/>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5" w:lineRule="auto"/>
        <w:rPr>
          <w:sz w:val="20"/>
          <w:szCs w:val="20"/>
          <w:color w:val="auto"/>
        </w:rPr>
      </w:pPr>
      <w:r>
        <w:rPr>
          <w:rFonts w:ascii="Arial" w:cs="Arial" w:eastAsia="Arial" w:hAnsi="Arial"/>
          <w:sz w:val="18"/>
          <w:szCs w:val="18"/>
          <w:color w:val="auto"/>
        </w:rPr>
        <w:t>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w:t>
      </w:r>
    </w:p>
    <w:p>
      <w:pPr>
        <w:spacing w:after="0" w:line="3" w:lineRule="exact"/>
        <w:rPr>
          <w:sz w:val="20"/>
          <w:szCs w:val="20"/>
          <w:color w:val="auto"/>
        </w:rPr>
      </w:pPr>
    </w:p>
    <w:p>
      <w:pPr>
        <w:ind w:left="540" w:right="26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540" w:right="2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540" w:right="4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5,544 shares of common stock beneficially owned by Mr. Stiepleman have been pledged as security in connection with a line of credit with a third party financial institution unaffiliated with the Company.</w:t>
      </w:r>
    </w:p>
    <w:p>
      <w:pPr>
        <w:ind w:left="540" w:right="300" w:hanging="424"/>
        <w:spacing w:after="0" w:line="250"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3,907 shares of common stock beneficially owned by Mr. Stanley have been pledged as security in connection with a line of credit with a third party financial institution unaffiliated with the Company.</w:t>
      </w:r>
    </w:p>
    <w:p>
      <w:pPr>
        <w:spacing w:after="0" w:line="1" w:lineRule="exact"/>
        <w:rPr>
          <w:sz w:val="20"/>
          <w:szCs w:val="20"/>
          <w:color w:val="auto"/>
        </w:rPr>
      </w:pPr>
    </w:p>
    <w:p>
      <w:pPr>
        <w:ind w:left="540" w:right="120" w:hanging="419"/>
        <w:spacing w:after="0" w:line="250" w:lineRule="auto"/>
        <w:tabs>
          <w:tab w:leader="none" w:pos="520" w:val="left"/>
        </w:tabs>
        <w:rPr>
          <w:sz w:val="20"/>
          <w:szCs w:val="20"/>
          <w:color w:val="auto"/>
        </w:rPr>
      </w:pPr>
      <w:r>
        <w:rPr>
          <w:rFonts w:ascii="Arial" w:cs="Arial" w:eastAsia="Arial" w:hAnsi="Arial"/>
          <w:sz w:val="18"/>
          <w:szCs w:val="18"/>
          <w:color w:val="auto"/>
        </w:rPr>
        <w:t>(6)</w:t>
        <w:tab/>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TSL Advisers, LLC holds 2,716,977 shares of common stock, or the TSL Advisers Shares.</w:t>
      </w:r>
    </w:p>
    <w:p>
      <w:pPr>
        <w:spacing w:after="0" w:line="102" w:lineRule="exact"/>
        <w:rPr>
          <w:rFonts w:ascii="Arial" w:cs="Arial" w:eastAsia="Arial" w:hAnsi="Arial"/>
          <w:sz w:val="18"/>
          <w:szCs w:val="18"/>
          <w:color w:val="auto"/>
        </w:rPr>
      </w:pPr>
    </w:p>
    <w:p>
      <w:pPr>
        <w:ind w:left="560" w:right="4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a three-person board of directors, whose members include Alan Waxman. Any decision or determination by the board of directors of TSSP HoldCo Management requires unanimous approval of the directors in attendance once a quorum is established.</w:t>
      </w:r>
    </w:p>
    <w:p>
      <w:pPr>
        <w:spacing w:after="0" w:line="78" w:lineRule="exact"/>
        <w:rPr>
          <w:rFonts w:ascii="Arial" w:cs="Arial" w:eastAsia="Arial" w:hAnsi="Arial"/>
          <w:sz w:val="18"/>
          <w:szCs w:val="18"/>
          <w:color w:val="auto"/>
        </w:rPr>
      </w:pPr>
    </w:p>
    <w:p>
      <w:pPr>
        <w:jc w:val="both"/>
        <w:ind w:left="560" w:right="140"/>
        <w:spacing w:after="0" w:line="263"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9" w:lineRule="exact"/>
        <w:rPr>
          <w:rFonts w:ascii="Arial" w:cs="Arial" w:eastAsia="Arial" w:hAnsi="Arial"/>
          <w:sz w:val="18"/>
          <w:szCs w:val="18"/>
          <w:color w:val="auto"/>
        </w:rPr>
      </w:pPr>
    </w:p>
    <w:p>
      <w:pPr>
        <w:ind w:left="540" w:hanging="424"/>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2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7, 2020 by FMR LLC and Abigail P. Johnson. FMR LLC had (i) sole power to vote 610,382 shares and (ii) sole power to dispose of 5,463,196 shares. Abigail P. Johnson had sole power to dispose of 5,463,196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w:t>
      </w:r>
    </w:p>
    <w:p>
      <w:pPr>
        <w:spacing w:after="0" w:line="2"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5" w:lineRule="exact"/>
        <w:rPr>
          <w:sz w:val="20"/>
          <w:szCs w:val="20"/>
          <w:color w:val="auto"/>
        </w:rPr>
      </w:pPr>
    </w:p>
    <w:p>
      <w:pPr>
        <w:ind w:left="540" w:right="140" w:hanging="424"/>
        <w:spacing w:after="0" w:line="26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AUTHORIZATION OF THE COMPANY TO SELL OR OTHERWISE ISSUE SHARES OF ITS COMMON STOCK AT A PRICE BELOW</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ITS THEN-CURRENT NET ASSET VALUE PER SHARE IN ONE OR MORE OFFERINGS, IN EACH CASE SUBJECT TO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APPROVAL OF ITS BOARD OF DIRECTORS AND SUBJECT TO THE CONDITIONS SET FORTH IN THIS PROPOSAL</w:t>
      </w:r>
    </w:p>
    <w:p>
      <w:pPr>
        <w:spacing w:after="0" w:line="21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a closed-end investment company that has elected to be regulated as a business development company ( BDC ) under the 1940 Act. As a BDC, the Company is generally prohibited from issuing its common stock at a price below the then-current net asset value per share ( NAV ) unless it meets certain conditions, including obtaining stockholder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Arial" w:cs="Arial" w:eastAsia="Arial" w:hAnsi="Arial"/>
          <w:sz w:val="16"/>
          <w:szCs w:val="16"/>
          <w:b w:val="1"/>
          <w:bCs w:val="1"/>
          <w:color w:val="auto"/>
        </w:rPr>
        <w:t>There will be no limit on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percentage below net asset value per share at which shares may be sold by the Company or number of offerings, each for up to 25% of the Company s then-outstanding common stock, that the Company may conduct under this proposal for the one-year period that authorization is granted. </w:t>
      </w:r>
      <w:r>
        <w:rPr>
          <w:rFonts w:ascii="Arial" w:cs="Arial" w:eastAsia="Arial" w:hAnsi="Arial"/>
          <w:sz w:val="16"/>
          <w:szCs w:val="16"/>
          <w:color w:val="auto"/>
        </w:rPr>
        <w:t>Except for such authorizations as otherwise may be required with respect to a particular issuance under applicable law, New York Stock</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rules or the Company 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Sales Below NAV</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Company 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w:t>
      </w:r>
    </w:p>
    <w:p>
      <w:pPr>
        <w:sectPr>
          <w:pgSz w:w="11900" w:h="16838" w:orient="portrait"/>
          <w:cols w:equalWidth="0" w:num="1">
            <w:col w:w="11080"/>
          </w:cols>
          <w:pgMar w:left="320" w:top="459" w:right="499" w:bottom="1440" w:gutter="0" w:footer="0" w:header="0"/>
        </w:sectPr>
      </w:pPr>
    </w:p>
    <w:p>
      <w:pPr>
        <w:spacing w:after="0" w:line="89" w:lineRule="exact"/>
        <w:rPr>
          <w:sz w:val="20"/>
          <w:szCs w:val="20"/>
          <w:color w:val="auto"/>
        </w:rPr>
      </w:pPr>
    </w:p>
    <w:p>
      <w:pPr>
        <w:ind w:left="1080"/>
        <w:spacing w:after="0" w:line="277" w:lineRule="auto"/>
        <w:rPr>
          <w:sz w:val="20"/>
          <w:szCs w:val="20"/>
          <w:color w:val="auto"/>
        </w:rPr>
      </w:pPr>
      <w:r>
        <w:rPr>
          <w:rFonts w:ascii="Arial" w:cs="Arial" w:eastAsia="Arial" w:hAnsi="Arial"/>
          <w:sz w:val="18"/>
          <w:szCs w:val="18"/>
          <w:color w:val="auto"/>
        </w:rPr>
        <w:t>a required majority its stockholders;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s directors have determined that any such sale would be in the best interests of the Company and</w:t>
      </w:r>
    </w:p>
    <w:p>
      <w:pPr>
        <w:spacing w:after="0" w:line="369" w:lineRule="exact"/>
        <w:rPr>
          <w:sz w:val="20"/>
          <w:szCs w:val="20"/>
          <w:color w:val="auto"/>
        </w:rPr>
      </w:pPr>
    </w:p>
    <w:p>
      <w:pPr>
        <w:sectPr>
          <w:pgSz w:w="11900" w:h="16838" w:orient="portrait"/>
          <w:cols w:equalWidth="0" w:num="2">
            <w:col w:w="2580" w:space="140"/>
            <w:col w:w="8360"/>
          </w:cols>
          <w:pgMar w:left="320" w:top="459" w:right="499" w:bottom="1440" w:gutter="0" w:footer="0" w:header="0"/>
          <w:type w:val="continuous"/>
        </w:sectPr>
      </w:pPr>
    </w:p>
    <w:p>
      <w:pPr>
        <w:ind w:left="1080"/>
        <w:spacing w:after="0"/>
        <w:tabs>
          <w:tab w:leader="none" w:pos="1300" w:val="left"/>
          <w:tab w:leader="none" w:pos="2700" w:val="left"/>
        </w:tabs>
        <w:rPr>
          <w:sz w:val="20"/>
          <w:szCs w:val="20"/>
          <w:color w:val="auto"/>
        </w:rPr>
      </w:pPr>
      <w:r>
        <w:rPr>
          <w:rFonts w:ascii="Arial" w:cs="Arial" w:eastAsia="Arial" w:hAnsi="Arial"/>
          <w:sz w:val="18"/>
          <w:szCs w:val="18"/>
          <w:color w:val="auto"/>
        </w:rPr>
        <w:t>a</w:t>
        <w:tab/>
        <w:t>required majority</w:t>
      </w:r>
      <w:r>
        <w:rPr>
          <w:sz w:val="20"/>
          <w:szCs w:val="20"/>
          <w:color w:val="auto"/>
        </w:rPr>
        <w:tab/>
      </w:r>
      <w:r>
        <w:rPr>
          <w:rFonts w:ascii="Arial" w:cs="Arial" w:eastAsia="Arial" w:hAnsi="Arial"/>
          <w:sz w:val="16"/>
          <w:szCs w:val="16"/>
          <w:color w:val="auto"/>
        </w:rPr>
        <w:t>of the Company s directors, in consultation with the underwriter or underwriters of the offering if it is to be</w:t>
      </w:r>
    </w:p>
    <w:p>
      <w:pPr>
        <w:sectPr>
          <w:pgSz w:w="11900" w:h="16838" w:orient="portrait"/>
          <w:cols w:equalWidth="0" w:num="1">
            <w:col w:w="11080"/>
          </w:cols>
          <w:pgMar w:left="320" w:top="459" w:right="499" w:bottom="1440" w:gutter="0" w:footer="0" w:header="0"/>
          <w:type w:val="continuous"/>
        </w:sectPr>
      </w:pPr>
    </w:p>
    <w:p>
      <w:pPr>
        <w:spacing w:after="0" w:line="23" w:lineRule="exact"/>
        <w:rPr>
          <w:sz w:val="20"/>
          <w:szCs w:val="20"/>
          <w:color w:val="auto"/>
        </w:rPr>
      </w:pPr>
    </w:p>
    <w:p>
      <w:pPr>
        <w:ind w:left="1080" w:right="80"/>
        <w:spacing w:after="0" w:line="253" w:lineRule="auto"/>
        <w:rPr>
          <w:sz w:val="20"/>
          <w:szCs w:val="20"/>
          <w:color w:val="auto"/>
        </w:rPr>
      </w:pPr>
      <w:r>
        <w:rPr>
          <w:rFonts w:ascii="Arial" w:cs="Arial" w:eastAsia="Arial" w:hAnsi="Arial"/>
          <w:sz w:val="18"/>
          <w:szCs w:val="18"/>
          <w:color w:val="auto"/>
        </w:rPr>
        <w:t>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8"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the number of shares to be issued does not exceed 25% of the Company s then-outstanding common stock immediately prior to each such offering.</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the Company s directors who have no financial interest in the transaction and a majority of the Company s independent directors. For these purposes, directors will not be deemed to have a financial interest solely by reason of their ownership of the Company s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Approval</w:t>
      </w:r>
    </w:p>
    <w:p>
      <w:pPr>
        <w:spacing w:after="0" w:line="121"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obtaining the requisite stockholder approval, the Company will comply with the conditions described above in connection with any offering undertaken pursuant to this proposal. See below for a discussion of the risks of dilution.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Reasons to Offer Common Stock Below NAV</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Board believes that having the flexibility for the Company to sell its common stock below NAV in certain instances is in the Company 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 s stockholders: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Market Conditions Have Created, and May in the Future Create, Attractive Investment and Acquisition Opportunities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From time to time, capital markets may experience periods of disruption and instability. For example, between 2008 and 2009, the global capital markets were unstable as evidenced by periodic disruptions in liquidity in the debt capital markets, significant write-offs in the financial services sector, the re-pricing of credit risk in the broadly syndicated credit market and the failure of major financial institutions. Despite actions of the U.S. federal government and foreign governments, these events contributed to worsening general economic</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conditions that materially and adversely impacted the broader financial and credit markets and reduced the availability of debt and equity capital for the market as a whole and financial services firms in particular. As a result of the disruption and volatility in the credit markets during this time, there was a reduction in capital available to certain specialty finance companies and other capital providers, causing a reduction in competition. These conditions also coincided with lower stock prices for BDCs, with most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Since the events of 2008 and 2009, there have been continuing periods of volatility, some lasting longer and with a greater degree of magnitude than others, including current market conditions that have been driven by the impact of COVID-19, and the widespread interruption to the functioning of the U.S. and global economies. In addition to the current environment, the Company has seen periods during the last few years where BDCs, including the Company, have traded below NAV due to such stock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 s common stock below NAV, subject to the conditions set forth in this proposal, would provide the Company with the flexibility to raise equity capital to invest in such attractive investment opportunities, which typically need to be made expeditiously.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The additional capital raised through an offering of the Company 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 s common stock.</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Higher Market Capitalization and Liquidity May Make the Company  s Common Stock More Attractive to Investors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If the Company issues additional shares, its market capitalization and the amount of its publicly tradable common stock may increase, which may afford all holders of its common stock greater liquidity. A larger market capitalization may make the Company s stock more attractive to a larger number of investors who have limitations of the size of companies in which they invest. Furthermore, a larger number of shares outstanding may increase the Company s trading volume, which could decrease the volatility in the secondary market price of its common stock.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Maintenance or Possible Increase of Dividends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maintenance and growth of its dividend. The Company generally distributes dividends to its stockholders quarterly and from the earnings generated during the year ended December 31, 2019 the Company declared total dividends of $1.75 per share of its common stock (including a fourth quarter variable supplemental dividend of $0.06 declared in the first quarter of 2020). Although the Company will continue to seek to generate income sufficient to pay dividends in the future, the proceeds of future offerings, and the investments thereof, could enable the Company to maintain and possibly grow its dividends, which may include a return of capital.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An offering that increases the Company 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As a BDC and a regulated investment company ( RIC )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 s credit facilities also require that it maintain a debt-to-equity ratio of less than 2:1 in accordance with the 150% asset coverage requirement. Therefore, to continue to build the Company s investment portfolio, the Company endeavors to maintain consistent access to capital through the public and private debt markets and the public equity markets enabling it to take advantage of investment opportunities as they arise.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 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 s balance sheet and give it more flexibility to fully execute its business strategy.</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following table sets forth, for each fiscal quarter during the last three fiscal years and the first quarter of the current fiscal year, the NAV of the Company s common stock, the range of high and low closing sales prices of its common stock as reported on the New York Stock Exchange</w:t>
      </w:r>
    </w:p>
    <w:p>
      <w:pPr>
        <w:ind w:left="120" w:right="300" w:hanging="4"/>
        <w:spacing w:after="0" w:line="255" w:lineRule="auto"/>
        <w:tabs>
          <w:tab w:leader="none" w:pos="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NYSE ) and the closing sales price as a premium (discount) to NAV. On March 30, 2020, the last reported closing sales price of the Company s common stock on the NYSE was $14.29 per share, which represented a discount of approximately 15.1% to the NAV reported by the Company as of December 31,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Price Range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High Sales</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1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Price to</w:t>
            </w:r>
          </w:p>
        </w:tc>
        <w:tc>
          <w:tcPr>
            <w:tcW w:w="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1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Low</w:t>
            </w:r>
          </w:p>
        </w:tc>
        <w:tc>
          <w:tcPr>
            <w:tcW w:w="12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Asset</w:t>
            </w:r>
          </w:p>
        </w:tc>
        <w:tc>
          <w:tcPr>
            <w:tcW w:w="11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6"/>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$16.04</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$20.39</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$18.27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$16.15</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$20.99</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$20.31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$16.09</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$21.61</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$19.94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$21.12</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$19.80</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$16.27</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$20.06</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$17.47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$16.36</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$19.19</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$17.51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$16.47</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$20.71</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$18.04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$16.25</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$21.00</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$18.09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$16.34</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$20.99</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$18.44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$16.68</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$20.29</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$19.49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$16.72</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0"/>
              </w:rPr>
              <w:t>$21.01</w:t>
            </w: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$19.36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$16.83</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$21.83</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$20.01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(through March 30, 2020)</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$23.28</w:t>
            </w:r>
          </w:p>
        </w:tc>
        <w:tc>
          <w:tcPr>
            <w:tcW w:w="10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$11.30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NAV is determined as of the last day in the relevant quarter and therefore may not reflect NAV on the date of the high and low closing sales prices. The NAVs shown are based on outstanding shares at the end of the relevant quarter.</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divided by NAV (in each case, as of the applicable quarter). Does not reflect intraday trading prices.</w:t>
      </w: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9" w:lineRule="exact"/>
        <w:rPr>
          <w:sz w:val="20"/>
          <w:szCs w:val="20"/>
          <w:color w:val="auto"/>
        </w:rPr>
      </w:pPr>
    </w:p>
    <w:p>
      <w:pPr>
        <w:ind w:left="540" w:right="300" w:hanging="424"/>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 has not yet been calculated for this period. NAV for the first quarter of 2020 will be available with the filing of the Company s Quarterly Report on Form 10-Q for such quarter, which the Company estimates will be filed on or about May 5, 2020.</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 s shares of common stock will trade at a discount from NAV, or at premiums that are unsustainable over the long term, is separate and distinct from the risk that the Company s net asset value will decrease. The Company s common stock has historically traded at prices both above and below its NAV. It is not possible to predict whether its common stock will trade at, above or below NAV in the future.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Stockholder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Dilution</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Before voting on this proposal or giving proxies with regard to this matter, stockholders should consider the potentially dilutive effect of the issuance of shares of the Company 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NAV and a proportionately greater decrease in a stockholder s interest in the earnings and assets of the Company and voting interest in the Company than the increase in the assets of the Company resulting from such issuance. </w:t>
      </w:r>
      <w:r>
        <w:rPr>
          <w:rFonts w:ascii="Arial" w:cs="Arial" w:eastAsia="Arial" w:hAnsi="Arial"/>
          <w:sz w:val="17"/>
          <w:szCs w:val="17"/>
          <w:b w:val="1"/>
          <w:bCs w:val="1"/>
          <w:color w:val="auto"/>
        </w:rPr>
        <w:t>There will be no limit on the percentage below net asset value per share</w:t>
      </w:r>
      <w:r>
        <w:rPr>
          <w:rFonts w:ascii="Arial" w:cs="Arial" w:eastAsia="Arial" w:hAnsi="Arial"/>
          <w:sz w:val="17"/>
          <w:szCs w:val="17"/>
          <w:color w:val="auto"/>
        </w:rPr>
        <w:t xml:space="preserve"> </w:t>
      </w:r>
      <w:r>
        <w:rPr>
          <w:rFonts w:ascii="Arial" w:cs="Arial" w:eastAsia="Arial" w:hAnsi="Arial"/>
          <w:sz w:val="17"/>
          <w:szCs w:val="17"/>
          <w:b w:val="1"/>
          <w:bCs w:val="1"/>
          <w:color w:val="auto"/>
        </w:rPr>
        <w:t>at which shares may be sold by the Company or number of offerings, each for up to 25% of the Company s then-outstanding common stock, that the Company may conduct under this proposal for the one-year period that authorization is granted</w:t>
      </w:r>
      <w:r>
        <w:rPr>
          <w:rFonts w:ascii="Arial" w:cs="Arial" w:eastAsia="Arial" w:hAnsi="Arial"/>
          <w:sz w:val="17"/>
          <w:szCs w:val="17"/>
          <w:color w:val="auto"/>
        </w:rPr>
        <w:t>.</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stockholders should consider the risk that the approval of this proposal could cause the market price of the Company s common stock to decline in anticipation of sales of its common stock below NAV, thus causing the Company 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w:t>
      </w:r>
    </w:p>
    <w:p>
      <w:pPr>
        <w:spacing w:after="0" w:line="19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discussed above, it should be noted that the maximum number of shares issuable below NAV that could result in such dilution is limited to a number of shares that does not exceed 25% of the Company s then-outstanding common stock, immediately prior to each such offering. As a result, the maximum amount of dilution to existing stockholders will be limited to no more than 20% of the Company s then-current NAV per each offering, assuming the Company were to issue the maximum number of shares at no more than par value, or $0.01 per share.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s common stock at a price less than NAV on two different types of investors:</w:t>
      </w:r>
    </w:p>
    <w:p>
      <w:pPr>
        <w:spacing w:after="0" w:line="11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existing stockholders who do not purchase any shares in the offering;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 placement of common stock at a price less than NAV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 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4"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The example assumes that the issuer has 66.5 million shares outstanding, $2.3 billion in total assets and $1.2 billion in total liabilities (all figures correspond to actual data for the Company as of December 31, 2019). The net asset value and NAV per share are thus $1.1 billion and $16.83 per share as of December 31, 2019. The chart illustrates the dilutive effect on Stockholder A of (a) an offering of 3.3 million shares of common stock (5% of the outstanding shares) at $15.99 per share after offering expenses and commissions (a 5% discount from NAV per share), (b) an offering of 6.7 million shares of common stock (10% of the outstanding shares) at $15.15 per share after offering expenses and commissions (a 10% discount from NAV per share), (c) an offering of 13.3 million shares of common stock (20% of the outstanding shares) at $13.46 per share after offering expenses and commissions (a 20% discount from NAV per share), and (d) an offering of 16.6 million shares of common stock (25% of the outstanding shares) at $12.62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2"/>
              </w:rPr>
              <w:t>Example 2</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Example 4</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5%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20% Offering at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Prior to</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10% Discount</w:t>
            </w:r>
          </w:p>
        </w:tc>
        <w:tc>
          <w:tcPr>
            <w:tcW w:w="80" w:type="dxa"/>
            <w:vAlign w:val="bottom"/>
          </w:tcPr>
          <w:p>
            <w:pPr>
              <w:spacing w:after="0"/>
              <w:rPr>
                <w:sz w:val="14"/>
                <w:szCs w:val="14"/>
                <w:color w:val="auto"/>
              </w:rPr>
            </w:pPr>
          </w:p>
        </w:tc>
        <w:tc>
          <w:tcPr>
            <w:tcW w:w="16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25% Discount</w:t>
            </w:r>
          </w:p>
        </w:tc>
        <w:tc>
          <w:tcPr>
            <w:tcW w:w="0" w:type="dxa"/>
            <w:vAlign w:val="bottom"/>
          </w:tcPr>
          <w:p>
            <w:pPr>
              <w:spacing w:after="0"/>
              <w:rPr>
                <w:sz w:val="1"/>
                <w:szCs w:val="1"/>
                <w:color w:val="auto"/>
              </w:rPr>
            </w:pPr>
          </w:p>
        </w:tc>
      </w:tr>
      <w:tr>
        <w:trPr>
          <w:trHeight w:val="106"/>
        </w:trPr>
        <w:tc>
          <w:tcPr>
            <w:tcW w:w="2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9"/>
                <w:szCs w:val="9"/>
                <w:color w:val="auto"/>
              </w:rPr>
            </w:pPr>
          </w:p>
        </w:tc>
        <w:tc>
          <w:tcPr>
            <w:tcW w:w="98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7"/>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NAV</w:t>
            </w: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8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27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16.83</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15.94</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14.17</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15.99</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15.15</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3,326,230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6,652,459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13,304,918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8"/>
              </w:rPr>
              <w:t>16,631,148</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66,524,591</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1"/>
              </w:rPr>
              <w:t>69,850,821</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73,177,050</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79,829,509</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83,155,739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16.79</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16.67</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15.98</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66,525</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66,525</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66,525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0.10%</w:t>
            </w:r>
          </w:p>
        </w:tc>
        <w:tc>
          <w:tcPr>
            <w:tcW w:w="8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0.08%</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Total Net Asset Value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1,119,297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1,116,653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1,109,154</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(0.91)%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1,082,035</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1,063,385</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8"/>
              </w:rPr>
              <w:t>Total Investment by Stockholder A (Assumed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to be $16.83 per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1,119,297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1,119,297</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1,119,297</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1,119,297</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1,119,297</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Dilution to Stockholder A (Total Net</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Asset Value Less Total Investment)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(2,644)</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(10,143)</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(37,262)</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(55,911)</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9"/>
              </w:rPr>
              <w:t>Investment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(Assumed to be $16.83 per Share 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Shares Held Prior to Sale)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16.83</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16.83</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16.83</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 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16.79</w:t>
            </w: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16.67</w:t>
            </w: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16.27</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15.98</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Dilution per Share Held by Stockholder A</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40"/>
              <w:spacing w:after="0" w:line="149" w:lineRule="exact"/>
              <w:rPr>
                <w:sz w:val="20"/>
                <w:szCs w:val="20"/>
                <w:color w:val="auto"/>
              </w:rPr>
            </w:pPr>
            <w:r>
              <w:rPr>
                <w:rFonts w:ascii="Arial" w:cs="Arial" w:eastAsia="Arial" w:hAnsi="Arial"/>
                <w:sz w:val="14"/>
                <w:szCs w:val="14"/>
                <w:color w:val="auto"/>
              </w:rPr>
              <w:t>(Net Asset Value per Share Less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4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(0.16)</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(0.56)</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(0.85)</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(Dilution per Share Divided by Investment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 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 s earnings and assets and their voting power than the Company 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13.3 million shares) rather than its 0.10% proportionate share and (b) 150% of such percentage (i.e., 0.15% of an offering of 13.3 million shares) rather than its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4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9"/>
              </w:rPr>
              <w:t>Prior to Sale</w:t>
            </w:r>
          </w:p>
        </w:tc>
        <w:tc>
          <w:tcPr>
            <w:tcW w:w="100" w:type="dxa"/>
            <w:vAlign w:val="bottom"/>
          </w:tcPr>
          <w:p>
            <w:pPr>
              <w:spacing w:after="0"/>
              <w:rPr>
                <w:sz w:val="14"/>
                <w:szCs w:val="14"/>
                <w:color w:val="auto"/>
              </w:rPr>
            </w:pP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w:t>
            </w: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13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14.17</w:t>
            </w: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14.17</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per Share to Issuer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13.46</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Offered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13,304,918</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13,304,918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Total Shares Outstanding</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66,524,591</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79,829,509</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20.00%</w:t>
            </w: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79,829,509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98"/>
        </w:trPr>
        <w:tc>
          <w:tcPr>
            <w:tcW w:w="50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Dilution/Accretion to Participating Stockholder Shares Held</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by Stockholder A</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by Stockholder A</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66,525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73,177</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86,482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30.00%</w:t>
            </w:r>
          </w:p>
        </w:tc>
        <w:tc>
          <w:tcPr>
            <w:tcW w:w="0" w:type="dxa"/>
            <w:vAlign w:val="bottom"/>
          </w:tcPr>
          <w:p>
            <w:pPr>
              <w:spacing w:after="0"/>
              <w:rPr>
                <w:sz w:val="1"/>
                <w:szCs w:val="1"/>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Percentage Held by Stockholder A</w:t>
            </w:r>
          </w:p>
        </w:tc>
        <w:tc>
          <w:tcPr>
            <w:tcW w:w="8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 Value Held by Stockholder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1,119,297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1,190,238</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1,406,644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25.67%</w:t>
            </w:r>
          </w:p>
        </w:tc>
        <w:tc>
          <w:tcPr>
            <w:tcW w:w="0" w:type="dxa"/>
            <w:vAlign w:val="bottom"/>
          </w:tcPr>
          <w:p>
            <w:pPr>
              <w:spacing w:after="0"/>
              <w:rPr>
                <w:sz w:val="1"/>
                <w:szCs w:val="1"/>
                <w:color w:val="auto"/>
              </w:rPr>
            </w:pPr>
          </w:p>
        </w:tc>
      </w:tr>
      <w:tr>
        <w:trPr>
          <w:trHeight w:val="202"/>
        </w:trPr>
        <w:tc>
          <w:tcPr>
            <w:tcW w:w="5000" w:type="dxa"/>
            <w:vAlign w:val="bottom"/>
          </w:tcPr>
          <w:p>
            <w:pPr>
              <w:ind w:left="360"/>
              <w:spacing w:after="0" w:line="201" w:lineRule="exact"/>
              <w:rPr>
                <w:sz w:val="20"/>
                <w:szCs w:val="20"/>
                <w:color w:val="auto"/>
              </w:rPr>
            </w:pPr>
            <w:r>
              <w:rPr>
                <w:rFonts w:ascii="Arial" w:cs="Arial" w:eastAsia="Arial" w:hAnsi="Arial"/>
                <w:sz w:val="18"/>
                <w:szCs w:val="18"/>
                <w:color w:val="auto"/>
                <w:w w:val="99"/>
              </w:rPr>
              <w:t>Total Investment by Stockholder A (Assumed to be $16.83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40"/>
              <w:spacing w:after="0"/>
              <w:rPr>
                <w:sz w:val="20"/>
                <w:szCs w:val="20"/>
                <w:color w:val="auto"/>
              </w:rPr>
            </w:pPr>
            <w:r>
              <w:rPr>
                <w:rFonts w:ascii="Arial" w:cs="Arial" w:eastAsia="Arial" w:hAnsi="Arial"/>
                <w:sz w:val="18"/>
                <w:szCs w:val="18"/>
                <w:color w:val="auto"/>
              </w:rPr>
              <w:t>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1,119,297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1,213,579</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1,402,145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Total Dilution/Accretion to Stockholder A (Total Net Asset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Value Less Total Investment)</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(23,342)</w:t>
            </w:r>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4,498</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tcPr>
          <w:p>
            <w:pPr>
              <w:ind w:left="360"/>
              <w:spacing w:after="0" w:line="201" w:lineRule="exact"/>
              <w:rPr>
                <w:sz w:val="20"/>
                <w:szCs w:val="20"/>
                <w:color w:val="auto"/>
              </w:rPr>
            </w:pPr>
            <w:r>
              <w:rPr>
                <w:rFonts w:ascii="Arial" w:cs="Arial" w:eastAsia="Arial" w:hAnsi="Arial"/>
                <w:sz w:val="18"/>
                <w:szCs w:val="18"/>
                <w:color w:val="auto"/>
              </w:rPr>
              <w:t>Investment per Share Held by Stockholder A (Assumed to</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40"/>
              <w:spacing w:after="0"/>
              <w:rPr>
                <w:sz w:val="20"/>
                <w:szCs w:val="20"/>
                <w:color w:val="auto"/>
              </w:rPr>
            </w:pPr>
            <w:r>
              <w:rPr>
                <w:rFonts w:ascii="Arial" w:cs="Arial" w:eastAsia="Arial" w:hAnsi="Arial"/>
                <w:sz w:val="18"/>
                <w:szCs w:val="18"/>
                <w:color w:val="auto"/>
              </w:rPr>
              <w:t>be $16.83 per Share on Shares Held Prior to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16.58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16.21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 Value per Share Held by Stockholder A</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16.27</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Pr>
          <w:p>
            <w:pPr>
              <w:ind w:left="360"/>
              <w:spacing w:after="0" w:line="201" w:lineRule="exact"/>
              <w:rPr>
                <w:sz w:val="20"/>
                <w:szCs w:val="20"/>
                <w:color w:val="auto"/>
              </w:rPr>
            </w:pPr>
            <w:r>
              <w:rPr>
                <w:rFonts w:ascii="Arial" w:cs="Arial" w:eastAsia="Arial" w:hAnsi="Arial"/>
                <w:sz w:val="18"/>
                <w:szCs w:val="18"/>
                <w:color w:val="auto"/>
              </w:rPr>
              <w:t>Dilution/Accretion per Share Held by Stockholder A (Net</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540"/>
              <w:spacing w:after="0"/>
              <w:rPr>
                <w:sz w:val="20"/>
                <w:szCs w:val="20"/>
                <w:color w:val="auto"/>
              </w:rPr>
            </w:pPr>
            <w:r>
              <w:rPr>
                <w:rFonts w:ascii="Arial" w:cs="Arial" w:eastAsia="Arial" w:hAnsi="Arial"/>
                <w:sz w:val="18"/>
                <w:szCs w:val="18"/>
                <w:color w:val="auto"/>
              </w:rPr>
              <w:t>Asset Value per Share Less Investment per Share)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(0.32)</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Percentage Dilution/Accretion to Stockholder A (Dilution</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 Share Divided by Investment per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Underwritten Offerings</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Prior to the time of issuance, the Board may determine to issue shares of the Company 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Consideration of Potential Conflicts of Interest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reaching its recommendation to the stockholders of the Company to approve this proposal, the Board considered a possible source of conflict of interest due to the fact that the proceeds from the issuance of additional shares of the Company s common stock will increase the management fees that the Company pays to TSL Advisers, as such fees are based on the amount of the Company s gross assets, and considered the effect of the following factors:</w:t>
      </w:r>
    </w:p>
    <w:p>
      <w:pPr>
        <w:spacing w:after="0" w:line="92"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size of a common stock offering in relation to the number of shares outstanding;</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general condition of the securities markets;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impact on operating expenses associated with an increase in capital.</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Board, including a majority of the non-interested directors who have no financial interest in this proposal, concluded that the benefits to the stockholders from increasing the Company s capital base outweighed any detriment, including from increased management fees, especially considering that the management fees would increase regardless of whether the Company offers shares of common stock below NAV or above NAV, or dilution to existing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affirmative vote of holders of at least a majority, as defined in the 1940 Act, of (1) the outstanding shares of the Company s common stock entitled to vote at the Meeting and (2) the outstanding shares of the Company 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 s common stock present or represented by proxy at the Special Meeting if the holders of more than 50% of the shares of the Company s common stock are present or represented by proxy or (b) more than 50% of the outstanding shares of the Company s common stock. Abstentions and broker non-votes, if any, will have the effect of a vote against this proposal.</w:t>
      </w:r>
    </w:p>
    <w:p>
      <w:pPr>
        <w:spacing w:after="0" w:line="160"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w:t>
      </w:r>
    </w:p>
    <w:p>
      <w:pPr>
        <w:spacing w:after="0" w:line="39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STOCKHOLDER PROPOSALS AND NOMINATIONS FOR THE 2021 ANNUAL MEETING OF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Inclusion of Proposals in Our Proxy Statement and Proxy Card Under the SEC s Rules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2021 annual meeting of stockholders pursuant to Rule 14a-8 of the SEC s rules must be received by us at our principal executive offices no later than December 18, 2020.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2100 McKinney Avenue, Suite 1500, Dallas, TX 75201.</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2021 annual meeting, other than stockholder proposals submitted pursuant to the SEC 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 s rules. The item to be brought before the meeting must be a proper subject for stockholder action.</w:t>
      </w:r>
    </w:p>
    <w:p>
      <w:pPr>
        <w:spacing w:after="0" w:line="18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27, 2021, unless the date of our 2021 annual meeting is more than 30 days before or more than 60 days after May 28, 2021, the anniversary of our 2020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2019 to any stockholder upon request. Requests should be directed to the Secretary of the Company,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Attention: TSLX Investor Relations, or by emailing us at IRTSL@tssp.com.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This year a number of brokers with account holders who are the Company s stockholders will be householding the Company 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w:t>
      </w:r>
      <w:r>
        <w:rPr>
          <w:rFonts w:ascii="Arial" w:cs="Arial" w:eastAsia="Arial" w:hAnsi="Arial"/>
          <w:sz w:val="14"/>
          <w:szCs w:val="14"/>
          <w:color w:val="auto"/>
        </w:rPr>
        <w:t>th</w:t>
      </w:r>
      <w:r>
        <w:rPr>
          <w:rFonts w:ascii="Arial" w:cs="Arial" w:eastAsia="Arial" w:hAnsi="Arial"/>
          <w:sz w:val="17"/>
          <w:szCs w:val="17"/>
          <w:color w:val="auto"/>
        </w:rPr>
        <w:t xml:space="preserve"> Avenue, 35</w:t>
      </w:r>
      <w:r>
        <w:rPr>
          <w:rFonts w:ascii="Arial" w:cs="Arial" w:eastAsia="Arial" w:hAnsi="Arial"/>
          <w:sz w:val="14"/>
          <w:szCs w:val="14"/>
          <w:color w:val="auto"/>
        </w:rPr>
        <w:t>th</w:t>
      </w:r>
      <w:r>
        <w:rPr>
          <w:rFonts w:ascii="Arial" w:cs="Arial" w:eastAsia="Arial" w:hAnsi="Arial"/>
          <w:sz w:val="17"/>
          <w:szCs w:val="17"/>
          <w:color w:val="auto"/>
        </w:rPr>
        <w:t xml:space="preserve"> Floor, New York, NY 10106, Attention: TSLX Investor Relations, by email at IRTSL@tssp.com or by phone at</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89" w:lineRule="exact"/>
        <w:rPr>
          <w:sz w:val="20"/>
          <w:szCs w:val="20"/>
          <w:color w:val="auto"/>
        </w:rPr>
      </w:pPr>
    </w:p>
    <w:p>
      <w:pPr>
        <w:ind w:left="120" w:right="80" w:firstLine="440"/>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PRIVACY PRINCIPLES</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 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 s organizational documents, (ii) as required by law or in connection with regulatory or law enforcement inquiries, or (iii) as otherwise permitted by law to the extent necessary to effect, administer or enforce investor or Company transactions.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w:t>
      </w:r>
    </w:p>
    <w:p>
      <w:pPr>
        <w:spacing w:after="0" w:line="225" w:lineRule="exact"/>
        <w:rPr>
          <w:sz w:val="20"/>
          <w:szCs w:val="20"/>
          <w:color w:val="auto"/>
        </w:rPr>
      </w:pPr>
    </w:p>
    <w:p>
      <w:pPr>
        <w:ind w:left="120" w:right="820"/>
        <w:spacing w:after="0" w:line="261"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Special Meeting: </w:t>
      </w:r>
      <w:r>
        <w:rPr>
          <w:rFonts w:ascii="Arial" w:cs="Arial" w:eastAsia="Arial" w:hAnsi="Arial"/>
          <w:sz w:val="18"/>
          <w:szCs w:val="18"/>
          <w:color w:val="auto"/>
        </w:rPr>
        <w:t>The Notice and Proxy Statement is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www.proyvote.com.</w:t>
      </w:r>
    </w:p>
    <w:p>
      <w:pPr>
        <w:jc w:val="right"/>
        <w:spacing w:after="0"/>
        <w:rPr>
          <w:sz w:val="20"/>
          <w:szCs w:val="20"/>
          <w:color w:val="auto"/>
        </w:rPr>
      </w:pPr>
      <w:r>
        <w:rPr>
          <w:rFonts w:ascii="Arial" w:cs="Arial" w:eastAsia="Arial" w:hAnsi="Arial"/>
          <w:sz w:val="18"/>
          <w:szCs w:val="18"/>
          <w:color w:val="auto"/>
        </w:rPr>
        <w:t>D13381-S99536</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28, 2020 9:30 AM EDT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 LENDING, INC. that the stockholders are entitled to vote at a Special Meeting of Stockholders to be held at 9:30 AM EDT on May 28, 2020 at the offices of Cleary Gottlieb Steen &amp; Hamilton LLP, 450 Park Avenue, 28th Floor, New York, NY 10022 and any adjournment or postponement thereof.</w:t>
      </w:r>
    </w:p>
    <w:p>
      <w:pPr>
        <w:spacing w:after="0" w:line="153"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2080" w:val="left"/>
        </w:tabs>
        <w:rPr>
          <w:sz w:val="20"/>
          <w:szCs w:val="20"/>
          <w:color w:val="auto"/>
        </w:rPr>
      </w:pPr>
      <w:r>
        <w:rPr>
          <w:rFonts w:ascii="Arial" w:cs="Arial" w:eastAsia="Arial" w:hAnsi="Arial"/>
          <w:sz w:val="18"/>
          <w:szCs w:val="18"/>
          <w:b w:val="1"/>
          <w:bCs w:val="1"/>
          <w:color w:val="auto"/>
        </w:rPr>
        <w:t>VOTE BY INTERNET</w:t>
      </w:r>
      <w:r>
        <w:rPr>
          <w:sz w:val="20"/>
          <w:szCs w:val="20"/>
          <w:color w:val="auto"/>
        </w:rPr>
        <w:tab/>
      </w:r>
      <w:r>
        <w:rPr>
          <w:rFonts w:ascii="Arial" w:cs="Arial" w:eastAsia="Arial" w:hAnsi="Arial"/>
          <w:sz w:val="16"/>
          <w:szCs w:val="16"/>
          <w:b w:val="1"/>
          <w:bCs w:val="1"/>
          <w:color w:val="auto"/>
        </w:rPr>
        <w:t>www.proxyvote.com</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on May 27, 2020. Have your proxy card in hand when you access the web site and follow the instructions to obtain your records and to create an electronic voting instruction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18"/>
          <w:szCs w:val="18"/>
          <w:b w:val="1"/>
          <w:bCs w:val="1"/>
          <w:color w:val="auto"/>
        </w:rPr>
        <w:t>VOTE BY PHONE</w:t>
      </w:r>
      <w:r>
        <w:rPr>
          <w:sz w:val="20"/>
          <w:szCs w:val="20"/>
          <w:color w:val="auto"/>
        </w:rPr>
        <w:tab/>
      </w:r>
      <w:r>
        <w:rPr>
          <w:rFonts w:ascii="Arial" w:cs="Arial" w:eastAsia="Arial" w:hAnsi="Arial"/>
          <w:sz w:val="16"/>
          <w:szCs w:val="16"/>
          <w:b w:val="1"/>
          <w:bCs w:val="1"/>
          <w:color w:val="auto"/>
        </w:rPr>
        <w:t>1-800-690-6903</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on May 27, 2020. Have your proxy card in hand when you call and then follow the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p>
      <w:pPr>
        <w:ind w:left="48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63"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8"/>
          <w:szCs w:val="18"/>
          <w:color w:val="auto"/>
        </w:rPr>
        <w:t>D13380-S99536</w:t>
      </w:r>
      <w:r>
        <w:rPr>
          <w:sz w:val="20"/>
          <w:szCs w:val="20"/>
          <w:color w:val="auto"/>
        </w:rPr>
        <w:tab/>
      </w:r>
      <w:r>
        <w:rPr>
          <w:rFonts w:ascii="Arial" w:cs="Arial" w:eastAsia="Arial" w:hAnsi="Arial"/>
          <w:sz w:val="16"/>
          <w:szCs w:val="16"/>
          <w:color w:val="auto"/>
        </w:rPr>
        <w:t>Keep This Portion For Your Records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Detach and Return This Portion Only</w:t>
      </w:r>
    </w:p>
    <w:p>
      <w:pPr>
        <w:spacing w:after="0" w:line="220"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you vote FOR the following:</w:t>
      </w:r>
    </w:p>
    <w:p>
      <w:pPr>
        <w:sectPr>
          <w:pgSz w:w="11900" w:h="16838" w:orient="portrait"/>
          <w:cols w:equalWidth="0" w:num="1">
            <w:col w:w="11140"/>
          </w:cols>
          <w:pgMar w:left="320" w:top="459" w:right="439" w:bottom="1440" w:gutter="0" w:footer="0" w:header="0"/>
        </w:sectPr>
      </w:pPr>
    </w:p>
    <w:p>
      <w:pPr>
        <w:spacing w:after="0" w:line="103" w:lineRule="exact"/>
        <w:rPr>
          <w:sz w:val="20"/>
          <w:szCs w:val="20"/>
          <w:color w:val="auto"/>
        </w:rPr>
      </w:pPr>
    </w:p>
    <w:p>
      <w:pPr>
        <w:jc w:val="both"/>
        <w:ind w:left="580" w:hanging="464"/>
        <w:spacing w:after="0" w:line="259"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or otherwise issue shares of its common stock at a price below its then-current net asset value per share in one or more offerings, in each case subject to the approval of its board of directors and subject to the conditions set forth in the accompanying proxy statement.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620" w:val="left"/>
          <w:tab w:leader="none" w:pos="1720" w:val="left"/>
        </w:tabs>
        <w:rPr>
          <w:sz w:val="20"/>
          <w:szCs w:val="20"/>
          <w:color w:val="auto"/>
        </w:rPr>
      </w:pPr>
      <w:r>
        <w:rPr>
          <w:rFonts w:ascii="Arial" w:cs="Arial" w:eastAsia="Arial" w:hAnsi="Arial"/>
          <w:sz w:val="18"/>
          <w:szCs w:val="18"/>
          <w:color w:val="auto"/>
        </w:rPr>
        <w:t>FOR</w:t>
        <w:tab/>
        <w:t>AGAINST</w:t>
      </w:r>
      <w:r>
        <w:rPr>
          <w:sz w:val="20"/>
          <w:szCs w:val="20"/>
          <w:color w:val="auto"/>
        </w:rPr>
        <w:tab/>
      </w:r>
      <w:r>
        <w:rPr>
          <w:rFonts w:ascii="Arial" w:cs="Arial" w:eastAsia="Arial" w:hAnsi="Arial"/>
          <w:sz w:val="17"/>
          <w:szCs w:val="17"/>
          <w:color w:val="auto"/>
        </w:rPr>
        <w:t>ABSTAIN</w:t>
      </w:r>
    </w:p>
    <w:p>
      <w:pPr>
        <w:spacing w:after="0" w:line="98" w:lineRule="exact"/>
        <w:rPr>
          <w:sz w:val="20"/>
          <w:szCs w:val="20"/>
          <w:color w:val="auto"/>
        </w:rPr>
      </w:pPr>
    </w:p>
    <w:p>
      <w:pPr>
        <w:spacing w:after="0" w:line="181" w:lineRule="exact"/>
        <w:tabs>
          <w:tab w:leader="none" w:pos="620" w:val="left"/>
          <w:tab w:leader="none" w:pos="17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91" w:lineRule="exact"/>
        <w:rPr>
          <w:sz w:val="20"/>
          <w:szCs w:val="20"/>
          <w:color w:val="auto"/>
        </w:rPr>
      </w:pPr>
    </w:p>
    <w:p>
      <w:pPr>
        <w:sectPr>
          <w:pgSz w:w="11900" w:h="16838" w:orient="portrait"/>
          <w:cols w:equalWidth="0" w:num="2">
            <w:col w:w="7500" w:space="580"/>
            <w:col w:w="3060"/>
          </w:cols>
          <w:pgMar w:left="320" w:top="459" w:right="439" w:bottom="1440" w:gutter="0" w:footer="0" w:header="0"/>
          <w:type w:val="continuous"/>
        </w:sectPr>
      </w:pPr>
    </w:p>
    <w:p>
      <w:pPr>
        <w:ind w:left="120" w:right="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 properly come before the Special Meeting of Stockholders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postponement or adjournment thereof.</w:t>
      </w:r>
    </w:p>
    <w:p>
      <w:pPr>
        <w:spacing w:after="0" w:line="16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41"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3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r>
        <w:trPr>
          <w:trHeight w:val="205"/>
        </w:trPr>
        <w:tc>
          <w:tcPr>
            <w:tcW w:w="37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8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9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7"/>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2020-04-17T15:30:48Z</dcterms:created>
  <dcterms:modified xsi:type="dcterms:W3CDTF">2020-04-17T15:30:48Z</dcterms:modified>
</cp:coreProperties>
</file>