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900" w:right="420" w:hanging="3892"/>
        <w:spacing w:after="0" w:line="313" w:lineRule="auto"/>
        <w:tabs>
          <w:tab w:leader="none" w:pos="45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2012</w:t>
      </w:r>
    </w:p>
    <w:p>
      <w:pPr>
        <w:spacing w:after="0" w:line="1" w:lineRule="exact"/>
        <w:rPr>
          <w:rFonts w:ascii="MS PGothic" w:cs="MS PGothic" w:eastAsia="MS PGothic" w:hAnsi="MS PGothic"/>
          <w:sz w:val="22"/>
          <w:szCs w:val="22"/>
          <w:color w:val="auto"/>
        </w:rPr>
      </w:pPr>
    </w:p>
    <w:p>
      <w:pPr>
        <w:ind w:left="56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88"/>
              </w:rPr>
              <w:t>Delaware</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27-3380000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000" w:type="dxa"/>
            <w:vAlign w:val="bottom"/>
            <w:gridSpan w:val="3"/>
          </w:tcPr>
          <w:p>
            <w:pPr>
              <w:jc w:val="center"/>
              <w:ind w:right="22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60" w:type="dxa"/>
            <w:vAlign w:val="bottom"/>
            <w:gridSpan w:val="2"/>
          </w:tcPr>
          <w:p>
            <w:pPr>
              <w:jc w:val="center"/>
              <w:ind w:left="6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00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9"/>
              </w:rPr>
              <w:t>Incorporation or Organization)</w:t>
            </w:r>
          </w:p>
        </w:tc>
        <w:tc>
          <w:tcPr>
            <w:tcW w:w="1840" w:type="dxa"/>
            <w:vAlign w:val="bottom"/>
            <w:gridSpan w:val="3"/>
          </w:tcPr>
          <w:p>
            <w:pPr>
              <w:jc w:val="center"/>
              <w:ind w:right="45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18"/>
        </w:trPr>
        <w:tc>
          <w:tcPr>
            <w:tcW w:w="800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87"/>
              </w:rPr>
              <w:t>301 Commerce Street, Suite 3300,</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0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94"/>
              </w:rPr>
              <w:t>Fort Worth, TX</w:t>
            </w:r>
          </w:p>
        </w:tc>
        <w:tc>
          <w:tcPr>
            <w:tcW w:w="40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76102</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0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160" w:type="dxa"/>
            <w:vAlign w:val="bottom"/>
            <w:gridSpan w:val="2"/>
          </w:tcPr>
          <w:p>
            <w:pPr>
              <w:jc w:val="center"/>
              <w:ind w:left="67"/>
              <w:spacing w:after="0"/>
              <w:rPr>
                <w:sz w:val="20"/>
                <w:szCs w:val="20"/>
                <w:color w:val="auto"/>
              </w:rPr>
            </w:pPr>
            <w:r>
              <w:rPr>
                <w:rFonts w:ascii="Arial" w:cs="Arial" w:eastAsia="Arial" w:hAnsi="Arial"/>
                <w:sz w:val="14"/>
                <w:szCs w:val="14"/>
                <w:b w:val="1"/>
                <w:bCs w:val="1"/>
                <w:color w:val="auto"/>
                <w:w w:val="89"/>
              </w:rPr>
              <w:t>(Zip Code)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400" w:type="dxa"/>
            <w:vAlign w:val="bottom"/>
            <w:gridSpan w:val="4"/>
          </w:tcPr>
          <w:p>
            <w:pPr>
              <w:jc w:val="center"/>
              <w:ind w:left="2937"/>
              <w:spacing w:after="0"/>
              <w:rPr>
                <w:sz w:val="20"/>
                <w:szCs w:val="20"/>
                <w:color w:val="auto"/>
              </w:rPr>
            </w:pPr>
            <w:r>
              <w:rPr>
                <w:rFonts w:ascii="Arial" w:cs="Arial" w:eastAsia="Arial" w:hAnsi="Arial"/>
                <w:sz w:val="18"/>
                <w:szCs w:val="18"/>
                <w:b w:val="1"/>
                <w:bCs w:val="1"/>
                <w:color w:val="auto"/>
                <w:w w:val="88"/>
              </w:rPr>
              <w:t>Registrant’s Telephone Number, Including Area Code: (817) 871-4000</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00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34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00" w:type="dxa"/>
            <w:vAlign w:val="bottom"/>
            <w:gridSpan w:val="3"/>
          </w:tcPr>
          <w:p>
            <w:pPr>
              <w:jc w:val="center"/>
              <w:ind w:left="335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0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520" w:type="dxa"/>
            <w:vAlign w:val="bottom"/>
          </w:tcPr>
          <w:p>
            <w:pPr>
              <w:spacing w:after="0"/>
              <w:rPr>
                <w:sz w:val="15"/>
                <w:szCs w:val="15"/>
                <w:color w:val="auto"/>
              </w:rPr>
            </w:pPr>
          </w:p>
        </w:tc>
        <w:tc>
          <w:tcPr>
            <w:tcW w:w="34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4"/>
              </w:rPr>
              <w:t>(Title of class)</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500" w:type="dxa"/>
            <w:vAlign w:val="bottom"/>
            <w:gridSpan w:val="2"/>
          </w:tcPr>
          <w:p>
            <w:pPr>
              <w:spacing w:after="0"/>
              <w:rPr>
                <w:sz w:val="12"/>
                <w:szCs w:val="12"/>
                <w:color w:val="auto"/>
              </w:rPr>
            </w:pPr>
          </w:p>
        </w:tc>
        <w:tc>
          <w:tcPr>
            <w:tcW w:w="7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60" w:type="dxa"/>
            <w:vAlign w:val="bottom"/>
          </w:tcPr>
          <w:p>
            <w:pPr>
              <w:ind w:left="18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4" w:lineRule="exact"/>
        <w:rPr>
          <w:sz w:val="24"/>
          <w:szCs w:val="24"/>
          <w:color w:val="auto"/>
        </w:rPr>
      </w:pPr>
    </w:p>
    <w:p>
      <w:pPr>
        <w:ind w:right="700"/>
        <w:spacing w:after="0" w:line="36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Securities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40" w:space="40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5">
            <w:col w:w="1540" w:space="500"/>
            <w:col w:w="160" w:space="80"/>
            <w:col w:w="5860" w:space="720"/>
            <w:col w:w="1980" w:space="4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December 31, 2012, there was no established public market for the registrant’s common stock.</w:t>
      </w:r>
    </w:p>
    <w:p>
      <w:pPr>
        <w:sectPr>
          <w:pgSz w:w="11900" w:h="16838" w:orient="portrait"/>
          <w:cols w:equalWidth="0" w:num="1">
            <w:col w:w="11420"/>
          </w:cols>
          <w:pgMar w:left="240" w:top="230" w:right="239" w:bottom="1440" w:gutter="0" w:footer="0" w:header="0"/>
          <w:type w:val="continuous"/>
        </w:sectPr>
      </w:pP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March 14, 2013 was 510,021.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6"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proxy statement for the 2013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920" w:type="dxa"/>
            <w:vAlign w:val="bottom"/>
            <w:gridSpan w:val="10"/>
          </w:tcPr>
          <w:p>
            <w:pPr>
              <w:jc w:val="center"/>
              <w:ind w:right="3540"/>
              <w:spacing w:after="0"/>
              <w:rPr>
                <w:sz w:val="20"/>
                <w:szCs w:val="20"/>
                <w:color w:val="auto"/>
              </w:rPr>
            </w:pPr>
            <w:r>
              <w:rPr>
                <w:rFonts w:ascii="Arial" w:cs="Arial" w:eastAsia="Arial" w:hAnsi="Arial"/>
                <w:sz w:val="22"/>
                <w:szCs w:val="22"/>
                <w:b w:val="1"/>
                <w:bCs w:val="1"/>
                <w:color w:val="auto"/>
                <w:w w:val="99"/>
              </w:rPr>
              <w:t>TPG SPECIALTY LENDING, INC.</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20" w:type="dxa"/>
            <w:vAlign w:val="bottom"/>
            <w:gridSpan w:val="10"/>
          </w:tcPr>
          <w:p>
            <w:pPr>
              <w:jc w:val="center"/>
              <w:ind w:right="3520"/>
              <w:spacing w:after="0"/>
              <w:rPr>
                <w:sz w:val="20"/>
                <w:szCs w:val="20"/>
                <w:color w:val="auto"/>
              </w:rPr>
            </w:pPr>
            <w:r>
              <w:rPr>
                <w:rFonts w:ascii="Arial" w:cs="Arial" w:eastAsia="Arial" w:hAnsi="Arial"/>
                <w:sz w:val="18"/>
                <w:szCs w:val="18"/>
                <w:b w:val="1"/>
                <w:bCs w:val="1"/>
                <w:color w:val="auto"/>
                <w:w w:val="90"/>
              </w:rPr>
              <w:t>Index to Annual Report on Form 10-K for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w w:val="87"/>
              </w:rPr>
              <w:t>Year Ended December 31, 2012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66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7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Risk Factors</w:t>
              </w:r>
            </w:hyperlink>
          </w:p>
        </w:tc>
        <w:tc>
          <w:tcPr>
            <w:tcW w:w="88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Unresolved Staff Comments</w:t>
              </w:r>
            </w:hyperlink>
          </w:p>
        </w:tc>
        <w:tc>
          <w:tcPr>
            <w:tcW w:w="77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9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Legal Proceedings</w:t>
              </w:r>
            </w:hyperlink>
          </w:p>
        </w:tc>
        <w:tc>
          <w:tcPr>
            <w:tcW w:w="840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w w:val="98"/>
              </w:rPr>
              <w:t>ITEM 5.</w:t>
            </w:r>
          </w:p>
        </w:tc>
        <w:tc>
          <w:tcPr>
            <w:tcW w:w="600" w:type="dxa"/>
            <w:vAlign w:val="bottom"/>
            <w:gridSpan w:val="3"/>
          </w:tcPr>
          <w:p>
            <w:pPr>
              <w:spacing w:after="0"/>
              <w:rPr>
                <w:sz w:val="17"/>
                <w:szCs w:val="17"/>
                <w:color w:val="auto"/>
              </w:rPr>
            </w:pPr>
          </w:p>
        </w:tc>
        <w:tc>
          <w:tcPr>
            <w:tcW w:w="78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Market for Registrant’s Common Equity, Related Stockholder Matters and Issuer Purchases of Equity Securities</w:t>
              </w:r>
            </w:hyperlink>
          </w:p>
        </w:tc>
        <w:tc>
          <w:tcPr>
            <w:tcW w:w="18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Management’s Discussion and Analysis of Financial Condition and Results of Operations</w:t>
              </w:r>
            </w:hyperlink>
          </w:p>
        </w:tc>
        <w:tc>
          <w:tcPr>
            <w:tcW w:w="34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97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546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Changes in and Disagreements with Accountants on Accounting and Financial Disclosure</w:t>
              </w:r>
            </w:hyperlink>
          </w:p>
        </w:tc>
        <w:tc>
          <w:tcPr>
            <w:tcW w:w="33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7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798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Directors, Executive Officers and Corporate Governance</w:t>
              </w:r>
            </w:hyperlink>
          </w:p>
        </w:tc>
        <w:tc>
          <w:tcPr>
            <w:tcW w:w="57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Executive Compensation</w:t>
              </w:r>
            </w:hyperlink>
          </w:p>
        </w:tc>
        <w:tc>
          <w:tcPr>
            <w:tcW w:w="79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Certain Relationships and Related Transactions, and Director Independence</w:t>
              </w:r>
            </w:hyperlink>
          </w:p>
        </w:tc>
        <w:tc>
          <w:tcPr>
            <w:tcW w:w="43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70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Accountant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Exhibits and Financial Statement Schedules</w:t>
              </w:r>
            </w:hyperlink>
          </w:p>
        </w:tc>
        <w:tc>
          <w:tcPr>
            <w:tcW w:w="66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gridSpan w:val="15"/>
          </w:tcPr>
          <w:p>
            <w:pPr>
              <w:jc w:val="center"/>
              <w:ind w:left="3552"/>
              <w:spacing w:after="0"/>
              <w:rPr>
                <w:sz w:val="20"/>
                <w:szCs w:val="20"/>
                <w:color w:val="auto"/>
              </w:rPr>
            </w:pPr>
            <w:r>
              <w:rPr>
                <w:rFonts w:ascii="Arial" w:cs="Arial" w:eastAsia="Arial" w:hAnsi="Arial"/>
                <w:sz w:val="18"/>
                <w:szCs w:val="18"/>
                <w:color w:val="auto"/>
                <w:w w:val="79"/>
              </w:rPr>
              <w:t>3</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elsewhere in our filings with the SEC.</w:t>
      </w:r>
    </w:p>
    <w:p>
      <w:pPr>
        <w:spacing w:after="0" w:line="19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Annual Report, “Company”, “TSL”, “we”, “us” and “our” refer to TPG Specialty Lending, Inc. unless the context states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TPG Specialty Lending, Inc. was formed on July 21, 2010, as a corporation under the laws of the State of Delaware. We are a specialty finance investment company and one of the largest business development companies (“BDC”) with $1.5 billion of committed equity capital as of January 31, 2013. Our primary focus is to generate current income and capital appreciation through direct investments in senior secured loans, mezzanine loans and, to a lesser extent, equity securities of eligible portfolio companies (i.e., U.S. domiciled, middle-market issuers). By “middle-market issuers,” we mean companies that have annual earnings before interest, income taxes, depreciation and amortization (EBITDA), which we believe is a useful proxy for cash flow, of $10 million to $250 million. We currently do not limit our focus on any specific industry and we may on occasion invest in larger or smaller companies.</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elected to be regulated as a BDC under the Investment Company Act of 1940, as amended (the “1940 Act”). In addition, for U.S. income tax purposes, we elected to be treated as a regulated investment company (“RIC”) under Subchapter M of the Internal Revenue Code of 1986, as amended (the “Code”).</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Because we elected to be a BDC and have elected to be treated as a RIC for U.S. tax purposes, our portfolio is and will continue to be subject to diversification and other requirements to maintain such status elections. See “</w:t>
      </w:r>
      <w:r>
        <w:rPr>
          <w:rFonts w:ascii="Arial" w:cs="Arial" w:eastAsia="Arial" w:hAnsi="Arial"/>
          <w:sz w:val="18"/>
          <w:szCs w:val="18"/>
          <w:i w:val="1"/>
          <w:iCs w:val="1"/>
          <w:color w:val="auto"/>
        </w:rPr>
        <w:t>Regulation as a Business Development Company”</w:t>
      </w:r>
      <w:r>
        <w:rPr>
          <w:rFonts w:ascii="Arial" w:cs="Arial" w:eastAsia="Arial" w:hAnsi="Arial"/>
          <w:sz w:val="18"/>
          <w:szCs w:val="18"/>
          <w:color w:val="auto"/>
        </w:rPr>
        <w:t xml:space="preserve"> and </w:t>
      </w:r>
      <w:r>
        <w:rPr>
          <w:rFonts w:ascii="Arial" w:cs="Arial" w:eastAsia="Arial" w:hAnsi="Arial"/>
          <w:sz w:val="18"/>
          <w:szCs w:val="18"/>
          <w:i w:val="1"/>
          <w:iCs w:val="1"/>
          <w:color w:val="auto"/>
        </w:rPr>
        <w:t>“Regulated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Classification” </w:t>
      </w:r>
      <w:r>
        <w:rPr>
          <w:rFonts w:ascii="Arial" w:cs="Arial" w:eastAsia="Arial" w:hAnsi="Arial"/>
          <w:sz w:val="18"/>
          <w:szCs w:val="18"/>
          <w:color w:val="auto"/>
        </w:rPr>
        <w:t>for more information on these requirements.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date, we have conducted private offerings (each a “Private Offering”) of our common stock to investors in reliance on exemptions from the registration requirements of the U.S. Securities Act of 1933, as amended (the “1933 Act”). At the closing of a Private Offering, investors make a capital commitment to purchase our common stock, par value $0.01 per share (“Common Stock”), pursuant to subscription agreements entered into with the Company. Investors are required to fund drawdowns to purchase shares of the Company’s Common Stock up to the amount of their respective capital commitments on an as-needed basis as determined by the Company with a minimum of 10 business days’ prior notice. Pursuant to an agreement with the existing investors, the Company may raise up to a total of $1.5 billion in committed capital in Private Offerings, excluding equity issued through our dividend reinvestment plan. On January 31, 2013, the Company reached this total.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business model is focused primarily on the direct origination of loans to middle-market companies principally headquartered in the United States. We generate returns through a combination of contractual interest payments on debt investments, equity appreciation (through options, warrants, conversion rights or direct equity investments) and origination and similar fees. Our primary focus is to generate current income and capital appreciation attributable to our debt and equity investments.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capital is used to support organic growth, acquisitions, market or product expansion and/or recapitalizations. Over time, as we continue to build our portfolio, we expect that no single investment will represent more than 10% of our available capital base. The debt in which we invest typically is not rated by any rating agency, but if such instruments were rated, it is likely they would be below investment grade. Most of our investments are floating-rate in nature, which we believe will help act as a portfolio-wide hedge against inflation. See </w:t>
      </w:r>
      <w:r>
        <w:rPr>
          <w:rFonts w:ascii="Arial" w:cs="Arial" w:eastAsia="Arial" w:hAnsi="Arial"/>
          <w:sz w:val="16"/>
          <w:szCs w:val="16"/>
          <w:i w:val="1"/>
          <w:iCs w:val="1"/>
          <w:color w:val="auto"/>
        </w:rPr>
        <w:t>“Portfolio Composition”</w:t>
      </w:r>
      <w:r>
        <w:rPr>
          <w:rFonts w:ascii="Arial" w:cs="Arial" w:eastAsia="Arial" w:hAnsi="Arial"/>
          <w:sz w:val="16"/>
          <w:szCs w:val="16"/>
          <w:color w:val="auto"/>
        </w:rPr>
        <w:t xml:space="preserve"> for more information on the current portfolio.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board of directors (the “Board”) has ultimate authority over our business, but delegates authority to our investment adviser who actively sources, manages, and monitors our investment portfolio and other business activities, subject to the supervision of the Board. See “</w:t>
      </w:r>
      <w:r>
        <w:rPr>
          <w:rFonts w:ascii="Arial" w:cs="Arial" w:eastAsia="Arial" w:hAnsi="Arial"/>
          <w:sz w:val="16"/>
          <w:szCs w:val="16"/>
          <w:i w:val="1"/>
          <w:iCs w:val="1"/>
          <w:color w:val="auto"/>
        </w:rPr>
        <w:t>Investment Adviser</w:t>
      </w:r>
      <w:r>
        <w:rPr>
          <w:rFonts w:ascii="Arial" w:cs="Arial" w:eastAsia="Arial" w:hAnsi="Arial"/>
          <w:sz w:val="16"/>
          <w:szCs w:val="16"/>
          <w:color w:val="auto"/>
        </w:rPr>
        <w:t>” below. Pursuant to our amended and restated certificate of incorporation (the “Amended and Restated Certificate of Incorporation”), the Board consists of five members divided into three classes with staggered three year terms. As a BDC, a majority of our Board will consist of directors who are not “interested persons” of the Company, of our investment adviser or any of their respective affiliates, as defined in the 1940 Act (the “Independent Directors”).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borrow money from time to time within the levels permitted by the 1940 Act (which generally allows us to incur leverage so long that the total value of the Company’s assets is at least twice the amount of the debt (i.e., 50% leverage)) to fund investments and for general corporate purposes. In determining whether to borrow money, we analyze the maturity, covenant package and rate structure of the proposed borrowings as well as the risks of such borrowings compared to our investment outlook. Currently, we employ a variety of credit facilities. We may, in the future, obtain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w:t>
      </w:r>
      <w:r>
        <w:rPr>
          <w:rFonts w:ascii="Arial" w:cs="Arial" w:eastAsia="Arial" w:hAnsi="Arial"/>
          <w:sz w:val="16"/>
          <w:szCs w:val="16"/>
          <w:i w:val="1"/>
          <w:iCs w:val="1"/>
          <w:color w:val="auto"/>
        </w:rPr>
        <w:t>ITEM 1A. RISK FACTORS—Risks Related to Our Business and Structure</w:t>
      </w:r>
      <w:r>
        <w:rPr>
          <w:rFonts w:ascii="Arial" w:cs="Arial" w:eastAsia="Arial" w:hAnsi="Arial"/>
          <w:sz w:val="16"/>
          <w:szCs w:val="16"/>
          <w:color w:val="auto"/>
        </w:rPr>
        <w:t xml:space="preserve"> </w:t>
      </w:r>
      <w:r>
        <w:rPr>
          <w:rFonts w:ascii="Arial" w:cs="Arial" w:eastAsia="Arial" w:hAnsi="Arial"/>
          <w:sz w:val="16"/>
          <w:szCs w:val="16"/>
          <w:i w:val="1"/>
          <w:iCs w:val="1"/>
          <w:color w:val="auto"/>
        </w:rPr>
        <w:t>—We borrow money, which magnifies the potential for gain or loss and increases the risk of investing in us</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Adviser</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TSL Advisers, LLC (the “Adviser”), a Delaware limited liability company affiliated with TPG, acts as our investment adviser. “TPG” refers collectively to the various entities currently controlled by David Bonderman and James G. Coulter that engage in asset management, advisory and investment businesses with respect to alternative assets, including private equity, growth equity, venture capital and distressed debt, through TPG Group Holdings (SBS), L.P. and its subsidiaries and affiliates. TPG is one of the largest diversified alternative investment firms in the world, with total assets under management of approximately $54.5 billion as of December 31, 2012.</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Adviser is a registered investment adviser with the SEC under the Investment Advisers Act of 1940, as amended (the “Advisers Act”). The Adviser sources and manages our portfolio through a team of investment professionals (the “Investment Team”), led by our Chief Executive Officer, Michael Fishman, and the Adviser’s Co-Chief Investment Officers, Alan Waxman and Joshua Easterly, all of whom have substantial experience in credit origination, underwriting, and asset management. Our investments are also made in coordination with an investment review committee (the “Investment Review Committee”) which may include senior partners of TPG.</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Formed in 2009, TPG Special Situations Partners (“TSSP”) (formerly TPG Opportunities Partners) is TPG’s dedicated special situations and credit investment platform. Management of the Adviser consists primarily of senior executives of TSSP. Along with Messrs. Waxman, Easterly and Fishman, TSSP has a team of over 55 dedicated professionals and advisors and collectively brings extensive experience in the credit markets and special situations investing; as of December 31, 2012, 19 of these professionals and advisors dedicated the majority of their time to the Company’s operations. See “</w:t>
      </w:r>
      <w:r>
        <w:rPr>
          <w:rFonts w:ascii="Arial" w:cs="Arial" w:eastAsia="Arial" w:hAnsi="Arial"/>
          <w:sz w:val="16"/>
          <w:szCs w:val="16"/>
          <w:i w:val="1"/>
          <w:iCs w:val="1"/>
          <w:color w:val="auto"/>
        </w:rPr>
        <w:t>ITEM 13.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RELATIONSHIPS AND RELATED TRANSACTIONS, AND DIRECTOR INDEPENDENCE</w:t>
      </w:r>
      <w:r>
        <w:rPr>
          <w:rFonts w:ascii="Arial" w:cs="Arial" w:eastAsia="Arial" w:hAnsi="Arial"/>
          <w:sz w:val="16"/>
          <w:szCs w:val="16"/>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 Administration Agreement; License Agreement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April 15, 2011, we entered into an Advisory Agreement with our Adviser, which, including any amendments, we refer to as the “Advisory Agreement.” The Advisory Agreement was amended on December 12,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Advisory Agreement, the Adviser:</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equityholder; and,</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provides us such other investment advisory, research and related services as we may, from time to time, reasonably require for the investment of its funds, including providing operating and managerial assistance to the Company and its portfolio companies, as required.</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Adviser’s services under the Advisory Agreement are not exclusive, and the Adviser is free to furnish similar or other services to others so long as its services to us are not impaired.</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terms of the Advisory Agreement, we pay the Adviser a base management fee (the “Management Fee”) and may also pay certain incentive fees (the “Incentive Fee”).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an initial public offering of our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Until such time that we have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Notwithstanding the foregoing,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until such time that cumulative net realized losses are less than or equal to dividend payments.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accrue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 See “</w:t>
      </w:r>
      <w:r>
        <w:rPr>
          <w:rFonts w:ascii="Arial" w:cs="Arial" w:eastAsia="Arial" w:hAnsi="Arial"/>
          <w:sz w:val="18"/>
          <w:szCs w:val="18"/>
          <w:i w:val="1"/>
          <w:iCs w:val="1"/>
          <w:color w:val="auto"/>
        </w:rPr>
        <w:t>ITEM 1A. RISK FACTORS—Risks Related to Our Business and Structure—We are dependent upon management personnel</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Adviser for our future success.</w:t>
      </w:r>
      <w:r>
        <w:rPr>
          <w:rFonts w:ascii="Arial" w:cs="Arial" w:eastAsia="Arial" w:hAnsi="Arial"/>
          <w:sz w:val="18"/>
          <w:szCs w:val="18"/>
          <w:color w:val="auto"/>
        </w:rPr>
        <w:t>”</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December 12, 2011, amendment to the Advisory Agreement revised the base against which the 1.5% hurdle rate is measured when calculating the Adviser’s entitlement to receive a portion of the Company’s pre-incentive fee net investment income in any given calendar quarter. The amendment applies retroactively to October 1, 2011, and will continue to apply until an IPO.</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March 15, 2011, we entered into an Administration Agreement (the “Administration Agreement”) with our Adviser. Under the terms of the Administration Agreement, the Adviser will provide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6"/>
          <w:szCs w:val="16"/>
          <w:i w:val="1"/>
          <w:iCs w:val="1"/>
          <w:color w:val="auto"/>
        </w:rPr>
        <w:t>Fees and Expenses</w:t>
      </w:r>
      <w:r>
        <w:rPr>
          <w:rFonts w:ascii="Arial" w:cs="Arial" w:eastAsia="Arial" w:hAnsi="Arial"/>
          <w:sz w:val="16"/>
          <w:szCs w:val="16"/>
          <w:color w:val="auto"/>
        </w:rPr>
        <w:t>” below. In addition, the Adviser is permitted to delegate its duties under the Administration Agreement to affiliates or third parties and we will pay or reimburse to the Adviser the expenses incurred by any such affiliates or third parties for work done on our behalf.</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Unless earlier terminated as described below, the Administration Agreement will remain in effect until March 15, 2014, and may be extended subject to required approvals. The Administration Agreement may be terminated by either party without penalty upon at least 60 days’ written notice to the other party. See “</w:t>
      </w:r>
      <w:r>
        <w:rPr>
          <w:rFonts w:ascii="Arial" w:cs="Arial" w:eastAsia="Arial" w:hAnsi="Arial"/>
          <w:sz w:val="15"/>
          <w:szCs w:val="15"/>
          <w:i w:val="1"/>
          <w:iCs w:val="1"/>
          <w:color w:val="auto"/>
        </w:rPr>
        <w:t>ITEM 1A. RISK FACTORS—Risks Related to Our Business and Structure—We are dependent upon management personnel of the Adviser for our future success.</w:t>
      </w:r>
      <w:r>
        <w:rPr>
          <w:rFonts w:ascii="Arial" w:cs="Arial" w:eastAsia="Arial" w:hAnsi="Arial"/>
          <w:sz w:val="15"/>
          <w:szCs w:val="15"/>
          <w:color w:val="auto"/>
        </w:rPr>
        <w:t>”</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The Adviser does not assume any responsibility to us other than to render the services described in, and on the terms of, the Advisory Agreement and the Administration Agreement, and is not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the Advisory Agreement, the Administration Agreement or otherwise as an investment adviser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Company (except to the extent specified in Section 36(b) of the 1940 Act concerning loss resulting from a breach of fiduciary duty (as the same is finally determined by judicial proceedings) with respect to the receipt of compensation for services).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of the Adviser or any other person or entity affiliated with the Adviser or is or was a member of the Adviser’s Investment Review Committee, on the same general terms set forth in Article VIII of our Amended and Restated Certificate of Incorporation.</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Advisory Agreement will constitute a waiver or limitation of any rights that the Company may have under any applicable federal or state securities laws.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a license agreement (the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Adviser is responsible for managing our day-to-day business affairs, including implementing investment policies and strategic initiatives set by the Investment Team and managing our portfolio under the general oversight of the Investment Review Committee. The Investment Review Committee is comprised of certain individuals who are senior personnel of TPG, TSSP, and the Adviser, as well as certain other persons appointed by the Adviser from time to time. The investment professionals of the Adviser and the Investment Review Committee are supported by and have access to the investment professionals, analytical capabilities and support personnel of TPG. Some of the officers and employees of the Adviser, including some of its senior officers, are also employees of TPG. See “</w:t>
      </w:r>
      <w:r>
        <w:rPr>
          <w:rFonts w:ascii="Arial" w:cs="Arial" w:eastAsia="Arial" w:hAnsi="Arial"/>
          <w:sz w:val="16"/>
          <w:szCs w:val="16"/>
          <w:i w:val="1"/>
          <w:iCs w:val="1"/>
          <w:color w:val="auto"/>
        </w:rPr>
        <w:t>ITEM 13. CERTAIN RELATIONSHIPS AND RELATED TRANSACTIONS, AND DIRECTOR INDEPENDENCE.</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Investment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philosophy involves, among other things: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Due Diligence Process</w:t>
      </w:r>
    </w:p>
    <w:p>
      <w:pPr>
        <w:spacing w:after="0" w:line="17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process through which an investment decision is made involves extensive research into the company, its industry, its growth prospects and its ability to withstand adverse conditions. If the investment professional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 w:lineRule="exact"/>
        <w:rPr>
          <w:sz w:val="20"/>
          <w:szCs w:val="20"/>
          <w:color w:val="auto"/>
        </w:rPr>
      </w:pPr>
    </w:p>
    <w:p>
      <w:pPr>
        <w:ind w:left="900" w:right="3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the company’s management, included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Selective Investment Process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such senior and other investment professionals are in favor of the potential investment, then a more extensive due diligence process is employed. Additional due diligence with respect to any investment may be conducted on our behalf by attorneys, independent accountants, and other third party consultants and research firms prior to the closing of the investment, as appropriate on a case-by-case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Issuance of Formal Commitment</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Approval of an investment requires the approval of the Investment Review Committee. Once we have determined that a prospective portfolio company is suitable for investment, we work with the management and/or sponsor of that company and its other capital providers, including senior, junior and equity capital providers, if any, to finalize the structure of the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Adviser monitors the Company’s portfolio companies on an ongoing basis. The Adviser monitors the financial trends of each portfolio company to determine if it is meeting its business plans and to assess the appropriate course of action for each company.</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Adviser has several methods of evaluating and monitoring the performance and fair value of the Company’s investments, which may include, but are not limited to, the following:</w:t>
      </w:r>
    </w:p>
    <w:p>
      <w:pPr>
        <w:spacing w:after="0" w:line="51" w:lineRule="exact"/>
        <w:rPr>
          <w:sz w:val="20"/>
          <w:szCs w:val="20"/>
          <w:color w:val="auto"/>
        </w:rPr>
      </w:pPr>
    </w:p>
    <w:p>
      <w:pPr>
        <w:ind w:left="5620" w:right="2620" w:hanging="5045"/>
        <w:spacing w:after="0" w:line="440"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 10</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investments primarily take the form of senior secured loans with embedded first lien and junior secured risk; standalone senior secured loans that are typically senior on a lien basis to other liabilities in the issuer’s capital structure and have the benefit of a security interest over the assets of the issuer; standalone second lien loans (i.e., senior secured loans that are typically senior on a lien basis to other liabilities in the issuer’s capital structure and have the benefit of a security interest over the assets of the borrower, though ranking junior to first lien loans); and, mezzanine loans/structured equity. Any of our loans may also include an equity component in the issuer such as a warrant or profit participation right. In certain instances we will also make direct equity investments, although such situations are generally limited to those cases where we are making an investment in a more senior part of the capital structure of the issuer. As of December 31, 2012 and 2011, we had made aggregate funded investments with a fair value of $653.9 million and $184.3 million, respectively, in 21 and 7 portfolio companies, respectively. See the consolidated schedules of investments as of December 31, 2012 and 2011, in our consolidated financial statements included in this annual report in Form 10-K for more information on these investments, including a list of companies and type and amount of investments.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1"/>
                <w:szCs w:val="1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Amortized Cost (1)</w:t>
            </w:r>
          </w:p>
        </w:tc>
        <w:tc>
          <w:tcPr>
            <w:tcW w:w="9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651.9</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Common equity</w:t>
            </w:r>
          </w:p>
        </w:tc>
        <w:tc>
          <w:tcPr>
            <w:tcW w:w="1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0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7"/>
              </w:rPr>
              <w:t>653.9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29"/>
        </w:trPr>
        <w:tc>
          <w:tcPr>
            <w:tcW w:w="3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440" w:type="dxa"/>
            <w:vAlign w:val="bottom"/>
          </w:tcPr>
          <w:p>
            <w:pPr>
              <w:spacing w:after="0"/>
              <w:rPr>
                <w:sz w:val="11"/>
                <w:szCs w:val="11"/>
                <w:color w:val="auto"/>
              </w:rPr>
            </w:pPr>
          </w:p>
        </w:tc>
      </w:tr>
      <w:tr>
        <w:trPr>
          <w:trHeight w:val="161"/>
        </w:trPr>
        <w:tc>
          <w:tcPr>
            <w:tcW w:w="3780" w:type="dxa"/>
            <w:vAlign w:val="bottom"/>
          </w:tcPr>
          <w:p>
            <w:pPr>
              <w:spacing w:after="0"/>
              <w:rPr>
                <w:sz w:val="20"/>
                <w:szCs w:val="20"/>
                <w:color w:val="auto"/>
              </w:rPr>
            </w:pPr>
            <w:r>
              <w:rPr>
                <w:rFonts w:ascii="Arial" w:cs="Arial" w:eastAsia="Arial" w:hAnsi="Arial"/>
                <w:sz w:val="14"/>
                <w:szCs w:val="14"/>
                <w:color w:val="auto"/>
              </w:rPr>
              <w:t>($ in millions)</w:t>
            </w:r>
          </w:p>
        </w:tc>
        <w:tc>
          <w:tcPr>
            <w:tcW w:w="96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6"/>
              </w:rPr>
              <w:t>Amortized Cost (1)</w:t>
            </w:r>
          </w:p>
        </w:tc>
        <w:tc>
          <w:tcPr>
            <w:tcW w:w="9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9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174.3</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r>
      <w:tr>
        <w:trPr>
          <w:trHeight w:val="27"/>
        </w:trPr>
        <w:tc>
          <w:tcPr>
            <w:tcW w:w="3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7"/>
              </w:rPr>
              <w:t>184.3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5" w:lineRule="exact"/>
        <w:rPr>
          <w:sz w:val="20"/>
          <w:szCs w:val="20"/>
          <w:color w:val="auto"/>
        </w:rPr>
      </w:pPr>
    </w:p>
    <w:p>
      <w:pPr>
        <w:ind w:left="1360" w:right="1660" w:hanging="434"/>
        <w:spacing w:after="0" w:line="268" w:lineRule="auto"/>
        <w:tabs>
          <w:tab w:leader="none" w:pos="1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2012 and 2011,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0"/>
              </w:rPr>
              <w:t>December 31, 2012</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Healthcare software solutions</w:t>
            </w:r>
          </w:p>
        </w:tc>
        <w:tc>
          <w:tcPr>
            <w:tcW w:w="6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3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Database management software</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Multidiscipline simulation software</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Commercial and residential flooring</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Safety equipment manufacturer</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Preventive automotive maintenance services</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Business operations management solutions</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4.6%</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Enterprise application software solutions</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Sports entertainment</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Engineered equipment manufacturing</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research services</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ERP and eCommerce systems software</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3.3%</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interiors</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Fleet management solutions</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Talent development software</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Full service chain of restaurants</w:t>
            </w:r>
          </w:p>
        </w:tc>
        <w:tc>
          <w:tcPr>
            <w:tcW w:w="2560" w:type="dxa"/>
            <w:vAlign w:val="bottom"/>
            <w:gridSpan w:val="4"/>
          </w:tcPr>
          <w:p>
            <w:pPr>
              <w:jc w:val="right"/>
              <w:ind w:right="620"/>
              <w:spacing w:after="0"/>
              <w:rPr>
                <w:sz w:val="20"/>
                <w:szCs w:val="20"/>
                <w:color w:val="auto"/>
              </w:rPr>
            </w:pPr>
            <w:r>
              <w:rPr>
                <w:rFonts w:ascii="Arial" w:cs="Arial" w:eastAsia="Arial" w:hAnsi="Arial"/>
                <w:sz w:val="18"/>
                <w:szCs w:val="18"/>
                <w:color w:val="auto"/>
              </w:rPr>
              <w:t>1.5%</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Recycling and waste management</w:t>
            </w:r>
          </w:p>
        </w:tc>
        <w:tc>
          <w:tcPr>
            <w:tcW w:w="25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Software provider for electrical equipment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manufacturing</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720" w:type="dxa"/>
            <w:vAlign w:val="bottom"/>
            <w:gridSpan w:val="2"/>
            <w:shd w:val="clear" w:color="auto" w:fill="CCEEFF"/>
          </w:tcPr>
          <w:p>
            <w:pPr>
              <w:spacing w:after="0"/>
              <w:rPr>
                <w:sz w:val="18"/>
                <w:szCs w:val="18"/>
                <w:color w:val="auto"/>
              </w:rPr>
            </w:pP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780" w:type="dxa"/>
            <w:vAlign w:val="bottom"/>
            <w:gridSpan w:val="6"/>
          </w:tcPr>
          <w:p>
            <w:pPr>
              <w:jc w:val="right"/>
              <w:ind w:right="520"/>
              <w:spacing w:after="0"/>
              <w:rPr>
                <w:sz w:val="20"/>
                <w:szCs w:val="20"/>
                <w:color w:val="auto"/>
              </w:rPr>
            </w:pPr>
            <w:r>
              <w:rPr>
                <w:rFonts w:ascii="Arial" w:cs="Arial" w:eastAsia="Arial" w:hAnsi="Arial"/>
                <w:sz w:val="18"/>
                <w:szCs w:val="18"/>
                <w:color w:val="auto"/>
                <w:w w:val="88"/>
              </w:rPr>
              <w:t>The geographic composition of investments at fair value at December 31, 2012 and 2011, is as follows: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5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 2012</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left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ind w:left="440"/>
              <w:spacing w:after="0"/>
              <w:rPr>
                <w:sz w:val="20"/>
                <w:szCs w:val="20"/>
                <w:color w:val="auto"/>
              </w:rPr>
            </w:pPr>
            <w:r>
              <w:rPr>
                <w:rFonts w:ascii="Arial" w:cs="Arial" w:eastAsia="Arial" w:hAnsi="Arial"/>
                <w:sz w:val="18"/>
                <w:szCs w:val="18"/>
                <w:color w:val="auto"/>
              </w:rPr>
              <w:t>Midwest</w:t>
            </w: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18.8%</w:t>
            </w:r>
          </w:p>
        </w:tc>
        <w:tc>
          <w:tcPr>
            <w:tcW w:w="5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17.8%</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ind w:left="440"/>
              <w:spacing w:after="0"/>
              <w:rPr>
                <w:sz w:val="20"/>
                <w:szCs w:val="20"/>
                <w:color w:val="auto"/>
              </w:rPr>
            </w:pPr>
            <w:r>
              <w:rPr>
                <w:rFonts w:ascii="Arial" w:cs="Arial" w:eastAsia="Arial" w:hAnsi="Arial"/>
                <w:sz w:val="18"/>
                <w:szCs w:val="18"/>
                <w:color w:val="auto"/>
              </w:rPr>
              <w:t>South</w:t>
            </w: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25.7%</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37.7%</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Canada</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100.0%</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we had the following commitments to fund investments: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20"/>
                <w:szCs w:val="20"/>
                <w:color w:val="auto"/>
              </w:rPr>
            </w:pPr>
            <w:r>
              <w:rPr>
                <w:rFonts w:ascii="Arial" w:cs="Arial" w:eastAsia="Arial" w:hAnsi="Arial"/>
                <w:sz w:val="14"/>
                <w:szCs w:val="14"/>
                <w:color w:val="auto"/>
              </w:rPr>
              <w:t>($ in millions)</w:t>
            </w:r>
          </w:p>
        </w:tc>
        <w:tc>
          <w:tcPr>
            <w:tcW w:w="1900" w:type="dxa"/>
            <w:vAlign w:val="bottom"/>
          </w:tcPr>
          <w:p>
            <w:pPr>
              <w:spacing w:after="0"/>
              <w:rPr>
                <w:sz w:val="14"/>
                <w:szCs w:val="14"/>
                <w:color w:val="auto"/>
              </w:rPr>
            </w:pPr>
          </w:p>
        </w:tc>
        <w:tc>
          <w:tcPr>
            <w:tcW w:w="244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w w:val="85"/>
              </w:rPr>
              <w:t>December 31, 2012</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9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9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23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00" w:type="dxa"/>
            <w:vAlign w:val="bottom"/>
            <w:vMerge w:val="restart"/>
          </w:tcPr>
          <w:p>
            <w:pPr>
              <w:jc w:val="right"/>
              <w:ind w:right="992"/>
              <w:spacing w:after="0"/>
              <w:rPr>
                <w:sz w:val="20"/>
                <w:szCs w:val="20"/>
                <w:color w:val="auto"/>
              </w:rPr>
            </w:pPr>
            <w:r>
              <w:rPr>
                <w:rFonts w:ascii="Arial" w:cs="Arial" w:eastAsia="Arial" w:hAnsi="Arial"/>
                <w:sz w:val="18"/>
                <w:szCs w:val="18"/>
                <w:color w:val="auto"/>
              </w:rPr>
              <w:t>12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Commitments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December 31, 2012 and 2011, we had $1.4 billion and $1.2 billion, respectively, in total capital commitments from investors ($0.9 billion and $1.0 billion unfunded, respectively), of which $114.1 million and $70.4 million, respectively, is from the Adviser and its affiliates ($76.6 million and $60.3 million unfunded, respectively).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January 31, 2013, we completed a Private Offering which increased our total capital commitments to $1.5 billion ($117.1 million from the Adviser and its affiliates), the maximum agreed to with our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(“SPAC”) sponsors, investment banks with underwriting activities, hedge funds that invest in private investments in public equities (“PIPEs”), traditional financial services companies such as commercial banks, and other sources of financing. Many of these entities have greater financial and managerial resources than we do. Furthermore, many of our competitors are not subject to the regulatory restrictions that the 1940 Act imposes on us as a BDC. For additional information concerning the competitive risks we expect to face, see “</w:t>
      </w:r>
      <w:r>
        <w:rPr>
          <w:rFonts w:ascii="Arial" w:cs="Arial" w:eastAsia="Arial" w:hAnsi="Arial"/>
          <w:sz w:val="16"/>
          <w:szCs w:val="16"/>
          <w:i w:val="1"/>
          <w:iCs w:val="1"/>
          <w:color w:val="auto"/>
        </w:rPr>
        <w:t>ITEM 1A. RISK FACTORS—Risks Related to Our Business and Structure—We</w:t>
      </w:r>
      <w:r>
        <w:rPr>
          <w:rFonts w:ascii="Arial" w:cs="Arial" w:eastAsia="Arial" w:hAnsi="Arial"/>
          <w:sz w:val="16"/>
          <w:szCs w:val="16"/>
          <w:color w:val="auto"/>
        </w:rPr>
        <w:t xml:space="preserve"> </w:t>
      </w:r>
      <w:r>
        <w:rPr>
          <w:rFonts w:ascii="Arial" w:cs="Arial" w:eastAsia="Arial" w:hAnsi="Arial"/>
          <w:sz w:val="16"/>
          <w:szCs w:val="16"/>
          <w:i w:val="1"/>
          <w:iCs w:val="1"/>
          <w:color w:val="auto"/>
        </w:rPr>
        <w:t>operate in a highly competitive market for investment opportunities.</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We anticipate generating cash in the future from offerings of our securities (including an IPO), capital drawdowns delivered to investors, and cash flows from operations, including interest received on our cash and cash equivalents, U.S. government securities and other high quality debt investments that mature in one year or less. See </w:t>
      </w:r>
      <w:r>
        <w:rPr>
          <w:rFonts w:ascii="Arial" w:cs="Arial" w:eastAsia="Arial" w:hAnsi="Arial"/>
          <w:sz w:val="18"/>
          <w:szCs w:val="18"/>
          <w:i w:val="1"/>
          <w:iCs w:val="1"/>
          <w:color w:val="auto"/>
        </w:rPr>
        <w:t>“Capital Commitments”</w:t>
      </w:r>
      <w:r>
        <w:rPr>
          <w:rFonts w:ascii="Arial" w:cs="Arial" w:eastAsia="Arial" w:hAnsi="Arial"/>
          <w:sz w:val="18"/>
          <w:szCs w:val="18"/>
          <w:color w:val="auto"/>
        </w:rPr>
        <w:t xml:space="preserve"> above for our total capital available from investors.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Additionally, we are permitted, under specified conditions, to issue multiple classes of indebtedness and one class of shares senior to our Common Stock if our asset coverage, as defined in the 1940 Act, is at least equal to 200% immediately after each such issuance. As of December 31, 2012 and 2011, our asset coverage was 244.6% and 211.7%, respectively. See “</w:t>
      </w:r>
      <w:r>
        <w:rPr>
          <w:rFonts w:ascii="Arial" w:cs="Arial" w:eastAsia="Arial" w:hAnsi="Arial"/>
          <w:sz w:val="16"/>
          <w:szCs w:val="16"/>
          <w:i w:val="1"/>
          <w:iCs w:val="1"/>
          <w:color w:val="auto"/>
        </w:rPr>
        <w:t>Regulation as a Business Development Company — Senior Securities</w:t>
      </w:r>
      <w:r>
        <w:rPr>
          <w:rFonts w:ascii="Arial" w:cs="Arial" w:eastAsia="Arial" w:hAnsi="Arial"/>
          <w:sz w:val="16"/>
          <w:szCs w:val="16"/>
          <w:color w:val="auto"/>
        </w:rPr>
        <w:t>” below.</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Furthermore, while any indebtedness and senior securities remain outstanding, we must make provisions to prohibit any distribution to our stockholders (which may cause the Company to fail to distribute amounts necessary to avoid entity-level taxation under the Code), or the repurchase of such securities or shares unless we meet the applicable asset coverage ratios at the time of the distribution or repurchase. In connection with our borrowings, among other requirements, our lenders have required us to pledge investor commitments to fund capital calls and the proceeds of those capital calls. In addition, we must also comply with positive and negative covenants customary for these types of facilities.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Obligations</w:t>
      </w:r>
      <w:r>
        <w:rPr>
          <w:rFonts w:ascii="Arial" w:cs="Arial" w:eastAsia="Arial" w:hAnsi="Arial"/>
          <w:sz w:val="18"/>
          <w:szCs w:val="18"/>
          <w:color w:val="auto"/>
        </w:rPr>
        <w:t>. Our debt obligations consisted of the following as of December 31, 2012 and 2011:</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1"/>
                <w:szCs w:val="11"/>
                <w:color w:val="auto"/>
              </w:rPr>
            </w:pPr>
          </w:p>
        </w:tc>
        <w:tc>
          <w:tcPr>
            <w:tcW w:w="6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 in millions)</w:t>
            </w:r>
          </w:p>
        </w:tc>
        <w:tc>
          <w:tcPr>
            <w:tcW w:w="17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Total Facility</w:t>
            </w:r>
          </w:p>
        </w:tc>
        <w:tc>
          <w:tcPr>
            <w:tcW w:w="9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02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550.0</w:t>
            </w:r>
          </w:p>
        </w:tc>
        <w:tc>
          <w:tcPr>
            <w:tcW w:w="11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vMerge w:val="restart"/>
          </w:tcPr>
          <w:p>
            <w:pPr>
              <w:jc w:val="right"/>
              <w:ind w:right="472"/>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gridSpan w:val="3"/>
          </w:tcPr>
          <w:p>
            <w:pPr>
              <w:jc w:val="center"/>
              <w:ind w:right="86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1"/>
                <w:szCs w:val="11"/>
                <w:color w:val="auto"/>
              </w:rPr>
            </w:pPr>
          </w:p>
        </w:tc>
      </w:tr>
      <w:tr>
        <w:trPr>
          <w:trHeight w:val="161"/>
        </w:trPr>
        <w:tc>
          <w:tcPr>
            <w:tcW w:w="5220" w:type="dxa"/>
            <w:vAlign w:val="bottom"/>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Total Facility</w:t>
            </w:r>
          </w:p>
        </w:tc>
        <w:tc>
          <w:tcPr>
            <w:tcW w:w="8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r>
      <w:tr>
        <w:trPr>
          <w:trHeight w:val="210"/>
        </w:trPr>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r>
              <w:rPr>
                <w:rFonts w:ascii="Arial" w:cs="Arial" w:eastAsia="Arial" w:hAnsi="Arial"/>
                <w:sz w:val="18"/>
                <w:szCs w:val="18"/>
                <w:u w:val="single" w:color="auto"/>
                <w:color w:val="auto"/>
              </w:rPr>
              <w:t>0</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155.0</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40" w:type="dxa"/>
            <w:vAlign w:val="bottom"/>
            <w:tcBorders>
              <w:top w:val="single" w:sz="8" w:color="CCEEFF"/>
            </w:tcBorders>
            <w:shd w:val="clear" w:color="auto" w:fill="CCEEFF"/>
          </w:tcPr>
          <w:p>
            <w:pPr>
              <w:spacing w:after="0"/>
              <w:rPr>
                <w:sz w:val="18"/>
                <w:szCs w:val="18"/>
                <w:color w:val="auto"/>
              </w:rPr>
            </w:pPr>
          </w:p>
        </w:tc>
      </w:tr>
      <w:tr>
        <w:trPr>
          <w:trHeight w:val="222"/>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250.</w:t>
            </w:r>
            <w:r>
              <w:rPr>
                <w:rFonts w:ascii="Arial" w:cs="Arial" w:eastAsia="Arial" w:hAnsi="Arial"/>
                <w:sz w:val="18"/>
                <w:szCs w:val="18"/>
                <w:u w:val="single" w:color="auto"/>
                <w:color w:val="auto"/>
              </w:rPr>
              <w:t>0</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95.0</w:t>
            </w:r>
          </w:p>
        </w:tc>
        <w:tc>
          <w:tcPr>
            <w:tcW w:w="44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2740" w:firstLine="466"/>
        <w:spacing w:after="0" w:line="516" w:lineRule="auto"/>
        <w:tabs>
          <w:tab w:leader="none" w:pos="12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available considers any limitations related to the respective debt facilities’ borrowing bases. For the years ended December 31, 2012 and 2011, the components of interest expense were as follows:</w:t>
      </w:r>
    </w:p>
    <w:tbl>
      <w:tblPr>
        <w:tblLayout w:type="fixed"/>
        <w:tblInd w:w="1380" w:type="dxa"/>
        <w:tblCellMar>
          <w:top w:w="0" w:type="dxa"/>
          <w:left w:w="0" w:type="dxa"/>
          <w:bottom w:w="0" w:type="dxa"/>
          <w:right w:w="0" w:type="dxa"/>
        </w:tblCellMar>
      </w:tblPr>
      <w:tr>
        <w:trPr>
          <w:trHeight w:val="150"/>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16"/>
              <w:spacing w:after="0" w:line="150" w:lineRule="exact"/>
              <w:rPr>
                <w:sz w:val="20"/>
                <w:szCs w:val="20"/>
                <w:color w:val="auto"/>
              </w:rPr>
            </w:pPr>
            <w:r>
              <w:rPr>
                <w:rFonts w:ascii="Arial" w:cs="Arial" w:eastAsia="Arial" w:hAnsi="Arial"/>
                <w:sz w:val="14"/>
                <w:szCs w:val="14"/>
                <w:b w:val="1"/>
                <w:bCs w:val="1"/>
                <w:color w:val="auto"/>
                <w:w w:val="93"/>
              </w:rPr>
              <w:t>Year Ended</w:t>
            </w: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Year Ended</w:t>
            </w:r>
          </w:p>
        </w:tc>
      </w:tr>
      <w:tr>
        <w:trPr>
          <w:trHeight w:val="161"/>
        </w:trPr>
        <w:tc>
          <w:tcPr>
            <w:tcW w:w="5000" w:type="dxa"/>
            <w:vAlign w:val="bottom"/>
          </w:tcPr>
          <w:p>
            <w:pPr>
              <w:spacing w:after="0"/>
              <w:rPr>
                <w:sz w:val="20"/>
                <w:szCs w:val="20"/>
                <w:color w:val="auto"/>
              </w:rPr>
            </w:pPr>
            <w:r>
              <w:rPr>
                <w:rFonts w:ascii="Arial" w:cs="Arial" w:eastAsia="Arial" w:hAnsi="Arial"/>
                <w:sz w:val="14"/>
                <w:szCs w:val="14"/>
                <w:color w:val="auto"/>
              </w:rPr>
              <w:t>($ in millions)</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2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(SunTrust)</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August 23, 2012, we entered into a Senior Secured Revolving Credit Agreement (the “Revolving Credit Facility (SunTrust)”). The parties to the Revolving Credit Facility (SunTrust) include the Company, as Borrower, the lenders from time to time parties thereto (each a “Lender” and collectively, the “Lenders”) and SunTrust Bank, as Administrative Agent.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of the Company that are formed or acquired by the Company in the future (collectively, the “Guarantors”). Proceeds from borrowings may be used for general corporate purposes, including the funding of portfolio investments.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maximum principal amount of the facility is $200 million, subject to availability under the borrowing base, which is based on the Company’s portfolio investments and other outstanding indebtedness. Maximum capacity may be increased to $300 million through the exercise by the Borrower of an uncommitted accordion feature through which existing and new lenders may, at their option, agree to provide additional financing. The Revolving Credit Facility (SunTrust) includes a $30 million limit for swingline loans and a $20 million limit for letters of credit and is secured by a perfected first-priority interest in substantially the entire portfolio of investments held by the Company and each Guarantor.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availability period under the Revolving Credit Facility (SunTrust) will terminate on August 24, 2015 (the “SunTrust Commitment Termination Date”) and it will mature on August 23, 2016 (the “SunTrust Maturity Date”). During the period from the SunTrust Commitment Termination Date to the SunTrust Maturity Date, the Company will be obligated to make mandatory prepayments out of the proceeds of certain asset sales, and other recovery events and equity and debt issuances.</w:t>
      </w:r>
    </w:p>
    <w:p>
      <w:pPr>
        <w:spacing w:after="0" w:line="143"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We may borrow amounts in U.S. dollars or certain other permitted currencies. Amounts drawn under the Revolving Credit Facility (SunTrust), including amounts drawn in respect of letters of credit, will bear interest at either LIBOR plus a margin, or the prime rate plus a margin. We may elect either the LIBOR or prime rate at the time of drawdown, and loans may be converted from one rate to another at any time, subject to certain conditions. We will also pay a fee of</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0.50% on undrawn amounts and, in respect of each undrawn letter of credit, a fee and interest rate equal to the then-applicable margin while the letter of credit is outstanding.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covenants, including certain financial covenants related to asset coverage and liquidity and other maintenance covenants, as well as customary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(Natixis)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May 8, 2012 (the “Natixis Closing Date”), our wholly-owned subsidiary TPG SL SPV, LLC (the “Subsidiary”), a Delaware limited liability company, entered into a Revolving Credit and Security Agreement (the “Revolving Credit Facility (Natixis)”). Parties to the agreement include TPG SL SPV, LLC, as Borrower, and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We retain a residual interest in assets contributed to or acquired by the Subsidiary through our ownership of the Subsidiary. The maximum principal amount of the facility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agreement provides for a contribution and reinvestment period for up to 18 months after the Natixis Closing Date (the “Natixis Commitment Termination Date”). Prior to the Natixis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Natixis Commitment Termination Date must be used to make quarterly payments of principal on outstanding borrowings. Following the Natixis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Revolving Credit Facility (Natixis) will mature on May 8, 2020. Amounts drawn bear interest at LIBOR plus a margin and the undrawn portion of the commitment bears an unutilized commitment fee of 0.75%.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w:t>
      </w:r>
    </w:p>
    <w:p>
      <w:pPr>
        <w:spacing w:after="0" w:line="113" w:lineRule="exact"/>
        <w:rPr>
          <w:sz w:val="20"/>
          <w:szCs w:val="20"/>
          <w:color w:val="auto"/>
        </w:rPr>
      </w:pPr>
    </w:p>
    <w:p>
      <w:pPr>
        <w:ind w:right="720" w:firstLine="456"/>
        <w:spacing w:after="0" w:line="438" w:lineRule="auto"/>
        <w:rPr>
          <w:sz w:val="20"/>
          <w:szCs w:val="20"/>
          <w:color w:val="auto"/>
        </w:rPr>
      </w:pPr>
      <w:r>
        <w:rPr>
          <w:rFonts w:ascii="Arial" w:cs="Arial" w:eastAsia="Arial" w:hAnsi="Arial"/>
          <w:sz w:val="18"/>
          <w:szCs w:val="18"/>
          <w:color w:val="auto"/>
        </w:rPr>
        <w:t>Borrowings of the Subsidiary are considered our borrowings for purposes of complying with the asset coverage requirements under the 1940 Act. Revolving Credit Facility (DBTCA)</w:t>
      </w:r>
    </w:p>
    <w:p>
      <w:pPr>
        <w:spacing w:after="0" w:line="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September 28, 2011, we entered into a revolving credit facility (the “Initial DBTCA Revolving Credit Facility”) with Deutsche Bank Trust Company Americas (“DBTCA”) as administrative agent (the “Administrative Agent”), and DBTCA and certain of its affiliates as lenders. At closing, the maximum principal amount of the Initial DTBCA Revolving Credit Facility was $150 million, subject to availability under the borrowing base. On December 22, 2011, the Initial DBTCA Revolving Credit Facility was amended and restated (the “Revolving Credit Facility (DBTCA)”). Under the Revolving Credit Facility (DBTCA),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Facility (DBTCA) may be increased to up to $300 million upon request of the Company within twelve months of closing and subject to payment of an additional fee. The option to increase the facility expired on September 28, 2012. Proceeds from the Revolving Credit Facility (DBTCA) may be used for investment activities, expenses, working capital requirements and general corporate purposes.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December 20, 2013, and 25 days prior to a qualifying initial public offering of the Company.</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(DBTCA)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we will pay a fee and a fixed rate while the letter of credit is outstanding.</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 certain distributions, and restrict certain types and amounts of indebtedness. The Revolving Credit Facility (DBTCA) includes customary events of default.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we were in compliance with the terms of our debt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In order to be treated as a RIC for U.S. tax purposes, we must annually distribute an amount at least equal to 90% of our investment company taxable income (as defined by the Code, which generally includes net ordinary income and net short term taxable gains) to our stockholders. In addition, the Company generally will be subject to an excise tax equal to 4% of the amount by which the sum of (i) 98% of the Company’s ordinary taxable income recognized during a calendar year; (ii) 98.2% of the Company’s net capital gain income recognized for the one year period ending on October 31</w:t>
      </w:r>
      <w:r>
        <w:rPr>
          <w:rFonts w:ascii="Arial" w:cs="Arial" w:eastAsia="Arial" w:hAnsi="Arial"/>
          <w:sz w:val="10"/>
          <w:szCs w:val="10"/>
          <w:color w:val="auto"/>
        </w:rPr>
        <w:t>st</w:t>
      </w:r>
      <w:r>
        <w:rPr>
          <w:rFonts w:ascii="Arial" w:cs="Arial" w:eastAsia="Arial" w:hAnsi="Arial"/>
          <w:sz w:val="16"/>
          <w:szCs w:val="16"/>
          <w:color w:val="auto"/>
        </w:rPr>
        <w:t xml:space="preserve"> of such calendar year; and,</w:t>
      </w:r>
    </w:p>
    <w:p>
      <w:pPr>
        <w:spacing w:after="0" w:line="3" w:lineRule="exact"/>
        <w:rPr>
          <w:sz w:val="20"/>
          <w:szCs w:val="20"/>
          <w:color w:val="auto"/>
        </w:rPr>
      </w:pPr>
    </w:p>
    <w:p>
      <w:pPr>
        <w:ind w:right="280" w:firstLine="8"/>
        <w:spacing w:after="0" w:line="290" w:lineRule="auto"/>
        <w:tabs>
          <w:tab w:leader="none" w:pos="3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100% of any undistributed amount by operation of this rule related to a prior calendar year that exceeds the distributed amount. For these purposes, the Company will be deemed to have distributed any ordinary taxable income or net capital gain income on which the Company has paid U.S. federal income tax. Depending on the level of taxable income earned in a calendar year, we may choose to carry forward taxable income for distribution in the following calendar year, and pay any applicable excise tax. We cannot assure you that we will achieve results that will permit the payment of any dividends. </w:t>
      </w:r>
      <w:r>
        <w:rPr>
          <w:rFonts w:ascii="Arial" w:cs="Arial" w:eastAsia="Arial" w:hAnsi="Arial"/>
          <w:sz w:val="16"/>
          <w:szCs w:val="16"/>
          <w:i w:val="1"/>
          <w:iCs w:val="1"/>
          <w:color w:val="auto"/>
        </w:rPr>
        <w:t>See “ITEM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 Risks related to Our Business and Structure – We will be subject to corporate-level income tax if we are unable to maintain our qualification as a RIC under Subchapter M of the Code.”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have adopted a dividend reinvestment plan, pursuant to which the Company will reinvest all cash dividends declared by the Board on behalf of investors who do not elect to receive their dividends in cash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provided below. As a result, if the Board authorizes, and we declare, a cash dividend or other distribution, then our stockholders who have not opted out of our dividend reinvestment plan will have their cash dividends automatically reinvested in additional Common Stock as described below.</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number of shares to be issued to a stockholder under the dividend reinvestment plan will be determined by dividing the total dollar amount of the dividend payable to such stockholder by (i) prior to an IPO, the net asset value per share of our Common Stock as of the last day, adjusted for the amount of the dividend payable, of our fiscal quarter immediately preceding the date such dividend was declared (the “Reference NAV”); provided that in the event a dividend is declared on the last day of a fiscal quarter, the Reference NAV shall be deemed to be the net asset value per share of our Common Stock as of such day, adjusted for the amount of the dividend payable; or, (ii) following an IPO, the market price of our Common Stock. The number of shares to be issued to the stockholder pursuant to the foregoing shall be rounded downward to the nearest whole share to avoid the issuance of fractional shares, with any fractional shares being paid in cash. We intend to use primarily newly issued shares to implement the plan.</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No action will be required on the part of a registered stockholder to have its cash dividend or other distribution reinvested in our Common Stock. A registered stockholder will be able to elect to receive an entire cash dividend in cash by notifying the Adviser in writing, so that such notice is received by the Adviser no later than 10 days prior to the record date for dividends to the stockholders.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distribution by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Services necessary for our business are provided by individuals who are employees of our Adviser or its affiliates, pursuant to the terms of the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This Investment Team focuses on origination and transaction development and the ongoing monitoring of our investments. In addition, we reimburse the Adviser for the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 See “</w:t>
      </w:r>
      <w:r>
        <w:rPr>
          <w:rFonts w:ascii="Arial" w:cs="Arial" w:eastAsia="Arial" w:hAnsi="Arial"/>
          <w:sz w:val="16"/>
          <w:szCs w:val="16"/>
          <w:i w:val="1"/>
          <w:iCs w:val="1"/>
          <w:color w:val="auto"/>
        </w:rPr>
        <w:t>Advisory Agreement; Administration Agreement; License Agreement</w:t>
      </w:r>
      <w:r>
        <w:rPr>
          <w:rFonts w:ascii="Arial" w:cs="Arial" w:eastAsia="Arial" w:hAnsi="Arial"/>
          <w:sz w:val="16"/>
          <w:szCs w:val="16"/>
          <w:color w:val="auto"/>
        </w:rPr>
        <w:t>”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Expenses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costs associated with investment professionals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but not limited to, those relating to:</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initial organization costs incurred prior to the commencement of our operations (up to an aggregate of $1,500,000);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the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future offerings of our Common Stock and other securities,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managerial assistance to those portfolio companies that request 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59"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Regulation as a Business Development Company</w:t>
      </w:r>
      <w:r>
        <w:rPr>
          <w:rFonts w:ascii="Arial" w:cs="Arial" w:eastAsia="Arial" w:hAnsi="Arial"/>
          <w:sz w:val="18"/>
          <w:szCs w:val="18"/>
          <w:color w:val="auto"/>
        </w:rPr>
        <w:t>”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an IPO, costs and expenses incurred by the Adviser relating to the marketing of the Company’s financing services to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from time to time, the Adviser pays amounts owed by us to third-party providers of goods or services. We subsequently reimburse the Adviser for such amounts paid on our behalf. We also reimburse the Adviser for the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 As a BDC, we are permitted, under specified conditions, to issue multiple classes of indebtedness and one class of shares senior to our Common Stock if our asset coverage, as defined in the 1940 Act, is at least equal to 200% immediately after each such issuance. As of December 31, 2012 and 2011, our asset coverage was 244.6% and 211.7%, respectively.</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do not intend to acquire securities issued by any investment company that exceed the limits imposed by the 1940 Act. Under these limits, except for registered money market funds, the Company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tax purposes. See </w:t>
      </w:r>
      <w:r>
        <w:rPr>
          <w:rFonts w:ascii="Arial" w:cs="Arial" w:eastAsia="Arial" w:hAnsi="Arial"/>
          <w:sz w:val="18"/>
          <w:szCs w:val="18"/>
          <w:i w:val="1"/>
          <w:iCs w:val="1"/>
          <w:color w:val="auto"/>
        </w:rPr>
        <w:t>“Regulated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Company Classification” </w:t>
      </w:r>
      <w:r>
        <w:rPr>
          <w:rFonts w:ascii="Arial" w:cs="Arial" w:eastAsia="Arial" w:hAnsi="Arial"/>
          <w:sz w:val="18"/>
          <w:szCs w:val="18"/>
          <w:color w:val="auto"/>
        </w:rPr>
        <w:t>for more information.</w:t>
      </w:r>
    </w:p>
    <w:p>
      <w:pPr>
        <w:spacing w:after="0" w:line="144"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are generally not able to issue and sell our Common Stock at a price below net asset value per share. See “</w:t>
      </w:r>
      <w:r>
        <w:rPr>
          <w:rFonts w:ascii="Arial" w:cs="Arial" w:eastAsia="Arial" w:hAnsi="Arial"/>
          <w:sz w:val="15"/>
          <w:szCs w:val="15"/>
          <w:i w:val="1"/>
          <w:iCs w:val="1"/>
          <w:color w:val="auto"/>
        </w:rPr>
        <w:t>ITEM 1A. RISK FACTORS—Risks Related to</w:t>
      </w:r>
      <w:r>
        <w:rPr>
          <w:rFonts w:ascii="Arial" w:cs="Arial" w:eastAsia="Arial" w:hAnsi="Arial"/>
          <w:sz w:val="15"/>
          <w:szCs w:val="15"/>
          <w:color w:val="auto"/>
        </w:rPr>
        <w:t xml:space="preserve"> </w:t>
      </w:r>
      <w:r>
        <w:rPr>
          <w:rFonts w:ascii="Arial" w:cs="Arial" w:eastAsia="Arial" w:hAnsi="Arial"/>
          <w:sz w:val="15"/>
          <w:szCs w:val="15"/>
          <w:i w:val="1"/>
          <w:iCs w:val="1"/>
          <w:color w:val="auto"/>
        </w:rPr>
        <w:t>Our Business and Structure—Regulations governing our operation as a BDC affect our ability to, and the way in which we, raise additional capital.</w:t>
      </w:r>
      <w:r>
        <w:rPr>
          <w:rFonts w:ascii="Arial" w:cs="Arial" w:eastAsia="Arial" w:hAnsi="Arial"/>
          <w:sz w:val="15"/>
          <w:szCs w:val="15"/>
          <w:color w:val="auto"/>
        </w:rPr>
        <w:t>” We may,</w:t>
      </w:r>
      <w:r>
        <w:rPr>
          <w:rFonts w:ascii="Arial" w:cs="Arial" w:eastAsia="Arial" w:hAnsi="Arial"/>
          <w:sz w:val="15"/>
          <w:szCs w:val="15"/>
          <w:i w:val="1"/>
          <w:iCs w:val="1"/>
          <w:color w:val="auto"/>
        </w:rPr>
        <w:t xml:space="preserve"> </w:t>
      </w:r>
      <w:r>
        <w:rPr>
          <w:rFonts w:ascii="Arial" w:cs="Arial" w:eastAsia="Arial" w:hAnsi="Arial"/>
          <w:sz w:val="15"/>
          <w:szCs w:val="15"/>
          <w:color w:val="auto"/>
        </w:rPr>
        <w:t>however, issue and sell our Common Stock, or warrants, options or rights to acquire our Common Stock, at a price below the then current net asset value of our Common Stock if our Board determines that such sale is in our best interests and the best interests of our stockholders, and our stockholders have approved our policy and practice of making such sales within the preceding 12 months. In any such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0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 We have applied for an exemptive order from the SEC that would permit us to co-invest with funds or other pools of capital or persons managed by TPG or its affiliates. Such order, if granted,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will be subject to certain terms and conditions and there can be no assurance that the application for exemptive relief will be granted by the SEC. Accordingly, we cannot assure you that the Company will be permitted to co-invest with funds managed by TPG, other than in the limited circumstances currently permitted by regulatory guidance. See “</w:t>
      </w:r>
      <w:r>
        <w:rPr>
          <w:rFonts w:ascii="Arial" w:cs="Arial" w:eastAsia="Arial" w:hAnsi="Arial"/>
          <w:sz w:val="16"/>
          <w:szCs w:val="16"/>
          <w:i w:val="1"/>
          <w:iCs w:val="1"/>
          <w:color w:val="auto"/>
        </w:rPr>
        <w:t>ITEM 13. CERTAIN RELATIONSHIPS AND RELATED TRANSACTIONS, AND DIRECTOR INDEPENDENCE.</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BDC, we are subject to certain risks and uncertainties. See “</w:t>
      </w:r>
      <w:r>
        <w:rPr>
          <w:rFonts w:ascii="Arial" w:cs="Arial" w:eastAsia="Arial" w:hAnsi="Arial"/>
          <w:sz w:val="16"/>
          <w:szCs w:val="16"/>
          <w:i w:val="1"/>
          <w:iCs w:val="1"/>
          <w:color w:val="auto"/>
        </w:rPr>
        <w:t>ITEM 1A. RISK FACTORS—Risks Related to Our Business and Structure.</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wholly-owned by the Company)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 or</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in order to count portfolio securities as qualifying assets for the purpose of the 70% test, the BDC must either control the issuer of the securities or must offer to make available to the issuer of the securities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a BDC, the Company generally must have 200% asset coverage for its debt after incurring any new indebtedness, meaning that the total value of the Company’s assets must be at least twice the amount of the debt (i.e., 50% leverage). As of December 31, 2012 and 2011, our asset coverage was 244.6% and 211.7%, respectively.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shares senior to our Common Stock if our asset coverage, as defined in the 1940 Act, is at least equal to 200% immediately after each such issuance. In addition, while any preferred stock or publicly-traded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6"/>
          <w:szCs w:val="16"/>
          <w:i w:val="1"/>
          <w:iCs w:val="1"/>
          <w:color w:val="auto"/>
        </w:rPr>
        <w:t>ITEM 1A. RISK FACTORS—Risks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and Structure—We borrow money, which magnifies the potential for gain or loss and increases the risk of investing in us.”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1940 Act imposes limitations on a BDC’s issuance of preferred stock, which is considered “senior securities” and thus is subject to the 200% asset coverage requirement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adopted a Code of Business Conduct and Ethics which applies to, among others, our executive officers, including our principal executive officer and principal financial officer, as well as every officer, director and employee of the Company. There have been no material changes to our corporate code of ethics or material waivers of the code that apply to our Chief Executive Officer or Chief Financial Officer.</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hereby undertake to provide a copy of this code to any person, without charge, upon request. Requests for a copy of this code may be made in writing addressed to the Secretary of the Company, David Reintjes, TPG Specialty Lending, Inc., 301 Commerce Street, Suite 3300, Fort Worth, Texas 76102.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and our Adviser have adopted and implemented written policies and procedures reasonably designed to detect and prevent violation of the federal securities laws and will be required to review these compliance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policies and procedures annually for their adequacy and the effectiveness of their implementation and designate a Chief Compliance Officer to be responsible for administering the policies and procedures. The Chief Compliance Officer of TPG serves as our Chief Compliance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and, depending on our accelerated filer status, this report may be required to be audited by our independent registered public accounting firm; and,</w:t>
      </w:r>
    </w:p>
    <w:p>
      <w:pPr>
        <w:spacing w:after="0" w:line="59"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non-interested directors, and, accordingly, are subject to change.</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 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the Company’s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the Company’s Chief Compliance Officer or the relevant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investment professional(s) employed by the Adviser, the costs associated with voting such proxy outweigh the benefits to our stockholders or if the circumstances make such an abstention or withholding otherwise advisable and in the best interest of the relevant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1934 Act.</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Because we do not currently maintain a corporate website, we do not, except as required in the context of proxy statements, intend to make available on a website our annual reports on Form 10-K, quarterly reports on Form 10-Q and our current reports on Form 8-K. We do intend, however, to provide electronic or paper copies of our filings free of charge upon request. Requests may be made in writing addressed to us at 301 Commerce Street, Suite 3300, Fort Worth, Texas, 76102.</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450 Fifth Street, NW, Washington, DC 20549. The public may also obtain information on the operation of the Public Reference Room by calling the SEC at 1-800-SEC-0330. The SEC also maintains a website (www.sec.gov) that contains such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elected to be treated as a RIC for U.S. tax purposes. Our status as a RIC enables us to deduct qualifying distributions to our stockholders in computing our taxable income, so that we are subject to U.S. federal income taxation only in respect of earnings that we retain and do not distribute. In addition, certain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distributions that we make to our stockholders may be eligible for look-through tax treatment determined by reference to the earnings from which the distribution is made.</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maintain our qualification as a RIC, we must, among other things, (a) derive in each taxable year at least 90% of our gross income from dividends, interest, gains from the sale or other disposition of stock or securities and other specified categories of investment income; and (b) diversify our holdings so that, subject to certain exceptions and cure periods, at the end of each quarter (i) at least 50% of the value of our total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and greater than 10% of the outstanding voting securities of such issuer, and (ii) 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a RIC, in any taxable year with respect to which we distribute at least 90% of our investment company taxable income (which includes, among other items, dividends, interest, the excess of any net short-term capital gains over net long-term capital losses, as well as other taxable income, excluding any net capital gain reduced by deductible expenses), we generally will not be subject to U.S. federal income tax on our investment company taxable income and net capital gains that we distribute to stockholders. In addition, to avoid the imposition of a nondeductible 4% excise tax, we must distribute (or be deemed to have distributed) during each calendar year an amount at least equal to the sum of:</w:t>
      </w:r>
    </w:p>
    <w:p>
      <w:pPr>
        <w:spacing w:after="0" w:line="35"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least 98.2% of our capital gains in excess of our capital losses (adjusted for certain ordinary losses) for a one-year period generally ending on October 31 of the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undistributed amounts from previous years on which we paid no U.S. federal income tax.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We generally expect to distribute substantially all of our earnings on a quarterly basis, but will reinvest dividends on behalf of those investors that do not elect to receive their dividends in cash. See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and </w:t>
      </w:r>
      <w:r>
        <w:rPr>
          <w:rFonts w:ascii="Arial" w:cs="Arial" w:eastAsia="Arial" w:hAnsi="Arial"/>
          <w:sz w:val="16"/>
          <w:szCs w:val="16"/>
          <w:i w:val="1"/>
          <w:iCs w:val="1"/>
          <w:color w:val="auto"/>
        </w:rPr>
        <w:t>“Dividend Reinvestment Plan”</w:t>
      </w:r>
      <w:r>
        <w:rPr>
          <w:rFonts w:ascii="Arial" w:cs="Arial" w:eastAsia="Arial" w:hAnsi="Arial"/>
          <w:sz w:val="16"/>
          <w:szCs w:val="16"/>
          <w:color w:val="auto"/>
        </w:rPr>
        <w:t xml:space="preserve"> for a description of our dividend policy and obligations. One or more of the considerations described below, however, could result in the deferral of dividend distributions until the end of the fiscal year:</w:t>
      </w:r>
    </w:p>
    <w:p>
      <w:pPr>
        <w:spacing w:after="0" w:line="26" w:lineRule="exact"/>
        <w:rPr>
          <w:sz w:val="20"/>
          <w:szCs w:val="20"/>
          <w:color w:val="auto"/>
        </w:rPr>
      </w:pPr>
    </w:p>
    <w:p>
      <w:pPr>
        <w:ind w:left="900" w:right="4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discount may be accrued in income on a tax basis before we receive any corresponding cash payments.</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will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withholding tax treatment of certain dividends payable to non-U.S. stockholders generally will depend on the extension by Congress of the look-through rules applicable to “interest-related dividends” and “short-term capital gain dividends” for taxable years beginning after December 31, 2013, and we may defer dividends to all stockholders pending the resolution of this issue during those periods.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requirements for maintaining RIC status and for avoiding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income tax.</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While we intend to distribute income and capital gains to the extent necessary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and accumulated earnings and profits.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recently-formed company with relatively little operating history.</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commenced our investing activities beginning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 We anticipate that it may take multiple years to invest substantially all of the capital commitments we received from the Private Offerings and other sources due to market conditions generally and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 this period, and any such dividends may be substantially lower than the dividends we expect to pay when our portfolio is fully invested.</w:t>
      </w:r>
    </w:p>
    <w:p>
      <w:pPr>
        <w:spacing w:after="0" w:line="12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for our future success.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depend on the experience, diligence, skill and network of business contacts of the Adviser’s senior investment professionals. The senior investment professionals, together with other investment professionals that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Adviser currently retains or may subsequently retain, identify, evaluate, negotiate, structure, close, monitor and manage our investments. Our success will depend to a significant extent on the continued service and coordination of the Adviser’s senior investment professionals. The departure of any of the Adviser’s key personnel, including members of the Adviser’s Investment Review Committee, or the investment professionals or partners of TPG, could have a material adverse effect on our business, financial condition or results of operations. In addition, we cannot assure you that the Adviser will remain our investment adviser or that we will continue to have access to TPG or its investment professionals.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1940 Act imposes numerous constraints on the operations of business development companies. See </w:t>
      </w:r>
      <w:r>
        <w:rPr>
          <w:rFonts w:ascii="Arial" w:cs="Arial" w:eastAsia="Arial" w:hAnsi="Arial"/>
          <w:sz w:val="18"/>
          <w:szCs w:val="18"/>
          <w:i w:val="1"/>
          <w:iCs w:val="1"/>
          <w:color w:val="auto"/>
        </w:rPr>
        <w:t>“ITEM 1. BUSINESS.—Regulation as a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Company” </w:t>
      </w:r>
      <w:r>
        <w:rPr>
          <w:rFonts w:ascii="Arial" w:cs="Arial" w:eastAsia="Arial" w:hAnsi="Arial"/>
          <w:sz w:val="18"/>
          <w:szCs w:val="18"/>
          <w:color w:val="auto"/>
        </w:rPr>
        <w:t>for a discussion of business development company limitations. For example, business development companies are required to invest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70% of their total assets in securities of nonpublic or thinly traded U.S. companies, cash, cash equivalents, U.S. government securities and other high 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Regulations governing our operation as a business development company affect our ability to raise additional capital, and the ways in which we can do so. Raising additional capital may expose us to risks, including the typical risks associated with leverage, and may result in dilution to our current stockholders. The 1940 Act limits our ability to issue debt and preferred stock (“senior securities”) to amounts such that our asset coverage ratio is at least 200% of assets less liabilities and other indebtedness. Consequently, if the value of our assets declines, we may be required to sell a portion of our investments and, depending on the nature of our leverage, repay a portion of our indebtedness at a time when this may be disadvantageous.</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per share of our Common Stock if our Board determines that a sale is in the best interests of us and our stockholders and our stockholders approve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senior securities will have fixed-dollar claims on our assets, or undrawn capital available to us that are superior to the claims of our stockholders.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negatively affect our ability to make common share dividend payments. Our ability to service our borrowings depends largely on our financial performance and is subject to prevailing economic conditions and competitive pressures. Moreover, the Management Fee will be payable based on our gross assets, including those assets acquired through the use of leverage.</w:t>
      </w:r>
    </w:p>
    <w:p>
      <w:pPr>
        <w:spacing w:after="0" w:line="118"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Furthermore, our credit facilities impose financial and operating covenants that restrict our business activities, our ability to call capital, remedies on default and similar matters. As of the date of this Annual Report, we are in compliance with the covenants of our credit facilities. However, our continued compliance with these covenants depends on many factors, some of which are beyond our control. Accordingly, although we believe we will continue to be in compliance, there are no assurances that we will continue to comply with the covenants in our credit facilities. Failure to comply with these covenants could result in a default that, if we were unable to obtain a waiver from the lenders or holders of such indebtedness, as applicable, such lenders or holders could accelerate repayment under such indebtedness and thereby have a material adverse impact on our business, financial condition and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Lastly, we may be unable to obtain additional leverage, which would, in turn, affect our return on capital.</w:t>
      </w:r>
    </w:p>
    <w:p>
      <w:pPr>
        <w:spacing w:after="0" w:line="252"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Our $250 million Revolving Credit Facility (DBTCA) matures on December 20, 2013 and any inability to review, extend, or replace the facility could adversely affect our liquidity and ability to fund new investments or maintain distributions to our stockholders.</w:t>
      </w:r>
    </w:p>
    <w:p>
      <w:pPr>
        <w:spacing w:after="0" w:line="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had $165 million of indebtedness outstanding under the Revolving Credit Facility (DBTCA) at December 31, 2012. The Revolving Credit Facility (DBTCA) has a stated maturity date of December 20, 2013. See </w:t>
      </w:r>
      <w:r>
        <w:rPr>
          <w:rFonts w:ascii="Arial" w:cs="Arial" w:eastAsia="Arial" w:hAnsi="Arial"/>
          <w:sz w:val="16"/>
          <w:szCs w:val="16"/>
          <w:i w:val="1"/>
          <w:iCs w:val="1"/>
          <w:color w:val="auto"/>
        </w:rPr>
        <w:t>“ITEM 1. BUSINESS.—Capital Resources and Borrowings.”</w:t>
      </w:r>
      <w:r>
        <w:rPr>
          <w:rFonts w:ascii="Arial" w:cs="Arial" w:eastAsia="Arial" w:hAnsi="Arial"/>
          <w:sz w:val="16"/>
          <w:szCs w:val="16"/>
          <w:color w:val="auto"/>
        </w:rPr>
        <w:t xml:space="preserve"> There can be no assurance that we will be able to renew, extend or replace the facility upon its maturity on terms that are favorable to us, if at all. Our ability to renew, extend or replace the facility will be constrained by then-current economic conditions affecting the credit markets. In the event that we are not able to renew, extend or replace the facility at the time of its maturity, this could have a material adverse effect on our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Other entities, including commercial banks, commercial financing companies, other business development companies and insurance companies compete with us to make the types of investments that we plan to make in middle-market companies. Certain of these competitors may be substantially larger, have considerably greater financial, technical and marketing resources than we will have and offer a wider array of financial services. For example, some competitors may have a lower cost of funds and access to funding sources that are not available to us. Many competitors are not subject to the regulatory restrictions that the 1940 Act will impose on us as a business development company or the restrictions that the Code will impose on us as a RIC.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source investments or manage future growth effectively, we may be unable to achieve our investment objective.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needs to continue to hire, train, supervise and manage new employees. However, we cannot provide assurance that any such employees will contribute to the success of our business. Failure to manage our future growth effectively could have a material adverse effect on our business, financial condition and results of operations.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Even in the event the value of your investment declines, the Management Fee and, in certain circumstances, the Incentive Fee will still be payable to the Adviser. Following an IPO, the Management Fee will be calculated as a percentage of the value of our gross assets at a specific time. Accordingly, the Management Fee will be payable regardless of whether the value of our gross assets and/or your investment have decreased. Moreover,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See </w:t>
      </w:r>
      <w:r>
        <w:rPr>
          <w:rFonts w:ascii="Arial" w:cs="Arial" w:eastAsia="Arial" w:hAnsi="Arial"/>
          <w:sz w:val="16"/>
          <w:szCs w:val="16"/>
          <w:i w:val="1"/>
          <w:iCs w:val="1"/>
          <w:color w:val="auto"/>
        </w:rPr>
        <w:t>“ITEM 1.</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w:t>
      </w:r>
      <w:r>
        <w:rPr>
          <w:rFonts w:ascii="Arial" w:cs="Arial" w:eastAsia="Arial" w:hAnsi="Arial"/>
          <w:sz w:val="16"/>
          <w:szCs w:val="16"/>
          <w:color w:val="auto"/>
        </w:rPr>
        <w:t>—</w:t>
      </w:r>
      <w:r>
        <w:rPr>
          <w:rFonts w:ascii="Arial" w:cs="Arial" w:eastAsia="Arial" w:hAnsi="Arial"/>
          <w:sz w:val="16"/>
          <w:szCs w:val="16"/>
          <w:i w:val="1"/>
          <w:iCs w:val="1"/>
          <w:color w:val="auto"/>
        </w:rPr>
        <w:t>Advisory Agreement; Administration Agreement; License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 producing securities. Such a practice could result in our investing in more speculative securities than would otherwise be the case, which could result in higher investment losses, particularly during cyclical economic downturns.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subject to corporate-level income tax if we are unable to maintain our qualification as a RIC under Subchapter M of the Code.</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will incur corporate-level income tax costs if we are unable to maintain our qualification as a RIC for U.S. tax purposes or if we are not able to distribute all of our income in a timely fashion. Although we have elected to be treated as a RIC for U.S. tax purposes, no assurance can be given that we will be able to continue to qualify for and maintain RIC status. To obtain and maintain RIC status for U.S. tax purposes and claim a dividends paid deduction in computing taxable income, we must meet the following distribution, income source and asset diversification requirements:</w:t>
      </w:r>
    </w:p>
    <w:p>
      <w:pPr>
        <w:spacing w:after="0" w:line="32" w:lineRule="exact"/>
        <w:rPr>
          <w:sz w:val="20"/>
          <w:szCs w:val="20"/>
          <w:color w:val="auto"/>
        </w:rPr>
      </w:pPr>
    </w:p>
    <w:p>
      <w:pPr>
        <w:ind w:left="900" w:hanging="325"/>
        <w:spacing w:after="0" w:line="25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distribute to our stockholders in each taxable year at least 90% of the sum of our net ordinary income and any realized net short-term capital gains in excess of the realized net long-term capital losses (i.e., “investment company taxable income”), if any, plus net tax exempt income of the Company. In the event we use debt financing, we will be subject to certain asset coverage ratio requirements under the 1940 Act and financial covenants under loan and credit agreements that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maintain our status as a RIC for U.S. tax purposes and thus become subject to corporate-level income tax.</w:t>
      </w:r>
    </w:p>
    <w:p>
      <w:pPr>
        <w:spacing w:after="0" w:line="66"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in order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If we fail to qualify as a RIC for any reason in any particular taxable year, the resulting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Adviser and its management have limited experience managing a BDC.</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Prior to the incorporation of the Company, the senior investment professionals of the Adviser had no experience managing a business development company, and the investment philosophy and techniques used by the Adviser to manage a public company may differ from the investment philosophy and techniques previously employed by the Adviser’s senior investment professionals in identifying and managing past investments. Accordingly, we can offer no assurance that we will replicate the historical performance of other businesses or companies with which the Adviser’s senior investment professionals have been affiliated, and we caution you that our investment returns could be substantially lower than the returns achieved by such other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 and its affiliates, officers and employees have certain conflicts of interest.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Adviser, its officers and employees and members of its investment committee serve or may serve as investment advisers, officers, directors or principals of entities or investment funds that operate in the same or a related line of business as us and/or of investment funds managed by our affiliates. Accordingly, these individuals may have obligations to investors in those entities or funds, the fulfillment of which might not be in our best interests or the best interests of our stockholders. In addition, we note that any affiliated investment vehicle currently formed or formed in the future and managed by the Adviser or its affiliates may have overlapping investment objectives with our own and, accordingly, may invest in asset classes similar to those targeted by us. As a result, the Adviser and/or its affiliates may face conflicts in allocating investment opportunities between us and such other entities. Although the Adviser and its affiliates will endeavor to allocate investment opportunities in a fair and equitable manner and consistent with applicable allocation procedures, it is possible that, in the future, we may not be given the opportunity to participate in investments made by investment funds managed by the Adviser or its affiliates. In any such case, if the Adviser forms other affiliates in the future, we may co-invest on a concurrent basis with such other affiliates, subject to compliance with applicable regulations and regulatory guidance, as well as applicable allocation procedures. In certain circumstances, negotiated co-investments may be made only if we receive an order from the SEC permitting us to do so. There can be no assurance when any such order would be obtained or that one will be obtained at all.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7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Board has the authority to modify or waive certain of our operating policies and strategies without prior notice (except as required by the 1940 Act) and without stockholder approval.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Changes to the laws and regulations governing our operations may cause us to alter our investment strategy in order to avail ourselves of new or different opportunities. These changes could result in material differences to the strategies and plans described herein and may result in our investment focus shifting.</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July 21, 2010, the Dodd-Frank Act was signed into law. Many of the provisions of the Dodd-Frank Act have extended implementation periods and delayed effective dates and will require extensive rulemaking by regulatory authorities. While the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Our investment adviser’s liability is limited under the Advisory Agreement, and we are required to indemnify our investment adviser against certain liabilities, which may lead our investment adviser to act in a riskier manner on our behalf than it would when acting for its own account.</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investment adviser has not assumed any responsibility to us other than to render the services described in the Advisory Agreement, and it will not be responsible for any action of our Board in declining to follow our investment adviser’s advice or recommendations. Pursuant to the Advisory Agreement, our investment adviser and its managers, officers, employees, agents, controlling persons and any other person or entity affiliated with it will not be liable to the Company for any action taken or omitted to be taken by the Adviser in connection with the performance of any of its duties or obligations under the Advisory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We have agreed to the fullest extent permitted by law, to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with respect to all damages, liabilities, costs and expenses resulting from acts of our investment adviser in the performance of their duties under the Advisory Agreement, other than acts not in good faith with the reasonable belief that the conduct was in, or not opposed to, the best interest of the Company, and conduct constituting gross negligence, bad faith, reckless disregard, or willful misconduct. These protections may lead our investment adviser to act in a riskier manner when acting on our behalf than it would when acting for its own account.</w:t>
      </w: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Adviser can resign on 60 days’ notice. We may not be able to find a suitable replacement within that time, resulting in a disruption in our operations that could adversely affect our financial condition, business and results of operations.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Adviser has the right, under the Advisory Agreement, to resign at any time upon not less than 60 days’ written notice, regardless of whether we have found a replacement. If the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value of our Common Stock may decline. In addition, our Board has the authority to remove the Adviser or choose to not renew the Advisory Agreement.</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capital gains, we will have a greater need for additional capital to fund our investments and operating expenses.</w:t>
      </w:r>
    </w:p>
    <w:p>
      <w:pPr>
        <w:spacing w:after="0" w:line="51"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color w:val="auto"/>
        </w:rPr>
        <w:t>In order to maintain our status as a RIC for U.S. tax purposes, we must, in each taxable year, distribute (or be deemed to distribute) dividends equal to at least 90% of our investment company taxable income for such taxable year and may either distribute or retain our realized net capital gains from investments. Unless investors elect to reinvest dividends, earnings that we are required to distribute to stockholders will not be available to fund future investments.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There is no assurance that we will be able to sell our investments and thereby fund our operating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experience fluctuations in our quarterly operating results as a result of a number of factors, including, but not limited to, interest rates payable on the investments we make, changes in realized and unrealized gains and losses, the level of our expenses, and default rates on our investments. As a result of these and other possible factors, results for any period should not be relied upon as being indicative of performance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U.S. capital markets experienced extreme volatility and disruption over the past several years, leading to recessionary conditions and depressed levels of consumer and commercial spending. Disruptions in the capital markets increased the spread between the yields realized on risk-free and higher risk securities, resulting in illiquidity in parts of the capital markets. While recent indicators suggest modest improvement in the capital markets, we cannot provide any assurance that these conditions will not worsen. If these conditions continue or worsen, the prolonged period of market illiquidity may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Economic recessions or downturns could impair the ability of our portfolio companies to repay loans, which, in turn, could increase our non-performing assets, decrease the value of our portfolio, reduce our volume of new loans and harm our operating results, which would have an adverse effect on our results of operations.</w:t>
      </w:r>
    </w:p>
    <w:p>
      <w:pPr>
        <w:spacing w:after="0" w:line="59"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Many of our portfolio companies are and may be susceptible to economic slowdowns or recessions and may be unable to repay our loans during such periods. Therefore, our non-performing assets are likely to increase and the value of our portfolio is likely to decrease during such periods. Adverse economic conditions also may decrease the value of collateral securing some of our loans and the value of our equity investments.</w:t>
      </w:r>
    </w:p>
    <w:p>
      <w:pPr>
        <w:spacing w:after="0" w:line="18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Uncertainty about the financial stability of the United States and of several countries in the European Union (EU) could have a significant adverse effect on our business, results of operations and financial condition.</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downgrades by S&amp;P or other rating agencies,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To the extent uncertainty regarding any economic recovery in Europe continues to negatively impact consumer confidence and consumer credit factors, our business, including our ability to launch or complete an IPO, and results of operations could be significantly and adversely affected.</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Absent continued quantitative easing by the U.S. Federal Reserve,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cannot assure you that we will achieve investment results or maintain a tax status that will allow or require any specified level of cash distributions or year-to-year increases in cash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certain cases, we may recognize income before or without receiving cash representing the income. Depending on the amount of noncash income, this could result in difficulty satisfying the annual distribution requirement applicable to RICs. Accordingly, we may delay distributions during a year until we generate cash or we may have to sell some of our investments at times we would not consider advantageous, raise additional debt or equity capital or reduce new investments to meet these distribution requirements.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all or a portion of the dividends paid by the Company to non-U.S. shareholders will be exempt from U.S. nonresident withholding taxes to the extent such dividends are derived from the Company’s qualified interest income or qualified short-term capital gains, as defined in the Code. However, this exemption from U.S. nonresident withholding tax no longer applies in the case of dividends paid with respect to any taxable year of the Company beginning after December 31, 2013. Therefore, the withholding tax treatment of our distributions to certain of our non-U.S. stockholders will depend on whether and when Congress enacts legislation extending this U.S. nonresident withholding tax exemption and we may elect to defer the payment of dividends in any year pending the resolution of this issue.</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Since we expect to have an average holding period for our portfolio company investments of two to four years, it is unlikely we will generate any capital gains during our initial years of operation and thus we are likely to pay dividends in those years principally from interest we receive from our initial and follow-on investments prior to the sale or refinancing of loans we make. Moreover, our ability to pay dividends in our initial years of operation will be based on our ability to invest our capital in suitable portfolio companies in a timely manner.</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In addition, the middle-market companies in which we intend to invest are generally more susceptible to economic downturns than larger operating companies, and therefore may be more likely to default on their payment obligations to us during recessionary periods, including the current economic environment. Any such defaults could substantially reduce our net investment income available for distribution in the form of dividends to our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filing requirements under the 1934 Act as a result of your investment in the Company.</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Because our Common Stock is registered under the 1934 Act, ownership information for any person who beneficially owns 5% or more of our Common Stock will have to be disclosed in a Schedule 13G or other filings with the SEC. Beneficial ownership for these purposes is determined in accordance with the rules of the SEC, and includes having voting or investment power over the securities. In some circumstances, investors who choose to reinvest their dividends may see their percentage stake in the Company increased to more than 5%, thus triggering this filing requirement. Although we will provide in our quarterly statements the amount of outstanding shares and the amount of the investor’s shares, the responsibility for determining the filing obligation and preparing the filing remains with the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the short-swing profits rules under the 1934 Act as a result of your investment in the Company.</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Persons with the right to appoint a director or who hold more than 10% of a class of our shares may be subject to Section 16(b) of the 1934 Act, which recaptures for the benefit of the Company profits from the purchase and sale of registered shares within a six-month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have adopted a dividend reinvestment plan, pursuant to which the Company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6"/>
          <w:szCs w:val="16"/>
          <w:i w:val="1"/>
          <w:iCs w:val="1"/>
          <w:color w:val="auto"/>
        </w:rPr>
        <w:t>“ITEM 1. Our Business—Dividend Policy”</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1. Our Business—Dividend Reinvestment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Plan” </w:t>
      </w:r>
      <w:r>
        <w:rPr>
          <w:rFonts w:ascii="Arial" w:cs="Arial" w:eastAsia="Arial" w:hAnsi="Arial"/>
          <w:sz w:val="16"/>
          <w:szCs w:val="16"/>
          <w:color w:val="auto"/>
        </w:rPr>
        <w:t>for a description of our dividend policy and obligations. Stockholders that opt out of our dividend reinvestment plan will experience dilution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percentage of our Common Stock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invest primarily in senior secured term loans, and select mezzanine and/or equity investments issued by middle-market companies.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make a senior secured loan, we generally take a security interest in the available assets of the portfolio company,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could be, or could become,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i w:val="1"/>
          <w:iCs w:val="1"/>
          <w:color w:val="auto"/>
        </w:rPr>
        <w:t>Mezzanine or Other Junior Debt</w:t>
      </w:r>
      <w:r>
        <w:rPr>
          <w:rFonts w:ascii="Arial" w:cs="Arial" w:eastAsia="Arial" w:hAnsi="Arial"/>
          <w:sz w:val="15"/>
          <w:szCs w:val="15"/>
          <w:color w:val="auto"/>
        </w:rPr>
        <w:t>. Our junior debt investments generally will be subordinated to senior loans and will either have junior security interests or</w:t>
      </w:r>
      <w:r>
        <w:rPr>
          <w:rFonts w:ascii="Arial" w:cs="Arial" w:eastAsia="Arial" w:hAnsi="Arial"/>
          <w:sz w:val="15"/>
          <w:szCs w:val="15"/>
          <w:i w:val="1"/>
          <w:iCs w:val="1"/>
          <w:color w:val="auto"/>
        </w:rPr>
        <w:t xml:space="preserve"> </w:t>
      </w:r>
      <w:r>
        <w:rPr>
          <w:rFonts w:ascii="Arial" w:cs="Arial" w:eastAsia="Arial" w:hAnsi="Arial"/>
          <w:sz w:val="15"/>
          <w:szCs w:val="15"/>
          <w:color w:val="auto"/>
        </w:rPr>
        <w:t>be unsecured. As such, other creditors may rank senior to us in the event of insolvency. This may result in an above average amount of risk and loss of principal.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When we invest in senior secured loans or mezzanine loans, we may acquire equity securities as well. In addition, we may invest</w:t>
      </w:r>
      <w:r>
        <w:rPr>
          <w:rFonts w:ascii="Arial" w:cs="Arial" w:eastAsia="Arial" w:hAnsi="Arial"/>
          <w:sz w:val="15"/>
          <w:szCs w:val="15"/>
          <w:i w:val="1"/>
          <w:iCs w:val="1"/>
          <w:color w:val="auto"/>
        </w:rPr>
        <w:t xml:space="preserve"> </w:t>
      </w:r>
      <w:r>
        <w:rPr>
          <w:rFonts w:ascii="Arial" w:cs="Arial" w:eastAsia="Arial" w:hAnsi="Arial"/>
          <w:sz w:val="15"/>
          <w:szCs w:val="15"/>
          <w:color w:val="auto"/>
        </w:rPr>
        <w:t>directly in the equity securities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1480" w:right="200" w:hanging="446"/>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1480" w:right="260" w:hanging="446"/>
        <w:spacing w:after="0" w:line="332"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companies typically have shorter operating histories, narrower product lines and smaller market shares than larger businesses, which tend to render them more vulnerable to competitors’ actions and market conditions, as well as general economic downturns;</w:t>
      </w:r>
    </w:p>
    <w:p>
      <w:pPr>
        <w:spacing w:after="0" w:line="4" w:lineRule="exact"/>
        <w:rPr>
          <w:rFonts w:ascii="Arial" w:cs="Arial" w:eastAsia="Arial" w:hAnsi="Arial"/>
          <w:sz w:val="16"/>
          <w:szCs w:val="16"/>
          <w:color w:val="auto"/>
        </w:rPr>
      </w:pPr>
    </w:p>
    <w:p>
      <w:pPr>
        <w:ind w:left="1480" w:hanging="446"/>
        <w:spacing w:after="0" w:line="357" w:lineRule="auto"/>
        <w:tabs>
          <w:tab w:leader="none" w:pos="1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such companies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ind w:left="1480" w:right="140" w:hanging="446"/>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companies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1480" w:right="36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executive officers, directors and our investment adviser may, in the ordinary course of business, be named as defendants in litigation arising from our investments in the portfolio companies; and,</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companies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invest in preferred stock, we may incur additional risks.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1480" w:right="80" w:hanging="446"/>
        <w:spacing w:after="0" w:line="255"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tax purposes before we receive such distributions. Preferred securities are subordinated to bonds and other debt instruments in a company’s capital structure in terms of priority to corporate income and liquidation payments, and therefore will be subject to greater credit risk than more senior debt instruments; and,</w:t>
      </w:r>
    </w:p>
    <w:p>
      <w:pPr>
        <w:spacing w:after="0" w:line="61" w:lineRule="exact"/>
        <w:rPr>
          <w:rFonts w:ascii="Arial" w:cs="Arial" w:eastAsia="Arial" w:hAnsi="Arial"/>
          <w:sz w:val="18"/>
          <w:szCs w:val="18"/>
          <w:color w:val="auto"/>
        </w:rPr>
      </w:pPr>
    </w:p>
    <w:p>
      <w:pPr>
        <w:ind w:left="1480" w:right="160" w:hanging="446"/>
        <w:spacing w:after="0" w:line="306" w:lineRule="auto"/>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8" w:lineRule="exact"/>
        <w:rPr>
          <w:sz w:val="20"/>
          <w:szCs w:val="20"/>
          <w:color w:val="auto"/>
        </w:rPr>
      </w:pPr>
    </w:p>
    <w:p>
      <w:pPr>
        <w:jc w:val="both"/>
        <w:ind w:right="760"/>
        <w:spacing w:after="0" w:line="259" w:lineRule="auto"/>
        <w:rPr>
          <w:sz w:val="20"/>
          <w:szCs w:val="20"/>
          <w:color w:val="auto"/>
        </w:rPr>
      </w:pPr>
      <w:r>
        <w:rPr>
          <w:rFonts w:ascii="Arial" w:cs="Arial" w:eastAsia="Arial" w:hAnsi="Arial"/>
          <w:sz w:val="18"/>
          <w:szCs w:val="18"/>
          <w:b w:val="1"/>
          <w:bCs w:val="1"/>
          <w:i w:val="1"/>
          <w:iCs w:val="1"/>
          <w:color w:val="auto"/>
        </w:rPr>
        <w:t>The value of our portfolio securities may not have a readily available market price and, in such a case, we will value these securities at fair value as determined in good faith by our Board, which valuation is inherently subjective and may not reflect what we may actually realize for the sale of the investment.</w:t>
      </w:r>
    </w:p>
    <w:p>
      <w:pPr>
        <w:spacing w:after="0" w:line="59"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Investments are valued at the end of each fiscal quarter. Substantially all of our investments are expected to be in loans that do not have readily ascertainable market prices. The fair value of investments that are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publicly traded or whose market prices are not readily available will be determined in good faith by the Board, which is supported by the valuation committee of our Adviser and by the audit committee of our Board. Pursuant to a letter agreement, the Board has retained Duff &amp; Phelps, a global independent provider of financial advisory and investment banking services, to assist the Board by performing certain limited third-party valuation services. In accordance with our valuation policy, investment professionals from the Adviser will prepare portfolio company valuations using sources and/or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portfolio securities may be thinly traded and, as a result, the lack of liquidity in our investments may adversely affect our business.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generally make loans to private companies. The illiquidity of these investments may make it difficult for us to sell positions if the need arises. In addition, if we are required to liquidate all or a portion of our portfolio quickly, we may realize significantly less than the value at which we had previously recorded such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portfolio may be focused in a limited number of portfolio companies,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portfolio is currently concentrated in a limited number of portfolio companies and industries and may continue to be in the near future. Beyond the asset diversification requirements associated with our qualification as a RIC for U.S. tax purposes, we do not have fixed guidelines for diversification, and while we are not targeting any specific industries, our investments may be concentrated in relatively few industries.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collateralized loan obligations, which may subject us to certain structured financing risks.</w:t>
      </w:r>
    </w:p>
    <w:p>
      <w:pPr>
        <w:spacing w:after="0" w:line="90" w:lineRule="exact"/>
        <w:rPr>
          <w:sz w:val="20"/>
          <w:szCs w:val="20"/>
          <w:color w:val="auto"/>
        </w:rPr>
      </w:pPr>
    </w:p>
    <w:p>
      <w:pPr>
        <w:jc w:val="both"/>
        <w:ind w:right="460" w:firstLine="456"/>
        <w:spacing w:after="0" w:line="298" w:lineRule="auto"/>
        <w:rPr>
          <w:sz w:val="20"/>
          <w:szCs w:val="20"/>
          <w:color w:val="auto"/>
        </w:rPr>
      </w:pPr>
      <w:r>
        <w:rPr>
          <w:rFonts w:ascii="Arial" w:cs="Arial" w:eastAsia="Arial" w:hAnsi="Arial"/>
          <w:sz w:val="16"/>
          <w:szCs w:val="16"/>
          <w:color w:val="auto"/>
        </w:rPr>
        <w:t>To finance investments, we may securitize certain of our investments, including through the formation of one or more collateralized loan obligations (“CLOs”), while retaining all or most of the exposure to the performance of these investments. This would involve contributing a pool of assets to a special purpose entity, and selling debt interests in such entity on a non-recourse or limited-recourse basis to purchasers. Any interest in any such CLO held by the Company may be considered a “non-qualifying asset” for purposes of Section 55 of the 1940 Act.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Company creates a CLO, the Company depends on distributions from the CLO’s assets out of its earnings and cash flows to enable it to make distributions to its stockholders. The ability of a CLO to make distributions or pay dividends will be subject to various limitations, including the terms and covenants of the debt it issues. For example, tests (based on interest coverage or other financial ratios or other criteria) may restrict our ability, as holder of a CLO’s equity interests, to receive cash flow from these investments. There is no assurance any such performance tests will be satisfied. Also, a CLO may take actions that delay distributions in order to preserve ratings and to keep the cost of present and future financings lower or the CLO may be obligated to retain cash or other assets to satisfy over-collateralization requirements commonly provided for holders of the CLO’s debt. As a result, there may be a lag, which could be significant, between the repayment or other realization on a loan or other assets in, and the distribution of cash out of, a CLO, or cash flow may be completely restricted for the life of the CLO.</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due to poor operating results of the relevant borrower, declines in the value of loan collateral or increases in defaults, among other things, may force a CLO to sell certain assets at a loss, reducing their earnings and, in turn, cash potentially available for distribution to us for distribution to our stockholders. To the extent that any losses are incurred by the CLO in respect of any collateral, such losses will be borne first by us as owners of the CLO equity interests. Finally, any equity interests that we retain in a CLO will not be secured by the assets of the CLO and we will rank behind all creditors of the CLO.</w:t>
      </w:r>
    </w:p>
    <w:p>
      <w:pPr>
        <w:spacing w:after="0" w:line="224"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such portfolio companies or to prevent decisions by management of such portfolio companies that could decrease the value of our investments.</w:t>
      </w:r>
    </w:p>
    <w:p>
      <w:pPr>
        <w:ind w:firstLine="456"/>
        <w:spacing w:after="0" w:line="291" w:lineRule="auto"/>
        <w:rPr>
          <w:sz w:val="20"/>
          <w:szCs w:val="20"/>
          <w:color w:val="auto"/>
        </w:rPr>
      </w:pPr>
      <w:r>
        <w:rPr>
          <w:rFonts w:ascii="Arial" w:cs="Arial" w:eastAsia="Arial" w:hAnsi="Arial"/>
          <w:sz w:val="16"/>
          <w:szCs w:val="16"/>
          <w:color w:val="auto"/>
        </w:rPr>
        <w:t>We are a lender, and loans (and any equity investments we make) will be non-controlling investments, meaning we will not be in a position to control the management, operation and strategic decision-making of the companies we invest in.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Due to the lack of liquidity for the debt and equity investments that we will typically hold in our portfolio companies, we may not be able to dispose of our investments in the event that we disagree with the actions of a portfolio company, and may therefore suffer a decrease in the value of our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debt securities may be rated below investment grade, or of comparable quality, and may be considered speculative.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investments are likely to be in lower grade obligations. The lower grade investments in which we invest may be rated below investment grade by one or more nationally recognized statistical rating agencies at the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of investment or may be unrated but determined by the Adviser to be of comparable quality. Loans or debt securities rated below investment grade are considered speculative with respect to the issuer’s capacity to pay interest and repay principal.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There is no assurance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portfolio companies may incur debt or issue equity securities that rank equally with, or senior to, our investments in such companies.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such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such debt. Also, in the event of insolvency, liquidation, dissolution, reorganization or bankruptcy of a portfolio company, holders of securities ranking senior to our investment in that portfolio company typically are entitled to receive payment in full before we receive any distribution in respect of our investment. After repaying such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rights we may have with respect to the collateral securing any junior priority loans we make to our portfolio companies may also be limited pursuant to the terms of one or more intercreditor agreements that we enter into with the holders of senior debt. Under such an intercreditor agreement, at any time that senior obligations are outstanding, we may forfeit certain rights with respect to the collateral to the holders of the senior obligations. These rights may include the right to commence enforcement proceedings against the collateral, the right to control the conduct of such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junior lenders are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there can be no assurance that a bankruptcy court would not approve actions that may be contrary to our interests. Furthermore, there are instances where creditors can lose their ranking and priority if they are considered to have taken over management of a borrower.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lenders can be subject to lender liability claims for actions taken by them where they become too involved in the borrower’s business or exercise control over the borrower. For example, we could become subject to a lender’s liability claim, if, among other things, the borrower requests significant managerial assistance from us and we provide such assistance as contemplated by the 1940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applied for an exemptive order from the SEC that would permit us and certain of our affiliates, including investment funds managed by our affiliates, to co-invest. Any such order will be subject to certain terms and conditions and there can be no assurance that such order will be granted by the SEC. Accordingly, we cannot assure you that we or our affiliates, including investment funds managed by our affiliates, will be permitted to co-invest, other than in the limited circumstances currently permitted by regulatory guidance or in the absence of a joint transaction.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that we will be able to obtain various required state licenses.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may be required to obtain various state licenses in order to, among other things, originate commercial loans. Applying for and obtaining required licenses can be costly and take several months. There is no assurance that we will obtain all of the licenses that we need on a timely basis. Furthermore, we will be subject to various information and other requirements in order to obtain and maintain these licenses, and there is no assurance that we will satisfy those requirements. Our failure to obtain or maintain licenses might restrict investment options and have other adverse consequences.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over the use of proceeds of the funds we raise from investors and use proceeds in part to satisfy operating expenses.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can be no assurance that we will be able to locate a sufficient number of suitable investment opportunities to allow us to successfully deploy substantially all of the net proceeds of the offering in a timeframe that will permit investors to earn above-market returns. To the extent we are unable to invest substantially all of the net proceeds of the offering within our contemplated timeframe after the completion of the offering, our investment income, and in turn our results of operations, will likely be materially adversely affected.</w:t>
      </w:r>
    </w:p>
    <w:p>
      <w:pPr>
        <w:spacing w:after="0" w:line="22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 We may also expose ourselves to risks if we engage in hedging transactions.</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 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may in the future enter into hedging transactions, which may expose us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success of our hedging transactions will depend on our ability to correctly predict movements in currencies and interest rates. Therefore, while we may enter into such transactions to seek to reduce currency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 xml:space="preserve">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See also </w:t>
      </w:r>
      <w:r>
        <w:rPr>
          <w:rFonts w:ascii="Arial" w:cs="Arial" w:eastAsia="Arial" w:hAnsi="Arial"/>
          <w:sz w:val="15"/>
          <w:szCs w:val="15"/>
          <w:i w:val="1"/>
          <w:iCs w:val="1"/>
          <w:color w:val="auto"/>
        </w:rPr>
        <w:t>“RISK FACTORS—Risk Relating to Our Portfolio Company Investments—We are exposed to risks associated with changes in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Investments in below-investment grade debt instruments and certain equity securities may present special tax issues for the Company. U.S. federal income tax rules are not entirely clear about issues such as when the Company may cease to accrue interest, original issue discount, or market discount, when and to what extent deductions may be taken for bad debts or worthless debt in equity securities, how payments received on obligations in default should be allocated between principal and income, as well as whether exchanges of debt instruments in a bankruptcy or workout context are taxable. Such matters could cause the Company to recognize taxable income for U.S. federal tax purposes and make taxable distributions to Company shareholders to preclude the imposition of either U.S. federal corporate income or excise taxation. Additionally, because such taxable income may not be matched by corresponding cash received by the Company, the Company may be required to borrow money or dispose of other investments to be able to make distributions to its shareholders. These and other issues will be considered by the Company, to the extent determined necessary, in order that the Company minimizes the level of any U.S. federal income or excise tax that the Company would otherwise incur. See </w:t>
      </w:r>
      <w:r>
        <w:rPr>
          <w:rFonts w:ascii="Arial" w:cs="Arial" w:eastAsia="Arial" w:hAnsi="Arial"/>
          <w:sz w:val="16"/>
          <w:szCs w:val="16"/>
          <w:i w:val="1"/>
          <w:iCs w:val="1"/>
          <w:color w:val="auto"/>
        </w:rPr>
        <w:t>“ITEM 1. Regulated Investment Company Classification.”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maintain our principal executive office at 301 Commerce Street, Suite 3300, Fort Worth, Texas 76102. We do not own any real estate.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Until an IPO, our outstanding Common Stock will be offered and sold in transactions exempt from registration under the 1933 Act under section 4(2) and Regulation D. There is not currently a public market for our Common Stock, nor can we give any assurance that one will develop.</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our Common Stock is being acquired by investors in one or more transactions “not involving a public offering,” they are “restricted securities” and may be required to be held indefinitely. Our Common Stock may not be sold, transferred, assigned, pledged or otherwise disposed of unless (i) our consent is granted; and, (ii) the Common Stock is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Stock until we are liquidated. No sale, transfer, assignment, pledge or other disposition, whether voluntary or involuntary, of the Common Stock may be made except by registration of the transfer on our books. Each transferee will be required to execute an instrument agreeing to be bound by these restrictions and the other restrictions imposed on the Common Stock and to execute such other instruments or certifications as are reasonably required by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14, 2013, there were approximately 53 holders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2012 and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2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right"/>
              <w:ind w:right="1300"/>
              <w:spacing w:after="0"/>
              <w:rPr>
                <w:sz w:val="20"/>
                <w:szCs w:val="20"/>
                <w:color w:val="auto"/>
              </w:rPr>
            </w:pPr>
            <w:r>
              <w:rPr>
                <w:rFonts w:ascii="Arial" w:cs="Arial" w:eastAsia="Arial" w:hAnsi="Arial"/>
                <w:sz w:val="14"/>
                <w:szCs w:val="14"/>
                <w:b w:val="1"/>
                <w:bCs w:val="1"/>
                <w:color w:val="auto"/>
                <w:w w:val="87"/>
              </w:rPr>
              <w:t>December 31, 2012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40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204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rPr>
              <w:t>Record Date</w:t>
            </w:r>
          </w:p>
        </w:tc>
        <w:tc>
          <w:tcPr>
            <w:tcW w:w="2420" w:type="dxa"/>
            <w:vAlign w:val="bottom"/>
            <w:gridSpan w:val="2"/>
          </w:tcPr>
          <w:p>
            <w:pPr>
              <w:jc w:val="right"/>
              <w:ind w:right="1360"/>
              <w:spacing w:after="0" w:line="148"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5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June 30, 2012</w:t>
            </w:r>
          </w:p>
        </w:tc>
        <w:tc>
          <w:tcPr>
            <w:tcW w:w="2420" w:type="dxa"/>
            <w:vAlign w:val="bottom"/>
            <w:gridSpan w:val="2"/>
          </w:tcPr>
          <w:p>
            <w:pPr>
              <w:jc w:val="right"/>
              <w:ind w:right="112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September 30, 2012</w:t>
            </w:r>
          </w:p>
        </w:tc>
        <w:tc>
          <w:tcPr>
            <w:tcW w:w="24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91"/>
              </w:rPr>
              <w:t>October 30, 2012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December 31, 2012 (1)</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December 31, 2012</w:t>
            </w:r>
          </w:p>
        </w:tc>
        <w:tc>
          <w:tcPr>
            <w:tcW w:w="2420" w:type="dxa"/>
            <w:vAlign w:val="bottom"/>
            <w:gridSpan w:val="2"/>
          </w:tcPr>
          <w:p>
            <w:pPr>
              <w:jc w:val="right"/>
              <w:ind w:right="1120"/>
              <w:spacing w:after="0"/>
              <w:rPr>
                <w:sz w:val="20"/>
                <w:szCs w:val="20"/>
                <w:color w:val="auto"/>
              </w:rPr>
            </w:pPr>
            <w:r>
              <w:rPr>
                <w:rFonts w:ascii="Arial" w:cs="Arial" w:eastAsia="Arial" w:hAnsi="Arial"/>
                <w:sz w:val="18"/>
                <w:szCs w:val="18"/>
                <w:color w:val="auto"/>
                <w:w w:val="91"/>
              </w:rPr>
              <w:t>January 31, 2013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$0.55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208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24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2011</w:t>
            </w:r>
          </w:p>
        </w:tc>
        <w:tc>
          <w:tcPr>
            <w:tcW w:w="6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January 30, 2012</w:t>
            </w: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dividends declared during the year ended December 31, 2012, were derived from net investment income and long-term capital gains, determined on a tax basis. The dividend declared during the year ended December 31, 2011, was derived from net investment income determined on a tax basis.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 Our Business—Dividend Policy” and “ITEM 1. Our Business—Dividend Reinvestment Plan”</w:t>
      </w:r>
      <w:r>
        <w:rPr>
          <w:rFonts w:ascii="Arial" w:cs="Arial" w:eastAsia="Arial" w:hAnsi="Arial"/>
          <w:sz w:val="18"/>
          <w:szCs w:val="18"/>
          <w:color w:val="auto"/>
        </w:rPr>
        <w:t xml:space="preserve"> for a description of our dividend policy and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Stock by our Adviser and its affiliates for each month in the three month period ended December 31, 2012: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in thousands, except</w:t>
      </w:r>
    </w:p>
    <w:p>
      <w:pPr>
        <w:ind w:left="460"/>
        <w:spacing w:after="0" w:line="221" w:lineRule="auto"/>
        <w:rPr>
          <w:sz w:val="20"/>
          <w:szCs w:val="20"/>
          <w:color w:val="auto"/>
        </w:rPr>
      </w:pPr>
      <w:r>
        <w:rPr>
          <w:rFonts w:ascii="Arial" w:cs="Arial" w:eastAsia="Arial" w:hAnsi="Arial"/>
          <w:sz w:val="14"/>
          <w:szCs w:val="14"/>
          <w:color w:val="auto"/>
        </w:rPr>
        <w:t>share and per share</w:t>
      </w:r>
    </w:p>
    <w:p>
      <w:pPr>
        <w:ind w:left="460"/>
        <w:spacing w:after="0" w:line="221" w:lineRule="auto"/>
        <w:rPr>
          <w:sz w:val="20"/>
          <w:szCs w:val="20"/>
          <w:color w:val="auto"/>
        </w:rPr>
      </w:pPr>
      <w:r>
        <w:rPr>
          <w:rFonts w:ascii="Arial" w:cs="Arial" w:eastAsia="Arial" w:hAnsi="Arial"/>
          <w:sz w:val="14"/>
          <w:szCs w:val="14"/>
          <w:color w:val="auto"/>
        </w:rPr>
        <w:t>amounts)</w:t>
      </w:r>
    </w:p>
    <w:p>
      <w:pPr>
        <w:ind w:left="46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8318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October 2012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2012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2012</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 Number</w:t>
            </w:r>
          </w:p>
        </w:tc>
      </w:tr>
      <w:tr>
        <w:trPr>
          <w:trHeight w:val="149"/>
        </w:trPr>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(or Approximate</w:t>
            </w:r>
          </w:p>
        </w:tc>
      </w:tr>
      <w:tr>
        <w:trPr>
          <w:trHeight w:val="149"/>
        </w:trPr>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4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Shares that May Yet</w:t>
            </w:r>
          </w:p>
        </w:tc>
      </w:tr>
      <w:tr>
        <w:trPr>
          <w:trHeight w:val="149"/>
        </w:trPr>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4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Be Purchased Under</w:t>
            </w:r>
          </w:p>
        </w:tc>
      </w:tr>
      <w:tr>
        <w:trPr>
          <w:trHeight w:val="149"/>
        </w:trPr>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Average Price Paid</w:t>
            </w:r>
          </w:p>
        </w:tc>
        <w:tc>
          <w:tcPr>
            <w:tcW w:w="9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96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the Plans or</w:t>
            </w:r>
          </w:p>
        </w:tc>
      </w:tr>
      <w:tr>
        <w:trPr>
          <w:trHeight w:val="161"/>
        </w:trPr>
        <w:tc>
          <w:tcPr>
            <w:tcW w:w="1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1"/>
              </w:rPr>
              <w:t>Shares Purchased</w:t>
            </w:r>
          </w:p>
        </w:tc>
        <w:tc>
          <w:tcPr>
            <w:tcW w:w="96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Programs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Programs</w:t>
            </w:r>
          </w:p>
        </w:tc>
      </w:tr>
      <w:tr>
        <w:trPr>
          <w:trHeight w:val="201"/>
        </w:trPr>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Borders>
              <w:top w:val="single" w:sz="8" w:color="auto"/>
            </w:tcBorders>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200" w:type="dxa"/>
            <w:vAlign w:val="bottom"/>
            <w:tcBorders>
              <w:top w:val="single" w:sz="8" w:color="auto"/>
            </w:tcBorders>
          </w:tcPr>
          <w:p>
            <w:pPr>
              <w:ind w:left="920"/>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2"/>
              <w:spacing w:after="0" w:line="201" w:lineRule="exact"/>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6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1,008.30</w:t>
            </w:r>
          </w:p>
        </w:tc>
        <w:tc>
          <w:tcPr>
            <w:tcW w:w="9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w:t>
            </w:r>
          </w:p>
        </w:tc>
        <w:tc>
          <w:tcPr>
            <w:tcW w:w="9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76,622</w:t>
            </w:r>
          </w:p>
        </w:tc>
      </w:tr>
      <w:tr>
        <w:trPr>
          <w:trHeight w:val="2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1,008.30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8,064</w:t>
            </w:r>
          </w:p>
        </w:tc>
        <w:tc>
          <w:tcPr>
            <w:tcW w:w="2640" w:type="dxa"/>
            <w:vAlign w:val="bottom"/>
            <w:gridSpan w:val="3"/>
          </w:tcPr>
          <w:p>
            <w:pPr>
              <w:jc w:val="right"/>
              <w:ind w:right="480"/>
              <w:spacing w:after="0"/>
              <w:rPr>
                <w:sz w:val="20"/>
                <w:szCs w:val="20"/>
                <w:color w:val="auto"/>
              </w:rPr>
            </w:pPr>
            <w:r>
              <w:rPr>
                <w:rFonts w:ascii="Arial" w:cs="Arial" w:eastAsia="Arial" w:hAnsi="Arial"/>
                <w:sz w:val="18"/>
                <w:szCs w:val="18"/>
                <w:color w:val="auto"/>
              </w:rPr>
              <w:t>8,064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76,622</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-599440</wp:posOffset>
            </wp:positionV>
            <wp:extent cx="666369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-316865</wp:posOffset>
            </wp:positionV>
            <wp:extent cx="66636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545" w:lineRule="exact"/>
        <w:rPr>
          <w:sz w:val="20"/>
          <w:szCs w:val="20"/>
          <w:color w:val="auto"/>
        </w:rPr>
      </w:pPr>
    </w:p>
    <w:p>
      <w:pPr>
        <w:sectPr>
          <w:pgSz w:w="11900" w:h="16838" w:orient="portrait"/>
          <w:cols w:equalWidth="0" w:num="2">
            <w:col w:w="3180" w:space="240"/>
            <w:col w:w="8000"/>
          </w:cols>
          <w:pgMar w:left="240" w:top="459" w:right="239" w:bottom="1440" w:gutter="0" w:footer="0" w:header="0"/>
          <w:type w:val="continuous"/>
        </w:sectPr>
      </w:pPr>
    </w:p>
    <w:p>
      <w:pPr>
        <w:ind w:right="80" w:firstLine="456"/>
        <w:spacing w:after="0" w:line="286" w:lineRule="auto"/>
        <w:rPr>
          <w:sz w:val="20"/>
          <w:szCs w:val="20"/>
          <w:color w:val="auto"/>
        </w:rPr>
      </w:pPr>
      <w:r>
        <w:rPr>
          <w:rFonts w:ascii="Arial" w:cs="Arial" w:eastAsia="Arial" w:hAnsi="Arial"/>
          <w:sz w:val="16"/>
          <w:szCs w:val="16"/>
          <w:color w:val="auto"/>
        </w:rPr>
        <w:t>The table below sets forth our selected consolidated historical financial data for the periods indicated. The selected consolidated historical financial data as of and for the year ended December 31, 2012, as of and for the year ended December 31, 2011, and as of December 31, 2010 and for the period from</w:t>
      </w:r>
    </w:p>
    <w:p>
      <w:pPr>
        <w:spacing w:after="0" w:line="261" w:lineRule="auto"/>
        <w:rPr>
          <w:sz w:val="20"/>
          <w:szCs w:val="20"/>
          <w:color w:val="auto"/>
        </w:rPr>
      </w:pPr>
      <w:r>
        <w:rPr>
          <w:rFonts w:ascii="Arial" w:cs="Arial" w:eastAsia="Arial" w:hAnsi="Arial"/>
          <w:sz w:val="18"/>
          <w:szCs w:val="18"/>
          <w:color w:val="auto"/>
        </w:rPr>
        <w:t>July 21, 2010 (inception) to December 31, 2010, have been derived from our audited consolidated financial statements, which are included elsewhere in this Form 10-K.</w:t>
      </w:r>
    </w:p>
    <w:p>
      <w:pPr>
        <w:spacing w:after="0" w:line="13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“ITEM 7. MANAGEMENT’S DISCUSSION AND ANALYSIS OF FINANCIAL CONDITION AND RESULTS OF OPERATIONS,” the audited consolidated financial statements and the notes thereto included elsewhere in this annual report on Form 10-K.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4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July 21, 2010</w:t>
            </w:r>
          </w:p>
        </w:tc>
      </w:tr>
      <w:tr>
        <w:trPr>
          <w:trHeight w:val="149"/>
        </w:trPr>
        <w:tc>
          <w:tcPr>
            <w:tcW w:w="4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100" w:type="dxa"/>
            <w:vAlign w:val="bottom"/>
          </w:tcPr>
          <w:p>
            <w:pPr>
              <w:spacing w:after="0"/>
              <w:rPr>
                <w:sz w:val="12"/>
                <w:szCs w:val="12"/>
                <w:color w:val="auto"/>
              </w:rPr>
            </w:pPr>
          </w:p>
        </w:tc>
        <w:tc>
          <w:tcPr>
            <w:tcW w:w="184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49"/>
        </w:trPr>
        <w:tc>
          <w:tcPr>
            <w:tcW w:w="4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100" w:type="dxa"/>
            <w:vAlign w:val="bottom"/>
          </w:tcPr>
          <w:p>
            <w:pPr>
              <w:spacing w:after="0"/>
              <w:rPr>
                <w:sz w:val="12"/>
                <w:szCs w:val="12"/>
                <w:color w:val="auto"/>
              </w:rPr>
            </w:pPr>
          </w:p>
        </w:tc>
        <w:tc>
          <w:tcPr>
            <w:tcW w:w="18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2011</w:t>
            </w: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Borders>
              <w:bottom w:val="single" w:sz="8" w:color="CCEEFF"/>
            </w:tcBorders>
          </w:tcPr>
          <w:p>
            <w:pPr>
              <w:spacing w:after="0"/>
              <w:rPr>
                <w:sz w:val="14"/>
                <w:szCs w:val="14"/>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 Income</w:t>
            </w:r>
          </w:p>
        </w:tc>
        <w:tc>
          <w:tcPr>
            <w:tcW w:w="1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Expenses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Investment Income (Loss) Before Income Taxes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Change in Net Unrealized Gains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356"/>
        </w:trPr>
        <w:tc>
          <w:tcPr>
            <w:tcW w:w="4420" w:type="dxa"/>
            <w:vAlign w:val="bottom"/>
          </w:tcPr>
          <w:p>
            <w:pPr>
              <w:spacing w:after="0"/>
              <w:rPr>
                <w:sz w:val="24"/>
                <w:szCs w:val="24"/>
                <w:color w:val="auto"/>
              </w:rPr>
            </w:pP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161.8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143.7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653.9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184.3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833.1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332.2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331.8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155.0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353.3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159.2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479.8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173.1</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Amount of Investments Originally Funded during the Year (1)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760.7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184.2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Average Total Investment in New Portfolio Companies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77.97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3.68</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 (2)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n.m.</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w w:val="95"/>
              </w:rPr>
              <w:t>Weighted Average Yield of Debt and Income Producing Securities at Fair Value (3)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Yield of Debt and Income Producing Securities at Amortized Cost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and revolving credit facilities, but not amounts subsequently repaid by borrowers in the period.</w:t>
      </w:r>
    </w:p>
    <w:p>
      <w:pPr>
        <w:ind w:left="46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100" w:hanging="452"/>
        <w:spacing w:after="0" w:line="300"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Weighted average yield on debt and income producing securities at fair value is computed as (a) the annual stated interest rate or yield earned plus additional interest, if any, as a result of arrangements between the Company and other lenders in any syndication plus the net annual amortization of original issue discount and market discount earned on accruing debt and income producing securities, divided by (b) total debt and income producing securities at fair value and income producing securities. Weighted average yield on debt and income producing securities at amortized cost is computed as</w:t>
      </w:r>
    </w:p>
    <w:p>
      <w:pPr>
        <w:spacing w:after="0" w:line="1" w:lineRule="exact"/>
        <w:rPr>
          <w:rFonts w:ascii="Arial" w:cs="Arial" w:eastAsia="Arial" w:hAnsi="Arial"/>
          <w:sz w:val="15"/>
          <w:szCs w:val="15"/>
          <w:color w:val="auto"/>
        </w:rPr>
      </w:pPr>
    </w:p>
    <w:p>
      <w:pPr>
        <w:ind w:left="460" w:right="360"/>
        <w:spacing w:after="0" w:line="255" w:lineRule="auto"/>
        <w:rPr>
          <w:rFonts w:ascii="Arial" w:cs="Arial" w:eastAsia="Arial" w:hAnsi="Arial"/>
          <w:sz w:val="15"/>
          <w:szCs w:val="15"/>
          <w:color w:val="auto"/>
        </w:rPr>
      </w:pPr>
      <w:r>
        <w:rPr>
          <w:rFonts w:ascii="Arial" w:cs="Arial" w:eastAsia="Arial" w:hAnsi="Arial"/>
          <w:sz w:val="18"/>
          <w:szCs w:val="18"/>
          <w:color w:val="auto"/>
        </w:rPr>
        <w:t>(a) annual stated interest rate or yield earned plus additional interest, if any, as a result of arrangements between the Company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19" w:lineRule="exact"/>
        <w:rPr>
          <w:sz w:val="20"/>
          <w:szCs w:val="20"/>
          <w:color w:val="auto"/>
        </w:rPr>
      </w:pPr>
    </w:p>
    <w:p>
      <w:pPr>
        <w:ind w:right="160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Management’s Discussion and Analysis should be read in conjunction with ITEM 8.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were incorporated under the laws of the State of Delaware on July 21, 2010. We elected to be treated as a business development company under the 1940 Act, and have elected to be treated as a regulated investment company for U.S. federal income tax purposes. As such, we are required to comply with various statutory and regulatory requirements, such as the requirement to invest at least 70% of our assets in “qualifying assets,” source of income limitations, asset diversification requirements, and the requirement to distribute annually at least 90% of our taxable income and tax-exempt interest. See </w:t>
      </w:r>
      <w:r>
        <w:rPr>
          <w:rFonts w:ascii="Arial" w:cs="Arial" w:eastAsia="Arial" w:hAnsi="Arial"/>
          <w:sz w:val="16"/>
          <w:szCs w:val="16"/>
          <w:i w:val="1"/>
          <w:iCs w:val="1"/>
          <w:color w:val="auto"/>
        </w:rPr>
        <w:t>“ITEM 1.</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Regulation as a Business Development Company</w:t>
      </w:r>
      <w:r>
        <w:rPr>
          <w:rFonts w:ascii="Arial" w:cs="Arial" w:eastAsia="Arial" w:hAnsi="Arial"/>
          <w:sz w:val="16"/>
          <w:szCs w:val="16"/>
          <w:color w:val="auto"/>
        </w:rPr>
        <w:t>” and</w:t>
      </w:r>
      <w:r>
        <w:rPr>
          <w:rFonts w:ascii="Arial" w:cs="Arial" w:eastAsia="Arial" w:hAnsi="Arial"/>
          <w:sz w:val="16"/>
          <w:szCs w:val="16"/>
          <w:i w:val="1"/>
          <w:iCs w:val="1"/>
          <w:color w:val="auto"/>
        </w:rPr>
        <w:t xml:space="preserve"> “ITEM 1. BUSINESS. Regulated Investment Company Classification.”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periods prior to July 1, 2011, we were a development stage company and had not commenced commercial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activity during the years ended December 31, 2012 and 2011, is presented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Year Ended</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240" w:type="dxa"/>
            <w:vAlign w:val="bottom"/>
          </w:tcPr>
          <w:p>
            <w:pPr>
              <w:spacing w:after="0"/>
              <w:rPr>
                <w:sz w:val="20"/>
                <w:szCs w:val="20"/>
                <w:color w:val="auto"/>
              </w:rPr>
            </w:pPr>
            <w:r>
              <w:rPr>
                <w:rFonts w:ascii="Arial" w:cs="Arial" w:eastAsia="Arial" w:hAnsi="Arial"/>
                <w:sz w:val="14"/>
                <w:szCs w:val="14"/>
                <w:color w:val="auto"/>
              </w:rPr>
              <w:t>($ in millions)</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31, 2012</w:t>
            </w:r>
          </w:p>
        </w:tc>
        <w:tc>
          <w:tcPr>
            <w:tcW w:w="10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 of investments originally funded (1):</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Senior term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736.8</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Senior secured revolving loan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440"/>
              <w:spacing w:after="0"/>
              <w:rPr>
                <w:sz w:val="20"/>
                <w:szCs w:val="20"/>
                <w:color w:val="auto"/>
              </w:rPr>
            </w:pPr>
            <w:r>
              <w:rPr>
                <w:rFonts w:ascii="Arial" w:cs="Arial" w:eastAsia="Arial" w:hAnsi="Arial"/>
                <w:sz w:val="18"/>
                <w:szCs w:val="18"/>
                <w:color w:val="auto"/>
              </w:rPr>
              <w:t>Preferred equity/mezzanine investments and other</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New investment commitments (2):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portfolio companies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Pr>
          <w:p>
            <w:pPr>
              <w:spacing w:after="0"/>
              <w:rPr>
                <w:sz w:val="20"/>
                <w:szCs w:val="20"/>
                <w:color w:val="auto"/>
              </w:rPr>
            </w:pPr>
            <w:r>
              <w:rPr>
                <w:rFonts w:ascii="Arial" w:cs="Arial" w:eastAsia="Arial" w:hAnsi="Arial"/>
                <w:sz w:val="18"/>
                <w:szCs w:val="18"/>
                <w:b w:val="1"/>
                <w:bCs w:val="1"/>
                <w:color w:val="auto"/>
              </w:rPr>
              <w:t>Average Total Investment in New Portfolio Companies (3):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right="20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and revolving credit facilities, but not amounts subsequently repaid by borrowers in the period.</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debt and equity investments made during the period, including investment commitments not yet funded.</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at fair value and amortized cost of the following portions of our portfolio as of December 31, 2012 and 2011, were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40" w:type="dxa"/>
            <w:vAlign w:val="bottom"/>
            <w:gridSpan w:val="3"/>
          </w:tcPr>
          <w:p>
            <w:pPr>
              <w:jc w:val="right"/>
              <w:ind w:right="1660"/>
              <w:spacing w:after="0"/>
              <w:rPr>
                <w:sz w:val="20"/>
                <w:szCs w:val="20"/>
                <w:color w:val="auto"/>
              </w:rPr>
            </w:pPr>
            <w:r>
              <w:rPr>
                <w:rFonts w:ascii="Arial" w:cs="Arial" w:eastAsia="Arial" w:hAnsi="Arial"/>
                <w:sz w:val="14"/>
                <w:szCs w:val="14"/>
                <w:b w:val="1"/>
                <w:bCs w:val="1"/>
                <w:color w:val="auto"/>
                <w:w w:val="91"/>
              </w:rPr>
              <w:t>December 31, 2012</w:t>
            </w:r>
          </w:p>
        </w:tc>
        <w:tc>
          <w:tcPr>
            <w:tcW w:w="600" w:type="dxa"/>
            <w:vAlign w:val="bottom"/>
          </w:tcPr>
          <w:p>
            <w:pPr>
              <w:spacing w:after="0"/>
              <w:rPr>
                <w:sz w:val="14"/>
                <w:szCs w:val="14"/>
                <w:color w:val="auto"/>
              </w:rPr>
            </w:pPr>
          </w:p>
        </w:tc>
        <w:tc>
          <w:tcPr>
            <w:tcW w:w="21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560" w:type="dxa"/>
            <w:vAlign w:val="bottom"/>
            <w:tcBorders>
              <w:top w:val="single" w:sz="8" w:color="auto"/>
            </w:tcBorders>
            <w:gridSpan w:val="2"/>
          </w:tcPr>
          <w:p>
            <w:pPr>
              <w:jc w:val="right"/>
              <w:ind w:right="892"/>
              <w:spacing w:after="0" w:line="142" w:lineRule="exact"/>
              <w:rPr>
                <w:sz w:val="20"/>
                <w:szCs w:val="20"/>
                <w:color w:val="auto"/>
              </w:rPr>
            </w:pPr>
            <w:r>
              <w:rPr>
                <w:rFonts w:ascii="Arial" w:cs="Arial" w:eastAsia="Arial" w:hAnsi="Arial"/>
                <w:sz w:val="14"/>
                <w:szCs w:val="14"/>
                <w:b w:val="1"/>
                <w:bCs w:val="1"/>
                <w:color w:val="auto"/>
                <w:w w:val="86"/>
              </w:rPr>
              <w:t>Fair Value</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960" w:type="dxa"/>
            <w:vAlign w:val="bottom"/>
          </w:tcPr>
          <w:p>
            <w:pPr>
              <w:spacing w:after="0"/>
              <w:rPr>
                <w:sz w:val="12"/>
                <w:szCs w:val="12"/>
                <w:color w:val="auto"/>
              </w:rPr>
            </w:pPr>
          </w:p>
        </w:tc>
        <w:tc>
          <w:tcPr>
            <w:tcW w:w="1580" w:type="dxa"/>
            <w:vAlign w:val="bottom"/>
            <w:tcBorders>
              <w:top w:val="single" w:sz="8" w:color="auto"/>
            </w:tcBorders>
            <w:gridSpan w:val="2"/>
          </w:tcPr>
          <w:p>
            <w:pPr>
              <w:jc w:val="right"/>
              <w:ind w:right="912"/>
              <w:spacing w:after="0" w:line="142" w:lineRule="exact"/>
              <w:rPr>
                <w:sz w:val="20"/>
                <w:szCs w:val="20"/>
                <w:color w:val="auto"/>
              </w:rPr>
            </w:pPr>
            <w:r>
              <w:rPr>
                <w:rFonts w:ascii="Arial" w:cs="Arial" w:eastAsia="Arial" w:hAnsi="Arial"/>
                <w:sz w:val="14"/>
                <w:szCs w:val="14"/>
                <w:b w:val="1"/>
                <w:bCs w:val="1"/>
                <w:color w:val="auto"/>
                <w:w w:val="86"/>
              </w:rPr>
              <w:t>Fair Value</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term debt</w:t>
            </w: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10.6%</w:t>
            </w: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10.7%</w:t>
            </w:r>
          </w:p>
        </w:tc>
        <w:tc>
          <w:tcPr>
            <w:tcW w:w="15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Corporate bonds</w:t>
            </w:r>
          </w:p>
        </w:tc>
        <w:tc>
          <w:tcPr>
            <w:tcW w:w="1560" w:type="dxa"/>
            <w:vAlign w:val="bottom"/>
            <w:gridSpan w:val="2"/>
          </w:tcPr>
          <w:p>
            <w:pPr>
              <w:jc w:val="right"/>
              <w:ind w:right="752"/>
              <w:spacing w:after="0"/>
              <w:rPr>
                <w:sz w:val="20"/>
                <w:szCs w:val="20"/>
                <w:color w:val="auto"/>
              </w:rPr>
            </w:pPr>
            <w:r>
              <w:rPr>
                <w:rFonts w:ascii="Arial" w:cs="Arial" w:eastAsia="Arial" w:hAnsi="Arial"/>
                <w:sz w:val="18"/>
                <w:szCs w:val="18"/>
                <w:color w:val="auto"/>
              </w:rPr>
              <w:t>11.0%</w:t>
            </w: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11.0%</w:t>
            </w:r>
          </w:p>
        </w:tc>
        <w:tc>
          <w:tcPr>
            <w:tcW w:w="1580" w:type="dxa"/>
            <w:vAlign w:val="bottom"/>
            <w:gridSpan w:val="2"/>
          </w:tcPr>
          <w:p>
            <w:pPr>
              <w:jc w:val="right"/>
              <w:ind w:right="752"/>
              <w:spacing w:after="0"/>
              <w:rPr>
                <w:sz w:val="20"/>
                <w:szCs w:val="20"/>
                <w:color w:val="auto"/>
              </w:rPr>
            </w:pPr>
            <w:r>
              <w:rPr>
                <w:rFonts w:ascii="Arial" w:cs="Arial" w:eastAsia="Arial" w:hAnsi="Arial"/>
                <w:sz w:val="18"/>
                <w:szCs w:val="18"/>
                <w:color w:val="auto"/>
              </w:rPr>
              <w:t>20.1%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Debt and income producing securities</w:t>
            </w:r>
          </w:p>
        </w:tc>
        <w:tc>
          <w:tcPr>
            <w:tcW w:w="15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10.6%</w:t>
            </w: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10.7%</w:t>
            </w:r>
          </w:p>
        </w:tc>
        <w:tc>
          <w:tcPr>
            <w:tcW w:w="15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11.4%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noted above, the Company was formed on July 21, 2010 (inception) and from that date through July 1, 2011, was a development stage company as we had not commenced commercial operations. On July 1, 2011,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commenced operations, focusing on direct origination of loans to middle-market companies principally headquartered in the United States. Accordingly, the year ended December 31, 2012, represents our first full year of operations.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primary driver of change between the results of our operations for the year ended December 31, 2011 and 2012, related to the continued increase in our investing and other related business activities as we continued to establish our business and deploy our available capital. As a result, specific comparison of our financial results between years is generally not meaningful and, accordingly, has been omitted from the following discussion regarding the results of our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the form of commitment, loan origination, structuring or diligence fees, and fees for providing managerial assistance to our portfolio companies. Certain of these fees are capitalized and amortized as additional interest income over the life of the related investment.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Investment income for the year ended December 31, 2012, was $51.0 million, which consisted of $49.1 million in interest income, $1.2 million in dividend income, and $0.7 million in other income. Investment income from non-controlled, non-affiliated investments was $47.0 million, while investment income from non-controlled, affiliated investments was $4 million.</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Investment income for the year ended December 31, 2011, was $5.3 million, substantially all of which consisted of interest income. Investment income from non-controlled, non-affiliated investments was $4.1 million while investment income from non-controlled, affiliated investments was $1.2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to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Net expenses for the year ended December 31, 2012, were $22.9 million which consisted of $6.0 million of interest expense, $5.1 million in Management Fees (net of waivers), $7.0 million in Incentive Fees, $2.9 million in professional fees, $0.3 million in directors’ fees, and $1.6 million in other general and administrative expenses and excise taxes.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Net expenses for the year ended December 31, 2011, were $6.8 million which consisted of $1.5 million of initial organization costs for which we were required to reimburse the Adviser in accordance with the Administration Agreement, $0.8 million of interest expense, $1.6 million in Management Fees (net of waivers), $0.3 million in Incentive Fees, $1.6 million in professional fees, $0.2 million in directors’ fees, and $0.8 million in other general and administrative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Including Excise Tax</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generally at least 90% of our investment company taxable income, as defined by the Code, for each taxable year. In order to maintain our RIC status, we, among other things, have made and intend to continue to make the requisite distributions to our stockholders which will generally relieve us from U.S. federal income taxes.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 year dividend distributions from such current year taxable income into the next tax year and pay a 4% excise tax on such income, as required. To the extent that we determine that our estimated current year annual taxable income will be in excess of estimated current year dividend distributions from such income, we accrue excise tax on estimated excess taxable income. For the year ended December 31, 2012 a net expense of $46 thousand was recorded for U.S. federal excise tax. For the years ended December 31, 2011 and 2010, we did not incur any U.S. federal excise tax.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Gains/Losses</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We value our investments quarterly and any changes in fair value are recorded as unrealized gains or losses. See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at Fair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and 2011, net change in unrealized gains and losses on our investment portfolio were comprised of the following:</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20"/>
                <w:szCs w:val="20"/>
                <w:color w:val="auto"/>
              </w:rPr>
            </w:pPr>
            <w:r>
              <w:rPr>
                <w:rFonts w:ascii="Arial" w:cs="Arial" w:eastAsia="Arial" w:hAnsi="Arial"/>
                <w:sz w:val="14"/>
                <w:szCs w:val="14"/>
                <w:color w:val="auto"/>
              </w:rPr>
              <w:t>($ in millions)</w:t>
            </w:r>
          </w:p>
        </w:tc>
        <w:tc>
          <w:tcPr>
            <w:tcW w:w="2940" w:type="dxa"/>
            <w:vAlign w:val="bottom"/>
            <w:gridSpan w:val="4"/>
          </w:tcPr>
          <w:p>
            <w:pPr>
              <w:ind w:left="1160"/>
              <w:spacing w:after="0"/>
              <w:rPr>
                <w:sz w:val="20"/>
                <w:szCs w:val="20"/>
                <w:color w:val="auto"/>
              </w:rPr>
            </w:pPr>
            <w:r>
              <w:rPr>
                <w:rFonts w:ascii="Arial" w:cs="Arial" w:eastAsia="Arial" w:hAnsi="Arial"/>
                <w:sz w:val="14"/>
                <w:szCs w:val="14"/>
                <w:b w:val="1"/>
                <w:bCs w:val="1"/>
                <w:color w:val="auto"/>
              </w:rPr>
              <w:t>December 31, 2012</w:t>
            </w:r>
          </w:p>
        </w:tc>
        <w:tc>
          <w:tcPr>
            <w:tcW w:w="18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Change in unrealized gains</w:t>
            </w:r>
          </w:p>
        </w:tc>
        <w:tc>
          <w:tcPr>
            <w:tcW w:w="1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Net Change in Unrealized Gains (Losses)</w:t>
            </w:r>
          </w:p>
        </w:tc>
        <w:tc>
          <w:tcPr>
            <w:tcW w:w="1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vMerge w:val="restart"/>
          </w:tcPr>
          <w:p>
            <w:pPr>
              <w:jc w:val="right"/>
              <w:ind w:right="539"/>
              <w:spacing w:after="0"/>
              <w:rPr>
                <w:sz w:val="20"/>
                <w:szCs w:val="20"/>
                <w:color w:val="auto"/>
              </w:rPr>
            </w:pPr>
            <w:r>
              <w:rPr>
                <w:rFonts w:ascii="Arial" w:cs="Arial" w:eastAsia="Arial" w:hAnsi="Arial"/>
                <w:sz w:val="18"/>
                <w:szCs w:val="18"/>
                <w:color w:val="auto"/>
              </w:rPr>
              <w:t>46</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unrealized appreciation (depreciation) for the years ended December 31, 2012 and 2011,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gridSpan w:val="3"/>
          </w:tcPr>
          <w:p>
            <w:pPr>
              <w:ind w:left="1380"/>
              <w:spacing w:after="0"/>
              <w:rPr>
                <w:sz w:val="20"/>
                <w:szCs w:val="20"/>
                <w:color w:val="auto"/>
              </w:rPr>
            </w:pPr>
            <w:r>
              <w:rPr>
                <w:rFonts w:ascii="Arial" w:cs="Arial" w:eastAsia="Arial" w:hAnsi="Arial"/>
                <w:sz w:val="14"/>
                <w:szCs w:val="14"/>
                <w:color w:val="auto"/>
              </w:rPr>
              <w:t>($ in millions)</w:t>
            </w:r>
          </w:p>
        </w:tc>
        <w:tc>
          <w:tcPr>
            <w:tcW w:w="272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 2012</w:t>
            </w:r>
          </w:p>
        </w:tc>
        <w:tc>
          <w:tcPr>
            <w:tcW w:w="20" w:type="dxa"/>
            <w:vAlign w:val="bottom"/>
          </w:tcPr>
          <w:p>
            <w:pPr>
              <w:spacing w:after="0"/>
              <w:rPr>
                <w:sz w:val="14"/>
                <w:szCs w:val="14"/>
                <w:color w:val="auto"/>
              </w:rPr>
            </w:pPr>
          </w:p>
        </w:tc>
        <w:tc>
          <w:tcPr>
            <w:tcW w:w="16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7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430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(0.3)</w:t>
            </w:r>
          </w:p>
        </w:tc>
        <w:tc>
          <w:tcPr>
            <w:tcW w:w="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Attachmate Corporation</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Checkers Drive-In Restaurants,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Consona Holdings,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Ecommerce Industries,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Embarcadero Technologies,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Federal Signal Corporation</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Infogix,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Equipment Solutions,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Mandalay Baseball Properties, LLC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Mediware Information Systems,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Sage Automotive Interiors,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Solarsoft, LP (f/k/a CMS-XKO Holding Company,</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4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LP)</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SRS Software, LLC.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Synagro Technologies,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Teletrac,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Vivint, Inc.</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430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rPr>
              <w:t>Total Net Change in Unrealized Gains</w:t>
            </w:r>
          </w:p>
        </w:tc>
        <w:tc>
          <w:tcPr>
            <w:tcW w:w="7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(Losses)</w:t>
            </w:r>
          </w:p>
        </w:tc>
        <w:tc>
          <w:tcPr>
            <w:tcW w:w="1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Net Realized Gains</w:t>
            </w: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6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60" w:type="dxa"/>
            <w:vAlign w:val="bottom"/>
            <w:gridSpan w:val="5"/>
          </w:tcPr>
          <w:p>
            <w:pPr>
              <w:ind w:left="460"/>
              <w:spacing w:after="0"/>
              <w:rPr>
                <w:sz w:val="20"/>
                <w:szCs w:val="20"/>
                <w:color w:val="auto"/>
              </w:rPr>
            </w:pPr>
            <w:r>
              <w:rPr>
                <w:rFonts w:ascii="Arial" w:cs="Arial" w:eastAsia="Arial" w:hAnsi="Arial"/>
                <w:sz w:val="18"/>
                <w:szCs w:val="18"/>
                <w:color w:val="auto"/>
                <w:w w:val="92"/>
              </w:rPr>
              <w:t>During the year ended December 31, 2012, net realized gains consisted of the following:</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300" w:type="dxa"/>
            <w:vAlign w:val="bottom"/>
            <w:gridSpan w:val="2"/>
          </w:tcPr>
          <w:p>
            <w:pPr>
              <w:ind w:left="460"/>
              <w:spacing w:after="0"/>
              <w:rPr>
                <w:sz w:val="20"/>
                <w:szCs w:val="20"/>
                <w:color w:val="auto"/>
              </w:rPr>
            </w:pPr>
            <w:r>
              <w:rPr>
                <w:rFonts w:ascii="Arial" w:cs="Arial" w:eastAsia="Arial" w:hAnsi="Arial"/>
                <w:sz w:val="14"/>
                <w:szCs w:val="14"/>
                <w:color w:val="auto"/>
              </w:rPr>
              <w:t>($ in millions)</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Mannington Mills,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40" w:type="dxa"/>
            <w:vAlign w:val="bottom"/>
          </w:tcPr>
          <w:p>
            <w:pPr>
              <w:ind w:left="440"/>
              <w:spacing w:after="0"/>
              <w:rPr>
                <w:sz w:val="20"/>
                <w:szCs w:val="20"/>
                <w:color w:val="auto"/>
              </w:rPr>
            </w:pPr>
            <w:r>
              <w:rPr>
                <w:rFonts w:ascii="Arial" w:cs="Arial" w:eastAsia="Arial" w:hAnsi="Arial"/>
                <w:sz w:val="18"/>
                <w:szCs w:val="18"/>
                <w:b w:val="1"/>
                <w:bCs w:val="1"/>
                <w:color w:val="auto"/>
              </w:rPr>
              <w:t>Net Realized Gains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Gains (losses) from investments in Mannington Mills, Inc. and Rogue Wave Holdings, Inc. were associated with proceeds received from sales to coinvestors. Gains associated with AFS Technologies, Inc., Rare Restaurant Group, LLC, and El Pollo Loco, Inc. were associated with proceeds received from the disposition of the investment.</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realized gains during the year ended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enter into any interest rate, foreign exchange or other derivative agreements during the years ended December 31, 2012 and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2012, we had $161.8 million in cash and cash equivalents on hand, an increase of $18.1 million from December 31, 2011. The increase was primarily attributable to additional borrowings under the debt facilities and proceeds from investor drawdown notices received near December 31, 2012.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to generate additional cash from (1) operations; (2) future offerings of our common or preferred shares; and, (3) borrowings from banks or other lenders.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Cash and cash equivalents on hand as of December 31, 2012, combined with our uncalled capital commitments of $0.9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years ended December 31, 2012 and 2011, we entered into subscription agreements (collectively, the “Subscription Agreements”) with several investors, including our Adviser, providing for the private placement of our Common Stock.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years ended December 31, 2012 and 2011, we delivered drawdown notices to our investors relating to the issuance of 287,951 shares and 176,532 shares, respectively, of our Common Stock for aggregate offering proceeds of $288 million and $173 million, respectively. See Note 8 to our consolidated financial statements for the dates and amounts of our drawdowns. Proceeds from the issuances were used to commence our investing activities and for other general corporate purposes.</w:t>
      </w:r>
    </w:p>
    <w:p>
      <w:pPr>
        <w:spacing w:after="0" w:line="6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December 31, 2012 and 2011, the Company had $1.4 billion and $1.2 billion, respectively, in total capital commitments from investors ($0.9 billion and $1.0 billion unfunded, respectively), of which $114.1 million and $70.4 million, respectively, is from the Adviser and its affiliates ($76.6 million and $60.3 million unfunded,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January 31, 2013, we completed a Private Offering which increased our total capital commitments to $1.5 billion ($117.1 million from the Adviser and its affiliates), the maximum agreed to with our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20"/>
                <w:szCs w:val="20"/>
                <w:color w:val="auto"/>
              </w:rPr>
            </w:pPr>
            <w:r>
              <w:rPr>
                <w:rFonts w:ascii="Arial" w:cs="Arial" w:eastAsia="Arial" w:hAnsi="Arial"/>
                <w:sz w:val="14"/>
                <w:szCs w:val="14"/>
                <w:color w:val="auto"/>
              </w:rPr>
              <w:t>($ 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6"/>
              </w:rPr>
              <w:t>Total Facility</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100,000</w:t>
            </w:r>
          </w:p>
        </w:tc>
        <w:tc>
          <w:tcPr>
            <w:tcW w:w="1980" w:type="dxa"/>
            <w:vAlign w:val="bottom"/>
            <w:gridSpan w:val="5"/>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200,000</w:t>
            </w:r>
          </w:p>
        </w:tc>
        <w:tc>
          <w:tcPr>
            <w:tcW w:w="1980" w:type="dxa"/>
            <w:vAlign w:val="bottom"/>
            <w:gridSpan w:val="5"/>
            <w:shd w:val="clear" w:color="auto" w:fill="CCEEFF"/>
          </w:tcPr>
          <w:p>
            <w:pPr>
              <w:jc w:val="right"/>
              <w:ind w:right="74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550,000</w:t>
            </w:r>
          </w:p>
        </w:tc>
        <w:tc>
          <w:tcPr>
            <w:tcW w:w="1980" w:type="dxa"/>
            <w:vAlign w:val="bottom"/>
            <w:gridSpan w:val="5"/>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gridSpan w:val="4"/>
          </w:tcPr>
          <w:p>
            <w:pPr>
              <w:jc w:val="center"/>
              <w:ind w:right="8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20"/>
                <w:szCs w:val="20"/>
                <w:color w:val="auto"/>
              </w:rPr>
            </w:pPr>
            <w:r>
              <w:rPr>
                <w:rFonts w:ascii="Arial" w:cs="Arial" w:eastAsia="Arial" w:hAnsi="Arial"/>
                <w:sz w:val="14"/>
                <w:szCs w:val="14"/>
                <w:color w:val="auto"/>
              </w:rPr>
              <w:t>($ in thousands)</w:t>
            </w:r>
          </w:p>
        </w:tc>
        <w:tc>
          <w:tcPr>
            <w:tcW w:w="20" w:type="dxa"/>
            <w:vAlign w:val="bottom"/>
          </w:tcPr>
          <w:p>
            <w:pPr>
              <w:spacing w:after="0"/>
              <w:rPr>
                <w:sz w:val="14"/>
                <w:szCs w:val="14"/>
                <w:color w:val="auto"/>
              </w:rPr>
            </w:pPr>
          </w:p>
        </w:tc>
        <w:tc>
          <w:tcPr>
            <w:tcW w:w="11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4"/>
              </w:rPr>
              <w:t>Total Facility</w:t>
            </w:r>
          </w:p>
        </w:tc>
        <w:tc>
          <w:tcPr>
            <w:tcW w:w="440" w:type="dxa"/>
            <w:vAlign w:val="bottom"/>
          </w:tcPr>
          <w:p>
            <w:pPr>
              <w:spacing w:after="0"/>
              <w:rPr>
                <w:sz w:val="14"/>
                <w:szCs w:val="14"/>
                <w:color w:val="auto"/>
              </w:rPr>
            </w:pPr>
          </w:p>
        </w:tc>
        <w:tc>
          <w:tcPr>
            <w:tcW w:w="154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$ 155,000</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center"/>
              <w:ind w:left="359"/>
              <w:spacing w:after="0"/>
              <w:rPr>
                <w:sz w:val="20"/>
                <w:szCs w:val="20"/>
                <w:color w:val="auto"/>
              </w:rPr>
            </w:pPr>
            <w:r>
              <w:rPr>
                <w:rFonts w:ascii="Arial" w:cs="Arial" w:eastAsia="Arial" w:hAnsi="Arial"/>
                <w:sz w:val="18"/>
                <w:szCs w:val="18"/>
                <w:color w:val="auto"/>
                <w:w w:val="89"/>
              </w:rPr>
              <w:t>$ 155,000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August 23, 2012, we entered into a Senior Secured Revolving Credit Agreement (the “Revolving Credit Facility (SunTrust)”). The parties to the Revolving Credit Facility (SunTrust) include the Company, as Borrower, the lenders from time to time parties thereto (each a “Lender” and collectively, the “Lenders”) and SunTrust Bank, as Administrative Agent.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of the Company that are formed or acquired by the Company in the future (collectively, the “Guarantors”). Proceeds from borrowings may be used for general corporate purposes, including the funding of portfolio investments.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maximum principal amount of the facility is $200 million, subject to availability under the borrowing base, which is based on the Company’s portfolio investments and other outstanding indebtedness. Maximum capacity may be increased to $300 million through the exercise by the Borrower of an uncommitted accordion feature through which existing and new lenders may, at their option, agree to provide additional financing. The Revolving Credit Facility (SunTrust) includes a $30 million limit for swingline loans and a $20 million limit for letters of credit and is secured by a perfected first-priority interest in substantially the entire portfolio of investments held by the Company and each Guarantor.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availability period under the Revolving Credit Facility (SunTrust) will terminate on August 24, 2015 (the “SunTrust Commitment Termination Date”) and it will mature on August 23, 2016 (the “SunTrust Maturity Date”). During the period from the SunTrust Commitment Termination Date to the SunTrust Maturity Date, the Company will be obligated to make mandatory prepayments out of the proceeds of certain asset sales, and other recovery events and equity and debt issuances.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will bear interest 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either LIBOR plus a margin, or the prime rate plus a margin. We may elect either the LIBOR or prime rate at the time of drawdown, and loans may be converted from one rate to another at any time, subject to certain conditions. We will also pay a fee of 0.50% on undrawn amounts and, in respect of each undrawn letter of credit, a fee and interest rate equal to the then-applicable margin while the letter of credit is outstanding.</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covenants, including certain financial covenants related to asset coverage and liquidity and other maintenance covenants, as well as customary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May 8, 2012 (the “Natixis Closing Date”), our wholly-owned subsidiary TPG SL SPV, LLC (the “Subsidiary”), a Delaware limited liability company, entered into a Revolving Credit and Security Agreement (the “Revolving Credit Facility (Natixis)”). Parties to the agreement include TPG SL SPV, LLC, as Borrower, and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We retain a residual interest in assets contributed to or acquired by the Subsidiary through our ownership of the Subsidiary. The maximum principal amount of the facility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agreement provides for a contribution and reinvestment period for up to 18 months after the Natixis Closing Date (the “Natixis Commitment Termination Date”). Prior to the Natixis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Natixis Commitment Termination Date must be used to make quarterly payments of principal on outstanding borrowings. Following the Natixis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Revolving Credit Facility (Natixis) will mature on May 8, 2020. Amounts drawn bear interest at LIBOR plus a margin and the undrawn portion of the commitment bears an unutilized commitment fee of 0.75%.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the Subsidiary are considered our borrowings for purposes of complying with the asset coverage requirements under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September 28, 2011, we entered into a revolving credit facility (the “Initial DBTCA Revolving Credit Facility”) with Deutsche Bank Trust Company Americas (“DBTCA”) as administrative agent (the “Administrative Agent”), and DBTCA and certain of its affiliates as lenders. At closing, the maximum principal amount of the Initial DTBCA Revolving Credit Facility was $150 million, subject to availability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borrowing base. On December 22, 2011, the Initial DBTCA Revolving Credit Facility was amended and restated (the “Revolving Credit Facility (DBTCA)”). Under the Revolving Credit Facility (DBTCA),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 Facility (DBTCA) may be increased to up to $300 million upon request of the Company within twelve months of closing and subject to payment of an additional fee. The option to increase the facility expired on September 28, 2012. Proceeds from the Revolving Credit Facility (DBTCA) may be used for investment activities, expenses, working capital requirements and general corporate purposes.</w:t>
      </w:r>
    </w:p>
    <w:p>
      <w:pPr>
        <w:spacing w:after="0" w:line="14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December 20, 2013, and 25 days prior to a qualifying initial public offering of the Company.</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(DBTCA)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we will pay a fee and a fixed rate while the letter of credit is outstanding.</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 certain distributions, and restrict certain types and amounts of indebtedness. The Revolving Credit Facility (DBTCA) includes customary events of default.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2012 and 2011, we were in compliance with the terms of our debt arrangements. We intend to continue to utilize our credit facilities to fund investments and for other general corporate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Information on our capital commitments from investors and commitments to fund investments is contained in Note 7 to our consolidated financial statements for the year ended December 31, 2012,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88"/>
              </w:rPr>
              <w:t>Payments Due by Period</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60" w:type="dxa"/>
            <w:vAlign w:val="bottom"/>
            <w:gridSpan w:val="2"/>
          </w:tcPr>
          <w:p>
            <w:pPr>
              <w:ind w:left="700"/>
              <w:spacing w:after="0" w:line="129" w:lineRule="exact"/>
              <w:rPr>
                <w:sz w:val="20"/>
                <w:szCs w:val="20"/>
                <w:color w:val="auto"/>
              </w:rPr>
            </w:pPr>
            <w:r>
              <w:rPr>
                <w:rFonts w:ascii="Arial" w:cs="Arial" w:eastAsia="Arial" w:hAnsi="Arial"/>
                <w:sz w:val="14"/>
                <w:szCs w:val="14"/>
                <w:b w:val="1"/>
                <w:bCs w:val="1"/>
                <w:color w:val="auto"/>
              </w:rPr>
              <w:t>1-</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20"/>
                <w:szCs w:val="20"/>
                <w:color w:val="auto"/>
              </w:rPr>
            </w:pPr>
            <w:r>
              <w:rPr>
                <w:rFonts w:ascii="Arial" w:cs="Arial" w:eastAsia="Arial" w:hAnsi="Arial"/>
                <w:sz w:val="14"/>
                <w:szCs w:val="14"/>
                <w:color w:val="auto"/>
              </w:rPr>
              <w:t>($ in millions)</w:t>
            </w:r>
          </w:p>
        </w:tc>
        <w:tc>
          <w:tcPr>
            <w:tcW w:w="24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2"/>
              </w:rPr>
              <w:t>3 years</w:t>
            </w:r>
          </w:p>
        </w:tc>
        <w:tc>
          <w:tcPr>
            <w:tcW w:w="5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5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165</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3360" w:type="dxa"/>
            <w:vAlign w:val="bottom"/>
            <w:gridSpan w:val="3"/>
          </w:tcPr>
          <w:p>
            <w:pPr>
              <w:jc w:val="right"/>
              <w:ind w:right="6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100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2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336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165</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w w:val="88"/>
              </w:rPr>
              <w:t>$ 100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0" w:type="dxa"/>
            <w:vAlign w:val="bottom"/>
            <w:vMerge w:val="restart"/>
          </w:tcPr>
          <w:p>
            <w:pPr>
              <w:jc w:val="right"/>
              <w:ind w:right="672"/>
              <w:spacing w:after="0"/>
              <w:rPr>
                <w:sz w:val="20"/>
                <w:szCs w:val="20"/>
                <w:color w:val="auto"/>
              </w:rPr>
            </w:pPr>
            <w:r>
              <w:rPr>
                <w:rFonts w:ascii="Arial" w:cs="Arial" w:eastAsia="Arial" w:hAnsi="Arial"/>
                <w:sz w:val="18"/>
                <w:szCs w:val="18"/>
                <w:color w:val="auto"/>
              </w:rPr>
              <w:t>51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 above, we also have commitments to fund investments. See Note 7 to our consolidated financial statements for the year ended December 31, 2012,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Environment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three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conditions could limit our investment originations, limit our ability to grow, negatively impact our operating results, and delay or prevent us from launching or completing an IPO.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31, 2013, the Company concluded its Private Offerings by reaching $1.5 billion in committed capital.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12, 2013, the Board renewed the Administration Agreement which will now remain in effect until March 15, 2014, unless earlier terminated.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preparation of these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6"/>
          <w:szCs w:val="16"/>
          <w:i w:val="1"/>
          <w:iCs w:val="1"/>
          <w:color w:val="auto"/>
        </w:rPr>
        <w:t>ITEM 1A. RISK FACTORS.</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part of the valuation process, the Company takes into account relevant factors in determining the fair value of its investments, including: the estimated enterprise value of a portfolio company (i.e., the total fair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Upon completion of such limited procedures, the third-party valuation firm determined that the fair value, as determined by the Board, of those investments subjected to their limited procedures was reasonable.</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such valuations, and any change in such valuations, on the consolidated financial statements.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5 to our consolidated financial statements included in this Form 10-K for more information on the fair value of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based on factors including, but not limited to, on-going analyses of tax laws, regulations and interpretations thereof.</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the year ended December 31, 2012 included in this annual report on Form 10-K,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In the future, we may fund a portion of our investments with borrowings, and at such time, our net investment income will be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2012, the majority of the investments at fair value in our portfolio were at variable rates. Our credit facilities also bear interest at floating rates.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our balance sheet at December 31, 2012, the following table shows the impact on net income for the year ended December 31, 2012, of base rate changes in interest rates (considering interest rate floors and ceilings for variable rate instruments) assuming no changes in our investment and borrowing structure:</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in millions)</w:t>
      </w:r>
    </w:p>
    <w:p>
      <w:pPr>
        <w:ind w:left="920"/>
        <w:spacing w:after="0"/>
        <w:rPr>
          <w:sz w:val="20"/>
          <w:szCs w:val="20"/>
          <w:color w:val="auto"/>
        </w:rPr>
      </w:pPr>
      <w:r>
        <w:rPr>
          <w:rFonts w:ascii="Arial" w:cs="Arial" w:eastAsia="Arial" w:hAnsi="Arial"/>
          <w:sz w:val="14"/>
          <w:szCs w:val="14"/>
          <w:b w:val="1"/>
          <w:bCs w:val="1"/>
          <w:color w:val="auto"/>
        </w:rPr>
        <w:t>Basis Point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-8255</wp:posOffset>
            </wp:positionV>
            <wp:extent cx="7543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Up 300 basis points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 200 basis points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 100 basis points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Down 100 basis points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Down 200 basis points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Down 300 basis points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4"/>
              </w:rPr>
              <w:t>Increase</w:t>
            </w:r>
          </w:p>
        </w:tc>
        <w:tc>
          <w:tcPr>
            <w:tcW w:w="120" w:type="dxa"/>
            <w:vAlign w:val="bottom"/>
          </w:tcPr>
          <w:p>
            <w:pPr>
              <w:spacing w:after="0"/>
              <w:rPr>
                <w:sz w:val="14"/>
                <w:szCs w:val="14"/>
                <w:color w:val="auto"/>
              </w:rPr>
            </w:pPr>
          </w:p>
        </w:tc>
        <w:tc>
          <w:tcPr>
            <w:tcW w:w="17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7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3"/>
              </w:rPr>
              <w:t>(Decrease) to</w:t>
            </w:r>
          </w:p>
        </w:tc>
        <w:tc>
          <w:tcPr>
            <w:tcW w:w="182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3"/>
              </w:rPr>
              <w:t>(Decrease) to</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(Decrease) to</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2"/>
                <w:szCs w:val="12"/>
                <w:color w:val="auto"/>
              </w:rPr>
            </w:pPr>
          </w:p>
        </w:tc>
        <w:tc>
          <w:tcPr>
            <w:tcW w:w="17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Net</w:t>
            </w: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4"/>
                <w:szCs w:val="14"/>
                <w:color w:val="auto"/>
              </w:rPr>
            </w:pPr>
          </w:p>
        </w:tc>
        <w:tc>
          <w:tcPr>
            <w:tcW w:w="17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3"/>
              </w:rPr>
              <w:t>Expense</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Income</w:t>
            </w:r>
          </w:p>
        </w:tc>
      </w:tr>
      <w:tr>
        <w:trPr>
          <w:trHeight w:val="201"/>
        </w:trPr>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w:t>
            </w:r>
          </w:p>
        </w:tc>
        <w:tc>
          <w:tcPr>
            <w:tcW w:w="104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w:t>
            </w:r>
          </w:p>
        </w:tc>
        <w:tc>
          <w:tcPr>
            <w:tcW w:w="10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-829945</wp:posOffset>
            </wp:positionV>
            <wp:extent cx="608012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-546735</wp:posOffset>
            </wp:positionV>
            <wp:extent cx="60801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-272415</wp:posOffset>
            </wp:positionV>
            <wp:extent cx="60801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4900" w:space="720"/>
            <w:col w:w="5760"/>
          </w:cols>
          <w:pgMar w:left="240" w:top="459" w:right="2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ind w:right="2600" w:firstLine="456"/>
        <w:spacing w:after="0" w:line="268" w:lineRule="auto"/>
        <w:rPr>
          <w:sz w:val="20"/>
          <w:szCs w:val="20"/>
          <w:color w:val="auto"/>
        </w:rPr>
      </w:pPr>
      <w:r>
        <w:rPr>
          <w:rFonts w:ascii="Arial" w:cs="Arial" w:eastAsia="Arial" w:hAnsi="Arial"/>
          <w:sz w:val="18"/>
          <w:szCs w:val="18"/>
          <w:color w:val="auto"/>
        </w:rPr>
        <w:t>See the audited consolidated financial statements are set forth herein commencing on page F-1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 supervision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Management’s Report on Internal Control Over Financial Reporting. </w:t>
      </w:r>
      <w:r>
        <w:rPr>
          <w:rFonts w:ascii="Arial" w:cs="Arial" w:eastAsia="Arial" w:hAnsi="Arial"/>
          <w:sz w:val="16"/>
          <w:szCs w:val="16"/>
          <w:color w:val="auto"/>
        </w:rPr>
        <w:t>The Company’s management is responsible for establishing and maintaining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adequate internal control over financial reporting (as defined in Rules 13a-15(f) and 15d-15(f) of the Exchange Act). Under the supervision and with the participation of management, including the Chief Executive Officer and Chief Financial Officer, the Company conducted an evaluation of the effectiveness of the Company’s internal control over financial reporting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Based on the Company’s evaluation under the framework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management concluded that the Company’s internal control over financial reporting was effective as of December 31, 2012.</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Changes in Internal Control over Financial Reporting. </w:t>
      </w:r>
      <w:r>
        <w:rPr>
          <w:rFonts w:ascii="Arial" w:cs="Arial" w:eastAsia="Arial" w:hAnsi="Arial"/>
          <w:sz w:val="16"/>
          <w:szCs w:val="16"/>
          <w:color w:val="auto"/>
        </w:rPr>
        <w:t>There have been no changes in our internal control over financial reporting that occurred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most recently completed fiscal quarter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2013 annual meeting of stockholders. The Proxy Statement will be filed with the SEC within 120 days after the end of the fiscal year covered by this Form 10-K pursuant to Regulation 14A under the Securities Exchange Act of 1934.</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2013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2013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2013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2013 annual meeting of stockholders.</w:t>
      </w:r>
    </w:p>
    <w:p>
      <w:pPr>
        <w:spacing w:after="0" w:line="35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jc w:val="center"/>
        <w:ind w:right="5960"/>
        <w:spacing w:after="0"/>
        <w:tabs>
          <w:tab w:leader="none" w:pos="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jc w:val="center"/>
        <w:ind w:right="594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90" w:lineRule="exact"/>
        <w:rPr>
          <w:sz w:val="20"/>
          <w:szCs w:val="20"/>
          <w:color w:val="auto"/>
        </w:rPr>
      </w:pPr>
    </w:p>
    <w:p>
      <w:pPr>
        <w:ind w:left="900" w:right="4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 – Financial statements are included in ITEM 8. See the Index to the Consolidated Financial Statements on page F-1 of this annual report on Form 10-K.</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Schedules – 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Exhibits – The following is a list of all exhibits filed as a part of this annual report on Form 10-K, including those incorporated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98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Amendment No. 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Bylaws (incorporated by reference to Exhibit 3.2 to Amendment No. 1 to the Company’s Registration Statement on Form 10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Form of Subscription Agreement in connection with the Private Offerings (incorporated by reference to Exhibit 4.1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Form of Common Stock Certificate (incorporated by reference to Exhibit 4.2 to the Company’s Annual Report on Form 10-K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Form of Indemnification Agreement between the Company and certain officers and directors (incorporated by reference to Exhibit 10.3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52"/>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880" w:type="dxa"/>
            <w:vAlign w:val="bottom"/>
          </w:tcPr>
          <w:p>
            <w:pPr>
              <w:spacing w:after="0"/>
              <w:rPr>
                <w:sz w:val="14"/>
                <w:szCs w:val="1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8"/>
              </w:rPr>
              <w:t>Administration Agreement, dated as of March 15, 2011, between the Company and the Adviser (incorporated by reference to Exhibit 10.1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the Company’s Current Report on Form 8-K filed on March 15,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2"/>
              </w:rPr>
              <w:t>Amended and Restated Investment Advisory and Management Agreement, dated December 13, 2011, between the Company and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8"/>
              </w:rPr>
              <w:t>Adviser (incorporated by reference to Exhibit 10.1 to the Company’s Current Report on Form 8-K filed on December 13,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Revolving Credit Agreement, dated September 28, 2011, among TPG Specialty Lending Inc., as Borrower, Deutsche Bank Trust Company</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3"/>
              </w:rPr>
              <w:t>Americas, as Administrative Agent, and Lenders Party Thereto (incorporated by reference to Exhibit 10.1 to the Company’s Quarterly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Report on Form 10-Q for the quarter ended September 30, 2011, filed on November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First Amendment to Revolving Credit Agreement, dated September 28, 2011, among TPG Specialty Lending, Inc., as Borrower, Deutsche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3"/>
              </w:rPr>
              <w:t>Bank Trust Company Americas, as Administrative Agent, and Lenders Party Thereto (incorporated by reference to Exhibit 10.2 to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Company’s Quarterly Report on Form 10-Q for the quarter ended September 30, 2011, filed on November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4"/>
              </w:rPr>
              <w:t>Amended and Restated Revolving Credit Agreement, dated December 22, 2011, among TPG. Specialty Lending, Inc., as Borrower,</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2"/>
              </w:rPr>
              <w:t>Deutsche Bank Trust Company Americas, as Administrative Agent, and Lenders Party (incorporated by reference to Exhibit 10.6 to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Company’s Annual Report on Form 10-K filed on 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Dividend Reinvestment Plan of TPG Specialty Lending, Inc. (incorporated by reference to Exhibit 10.7 to the Company’s Annual Report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Form 10-K filed on 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Custody Agreement dated June 26, 2011 (incorporated by reference to Exhibit 10.8 to the Company’s Annual Report on Form 10-K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2"/>
              </w:rPr>
              <w:t>Revolving Credit and Security Agreement, dated May 8, 2012, among TPG SL SPV, LLC, as Borrower, the Lenders from Time to Time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Parties Hereto, Natixis, New York Branch, as Facility Agent and The Bank of New York Mellon Trust Company, N.A., as Collateral Agent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Master Sale and Contribution Agreement by and between TPG Specialty Lending, Inc., as the Originator and TPG SL SPV, LLC, as the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4"/>
              </w:rPr>
              <w:t>Buyer, dated as of May 8, 2012 (incorporated by reference to Exhibit 10.2 to the Company’s Quarterly Report on Form 10-Q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August 13,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Senior Secured Revolving Credit Agreement, dated as of August 23, 2012, among TPG Specialty Lending, Inc., as Borrower, the Lenders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8"/>
              </w:rPr>
              <w:t>Party Hereto and SunTrust Bank, as Administrative Agent, JPMorgan Chase Bank, N.A., as Syndication Agent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10.1 to the Company’s Quarterly Report on Form 10-Q filed on November 14,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First Amendment to Amended and Restated Revolving Credit Agreement, dated October 31, 2012, among TPG. Specialty Lending, Inc.,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Borrower, Deutsche Bank Trust Company Americas, as Administrative Agent, and Lenders Named Herein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10.2 to the Company’s Quarterly Report on Form 10-Q filed on November 14,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Custodian Agreement dated November 29, 2012 (incorporated by reference to Exhibit 10.1 to the Company’s Current Report on Form 8-K</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filed on December 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8"/>
              </w:rPr>
              <w:t>Instrument of Removal, Appointment and Acceptance, dated November 29, 2012, among State Street Bank and Trust Company and TPG SL</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to the Company’s Current Report on Form 8-K filed on January 2, 2013).</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52"/>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1000" w:type="dxa"/>
            <w:vAlign w:val="bottom"/>
          </w:tcPr>
          <w:p>
            <w:pPr>
              <w:spacing w:after="0"/>
              <w:rPr>
                <w:sz w:val="14"/>
                <w:szCs w:val="14"/>
                <w:color w:val="auto"/>
              </w:rPr>
            </w:pPr>
          </w:p>
        </w:tc>
        <w:tc>
          <w:tcPr>
            <w:tcW w:w="9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10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Subsidiaries of TPG Specialty Lending, Inc.</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10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0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2"/>
              </w:rPr>
              <w:t>Certification of CEO and CFO Pursuant to 18 U.S.C. Section 1350, as Adopted Pursuant to Section 906 of the Sarbanes-Oxley Act of</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1000"/>
              <w:spacing w:after="0"/>
              <w:rPr>
                <w:sz w:val="20"/>
                <w:szCs w:val="20"/>
                <w:color w:val="auto"/>
              </w:rPr>
            </w:pPr>
            <w:r>
              <w:rPr>
                <w:rFonts w:ascii="Arial" w:cs="Arial" w:eastAsia="Arial" w:hAnsi="Arial"/>
                <w:sz w:val="18"/>
                <w:szCs w:val="18"/>
                <w:color w:val="auto"/>
              </w:rPr>
              <w:t>2002.</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35"/>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March 15, 2013</w:t>
      </w:r>
      <w:r>
        <w:rPr>
          <w:sz w:val="20"/>
          <w:szCs w:val="20"/>
          <w:color w:val="auto"/>
        </w:rPr>
        <w:tab/>
      </w:r>
      <w:r>
        <w:rPr>
          <w:rFonts w:ascii="Arial" w:cs="Arial" w:eastAsia="Arial" w:hAnsi="Arial"/>
          <w:sz w:val="16"/>
          <w:szCs w:val="16"/>
          <w:b w:val="1"/>
          <w:bCs w:val="1"/>
          <w:color w:val="auto"/>
        </w:rPr>
        <w:t>TPG SPECIALTY LENDING, INC.</w:t>
      </w:r>
    </w:p>
    <w:p>
      <w:pPr>
        <w:spacing w:after="0" w:line="2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114300</wp:posOffset>
            </wp:positionV>
            <wp:extent cx="37820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person whose signature appears below constitutes and appoints Michael Fishman and Ronald Cami,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2012,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15,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Signature</w:t>
            </w:r>
          </w:p>
        </w:tc>
        <w:tc>
          <w:tcPr>
            <w:tcW w:w="1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Michael Fishman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a Director (Principal Executive Officer)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color w:val="auto"/>
              </w:rPr>
              <w:t>/s/ John E. Viola</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4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Alan Kirshenbaum</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(Principal Accounting Officer)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color w:val="auto"/>
              </w:rPr>
              <w:t>/s/ Joshua Easterly</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and Chairman of the Board of Directors</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4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John A. Ross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Director and Chairman of the Audit Committee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color w:val="auto"/>
              </w:rPr>
              <w:t>/s/ Richard A. Higginbotham</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4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Ronald K. Tanemura</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40" w:type="dxa"/>
            <w:vAlign w:val="bottom"/>
            <w:gridSpan w:val="11"/>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Consolidated Balance Sheets as of December 31, 2012 and 2011</w:t>
              </w:r>
            </w:hyperlink>
          </w:p>
        </w:tc>
        <w:tc>
          <w:tcPr>
            <w:tcW w:w="640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0940" w:type="dxa"/>
            <w:vAlign w:val="bottom"/>
            <w:gridSpan w:val="11"/>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Consolidated Statements of Operations for Year Ended December 31, 2012, Year Ended December 31, 2011, and the period from July 21, 2010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(inception) to December 31, 2010</w:t>
              </w:r>
            </w:hyperlink>
          </w:p>
        </w:tc>
        <w:tc>
          <w:tcPr>
            <w:tcW w:w="7520" w:type="dxa"/>
            <w:vAlign w:val="bottom"/>
            <w:tcBorders>
              <w:top w:val="single" w:sz="8" w:color="0000EE"/>
            </w:tcBorders>
            <w:gridSpan w:val="6"/>
          </w:tcPr>
          <w:p>
            <w:pPr>
              <w:spacing w:after="0"/>
              <w:rPr>
                <w:sz w:val="17"/>
                <w:szCs w:val="17"/>
                <w:color w:val="auto"/>
              </w:rPr>
            </w:pPr>
          </w:p>
        </w:tc>
        <w:tc>
          <w:tcPr>
            <w:tcW w:w="8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52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4">
              <w:r>
                <w:rPr>
                  <w:rFonts w:ascii="Arial" w:cs="Arial" w:eastAsia="Arial" w:hAnsi="Arial"/>
                  <w:sz w:val="18"/>
                  <w:szCs w:val="18"/>
                  <w:color w:val="0000EE"/>
                  <w:w w:val="87"/>
                </w:rPr>
                <w:t>Consolidated Schedule of Investments as of December 31, 2012 and 2011</w:t>
              </w:r>
            </w:hyperlink>
          </w:p>
        </w:tc>
        <w:tc>
          <w:tcPr>
            <w:tcW w:w="574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0940" w:type="dxa"/>
            <w:vAlign w:val="bottom"/>
            <w:gridSpan w:val="11"/>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Consolidated Statements of Changes in Net Assets for the Year Ended December 31, 2012, Year Ended December 31, 2011, and the period from</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July 21, 2010 (inception) to December 31, 2010</w:t>
              </w:r>
            </w:hyperlink>
          </w:p>
        </w:tc>
        <w:tc>
          <w:tcPr>
            <w:tcW w:w="6600" w:type="dxa"/>
            <w:vAlign w:val="bottom"/>
            <w:tcBorders>
              <w:top w:val="single" w:sz="8" w:color="0000EE"/>
            </w:tcBorders>
            <w:gridSpan w:val="6"/>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1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Consolidated Statements of Cash Flows for Year Ended December 31, 2012, Year Ended December 31, 2011, and the period from July 21, 2010</w:t>
              </w:r>
            </w:hyperlink>
          </w:p>
        </w:tc>
        <w:tc>
          <w:tcPr>
            <w:tcW w:w="76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(inception) to December 31, 2010</w:t>
              </w:r>
            </w:hyperlink>
          </w:p>
        </w:tc>
        <w:tc>
          <w:tcPr>
            <w:tcW w:w="83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940" w:type="dxa"/>
            <w:vAlign w:val="bottom"/>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5"/>
        </w:trPr>
        <w:tc>
          <w:tcPr>
            <w:tcW w:w="220" w:type="dxa"/>
            <w:vAlign w:val="bottom"/>
            <w:tcBorders>
              <w:top w:val="single" w:sz="8" w:color="0000EE"/>
            </w:tcBorders>
          </w:tcPr>
          <w:p>
            <w:pPr>
              <w:spacing w:after="0"/>
              <w:rPr>
                <w:sz w:val="20"/>
                <w:szCs w:val="20"/>
                <w:color w:val="auto"/>
              </w:rPr>
            </w:pPr>
          </w:p>
        </w:tc>
        <w:tc>
          <w:tcPr>
            <w:tcW w:w="23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gridSpan w:val="4"/>
          </w:tcPr>
          <w:p>
            <w:pPr>
              <w:ind w:left="40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2012 and 2011, and the related consolidated statements of operations, changes in net assets, cash flows, and the financial highlights (included in Note 11) for the years ended December 31, 2012 and 2011 and for the period July 21, 2010 (inception) to December 31, 2010. These consolidated financial statements and financial highlights are the responsibility of the Company’s management. Our responsibility is to express an opinion on these consolidated financial statements and financial highlights based on our audits.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An audit includes examining, on a test basis, evidence supporting the amounts and disclosures in the financial statements. Our procedures included confirmation of securities owned as of December 31, 2012 and 2011,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our opinion, the consolidated financial statements and financial highlights referred to above present fairly, in all material respects, the financial position of TPG Specialty Lending, Inc. (and subsidiaries) as of December 31, 2012 and 2011, the results of their operations and their cash flows, the changes in net assets, and the financial highlights for the years ended December 31, 2012 and 2011 and for the period July 21, 2010 (inception) to December 31, 2010, in conformity with U.S. generally accepted accounting principles.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$644,421 and $140,255, respectively)</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$0 and $41,781, respectively)</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$644,421 and $182,036, respectively)</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161,825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331,836</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353,346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159,157</w:t>
            </w: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$0.01 par value; 100,000,000 and 10,000 shares authorized, respectively; 474,677 and 177,532 shares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respectively; and 473,678 and 176,533 shares outstanding, respectively</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469,709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Undistributed net realized gains on investments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479,803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1,012.93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94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47,046</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4,079</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2,724</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1,231</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9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51,011</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5,315</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6,020</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Management fees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8,892</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2,881</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1,563</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160" w:type="dxa"/>
            <w:vAlign w:val="bottom"/>
          </w:tcPr>
          <w:p>
            <w:pPr>
              <w:spacing w:after="0"/>
              <w:rPr>
                <w:sz w:val="20"/>
                <w:szCs w:val="20"/>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0"/>
                <w:szCs w:val="20"/>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9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28,075</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28,029</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Gains on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60" w:type="dxa"/>
            <w:vAlign w:val="bottom"/>
          </w:tcPr>
          <w:p>
            <w:pPr>
              <w:spacing w:after="0"/>
              <w:rPr>
                <w:sz w:val="18"/>
                <w:szCs w:val="18"/>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4,255</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280"/>
              <w:spacing w:after="0"/>
              <w:rPr>
                <w:sz w:val="20"/>
                <w:szCs w:val="20"/>
                <w:color w:val="auto"/>
              </w:rPr>
            </w:pPr>
            <w:r>
              <w:rPr>
                <w:rFonts w:ascii="Arial" w:cs="Arial" w:eastAsia="Arial" w:hAnsi="Arial"/>
                <w:sz w:val="18"/>
                <w:szCs w:val="18"/>
                <w:b w:val="1"/>
                <w:bCs w:val="1"/>
                <w:color w:val="auto"/>
              </w:rPr>
              <w:t>Total Net Gains on Investments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5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4"/>
                <w:szCs w:val="14"/>
                <w:color w:val="auto"/>
              </w:rPr>
            </w:pPr>
          </w:p>
        </w:tc>
        <w:tc>
          <w:tcPr>
            <w:tcW w:w="17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160" w:type="dxa"/>
            <w:vAlign w:val="bottom"/>
            <w:gridSpan w:val="3"/>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8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6"/>
              </w:rPr>
              <w:t>Interest</w:t>
            </w:r>
          </w:p>
        </w:tc>
        <w:tc>
          <w:tcPr>
            <w:tcW w:w="11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Date</w:t>
            </w:r>
          </w:p>
        </w:tc>
        <w:tc>
          <w:tcPr>
            <w:tcW w:w="9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Cost (2)</w:t>
            </w: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AFS Technologies, Inc. (3)(4)</w:t>
            </w:r>
          </w:p>
        </w:tc>
        <w:tc>
          <w:tcPr>
            <w:tcW w:w="1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9"/>
              </w:rPr>
              <w:t>Software provider for</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Senior secured loan</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9"/>
              </w:rPr>
              <w:t>food and beverage</w:t>
            </w: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($46,884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8/2015)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45,987</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Ecommerce Industries, Inc. (3)(4)</w:t>
            </w:r>
          </w:p>
        </w:tc>
        <w:tc>
          <w:tcPr>
            <w:tcW w:w="1520" w:type="dxa"/>
            <w:vAlign w:val="bottom"/>
          </w:tcPr>
          <w:p>
            <w:pPr>
              <w:spacing w:after="0"/>
              <w:rPr>
                <w:sz w:val="20"/>
                <w:szCs w:val="20"/>
                <w:color w:val="auto"/>
              </w:rPr>
            </w:pPr>
            <w:r>
              <w:rPr>
                <w:rFonts w:ascii="Arial" w:cs="Arial" w:eastAsia="Arial" w:hAnsi="Arial"/>
                <w:sz w:val="18"/>
                <w:szCs w:val="18"/>
                <w:color w:val="auto"/>
                <w:w w:val="85"/>
              </w:rPr>
              <w:t>ERP and eCommerce</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systems software</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($21,562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par, due 10/2016)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10/17/2011</w:t>
            </w:r>
          </w:p>
        </w:tc>
        <w:tc>
          <w:tcPr>
            <w:tcW w:w="620" w:type="dxa"/>
            <w:vAlign w:val="bottom"/>
          </w:tcPr>
          <w:p>
            <w:pPr>
              <w:jc w:val="right"/>
              <w:spacing w:after="0"/>
              <w:rPr>
                <w:sz w:val="20"/>
                <w:szCs w:val="20"/>
                <w:color w:val="auto"/>
              </w:rPr>
            </w:pPr>
            <w:r>
              <w:rPr>
                <w:rFonts w:ascii="Arial" w:cs="Arial" w:eastAsia="Arial" w:hAnsi="Arial"/>
                <w:sz w:val="18"/>
                <w:szCs w:val="18"/>
                <w:color w:val="auto"/>
              </w:rPr>
              <w:t>21,286</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21,808</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(3)(4)</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Multidiscipline</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7"/>
              </w:rPr>
              <w:t>simulation software</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($56,266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11/2017)</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12/23/2011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55,423</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55,984</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Federal Signal Corporation (3)(4)</w:t>
            </w:r>
          </w:p>
        </w:tc>
        <w:tc>
          <w:tcPr>
            <w:tcW w:w="1520" w:type="dxa"/>
            <w:vAlign w:val="bottom"/>
          </w:tcPr>
          <w:p>
            <w:pPr>
              <w:spacing w:after="0"/>
              <w:rPr>
                <w:sz w:val="20"/>
                <w:szCs w:val="20"/>
                <w:color w:val="auto"/>
              </w:rPr>
            </w:pPr>
            <w:r>
              <w:rPr>
                <w:rFonts w:ascii="Arial" w:cs="Arial" w:eastAsia="Arial" w:hAnsi="Arial"/>
                <w:sz w:val="18"/>
                <w:szCs w:val="18"/>
                <w:color w:val="auto"/>
              </w:rPr>
              <w:t>Manufacturer of</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safety, emergency</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($41,608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and heavy duty</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2/2017)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6"/>
              </w:rPr>
              <w:t>cleaning equipment</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2/22/2012</w:t>
            </w:r>
          </w:p>
        </w:tc>
        <w:tc>
          <w:tcPr>
            <w:tcW w:w="620" w:type="dxa"/>
            <w:vAlign w:val="bottom"/>
          </w:tcPr>
          <w:p>
            <w:pPr>
              <w:jc w:val="right"/>
              <w:spacing w:after="0"/>
              <w:rPr>
                <w:sz w:val="20"/>
                <w:szCs w:val="20"/>
                <w:color w:val="auto"/>
              </w:rPr>
            </w:pPr>
            <w:r>
              <w:rPr>
                <w:rFonts w:ascii="Arial" w:cs="Arial" w:eastAsia="Arial" w:hAnsi="Arial"/>
                <w:sz w:val="18"/>
                <w:szCs w:val="18"/>
                <w:color w:val="auto"/>
              </w:rPr>
              <w:t>40,897</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43,064</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Mannington Mills,</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(3)(4)</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residential flooring</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($50,537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3/2017)</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49,551</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Mandalay Baseball Properties, LLC (3)</w:t>
            </w:r>
          </w:p>
        </w:tc>
        <w:tc>
          <w:tcPr>
            <w:tcW w:w="1520" w:type="dxa"/>
            <w:vAlign w:val="bottom"/>
          </w:tcPr>
          <w:p>
            <w:pPr>
              <w:spacing w:after="0"/>
              <w:rPr>
                <w:sz w:val="20"/>
                <w:szCs w:val="20"/>
                <w:color w:val="auto"/>
              </w:rPr>
            </w:pPr>
            <w:r>
              <w:rPr>
                <w:rFonts w:ascii="Arial" w:cs="Arial" w:eastAsia="Arial" w:hAnsi="Arial"/>
                <w:sz w:val="18"/>
                <w:szCs w:val="18"/>
                <w:color w:val="auto"/>
                <w:w w:val="88"/>
              </w:rPr>
              <w:t>Sports Entertainment</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($28,414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4/2017)</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620" w:type="dxa"/>
            <w:vAlign w:val="bottom"/>
          </w:tcPr>
          <w:p>
            <w:pPr>
              <w:jc w:val="right"/>
              <w:spacing w:after="0"/>
              <w:rPr>
                <w:sz w:val="20"/>
                <w:szCs w:val="20"/>
                <w:color w:val="auto"/>
              </w:rPr>
            </w:pPr>
            <w:r>
              <w:rPr>
                <w:rFonts w:ascii="Arial" w:cs="Arial" w:eastAsia="Arial" w:hAnsi="Arial"/>
                <w:sz w:val="18"/>
                <w:szCs w:val="18"/>
                <w:color w:val="auto"/>
              </w:rPr>
              <w:t>27,684</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28,556</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operations</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($30,613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solutions</w:t>
            </w: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6/2017)</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30,346</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Attachmate</w:t>
            </w:r>
          </w:p>
        </w:tc>
        <w:tc>
          <w:tcPr>
            <w:tcW w:w="1520" w:type="dxa"/>
            <w:vAlign w:val="bottom"/>
          </w:tcPr>
          <w:p>
            <w:pPr>
              <w:spacing w:after="0"/>
              <w:rPr>
                <w:sz w:val="20"/>
                <w:szCs w:val="20"/>
                <w:color w:val="auto"/>
              </w:rPr>
            </w:pPr>
            <w:r>
              <w:rPr>
                <w:rFonts w:ascii="Arial" w:cs="Arial" w:eastAsia="Arial" w:hAnsi="Arial"/>
                <w:sz w:val="18"/>
                <w:szCs w:val="18"/>
                <w:color w:val="auto"/>
              </w:rPr>
              <w:t>Multidiscipline</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Corporation (3)(4)</w:t>
            </w:r>
          </w:p>
        </w:tc>
        <w:tc>
          <w:tcPr>
            <w:tcW w:w="1520" w:type="dxa"/>
            <w:vAlign w:val="bottom"/>
          </w:tcPr>
          <w:p>
            <w:pPr>
              <w:spacing w:after="0"/>
              <w:rPr>
                <w:sz w:val="20"/>
                <w:szCs w:val="20"/>
                <w:color w:val="auto"/>
              </w:rPr>
            </w:pPr>
            <w:r>
              <w:rPr>
                <w:rFonts w:ascii="Arial" w:cs="Arial" w:eastAsia="Arial" w:hAnsi="Arial"/>
                <w:sz w:val="18"/>
                <w:szCs w:val="18"/>
                <w:color w:val="auto"/>
                <w:w w:val="97"/>
              </w:rPr>
              <w:t>simulation software</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($926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11/2017)</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6/25/2012</w:t>
            </w: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eResearch</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Pharmaceutical</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Technology, Inc. (3)(4)</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research services</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($24,937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5/2018)</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24,626</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Teletrac, Inc. (3)(4)</w:t>
            </w:r>
          </w:p>
        </w:tc>
        <w:tc>
          <w:tcPr>
            <w:tcW w:w="1520" w:type="dxa"/>
            <w:vAlign w:val="bottom"/>
          </w:tcPr>
          <w:p>
            <w:pPr>
              <w:spacing w:after="0"/>
              <w:rPr>
                <w:sz w:val="20"/>
                <w:szCs w:val="20"/>
                <w:color w:val="auto"/>
              </w:rPr>
            </w:pPr>
            <w:r>
              <w:rPr>
                <w:rFonts w:ascii="Arial" w:cs="Arial" w:eastAsia="Arial" w:hAnsi="Arial"/>
                <w:sz w:val="18"/>
                <w:szCs w:val="18"/>
                <w:color w:val="auto"/>
                <w:w w:val="99"/>
              </w:rPr>
              <w:t>Fleet management</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solutions</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($17,413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7/2017)</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7/23/2012</w:t>
            </w:r>
          </w:p>
        </w:tc>
        <w:tc>
          <w:tcPr>
            <w:tcW w:w="620" w:type="dxa"/>
            <w:vAlign w:val="bottom"/>
          </w:tcPr>
          <w:p>
            <w:pPr>
              <w:jc w:val="right"/>
              <w:spacing w:after="0"/>
              <w:rPr>
                <w:sz w:val="20"/>
                <w:szCs w:val="20"/>
                <w:color w:val="auto"/>
              </w:rPr>
            </w:pPr>
            <w:r>
              <w:rPr>
                <w:rFonts w:ascii="Arial" w:cs="Arial" w:eastAsia="Arial" w:hAnsi="Arial"/>
                <w:sz w:val="18"/>
                <w:szCs w:val="18"/>
                <w:color w:val="auto"/>
              </w:rPr>
              <w:t>17,049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17,151</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Consona Holdings,</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Enterprise</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(3)(4)</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4"/>
              </w:rPr>
              <w:t>application software</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($29,925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solutions</w:t>
            </w: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8/2018)</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w w:val="98"/>
              </w:rPr>
              <w:t>Heartland Automotive Holdings, LLC (3)</w:t>
            </w:r>
          </w:p>
        </w:tc>
        <w:tc>
          <w:tcPr>
            <w:tcW w:w="1520" w:type="dxa"/>
            <w:vAlign w:val="bottom"/>
          </w:tcPr>
          <w:p>
            <w:pPr>
              <w:spacing w:after="0"/>
              <w:rPr>
                <w:sz w:val="20"/>
                <w:szCs w:val="20"/>
                <w:color w:val="auto"/>
              </w:rPr>
            </w:pPr>
            <w:r>
              <w:rPr>
                <w:rFonts w:ascii="Arial" w:cs="Arial" w:eastAsia="Arial" w:hAnsi="Arial"/>
                <w:sz w:val="18"/>
                <w:szCs w:val="18"/>
                <w:color w:val="auto"/>
              </w:rPr>
              <w:t>Preventive</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23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automotive</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($38,951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86"/>
              </w:rPr>
              <w:t>maintenance services</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6/2017)</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37,998</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38,075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Synagro Technologies, Inc. (3)</w:t>
            </w: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0"/>
              </w:rPr>
              <w:t>Recycling and waste</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1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($5,670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10/2014)</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Synagro Technologies,</w:t>
            </w:r>
          </w:p>
        </w:tc>
        <w:tc>
          <w:tcPr>
            <w:tcW w:w="1520" w:type="dxa"/>
            <w:vAlign w:val="bottom"/>
          </w:tcPr>
          <w:p>
            <w:pPr>
              <w:spacing w:after="0"/>
              <w:rPr>
                <w:sz w:val="20"/>
                <w:szCs w:val="20"/>
                <w:color w:val="auto"/>
              </w:rPr>
            </w:pPr>
            <w:r>
              <w:rPr>
                <w:rFonts w:ascii="Arial" w:cs="Arial" w:eastAsia="Arial" w:hAnsi="Arial"/>
                <w:sz w:val="18"/>
                <w:szCs w:val="18"/>
                <w:color w:val="auto"/>
                <w:w w:val="90"/>
              </w:rPr>
              <w:t>Recycling and waste</w:t>
            </w: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Senior secured loan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Inc. (3)</w:t>
            </w:r>
          </w:p>
        </w:tc>
        <w:tc>
          <w:tcPr>
            <w:tcW w:w="1520" w:type="dxa"/>
            <w:vAlign w:val="bottom"/>
          </w:tcPr>
          <w:p>
            <w:pPr>
              <w:spacing w:after="0"/>
              <w:rPr>
                <w:sz w:val="20"/>
                <w:szCs w:val="20"/>
                <w:color w:val="auto"/>
              </w:rPr>
            </w:pPr>
            <w:r>
              <w:rPr>
                <w:rFonts w:ascii="Arial" w:cs="Arial" w:eastAsia="Arial" w:hAnsi="Arial"/>
                <w:sz w:val="18"/>
                <w:szCs w:val="18"/>
                <w:color w:val="auto"/>
              </w:rPr>
              <w:t>management</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($3,134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gridSpan w:val="3"/>
          </w:tcPr>
          <w:p>
            <w:pPr>
              <w:ind w:left="200"/>
              <w:spacing w:after="0"/>
              <w:rPr>
                <w:sz w:val="20"/>
                <w:szCs w:val="20"/>
                <w:color w:val="auto"/>
              </w:rPr>
            </w:pPr>
            <w:r>
              <w:rPr>
                <w:rFonts w:ascii="Arial" w:cs="Arial" w:eastAsia="Arial" w:hAnsi="Arial"/>
                <w:sz w:val="18"/>
                <w:szCs w:val="18"/>
                <w:color w:val="auto"/>
              </w:rPr>
              <w:t>par, due 10/2014)</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2,813</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720"/>
              <w:spacing w:after="0"/>
              <w:rPr>
                <w:sz w:val="20"/>
                <w:szCs w:val="20"/>
                <w:color w:val="auto"/>
              </w:rPr>
            </w:pPr>
            <w:r>
              <w:rPr>
                <w:rFonts w:ascii="Arial" w:cs="Arial" w:eastAsia="Arial" w:hAnsi="Arial"/>
                <w:sz w:val="18"/>
                <w:szCs w:val="18"/>
                <w:color w:val="auto"/>
              </w:rPr>
              <w:t>F-5</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3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Industry</w:t>
            </w:r>
          </w:p>
        </w:tc>
        <w:tc>
          <w:tcPr>
            <w:tcW w:w="160" w:type="dxa"/>
            <w:vAlign w:val="bottom"/>
          </w:tcPr>
          <w:p>
            <w:pPr>
              <w:spacing w:after="0"/>
              <w:rPr>
                <w:sz w:val="14"/>
                <w:szCs w:val="14"/>
                <w:color w:val="auto"/>
              </w:rPr>
            </w:pPr>
          </w:p>
        </w:tc>
        <w:tc>
          <w:tcPr>
            <w:tcW w:w="16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7"/>
              </w:rPr>
              <w:t>Acquisition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020" w:type="dxa"/>
            <w:vAlign w:val="bottom"/>
            <w:gridSpan w:val="3"/>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6"/>
              </w:rPr>
              <w:t>Interest</w:t>
            </w:r>
          </w:p>
        </w:tc>
        <w:tc>
          <w:tcPr>
            <w:tcW w:w="1660" w:type="dxa"/>
            <w:vAlign w:val="bottom"/>
            <w:gridSpan w:val="2"/>
          </w:tcPr>
          <w:p>
            <w:pPr>
              <w:jc w:val="right"/>
              <w:ind w:right="1100"/>
              <w:spacing w:after="0" w:line="148" w:lineRule="exact"/>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rPr>
              <w:t>Cost (2)</w:t>
            </w:r>
          </w:p>
        </w:tc>
        <w:tc>
          <w:tcPr>
            <w:tcW w:w="24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24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International Equipment Solutions, Inc.</w:t>
            </w:r>
          </w:p>
        </w:tc>
        <w:tc>
          <w:tcPr>
            <w:tcW w:w="1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Engineered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1"/>
              </w:rPr>
              <w:t>Senior secured loan</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(3)(4)</w:t>
            </w:r>
          </w:p>
        </w:tc>
        <w:tc>
          <w:tcPr>
            <w:tcW w:w="2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($29,391 par, due</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9/2016)</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6"/>
        </w:trPr>
        <w:tc>
          <w:tcPr>
            <w:tcW w:w="3020" w:type="dxa"/>
            <w:vAlign w:val="bottom"/>
            <w:gridSpan w:val="3"/>
          </w:tcPr>
          <w:p>
            <w:pPr>
              <w:spacing w:after="0"/>
              <w:rPr>
                <w:sz w:val="20"/>
                <w:szCs w:val="20"/>
                <w:color w:val="auto"/>
              </w:rPr>
            </w:pPr>
            <w:r>
              <w:rPr>
                <w:rFonts w:ascii="Arial" w:cs="Arial" w:eastAsia="Arial" w:hAnsi="Arial"/>
                <w:sz w:val="18"/>
                <w:szCs w:val="18"/>
                <w:color w:val="auto"/>
              </w:rPr>
              <w:t>Mediware Information</w:t>
            </w:r>
          </w:p>
        </w:tc>
        <w:tc>
          <w:tcPr>
            <w:tcW w:w="1360" w:type="dxa"/>
            <w:vAlign w:val="bottom"/>
          </w:tcPr>
          <w:p>
            <w:pPr>
              <w:spacing w:after="0"/>
              <w:rPr>
                <w:sz w:val="20"/>
                <w:szCs w:val="20"/>
                <w:color w:val="auto"/>
              </w:rPr>
            </w:pPr>
            <w:r>
              <w:rPr>
                <w:rFonts w:ascii="Arial" w:cs="Arial" w:eastAsia="Arial" w:hAnsi="Arial"/>
                <w:sz w:val="18"/>
                <w:szCs w:val="18"/>
                <w:color w:val="auto"/>
              </w:rPr>
              <w:t>Healthcare</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w w:val="99"/>
              </w:rPr>
              <w:t>Senior secured loan</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Arial" w:cs="Arial" w:eastAsia="Arial" w:hAnsi="Arial"/>
                <w:sz w:val="18"/>
                <w:szCs w:val="18"/>
                <w:color w:val="auto"/>
              </w:rPr>
              <w:t>Systems, Inc. (3)(4)</w:t>
            </w:r>
          </w:p>
        </w:tc>
        <w:tc>
          <w:tcPr>
            <w:tcW w:w="1360" w:type="dxa"/>
            <w:vAlign w:val="bottom"/>
          </w:tcPr>
          <w:p>
            <w:pPr>
              <w:spacing w:after="0"/>
              <w:rPr>
                <w:sz w:val="20"/>
                <w:szCs w:val="20"/>
                <w:color w:val="auto"/>
              </w:rPr>
            </w:pPr>
            <w:r>
              <w:rPr>
                <w:rFonts w:ascii="Arial" w:cs="Arial" w:eastAsia="Arial" w:hAnsi="Arial"/>
                <w:sz w:val="18"/>
                <w:szCs w:val="18"/>
                <w:color w:val="auto"/>
                <w:w w:val="92"/>
              </w:rPr>
              <w:t>software solutions</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($50,500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5/2018)</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11/9/2012</w:t>
            </w:r>
          </w:p>
        </w:tc>
        <w:tc>
          <w:tcPr>
            <w:tcW w:w="680" w:type="dxa"/>
            <w:vAlign w:val="bottom"/>
          </w:tcPr>
          <w:p>
            <w:pPr>
              <w:jc w:val="right"/>
              <w:spacing w:after="0"/>
              <w:rPr>
                <w:sz w:val="20"/>
                <w:szCs w:val="20"/>
                <w:color w:val="auto"/>
              </w:rPr>
            </w:pPr>
            <w:r>
              <w:rPr>
                <w:rFonts w:ascii="Arial" w:cs="Arial" w:eastAsia="Arial" w:hAnsi="Arial"/>
                <w:sz w:val="18"/>
                <w:szCs w:val="18"/>
                <w:color w:val="auto"/>
              </w:rPr>
              <w:t>49,230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49,218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Talent</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 (3)</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($10,000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11/2018)</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11/16/2012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6"/>
        </w:trPr>
        <w:tc>
          <w:tcPr>
            <w:tcW w:w="3020" w:type="dxa"/>
            <w:vAlign w:val="bottom"/>
            <w:gridSpan w:val="3"/>
          </w:tcPr>
          <w:p>
            <w:pPr>
              <w:spacing w:after="0"/>
              <w:rPr>
                <w:sz w:val="20"/>
                <w:szCs w:val="20"/>
                <w:color w:val="auto"/>
              </w:rPr>
            </w:pPr>
            <w:r>
              <w:rPr>
                <w:rFonts w:ascii="Arial" w:cs="Arial" w:eastAsia="Arial" w:hAnsi="Arial"/>
                <w:sz w:val="18"/>
                <w:szCs w:val="18"/>
                <w:color w:val="auto"/>
              </w:rPr>
              <w:t>SumTotal Systems,</w:t>
            </w:r>
          </w:p>
        </w:tc>
        <w:tc>
          <w:tcPr>
            <w:tcW w:w="1360" w:type="dxa"/>
            <w:vAlign w:val="bottom"/>
          </w:tcPr>
          <w:p>
            <w:pPr>
              <w:spacing w:after="0"/>
              <w:rPr>
                <w:sz w:val="20"/>
                <w:szCs w:val="20"/>
                <w:color w:val="auto"/>
              </w:rPr>
            </w:pPr>
            <w:r>
              <w:rPr>
                <w:rFonts w:ascii="Arial" w:cs="Arial" w:eastAsia="Arial" w:hAnsi="Arial"/>
                <w:sz w:val="18"/>
                <w:szCs w:val="18"/>
                <w:color w:val="auto"/>
              </w:rPr>
              <w:t>Talent</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w w:val="99"/>
              </w:rPr>
              <w:t>Senior secured loan</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Arial" w:cs="Arial" w:eastAsia="Arial" w:hAnsi="Arial"/>
                <w:sz w:val="18"/>
                <w:szCs w:val="18"/>
                <w:color w:val="auto"/>
              </w:rPr>
              <w:t>LLC (3)</w:t>
            </w:r>
          </w:p>
        </w:tc>
        <w:tc>
          <w:tcPr>
            <w:tcW w:w="1360" w:type="dxa"/>
            <w:vAlign w:val="bottom"/>
          </w:tcPr>
          <w:p>
            <w:pPr>
              <w:spacing w:after="0"/>
              <w:rPr>
                <w:sz w:val="20"/>
                <w:szCs w:val="20"/>
                <w:color w:val="auto"/>
              </w:rPr>
            </w:pPr>
            <w:r>
              <w:rPr>
                <w:rFonts w:ascii="Arial" w:cs="Arial" w:eastAsia="Arial" w:hAnsi="Arial"/>
                <w:sz w:val="18"/>
                <w:szCs w:val="18"/>
                <w:color w:val="auto"/>
              </w:rPr>
              <w:t>development</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($5,000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software</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5/2018)</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10.25%</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11/16/2012</w:t>
            </w:r>
          </w:p>
        </w:tc>
        <w:tc>
          <w:tcPr>
            <w:tcW w:w="680" w:type="dxa"/>
            <w:vAlign w:val="bottom"/>
          </w:tcPr>
          <w:p>
            <w:pPr>
              <w:jc w:val="right"/>
              <w:spacing w:after="0"/>
              <w:rPr>
                <w:sz w:val="20"/>
                <w:szCs w:val="20"/>
                <w:color w:val="auto"/>
              </w:rPr>
            </w:pPr>
            <w:r>
              <w:rPr>
                <w:rFonts w:ascii="Arial" w:cs="Arial" w:eastAsia="Arial" w:hAnsi="Arial"/>
                <w:sz w:val="18"/>
                <w:szCs w:val="18"/>
                <w:color w:val="auto"/>
              </w:rPr>
              <w:t>4,950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4,925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Cross-platform</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($40,000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development tools</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11/2017)</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6"/>
        </w:trPr>
        <w:tc>
          <w:tcPr>
            <w:tcW w:w="3020" w:type="dxa"/>
            <w:vAlign w:val="bottom"/>
            <w:gridSpan w:val="3"/>
          </w:tcPr>
          <w:p>
            <w:pPr>
              <w:spacing w:after="0"/>
              <w:rPr>
                <w:sz w:val="20"/>
                <w:szCs w:val="20"/>
                <w:color w:val="auto"/>
              </w:rPr>
            </w:pPr>
            <w:r>
              <w:rPr>
                <w:rFonts w:ascii="Arial" w:cs="Arial" w:eastAsia="Arial" w:hAnsi="Arial"/>
                <w:sz w:val="18"/>
                <w:szCs w:val="18"/>
                <w:color w:val="auto"/>
                <w:w w:val="97"/>
              </w:rPr>
              <w:t>Embarcadero Technologies, Inc. (3)(4)</w:t>
            </w:r>
          </w:p>
        </w:tc>
        <w:tc>
          <w:tcPr>
            <w:tcW w:w="1360" w:type="dxa"/>
            <w:vAlign w:val="bottom"/>
          </w:tcPr>
          <w:p>
            <w:pPr>
              <w:spacing w:after="0"/>
              <w:rPr>
                <w:sz w:val="20"/>
                <w:szCs w:val="20"/>
                <w:color w:val="auto"/>
              </w:rPr>
            </w:pPr>
            <w:r>
              <w:rPr>
                <w:rFonts w:ascii="Arial" w:cs="Arial" w:eastAsia="Arial" w:hAnsi="Arial"/>
                <w:sz w:val="18"/>
                <w:szCs w:val="18"/>
                <w:color w:val="auto"/>
              </w:rPr>
              <w:t>Database</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w w:val="99"/>
              </w:rPr>
              <w:t>Senior secured loan</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management</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($59,714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software</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12/2017)</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58,223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58,221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Software,</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 (3)(4)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2"/>
              </w:rPr>
              <w:t>software solutions</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($37,500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12/2017)</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6"/>
        </w:trPr>
        <w:tc>
          <w:tcPr>
            <w:tcW w:w="3020" w:type="dxa"/>
            <w:vAlign w:val="bottom"/>
            <w:gridSpan w:val="3"/>
          </w:tcPr>
          <w:p>
            <w:pPr>
              <w:spacing w:after="0"/>
              <w:rPr>
                <w:sz w:val="20"/>
                <w:szCs w:val="20"/>
                <w:color w:val="auto"/>
              </w:rPr>
            </w:pPr>
            <w:r>
              <w:rPr>
                <w:rFonts w:ascii="Arial" w:cs="Arial" w:eastAsia="Arial" w:hAnsi="Arial"/>
                <w:sz w:val="18"/>
                <w:szCs w:val="18"/>
                <w:color w:val="auto"/>
              </w:rPr>
              <w:t>Sage Automotive Interiors, Inc. (3)(4)</w:t>
            </w:r>
          </w:p>
        </w:tc>
        <w:tc>
          <w:tcPr>
            <w:tcW w:w="1360" w:type="dxa"/>
            <w:vAlign w:val="bottom"/>
          </w:tcPr>
          <w:p>
            <w:pPr>
              <w:spacing w:after="0"/>
              <w:rPr>
                <w:sz w:val="20"/>
                <w:szCs w:val="20"/>
                <w:color w:val="auto"/>
              </w:rPr>
            </w:pPr>
            <w:r>
              <w:rPr>
                <w:rFonts w:ascii="Arial" w:cs="Arial" w:eastAsia="Arial" w:hAnsi="Arial"/>
                <w:sz w:val="18"/>
                <w:szCs w:val="18"/>
                <w:color w:val="auto"/>
              </w:rPr>
              <w:t>Automotive</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w w:val="99"/>
              </w:rPr>
              <w:t>Senior secured loan</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Interiors</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($19,878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12/2016)</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12/31/2012</w:t>
            </w:r>
          </w:p>
        </w:tc>
        <w:tc>
          <w:tcPr>
            <w:tcW w:w="680" w:type="dxa"/>
            <w:vAlign w:val="bottom"/>
          </w:tcPr>
          <w:p>
            <w:pPr>
              <w:jc w:val="right"/>
              <w:spacing w:after="0"/>
              <w:rPr>
                <w:sz w:val="20"/>
                <w:szCs w:val="20"/>
                <w:color w:val="auto"/>
              </w:rPr>
            </w:pPr>
            <w:r>
              <w:rPr>
                <w:rFonts w:ascii="Arial" w:cs="Arial" w:eastAsia="Arial" w:hAnsi="Arial"/>
                <w:sz w:val="18"/>
                <w:szCs w:val="18"/>
                <w:color w:val="auto"/>
              </w:rPr>
              <w:t>19,717</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19,679</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Senior Secured Loans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631,991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641,488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329"/>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Senior Secured Revolving Loans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 LLC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Preventive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(3)(4)</w:t>
            </w: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revolving loan ($555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par, due 6/2017)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Total Senior Secured Revolving Loans</w:t>
            </w: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Bonds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5"/>
              </w:rPr>
              <w:t>Checkers Drive-In Restaurants, Inc. (4)</w:t>
            </w:r>
          </w:p>
        </w:tc>
        <w:tc>
          <w:tcPr>
            <w:tcW w:w="1360" w:type="dxa"/>
            <w:vAlign w:val="bottom"/>
          </w:tcPr>
          <w:p>
            <w:pPr>
              <w:spacing w:after="0"/>
              <w:rPr>
                <w:sz w:val="20"/>
                <w:szCs w:val="20"/>
                <w:color w:val="auto"/>
              </w:rPr>
            </w:pPr>
            <w:r>
              <w:rPr>
                <w:rFonts w:ascii="Arial" w:cs="Arial" w:eastAsia="Arial" w:hAnsi="Arial"/>
                <w:sz w:val="18"/>
                <w:szCs w:val="18"/>
                <w:color w:val="auto"/>
                <w:w w:val="96"/>
              </w:rPr>
              <w:t>Full service chain</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Bond ($10,000 par,</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of restaurants</w:t>
            </w: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due 12/2017)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11/16/2012</w:t>
            </w:r>
          </w:p>
        </w:tc>
        <w:tc>
          <w:tcPr>
            <w:tcW w:w="680" w:type="dxa"/>
            <w:vAlign w:val="bottom"/>
          </w:tcPr>
          <w:p>
            <w:pPr>
              <w:jc w:val="right"/>
              <w:spacing w:after="0"/>
              <w:rPr>
                <w:sz w:val="20"/>
                <w:szCs w:val="20"/>
                <w:color w:val="auto"/>
              </w:rPr>
            </w:pPr>
            <w:r>
              <w:rPr>
                <w:rFonts w:ascii="Arial" w:cs="Arial" w:eastAsia="Arial" w:hAnsi="Arial"/>
                <w:sz w:val="18"/>
                <w:szCs w:val="18"/>
                <w:color w:val="auto"/>
              </w:rPr>
              <w:t>10,017</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10,025</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Corporate Bonds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9"/>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2"/>
              </w:rPr>
              <w:t>software solutions</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Class A</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(1,980 shares)</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Class B</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80" w:type="dxa"/>
            <w:vAlign w:val="bottom"/>
            <w:gridSpan w:val="3"/>
          </w:tcPr>
          <w:p>
            <w:pPr>
              <w:ind w:left="160"/>
              <w:spacing w:after="0"/>
              <w:rPr>
                <w:sz w:val="20"/>
                <w:szCs w:val="20"/>
                <w:color w:val="auto"/>
              </w:rPr>
            </w:pPr>
            <w:r>
              <w:rPr>
                <w:rFonts w:ascii="Arial" w:cs="Arial" w:eastAsia="Arial" w:hAnsi="Arial"/>
                <w:sz w:val="18"/>
                <w:szCs w:val="18"/>
                <w:color w:val="auto"/>
              </w:rPr>
              <w:t>(2,953,020 shares)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2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644,421</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4" w:lineRule="auto"/>
        <w:rPr>
          <w:sz w:val="20"/>
          <w:szCs w:val="20"/>
          <w:color w:val="auto"/>
        </w:rPr>
      </w:pPr>
      <w:r>
        <w:rPr>
          <w:rFonts w:ascii="Arial" w:cs="Arial" w:eastAsia="Arial" w:hAnsi="Arial"/>
          <w:sz w:val="18"/>
          <w:szCs w:val="18"/>
          <w:color w:val="auto"/>
        </w:rPr>
        <w:t>power to exercise control over the management or policies of such portfolio company. As of December 31, 2012, the Company does not “control” any of the portfolio companies. Certain portfolio company investments are subject to contractual restrictions on sales.</w:t>
      </w:r>
    </w:p>
    <w:p>
      <w:pPr>
        <w:ind w:left="460" w:right="50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2012</w:t>
      </w:r>
    </w:p>
    <w:tbl>
      <w:tblPr>
        <w:tblLayout w:type="fixed"/>
        <w:tblInd w:w="0" w:type="dxa"/>
        <w:tblCellMar>
          <w:top w:w="0" w:type="dxa"/>
          <w:left w:w="0" w:type="dxa"/>
          <w:bottom w:w="0" w:type="dxa"/>
          <w:right w:w="0" w:type="dxa"/>
        </w:tblCellMar>
      </w:tblPr>
      <w:tr>
        <w:trPr>
          <w:trHeight w:val="130"/>
        </w:trPr>
        <w:tc>
          <w:tcPr>
            <w:tcW w:w="56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500"/>
              <w:spacing w:after="0" w:line="130" w:lineRule="exact"/>
              <w:rPr>
                <w:sz w:val="20"/>
                <w:szCs w:val="20"/>
                <w:color w:val="auto"/>
              </w:rPr>
            </w:pPr>
            <w:r>
              <w:rPr>
                <w:rFonts w:ascii="Arial" w:cs="Arial" w:eastAsia="Arial" w:hAnsi="Arial"/>
                <w:sz w:val="14"/>
                <w:szCs w:val="14"/>
                <w:b w:val="1"/>
                <w:bCs w:val="1"/>
                <w:color w:val="auto"/>
              </w:rPr>
              <w:t>Fair</w:t>
            </w:r>
          </w:p>
        </w:tc>
        <w:tc>
          <w:tcPr>
            <w:tcW w:w="5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98"/>
              <w:spacing w:after="0" w:line="130"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378"/>
              <w:spacing w:after="0" w:line="130"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22"/>
              <w:spacing w:after="0" w:line="130"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Value at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320" w:type="dxa"/>
            <w:vAlign w:val="bottom"/>
          </w:tcPr>
          <w:p>
            <w:pPr>
              <w:spacing w:after="0"/>
              <w:rPr>
                <w:sz w:val="12"/>
                <w:szCs w:val="12"/>
                <w:color w:val="auto"/>
              </w:rPr>
            </w:pPr>
          </w:p>
        </w:tc>
        <w:tc>
          <w:tcPr>
            <w:tcW w:w="84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83"/>
              </w:rPr>
              <w:t>Reductions</w:t>
            </w:r>
          </w:p>
        </w:tc>
        <w:tc>
          <w:tcPr>
            <w:tcW w:w="140" w:type="dxa"/>
            <w:vAlign w:val="bottom"/>
          </w:tcPr>
          <w:p>
            <w:pPr>
              <w:spacing w:after="0"/>
              <w:rPr>
                <w:sz w:val="12"/>
                <w:szCs w:val="12"/>
                <w:color w:val="auto"/>
              </w:rPr>
            </w:pPr>
          </w:p>
        </w:tc>
        <w:tc>
          <w:tcPr>
            <w:tcW w:w="960" w:type="dxa"/>
            <w:vAlign w:val="bottom"/>
            <w:gridSpan w:val="3"/>
          </w:tcPr>
          <w:p>
            <w:pPr>
              <w:jc w:val="center"/>
              <w:ind w:right="258"/>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8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9"/>
              </w:rPr>
              <w:t>Value at</w:t>
            </w:r>
          </w:p>
        </w:tc>
        <w:tc>
          <w:tcPr>
            <w:tcW w:w="3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3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December 31, 2011</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2"/>
                <w:szCs w:val="12"/>
                <w:color w:val="auto"/>
              </w:rPr>
            </w:pPr>
          </w:p>
        </w:tc>
        <w:tc>
          <w:tcPr>
            <w:tcW w:w="840" w:type="dxa"/>
            <w:vAlign w:val="bottom"/>
            <w:gridSpan w:val="2"/>
          </w:tcPr>
          <w:p>
            <w:pPr>
              <w:jc w:val="center"/>
              <w:ind w:right="118"/>
              <w:spacing w:after="0" w:line="148" w:lineRule="exact"/>
              <w:rPr>
                <w:sz w:val="20"/>
                <w:szCs w:val="20"/>
                <w:color w:val="auto"/>
              </w:rPr>
            </w:pPr>
            <w:r>
              <w:rPr>
                <w:rFonts w:ascii="Arial" w:cs="Arial" w:eastAsia="Arial" w:hAnsi="Arial"/>
                <w:sz w:val="14"/>
                <w:szCs w:val="14"/>
                <w:b w:val="1"/>
                <w:bCs w:val="1"/>
                <w:color w:val="auto"/>
                <w:w w:val="89"/>
              </w:rPr>
              <w:t>(b)</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78"/>
              <w:spacing w:after="0" w:line="148" w:lineRule="exact"/>
              <w:rPr>
                <w:sz w:val="20"/>
                <w:szCs w:val="20"/>
                <w:color w:val="auto"/>
              </w:rPr>
            </w:pPr>
            <w:r>
              <w:rPr>
                <w:rFonts w:ascii="Arial" w:cs="Arial" w:eastAsia="Arial" w:hAnsi="Arial"/>
                <w:sz w:val="14"/>
                <w:szCs w:val="14"/>
                <w:b w:val="1"/>
                <w:bCs w:val="1"/>
                <w:color w:val="auto"/>
                <w:w w:val="79"/>
              </w:rPr>
              <w:t>Loss</w:t>
            </w:r>
          </w:p>
        </w:tc>
        <w:tc>
          <w:tcPr>
            <w:tcW w:w="10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December 31, 2012</w:t>
            </w:r>
          </w:p>
        </w:tc>
        <w:tc>
          <w:tcPr>
            <w:tcW w:w="320" w:type="dxa"/>
            <w:vAlign w:val="bottom"/>
          </w:tcPr>
          <w:p>
            <w:pPr>
              <w:spacing w:after="0"/>
              <w:rPr>
                <w:sz w:val="12"/>
                <w:szCs w:val="12"/>
                <w:color w:val="auto"/>
              </w:rPr>
            </w:pPr>
          </w:p>
        </w:tc>
        <w:tc>
          <w:tcPr>
            <w:tcW w:w="66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2"/>
                <w:szCs w:val="12"/>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12"/>
                <w:szCs w:val="12"/>
                <w:color w:val="auto"/>
              </w:rPr>
            </w:pPr>
          </w:p>
        </w:tc>
        <w:tc>
          <w:tcPr>
            <w:tcW w:w="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 (c)</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3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(58,316</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3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$ 1,231</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2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60" w:type="dxa"/>
            <w:vAlign w:val="bottom"/>
            <w:gridSpan w:val="3"/>
          </w:tcPr>
          <w:p>
            <w:pPr>
              <w:jc w:val="right"/>
              <w:ind w:right="5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$ 1,231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Acquisition</w:t>
            </w:r>
          </w:p>
        </w:tc>
        <w:tc>
          <w:tcPr>
            <w:tcW w:w="4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Amortized</w:t>
            </w: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2720" w:type="dxa"/>
            <w:vAlign w:val="bottom"/>
            <w:gridSpan w:val="3"/>
            <w:vMerge w:val="continue"/>
          </w:tcPr>
          <w:p>
            <w:pPr>
              <w:spacing w:after="0"/>
              <w:rPr>
                <w:sz w:val="12"/>
                <w:szCs w:val="12"/>
                <w:color w:val="auto"/>
              </w:rPr>
            </w:pPr>
          </w:p>
        </w:tc>
        <w:tc>
          <w:tcPr>
            <w:tcW w:w="1080" w:type="dxa"/>
            <w:vAlign w:val="bottom"/>
          </w:tcPr>
          <w:p>
            <w:pPr>
              <w:ind w:left="300"/>
              <w:spacing w:after="0" w:line="148" w:lineRule="exact"/>
              <w:rPr>
                <w:sz w:val="20"/>
                <w:szCs w:val="20"/>
                <w:color w:val="auto"/>
              </w:rPr>
            </w:pPr>
            <w:r>
              <w:rPr>
                <w:rFonts w:ascii="Arial" w:cs="Arial" w:eastAsia="Arial" w:hAnsi="Arial"/>
                <w:sz w:val="14"/>
                <w:szCs w:val="14"/>
                <w:b w:val="1"/>
                <w:bCs w:val="1"/>
                <w:color w:val="auto"/>
              </w:rPr>
              <w:t>Industry</w:t>
            </w:r>
          </w:p>
        </w:tc>
        <w:tc>
          <w:tcPr>
            <w:tcW w:w="280" w:type="dxa"/>
            <w:vAlign w:val="bottom"/>
          </w:tcPr>
          <w:p>
            <w:pPr>
              <w:spacing w:after="0"/>
              <w:rPr>
                <w:sz w:val="12"/>
                <w:szCs w:val="12"/>
                <w:color w:val="auto"/>
              </w:rPr>
            </w:pPr>
          </w:p>
        </w:tc>
        <w:tc>
          <w:tcPr>
            <w:tcW w:w="1240" w:type="dxa"/>
            <w:vAlign w:val="bottom"/>
          </w:tcPr>
          <w:p>
            <w:pPr>
              <w:ind w:left="300"/>
              <w:spacing w:after="0" w:line="148" w:lineRule="exact"/>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12"/>
                <w:szCs w:val="12"/>
                <w:color w:val="auto"/>
              </w:rPr>
            </w:pPr>
          </w:p>
        </w:tc>
        <w:tc>
          <w:tcPr>
            <w:tcW w:w="9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86"/>
              </w:rPr>
              <w:t>Interest</w:t>
            </w:r>
          </w:p>
        </w:tc>
        <w:tc>
          <w:tcPr>
            <w:tcW w:w="13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2"/>
                <w:szCs w:val="12"/>
                <w:color w:val="auto"/>
              </w:rPr>
            </w:pPr>
          </w:p>
        </w:tc>
        <w:tc>
          <w:tcPr>
            <w:tcW w:w="10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Cost (2)</w:t>
            </w:r>
          </w:p>
        </w:tc>
        <w:tc>
          <w:tcPr>
            <w:tcW w:w="660" w:type="dxa"/>
            <w:vAlign w:val="bottom"/>
          </w:tcPr>
          <w:p>
            <w:pPr>
              <w:jc w:val="right"/>
              <w:ind w:right="75"/>
              <w:spacing w:after="0" w:line="148" w:lineRule="exact"/>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Solarsoft, LP (f/k/a CMS-XKO</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Senior secured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Holding Company, LP (3)(4)</w:t>
            </w: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loan ($29,625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electrical</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w w:val="92"/>
              </w:rPr>
              <w:t>par, due 7/2016)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equipment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manufacturing</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8.50%</w:t>
            </w:r>
          </w:p>
        </w:tc>
        <w:tc>
          <w:tcPr>
            <w:tcW w:w="860" w:type="dxa"/>
            <w:vAlign w:val="bottom"/>
          </w:tcPr>
          <w:p>
            <w:pPr>
              <w:jc w:val="right"/>
              <w:spacing w:after="0"/>
              <w:rPr>
                <w:sz w:val="20"/>
                <w:szCs w:val="20"/>
                <w:color w:val="auto"/>
              </w:rPr>
            </w:pPr>
            <w:r>
              <w:rPr>
                <w:rFonts w:ascii="Arial" w:cs="Arial" w:eastAsia="Arial" w:hAnsi="Arial"/>
                <w:sz w:val="18"/>
                <w:szCs w:val="18"/>
                <w:color w:val="auto"/>
              </w:rPr>
              <w:t>7/8/2011</w:t>
            </w:r>
          </w:p>
        </w:tc>
        <w:tc>
          <w:tcPr>
            <w:tcW w:w="46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$ 29,052</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$ 29,181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Full service</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chain of</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loan ($26,250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par, due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8/2016)</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8/15/2011</w:t>
            </w:r>
          </w:p>
        </w:tc>
        <w:tc>
          <w:tcPr>
            <w:tcW w:w="4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25,717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16"/>
        </w:trPr>
        <w:tc>
          <w:tcPr>
            <w:tcW w:w="2720" w:type="dxa"/>
            <w:vAlign w:val="bottom"/>
            <w:gridSpan w:val="3"/>
          </w:tcPr>
          <w:p>
            <w:pPr>
              <w:spacing w:after="0"/>
              <w:rPr>
                <w:sz w:val="20"/>
                <w:szCs w:val="20"/>
                <w:color w:val="auto"/>
              </w:rPr>
            </w:pPr>
            <w:r>
              <w:rPr>
                <w:rFonts w:ascii="Arial" w:cs="Arial" w:eastAsia="Arial" w:hAnsi="Arial"/>
                <w:sz w:val="18"/>
                <w:szCs w:val="18"/>
                <w:color w:val="auto"/>
              </w:rPr>
              <w:t>AFS Technologies, Inc. (3)(5)</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Senior secured</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loan ($32,662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food and</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par, due</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beverage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9/2015)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companies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7.25%</w:t>
            </w:r>
          </w:p>
        </w:tc>
        <w:tc>
          <w:tcPr>
            <w:tcW w:w="860" w:type="dxa"/>
            <w:vAlign w:val="bottom"/>
          </w:tcPr>
          <w:p>
            <w:pPr>
              <w:jc w:val="right"/>
              <w:spacing w:after="0"/>
              <w:rPr>
                <w:sz w:val="20"/>
                <w:szCs w:val="20"/>
                <w:color w:val="auto"/>
              </w:rPr>
            </w:pPr>
            <w:r>
              <w:rPr>
                <w:rFonts w:ascii="Arial" w:cs="Arial" w:eastAsia="Arial" w:hAnsi="Arial"/>
                <w:sz w:val="18"/>
                <w:szCs w:val="18"/>
                <w:color w:val="auto"/>
              </w:rPr>
              <w:t>8/31/2011</w:t>
            </w:r>
          </w:p>
        </w:tc>
        <w:tc>
          <w:tcPr>
            <w:tcW w:w="46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31,876</w:t>
            </w:r>
          </w:p>
        </w:tc>
        <w:tc>
          <w:tcPr>
            <w:tcW w:w="660" w:type="dxa"/>
            <w:vAlign w:val="bottom"/>
          </w:tcPr>
          <w:p>
            <w:pPr>
              <w:jc w:val="right"/>
              <w:spacing w:after="0"/>
              <w:rPr>
                <w:sz w:val="20"/>
                <w:szCs w:val="20"/>
                <w:color w:val="auto"/>
              </w:rPr>
            </w:pPr>
            <w:r>
              <w:rPr>
                <w:rFonts w:ascii="Arial" w:cs="Arial" w:eastAsia="Arial" w:hAnsi="Arial"/>
                <w:sz w:val="18"/>
                <w:szCs w:val="18"/>
                <w:color w:val="auto"/>
              </w:rPr>
              <w:t>32,663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ERP and</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loan ($22,713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5"/>
              </w:rPr>
              <w:t>par, due 10/2016)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10/17/2011</w:t>
            </w:r>
          </w:p>
        </w:tc>
        <w:tc>
          <w:tcPr>
            <w:tcW w:w="4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22,357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16"/>
        </w:trPr>
        <w:tc>
          <w:tcPr>
            <w:tcW w:w="2720" w:type="dxa"/>
            <w:vAlign w:val="bottom"/>
            <w:gridSpan w:val="3"/>
          </w:tcPr>
          <w:p>
            <w:pPr>
              <w:spacing w:after="0"/>
              <w:rPr>
                <w:sz w:val="20"/>
                <w:szCs w:val="20"/>
                <w:color w:val="auto"/>
              </w:rPr>
            </w:pPr>
            <w:r>
              <w:rPr>
                <w:rFonts w:ascii="Arial" w:cs="Arial" w:eastAsia="Arial" w:hAnsi="Arial"/>
                <w:sz w:val="18"/>
                <w:szCs w:val="18"/>
                <w:color w:val="auto"/>
              </w:rPr>
              <w:t>Rogue Wave Holdings, Inc. (3)</w:t>
            </w:r>
          </w:p>
        </w:tc>
        <w:tc>
          <w:tcPr>
            <w:tcW w:w="1080" w:type="dxa"/>
            <w:vAlign w:val="bottom"/>
          </w:tcPr>
          <w:p>
            <w:pPr>
              <w:spacing w:after="0"/>
              <w:rPr>
                <w:sz w:val="20"/>
                <w:szCs w:val="20"/>
                <w:color w:val="auto"/>
              </w:rPr>
            </w:pPr>
            <w:r>
              <w:rPr>
                <w:rFonts w:ascii="Arial" w:cs="Arial" w:eastAsia="Arial" w:hAnsi="Arial"/>
                <w:sz w:val="18"/>
                <w:szCs w:val="18"/>
                <w:color w:val="auto"/>
                <w:w w:val="89"/>
              </w:rPr>
              <w:t>Cross-platform</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Senior secured</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loan ($14,672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development</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par, due</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tools</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8/2016)</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11.75%</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10/31/2011</w:t>
            </w:r>
          </w:p>
        </w:tc>
        <w:tc>
          <w:tcPr>
            <w:tcW w:w="46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14,550</w:t>
            </w:r>
          </w:p>
        </w:tc>
        <w:tc>
          <w:tcPr>
            <w:tcW w:w="660" w:type="dxa"/>
            <w:vAlign w:val="bottom"/>
          </w:tcPr>
          <w:p>
            <w:pPr>
              <w:jc w:val="right"/>
              <w:spacing w:after="0"/>
              <w:rPr>
                <w:sz w:val="20"/>
                <w:szCs w:val="20"/>
                <w:color w:val="auto"/>
              </w:rPr>
            </w:pPr>
            <w:r>
              <w:rPr>
                <w:rFonts w:ascii="Arial" w:cs="Arial" w:eastAsia="Arial" w:hAnsi="Arial"/>
                <w:sz w:val="18"/>
                <w:szCs w:val="18"/>
                <w:color w:val="auto"/>
              </w:rPr>
              <w:t>14,635</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4"/>
              </w:rPr>
              <w:t>Multidiscipline</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simulation</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loan ($35,000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par due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12/2016)</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12/23/2011</w:t>
            </w: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34,318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4"/>
              </w:rPr>
              <w:t>Total Senior Secured Loans</w:t>
            </w: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157,870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160,178</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Bonds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1080" w:type="dxa"/>
            <w:vAlign w:val="bottom"/>
          </w:tcPr>
          <w:p>
            <w:pPr>
              <w:spacing w:after="0"/>
              <w:rPr>
                <w:sz w:val="20"/>
                <w:szCs w:val="20"/>
                <w:color w:val="auto"/>
              </w:rPr>
            </w:pPr>
            <w:r>
              <w:rPr>
                <w:rFonts w:ascii="Arial" w:cs="Arial" w:eastAsia="Arial" w:hAnsi="Arial"/>
                <w:sz w:val="18"/>
                <w:szCs w:val="18"/>
                <w:color w:val="auto"/>
              </w:rPr>
              <w:t>Full service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chain of</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secured bond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restaurants</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($16,462 par,</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due 5/2014)</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9.25%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11/7/2011</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13,255</w:t>
            </w:r>
          </w:p>
        </w:tc>
        <w:tc>
          <w:tcPr>
            <w:tcW w:w="660" w:type="dxa"/>
            <w:vAlign w:val="bottom"/>
          </w:tcPr>
          <w:p>
            <w:pPr>
              <w:jc w:val="right"/>
              <w:spacing w:after="0"/>
              <w:rPr>
                <w:sz w:val="20"/>
                <w:szCs w:val="20"/>
                <w:color w:val="auto"/>
              </w:rPr>
            </w:pPr>
            <w:r>
              <w:rPr>
                <w:rFonts w:ascii="Arial" w:cs="Arial" w:eastAsia="Arial" w:hAnsi="Arial"/>
                <w:sz w:val="18"/>
                <w:szCs w:val="18"/>
                <w:color w:val="auto"/>
              </w:rPr>
              <w:t>13,170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secured bond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($1,250 par,</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due 5/2014)</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11/9/2011</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Bonds</w:t>
            </w: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14,261</w:t>
            </w:r>
          </w:p>
        </w:tc>
        <w:tc>
          <w:tcPr>
            <w:tcW w:w="660" w:type="dxa"/>
            <w:vAlign w:val="bottom"/>
          </w:tcPr>
          <w:p>
            <w:pPr>
              <w:jc w:val="right"/>
              <w:spacing w:after="0"/>
              <w:rPr>
                <w:sz w:val="20"/>
                <w:szCs w:val="20"/>
                <w:color w:val="auto"/>
              </w:rPr>
            </w:pPr>
            <w:r>
              <w:rPr>
                <w:rFonts w:ascii="Arial" w:cs="Arial" w:eastAsia="Arial" w:hAnsi="Arial"/>
                <w:sz w:val="18"/>
                <w:szCs w:val="18"/>
                <w:color w:val="auto"/>
              </w:rPr>
              <w:t>14,170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Equity</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20" w:type="dxa"/>
            <w:vAlign w:val="bottom"/>
            <w:gridSpan w:val="3"/>
          </w:tcPr>
          <w:p>
            <w:pPr>
              <w:spacing w:after="0"/>
              <w:rPr>
                <w:sz w:val="20"/>
                <w:szCs w:val="20"/>
                <w:color w:val="auto"/>
              </w:rPr>
            </w:pPr>
            <w:r>
              <w:rPr>
                <w:rFonts w:ascii="Arial" w:cs="Arial" w:eastAsia="Arial" w:hAnsi="Arial"/>
                <w:sz w:val="18"/>
                <w:szCs w:val="18"/>
                <w:color w:val="auto"/>
              </w:rPr>
              <w:t>AFS Technologies,</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Series B-1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Inc. (5)(6)</w:t>
            </w: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Preferred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food and</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beverage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(311,760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companies</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8/31/2011</w:t>
            </w:r>
          </w:p>
        </w:tc>
        <w:tc>
          <w:tcPr>
            <w:tcW w:w="46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1,297</w:t>
            </w:r>
          </w:p>
        </w:tc>
        <w:tc>
          <w:tcPr>
            <w:tcW w:w="660" w:type="dxa"/>
            <w:vAlign w:val="bottom"/>
          </w:tcPr>
          <w:p>
            <w:pPr>
              <w:jc w:val="right"/>
              <w:spacing w:after="0"/>
              <w:rPr>
                <w:sz w:val="20"/>
                <w:szCs w:val="20"/>
                <w:color w:val="auto"/>
              </w:rPr>
            </w:pPr>
            <w:r>
              <w:rPr>
                <w:rFonts w:ascii="Arial" w:cs="Arial" w:eastAsia="Arial" w:hAnsi="Arial"/>
                <w:sz w:val="18"/>
                <w:szCs w:val="18"/>
                <w:color w:val="auto"/>
              </w:rPr>
              <w:t>1,309</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right"/>
              <w:ind w:right="700"/>
              <w:spacing w:after="0"/>
              <w:rPr>
                <w:sz w:val="20"/>
                <w:szCs w:val="20"/>
                <w:color w:val="auto"/>
              </w:rPr>
            </w:pPr>
            <w:r>
              <w:rPr>
                <w:rFonts w:ascii="Arial" w:cs="Arial" w:eastAsia="Arial" w:hAnsi="Arial"/>
                <w:sz w:val="18"/>
                <w:szCs w:val="18"/>
                <w:color w:val="auto"/>
              </w:rPr>
              <w:t>F-8</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Acquisition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36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02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Industry</w:t>
            </w:r>
          </w:p>
        </w:tc>
        <w:tc>
          <w:tcPr>
            <w:tcW w:w="280" w:type="dxa"/>
            <w:vAlign w:val="bottom"/>
          </w:tcPr>
          <w:p>
            <w:pPr>
              <w:spacing w:after="0"/>
              <w:rPr>
                <w:sz w:val="12"/>
                <w:szCs w:val="12"/>
                <w:color w:val="auto"/>
              </w:rPr>
            </w:pPr>
          </w:p>
        </w:tc>
        <w:tc>
          <w:tcPr>
            <w:tcW w:w="10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Investment</w:t>
            </w:r>
          </w:p>
        </w:tc>
        <w:tc>
          <w:tcPr>
            <w:tcW w:w="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Interest</w:t>
            </w:r>
          </w:p>
        </w:tc>
        <w:tc>
          <w:tcPr>
            <w:tcW w:w="170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rPr>
              <w:t>Cost (2)</w:t>
            </w:r>
          </w:p>
        </w:tc>
        <w:tc>
          <w:tcPr>
            <w:tcW w:w="360" w:type="dxa"/>
            <w:vAlign w:val="bottom"/>
          </w:tcPr>
          <w:p>
            <w:pPr>
              <w:spacing w:after="0"/>
              <w:rPr>
                <w:sz w:val="12"/>
                <w:szCs w:val="12"/>
                <w:color w:val="auto"/>
              </w:rPr>
            </w:pPr>
          </w:p>
        </w:tc>
        <w:tc>
          <w:tcPr>
            <w:tcW w:w="104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AFS Technologies,</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Series</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(5)(6)</w:t>
            </w: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provider</w:t>
            </w: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B-2</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for food</w:t>
            </w: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Preferred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and</w:t>
            </w: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Stock</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5"/>
              </w:rPr>
              <w:t>beverage</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5"/>
              </w:rPr>
              <w:t>(2,069,193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2"/>
              </w:rPr>
              <w:t>companies</w:t>
            </w: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8/31/2011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8,691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9,905</w:t>
            </w:r>
          </w:p>
        </w:tc>
        <w:tc>
          <w:tcPr>
            <w:tcW w:w="36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182,036</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jc w:val="both"/>
        <w:ind w:left="460" w:right="40" w:hanging="452"/>
        <w:spacing w:after="0" w:line="300"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0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2011</w:t>
      </w:r>
    </w:p>
    <w:tbl>
      <w:tblPr>
        <w:tblLayout w:type="fixed"/>
        <w:tblInd w:w="0" w:type="dxa"/>
        <w:tblCellMar>
          <w:top w:w="0" w:type="dxa"/>
          <w:left w:w="0" w:type="dxa"/>
          <w:bottom w:w="0" w:type="dxa"/>
          <w:right w:w="0" w:type="dxa"/>
        </w:tblCellMar>
      </w:tblPr>
      <w:tr>
        <w:trPr>
          <w:trHeight w:val="130"/>
        </w:trPr>
        <w:tc>
          <w:tcPr>
            <w:tcW w:w="60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122"/>
              <w:spacing w:after="0" w:line="130" w:lineRule="exact"/>
              <w:rPr>
                <w:sz w:val="20"/>
                <w:szCs w:val="20"/>
                <w:color w:val="auto"/>
              </w:rPr>
            </w:pPr>
            <w:r>
              <w:rPr>
                <w:rFonts w:ascii="Arial" w:cs="Arial" w:eastAsia="Arial" w:hAnsi="Arial"/>
                <w:sz w:val="14"/>
                <w:szCs w:val="14"/>
                <w:b w:val="1"/>
                <w:bCs w:val="1"/>
                <w:color w:val="auto"/>
              </w:rPr>
              <w:t>Fair</w:t>
            </w:r>
          </w:p>
        </w:tc>
        <w:tc>
          <w:tcPr>
            <w:tcW w:w="5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638"/>
              <w:spacing w:after="0" w:line="130"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42"/>
              <w:spacing w:after="0" w:line="130" w:lineRule="exact"/>
              <w:rPr>
                <w:sz w:val="20"/>
                <w:szCs w:val="20"/>
                <w:color w:val="auto"/>
              </w:rPr>
            </w:pPr>
            <w:r>
              <w:rPr>
                <w:rFonts w:ascii="Arial" w:cs="Arial" w:eastAsia="Arial" w:hAnsi="Arial"/>
                <w:sz w:val="14"/>
                <w:szCs w:val="14"/>
                <w:b w:val="1"/>
                <w:bCs w:val="1"/>
                <w:color w:val="auto"/>
              </w:rPr>
              <w:t>Net</w:t>
            </w: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760"/>
              <w:spacing w:after="0" w:line="130" w:lineRule="exact"/>
              <w:rPr>
                <w:sz w:val="20"/>
                <w:szCs w:val="20"/>
                <w:color w:val="auto"/>
              </w:rPr>
            </w:pPr>
            <w:r>
              <w:rPr>
                <w:rFonts w:ascii="Arial" w:cs="Arial" w:eastAsia="Arial" w:hAnsi="Arial"/>
                <w:sz w:val="14"/>
                <w:szCs w:val="14"/>
                <w:b w:val="1"/>
                <w:bCs w:val="1"/>
                <w:color w:val="auto"/>
              </w:rPr>
              <w:t>Fair</w:t>
            </w:r>
          </w:p>
        </w:tc>
        <w:tc>
          <w:tcPr>
            <w:tcW w:w="5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23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Value at</w:t>
            </w:r>
          </w:p>
        </w:tc>
        <w:tc>
          <w:tcPr>
            <w:tcW w:w="5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Additions</w:t>
            </w:r>
          </w:p>
        </w:tc>
        <w:tc>
          <w:tcPr>
            <w:tcW w:w="2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Value at</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58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1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December 31, 2010</w:t>
            </w:r>
          </w:p>
        </w:tc>
        <w:tc>
          <w:tcPr>
            <w:tcW w:w="540" w:type="dxa"/>
            <w:vAlign w:val="bottom"/>
          </w:tcPr>
          <w:p>
            <w:pPr>
              <w:spacing w:after="0"/>
              <w:rPr>
                <w:sz w:val="14"/>
                <w:szCs w:val="14"/>
                <w:color w:val="auto"/>
              </w:rPr>
            </w:pPr>
          </w:p>
        </w:tc>
        <w:tc>
          <w:tcPr>
            <w:tcW w:w="8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738"/>
              <w:spacing w:after="0" w:line="148" w:lineRule="exact"/>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52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w w:val="87"/>
              </w:rPr>
              <w:t>Gains</w:t>
            </w:r>
          </w:p>
        </w:tc>
        <w:tc>
          <w:tcPr>
            <w:tcW w:w="540" w:type="dxa"/>
            <w:vAlign w:val="bottom"/>
          </w:tcPr>
          <w:p>
            <w:pPr>
              <w:spacing w:after="0"/>
              <w:rPr>
                <w:sz w:val="14"/>
                <w:szCs w:val="14"/>
                <w:color w:val="auto"/>
              </w:rPr>
            </w:pPr>
          </w:p>
        </w:tc>
        <w:tc>
          <w:tcPr>
            <w:tcW w:w="16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December 31, 2011</w:t>
            </w: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Income</w:t>
            </w:r>
          </w:p>
        </w:tc>
        <w:tc>
          <w:tcPr>
            <w:tcW w:w="580" w:type="dxa"/>
            <w:vAlign w:val="bottom"/>
          </w:tcPr>
          <w:p>
            <w:pPr>
              <w:spacing w:after="0"/>
              <w:rPr>
                <w:sz w:val="14"/>
                <w:szCs w:val="14"/>
                <w:color w:val="auto"/>
              </w:rPr>
            </w:pPr>
          </w:p>
        </w:tc>
        <w:tc>
          <w:tcPr>
            <w:tcW w:w="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42,618</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w:t>
            </w:r>
          </w:p>
        </w:tc>
        <w:tc>
          <w:tcPr>
            <w:tcW w:w="580" w:type="dxa"/>
            <w:vAlign w:val="bottom"/>
            <w:tcBorders>
              <w:top w:val="single" w:sz="8" w:color="CCEEFF"/>
            </w:tcBorders>
            <w:shd w:val="clear" w:color="auto" w:fill="CCEEFF"/>
          </w:tcPr>
          <w:p>
            <w:pPr>
              <w:jc w:val="right"/>
              <w:ind w:right="4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882</w:t>
            </w: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42,618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38"/>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882</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42,663</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540" w:type="dxa"/>
            <w:vAlign w:val="bottom"/>
          </w:tcPr>
          <w:p>
            <w:pPr>
              <w:spacing w:after="0"/>
              <w:rPr>
                <w:sz w:val="18"/>
                <w:szCs w:val="18"/>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(1,499)</w:t>
            </w: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7,211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(29,770)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(649)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Transactions</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172,278</w:t>
            </w: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b w:val="1"/>
                <w:bCs w:val="1"/>
                <w:color w:val="auto"/>
              </w:rPr>
              <w:t>Total Increase in Net Assets</w:t>
            </w:r>
          </w:p>
        </w:tc>
        <w:tc>
          <w:tcPr>
            <w:tcW w:w="140" w:type="dxa"/>
            <w:vAlign w:val="bottom"/>
          </w:tcPr>
          <w:p>
            <w:pPr>
              <w:spacing w:after="0"/>
              <w:rPr>
                <w:sz w:val="19"/>
                <w:szCs w:val="19"/>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306,711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173,091</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173,092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b w:val="1"/>
                <w:bCs w:val="1"/>
                <w:color w:val="auto"/>
              </w:rPr>
              <w:t>Net Assets,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479,803</w:t>
            </w:r>
          </w:p>
        </w:tc>
        <w:tc>
          <w:tcPr>
            <w:tcW w:w="540" w:type="dxa"/>
            <w:vAlign w:val="bottom"/>
          </w:tcPr>
          <w:p>
            <w:pPr>
              <w:spacing w:after="0"/>
              <w:rPr>
                <w:sz w:val="19"/>
                <w:szCs w:val="19"/>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173,092</w:t>
            </w:r>
          </w:p>
        </w:tc>
        <w:tc>
          <w:tcPr>
            <w:tcW w:w="540" w:type="dxa"/>
            <w:vAlign w:val="bottom"/>
          </w:tcPr>
          <w:p>
            <w:pPr>
              <w:spacing w:after="0"/>
              <w:rPr>
                <w:sz w:val="19"/>
                <w:szCs w:val="19"/>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Undistributed Net Investment Income Included in Net Assets at the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End of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(1,016)</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(2,094)</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39,595</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813</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increase in net assets resulting from operations to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used in operating activities: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(7,211)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(2,312)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(4,489)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(343)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(760,668)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(184,196)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119,126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190,594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2,503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(6,292)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(1,008)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3,706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1,057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1,324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1,171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(430,099)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(182,128)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1,332,688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304,000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(1,155,852)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(149,000)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(5,328)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287,692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172,928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Dividend paid to stockholders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(10,968)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448,232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325,819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18,133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143,691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143,692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161,825</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143,692</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3,580</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314</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declared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29,770</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649</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9,194</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1,870</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78" w:lineRule="exact"/>
        <w:rPr>
          <w:sz w:val="20"/>
          <w:szCs w:val="20"/>
          <w:color w:val="auto"/>
        </w:rPr>
      </w:pPr>
    </w:p>
    <w:p>
      <w:pPr>
        <w:ind w:right="8220" w:firstLine="8"/>
        <w:spacing w:after="0" w:line="347" w:lineRule="auto"/>
        <w:tabs>
          <w:tab w:leader="none" w:pos="17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significant intercompany balances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40" w:firstLine="8"/>
        <w:spacing w:after="0" w:line="347"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at Fair Value</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December 31, 2012, the independent third-party valuation firm performed its procedures on the majority (determined by fair value) of investments that were valued in good faith by the Board which have been outstanding for greater than 45 days. Upon completion of such limited procedures, the third-party valuation firm determined that the fair value, as determined by the Board, of those investments subjected to their limited procedures was reasonable.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Loan fees received at the closing of a loan where no services have been provided are deferred and amortized into interest income over the investment’s contractual life using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Cash advances received in respect of transaction-related expenses are recorded as Cash and cash equivalents with an offset to Other accrued expenses and payables to affiliates. Other accrued expenses and payables to affiliates is relieved as reimbursable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2012.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plans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4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100" w:firstLine="8"/>
        <w:spacing w:after="0" w:line="287" w:lineRule="auto"/>
        <w:tabs>
          <w:tab w:leader="none" w:pos="2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3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3 disclosures are required, including a narrative description of the sensitivity of the fair value measurement to changes in unobservable inputs. ASU 2011-04 is effective for interim and annual periods beginning after December 15, 2011. The Company has adopted ASU 2011-04 as of January 1, 2012. The adoption of ASU 2011-04 did not have a material impact on the Company’s financial position or results of operations.</w:t>
      </w:r>
    </w:p>
    <w:p>
      <w:pPr>
        <w:spacing w:after="0" w:line="199" w:lineRule="exact"/>
        <w:rPr>
          <w:sz w:val="20"/>
          <w:szCs w:val="20"/>
          <w:color w:val="auto"/>
        </w:rPr>
      </w:pPr>
    </w:p>
    <w:p>
      <w:pPr>
        <w:ind w:right="7900" w:firstLine="8"/>
        <w:spacing w:after="0" w:line="347" w:lineRule="auto"/>
        <w:tabs>
          <w:tab w:leader="none" w:pos="17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Administration Agreement also provides for reimbursement of certain initial organization costs incurred prior to the commencement of the Company’s operations (up to an aggregate of $1.5 million). During the year ended December 31, 2011, initial organization costs exceeded $1.5 million and accordingly, a corresponding amount was recorded in the consolidated financial statements and paid to the Adviser.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years ended December 31, 2012 and 2011, the Company incurred expenses of $1.0 million and $0.3 million, respectively, for administrative services payable to the Adviser under the terms of the Administration Agreement. The Company did not incur any expenses for administrative services payable to the Adviser during the period July 21, 2010 (inception) to December 31, 2010.</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Unless earlier terminated as described below, the Administration Agreement will remain in effect until March 15, 2013, and may be extended subject to required approvals. The Administration Agreement may be terminated by either party without penalty upon at least 60 days’ written notice to the other party.</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jc w:val="both"/>
        <w:ind w:right="140" w:firstLine="456"/>
        <w:spacing w:after="0" w:line="318" w:lineRule="auto"/>
        <w:rPr>
          <w:sz w:val="20"/>
          <w:szCs w:val="20"/>
          <w:color w:val="auto"/>
        </w:rPr>
      </w:pPr>
      <w:r>
        <w:rPr>
          <w:rFonts w:ascii="Arial" w:cs="Arial" w:eastAsia="Arial" w:hAnsi="Arial"/>
          <w:sz w:val="15"/>
          <w:szCs w:val="15"/>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the years ended December 31, 2012 and 2011, Management Fees were $8.9 million and $1.6 million, respectively. The Company did not incur any Management Fees during the period July 21, 2010 (inception) to December 31, 2010.</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the years ended December 31, 2012 and 2011, Management Fees of $3.7 million and $7 thousand, respectively, were waived. No management fees were waived during the period July 21, 2010 (inception) to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 For the year ended December 31, 2012, Incentive Fees were $7.0 million of which $5.7 million were realized and payable to the Adviser.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year ended December 31, 2011, Incentive Fees were $0.3 million none of which were realized and payable to the Adviser. The Company did not incur any Incentive Fees during the period July 21, 2010 (inception) to December 31, 2010.</w:t>
      </w:r>
    </w:p>
    <w:p>
      <w:pPr>
        <w:spacing w:after="0" w:line="13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2012 and 2011, were $3.8 million and $2.3 million, respectively. The Adviser did not incur any expenses during the period July 21, 2010 (inception) to December 31, 2010 for which the Company was required to reimburse 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1"/>
                <w:szCs w:val="11"/>
                <w:color w:val="auto"/>
              </w:rPr>
            </w:pPr>
          </w:p>
        </w:tc>
      </w:tr>
      <w:tr>
        <w:trPr>
          <w:trHeight w:val="161"/>
        </w:trPr>
        <w:tc>
          <w:tcPr>
            <w:tcW w:w="51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Amortized Cost (1)</w:t>
            </w:r>
          </w:p>
        </w:tc>
        <w:tc>
          <w:tcPr>
            <w:tcW w:w="84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642,421</w:t>
            </w:r>
          </w:p>
        </w:tc>
        <w:tc>
          <w:tcPr>
            <w:tcW w:w="8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$651,944</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Common equity</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644,421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1"/>
                <w:szCs w:val="11"/>
                <w:color w:val="auto"/>
              </w:rPr>
            </w:pPr>
          </w:p>
        </w:tc>
      </w:tr>
      <w:tr>
        <w:trPr>
          <w:trHeight w:val="161"/>
        </w:trPr>
        <w:tc>
          <w:tcPr>
            <w:tcW w:w="51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Amortized Cost (1)</w:t>
            </w:r>
          </w:p>
        </w:tc>
        <w:tc>
          <w:tcPr>
            <w:tcW w:w="84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172,131</w:t>
            </w:r>
          </w:p>
        </w:tc>
        <w:tc>
          <w:tcPr>
            <w:tcW w:w="8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$174,348</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8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right="220" w:hanging="567"/>
        <w:spacing w:after="0" w:line="268"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2012 and 2011,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2012</w:t>
            </w:r>
          </w:p>
        </w:tc>
        <w:tc>
          <w:tcPr>
            <w:tcW w:w="1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December 31, 2011</w:t>
            </w:r>
          </w:p>
        </w:tc>
        <w:tc>
          <w:tcPr>
            <w:tcW w:w="20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Healthcare software solutions</w:t>
            </w:r>
          </w:p>
        </w:tc>
        <w:tc>
          <w:tcPr>
            <w:tcW w:w="1500" w:type="dxa"/>
            <w:vAlign w:val="bottom"/>
            <w:tcBorders>
              <w:right w:val="single" w:sz="8" w:color="CCEEFF"/>
            </w:tcBorders>
            <w:shd w:val="clear" w:color="auto" w:fill="CCEEFF"/>
          </w:tcPr>
          <w:p>
            <w:pPr>
              <w:spacing w:after="0"/>
              <w:rPr>
                <w:sz w:val="18"/>
                <w:szCs w:val="18"/>
                <w:color w:val="auto"/>
              </w:rPr>
            </w:pP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13.4%</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Database management software</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Multidiscipline simulation software</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8.7%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Commercial and residential flooring</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8.1%</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7.1%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Safety equipment manufacturer</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6.6%</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6.1%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Preventive automotive maintenance services</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Business operations management solutions</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Enterprise application software solutions</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Sports entertainment</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Engineered equipment manufacturing</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4.4%</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research services</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ERP and eCommerce systems software</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interiors</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Fleet management solutions</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2.6%</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Talent development software</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Full service chain of restaurants</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waste management</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5"/>
              </w:rPr>
              <w:t>Software provider for electrical equipment manufacturing</w:t>
            </w:r>
          </w:p>
        </w:tc>
        <w:tc>
          <w:tcPr>
            <w:tcW w:w="1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Borders>
              <w:lef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right w:val="single" w:sz="8" w:color="CCEEFF"/>
            </w:tcBorders>
            <w:shd w:val="clear" w:color="auto" w:fill="CCEEFF"/>
          </w:tcPr>
          <w:p>
            <w:pPr>
              <w:spacing w:after="0"/>
              <w:rPr>
                <w:sz w:val="18"/>
                <w:szCs w:val="18"/>
                <w:color w:val="auto"/>
              </w:rPr>
            </w:pP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6300" w:type="dxa"/>
            <w:vAlign w:val="bottom"/>
            <w:gridSpan w:val="3"/>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0"/>
        </w:trPr>
        <w:tc>
          <w:tcPr>
            <w:tcW w:w="8740" w:type="dxa"/>
            <w:vAlign w:val="bottom"/>
            <w:gridSpan w:val="5"/>
          </w:tcPr>
          <w:p>
            <w:pPr>
              <w:jc w:val="right"/>
              <w:ind w:right="1460"/>
              <w:spacing w:after="0"/>
              <w:rPr>
                <w:sz w:val="20"/>
                <w:szCs w:val="20"/>
                <w:color w:val="auto"/>
              </w:rPr>
            </w:pPr>
            <w:r>
              <w:rPr>
                <w:rFonts w:ascii="Arial" w:cs="Arial" w:eastAsia="Arial" w:hAnsi="Arial"/>
                <w:sz w:val="18"/>
                <w:szCs w:val="18"/>
                <w:color w:val="auto"/>
                <w:w w:val="88"/>
              </w:rPr>
              <w:t>The geographic composition of Investments at fair value at December 31, 2012 and 2011,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2"/>
              </w:rPr>
              <w:t>December 31, 2012</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December 31, 2011</w:t>
            </w:r>
          </w:p>
        </w:tc>
      </w:tr>
      <w:tr>
        <w:trPr>
          <w:trHeight w:val="196"/>
        </w:trPr>
        <w:tc>
          <w:tcPr>
            <w:tcW w:w="46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500" w:type="dxa"/>
            <w:vAlign w:val="bottom"/>
            <w:tcBorders>
              <w:top w:val="single" w:sz="8" w:color="CCEEFF"/>
              <w:righ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Midwest</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18.8%</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South</w:t>
            </w: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9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37.7%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Canada</w:t>
            </w:r>
          </w:p>
        </w:tc>
        <w:tc>
          <w:tcPr>
            <w:tcW w:w="1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right w:val="single" w:sz="8" w:color="CCEEFF"/>
            </w:tcBorders>
            <w:shd w:val="clear" w:color="auto" w:fill="CCEEFF"/>
          </w:tcPr>
          <w:p>
            <w:pPr>
              <w:spacing w:after="0"/>
              <w:rPr>
                <w:sz w:val="18"/>
                <w:szCs w:val="18"/>
                <w:color w:val="auto"/>
              </w:rPr>
            </w:pP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940" w:type="dxa"/>
            <w:vAlign w:val="bottom"/>
            <w:gridSpan w:val="3"/>
          </w:tcPr>
          <w:p>
            <w:pPr>
              <w:jc w:val="right"/>
              <w:ind w:right="3320"/>
              <w:spacing w:after="0"/>
              <w:rPr>
                <w:sz w:val="20"/>
                <w:szCs w:val="20"/>
                <w:color w:val="auto"/>
              </w:rPr>
            </w:pPr>
            <w:r>
              <w:rPr>
                <w:rFonts w:ascii="Arial" w:cs="Arial" w:eastAsia="Arial" w:hAnsi="Arial"/>
                <w:sz w:val="18"/>
                <w:szCs w:val="18"/>
                <w:color w:val="auto"/>
              </w:rPr>
              <w:t>F-20</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500"/>
          </w:cols>
          <w:pgMar w:left="240" w:top="459" w:right="11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300" w:firstLine="8"/>
        <w:spacing w:after="0" w:line="347" w:lineRule="auto"/>
        <w:tabs>
          <w:tab w:leader="none" w:pos="17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gridSpan w:val="8"/>
          </w:tcPr>
          <w:p>
            <w:pPr>
              <w:ind w:left="40"/>
              <w:spacing w:after="0"/>
              <w:rPr>
                <w:sz w:val="20"/>
                <w:szCs w:val="20"/>
                <w:color w:val="auto"/>
              </w:rPr>
            </w:pPr>
            <w:r>
              <w:rPr>
                <w:rFonts w:ascii="Arial" w:cs="Arial" w:eastAsia="Arial" w:hAnsi="Arial"/>
                <w:sz w:val="14"/>
                <w:szCs w:val="14"/>
                <w:b w:val="1"/>
                <w:bCs w:val="1"/>
                <w:color w:val="auto"/>
              </w:rPr>
              <w:t>Fair Value Hierarchy at December 31, 2012</w:t>
            </w:r>
          </w:p>
        </w:tc>
      </w:tr>
      <w:tr>
        <w:trPr>
          <w:trHeight w:val="142"/>
        </w:trPr>
        <w:tc>
          <w:tcPr>
            <w:tcW w:w="4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Level 2</w:t>
            </w:r>
          </w:p>
        </w:tc>
        <w:tc>
          <w:tcPr>
            <w:tcW w:w="6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0"/>
              </w:rPr>
              <w:t>$ —</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$84,650</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$567,294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Common equity</w:t>
            </w:r>
          </w:p>
        </w:tc>
        <w:tc>
          <w:tcPr>
            <w:tcW w:w="18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5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569,294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2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4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Hierarchy at December 31, 2011</w:t>
            </w:r>
          </w:p>
        </w:tc>
      </w:tr>
      <w:tr>
        <w:trPr>
          <w:trHeight w:val="142"/>
        </w:trPr>
        <w:tc>
          <w:tcPr>
            <w:tcW w:w="4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4"/>
              </w:rPr>
              <w:t>Level 2</w:t>
            </w:r>
          </w:p>
        </w:tc>
        <w:tc>
          <w:tcPr>
            <w:tcW w:w="6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$174,348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184,348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2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December 31, 2012</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Preferred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Equity/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2"/>
                <w:szCs w:val="12"/>
                <w:color w:val="auto"/>
              </w:rPr>
            </w:pPr>
          </w:p>
        </w:tc>
        <w:tc>
          <w:tcPr>
            <w:tcW w:w="8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Common</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Mezzanine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Equity</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Investments</w:t>
            </w:r>
          </w:p>
        </w:tc>
        <w:tc>
          <w:tcPr>
            <w:tcW w:w="1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8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$ 174,348</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Purchases</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670,544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2,000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672,544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(97,090)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(97,090)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240" w:type="dxa"/>
            <w:vAlign w:val="bottom"/>
            <w:gridSpan w:val="3"/>
          </w:tcPr>
          <w:p>
            <w:pPr>
              <w:jc w:val="right"/>
              <w:ind w:right="560"/>
              <w:spacing w:after="0"/>
              <w:rPr>
                <w:sz w:val="20"/>
                <w:szCs w:val="20"/>
                <w:color w:val="auto"/>
              </w:rPr>
            </w:pPr>
            <w:r>
              <w:rPr>
                <w:rFonts w:ascii="Arial" w:cs="Arial" w:eastAsia="Arial" w:hAnsi="Arial"/>
                <w:sz w:val="18"/>
                <w:szCs w:val="18"/>
                <w:color w:val="auto"/>
              </w:rPr>
              <w:t>(180,343)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(10,000)</w:t>
            </w: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(190,343)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7,434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7,334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$ 567,294</w:t>
            </w:r>
          </w:p>
        </w:tc>
        <w:tc>
          <w:tcPr>
            <w:tcW w:w="620" w:type="dxa"/>
            <w:vAlign w:val="bottom"/>
          </w:tcPr>
          <w:p>
            <w:pPr>
              <w:spacing w:after="0"/>
              <w:rPr>
                <w:sz w:val="19"/>
                <w:szCs w:val="19"/>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$ 2,000</w:t>
            </w:r>
          </w:p>
        </w:tc>
        <w:tc>
          <w:tcPr>
            <w:tcW w:w="2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$ 569,294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Year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Preferred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Equity/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Debt</w:t>
            </w:r>
          </w:p>
        </w:tc>
        <w:tc>
          <w:tcPr>
            <w:tcW w:w="380" w:type="dxa"/>
            <w:vAlign w:val="bottom"/>
          </w:tcPr>
          <w:p>
            <w:pPr>
              <w:spacing w:after="0"/>
              <w:rPr>
                <w:sz w:val="12"/>
                <w:szCs w:val="12"/>
                <w:color w:val="auto"/>
              </w:rPr>
            </w:pPr>
          </w:p>
        </w:tc>
        <w:tc>
          <w:tcPr>
            <w:tcW w:w="11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Mezzanine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3"/>
              </w:rPr>
              <w:t>Investments</w:t>
            </w:r>
          </w:p>
        </w:tc>
        <w:tc>
          <w:tcPr>
            <w:tcW w:w="380" w:type="dxa"/>
            <w:vAlign w:val="bottom"/>
          </w:tcPr>
          <w:p>
            <w:pPr>
              <w:spacing w:after="0"/>
              <w:rPr>
                <w:sz w:val="14"/>
                <w:szCs w:val="14"/>
                <w:color w:val="auto"/>
              </w:rPr>
            </w:pPr>
          </w:p>
        </w:tc>
        <w:tc>
          <w:tcPr>
            <w:tcW w:w="11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Investments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8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Purchases, net</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5"/>
          </w:tcPr>
          <w:p>
            <w:pPr>
              <w:jc w:val="right"/>
              <w:ind w:right="260"/>
              <w:spacing w:after="0"/>
              <w:rPr>
                <w:sz w:val="20"/>
                <w:szCs w:val="20"/>
                <w:color w:val="auto"/>
              </w:rPr>
            </w:pPr>
            <w:r>
              <w:rPr>
                <w:rFonts w:ascii="Arial" w:cs="Arial" w:eastAsia="Arial" w:hAnsi="Arial"/>
                <w:sz w:val="18"/>
                <w:szCs w:val="18"/>
                <w:color w:val="auto"/>
              </w:rPr>
              <w:t>174,291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9,905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184,196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(2,503)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2,217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87"/>
              </w:rPr>
              <w:t>$ 174,348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c>
          <w:tcPr>
            <w:tcW w:w="420" w:type="dxa"/>
            <w:vAlign w:val="bottom"/>
          </w:tcPr>
          <w:p>
            <w:pPr>
              <w:spacing w:after="0"/>
              <w:rPr>
                <w:sz w:val="19"/>
                <w:szCs w:val="19"/>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40" w:type="dxa"/>
            <w:vAlign w:val="bottom"/>
            <w:gridSpan w:val="3"/>
            <w:vMerge w:val="restart"/>
          </w:tcPr>
          <w:p>
            <w:pPr>
              <w:jc w:val="right"/>
              <w:ind w:right="1060"/>
              <w:spacing w:after="0"/>
              <w:rPr>
                <w:sz w:val="20"/>
                <w:szCs w:val="20"/>
                <w:color w:val="auto"/>
              </w:rPr>
            </w:pPr>
            <w:r>
              <w:rPr>
                <w:rFonts w:ascii="Arial" w:cs="Arial" w:eastAsia="Arial" w:hAnsi="Arial"/>
                <w:sz w:val="18"/>
                <w:szCs w:val="18"/>
                <w:color w:val="auto"/>
              </w:rPr>
              <w:t>F-21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2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Rare Restaurant Group, LLC transferred out of Level 3 during the year ended December 31, 2012, as a result of changes in the observability of inputs into its valuation. Other than Rare Restaurant Group, LLC, there were no transfers between levels in the fair value hierarchy during the year ended December 31, 2012. There were no transfers between levels in the fair value hierarchy during the year ended December 31, 2011.</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600" w:type="dxa"/>
            <w:vAlign w:val="bottom"/>
          </w:tcPr>
          <w:p>
            <w:pPr>
              <w:spacing w:after="0"/>
              <w:rPr>
                <w:sz w:val="12"/>
                <w:szCs w:val="12"/>
                <w:color w:val="auto"/>
              </w:rPr>
            </w:pPr>
          </w:p>
        </w:tc>
        <w:tc>
          <w:tcPr>
            <w:tcW w:w="3200" w:type="dxa"/>
            <w:vAlign w:val="bottom"/>
            <w:gridSpan w:val="4"/>
          </w:tcPr>
          <w:p>
            <w:pPr>
              <w:jc w:val="center"/>
              <w:ind w:right="152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87"/>
              </w:rPr>
              <w:t>December 31, 2012 on</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 2011 on</w:t>
            </w:r>
          </w:p>
        </w:tc>
      </w:tr>
      <w:tr>
        <w:trPr>
          <w:trHeight w:val="149"/>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2011</w:t>
            </w: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Common Equity</w:t>
            </w:r>
          </w:p>
        </w:tc>
        <w:tc>
          <w:tcPr>
            <w:tcW w:w="100" w:type="dxa"/>
            <w:vAlign w:val="bottom"/>
          </w:tcPr>
          <w:p>
            <w:pPr>
              <w:spacing w:after="0"/>
              <w:rPr>
                <w:sz w:val="18"/>
                <w:szCs w:val="18"/>
                <w:color w:val="auto"/>
              </w:rPr>
            </w:pPr>
          </w:p>
        </w:tc>
        <w:tc>
          <w:tcPr>
            <w:tcW w:w="31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equity/mezzanine investments</w:t>
            </w: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7,918</w:t>
            </w:r>
          </w:p>
        </w:tc>
        <w:tc>
          <w:tcPr>
            <w:tcW w:w="1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0"/>
              </w:rPr>
              <w:t>December 31, 2012</w:t>
            </w:r>
          </w:p>
        </w:tc>
        <w:tc>
          <w:tcPr>
            <w:tcW w:w="1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10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Valuation</w:t>
            </w:r>
          </w:p>
        </w:tc>
        <w:tc>
          <w:tcPr>
            <w:tcW w:w="16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Unobservable</w:t>
            </w:r>
          </w:p>
        </w:tc>
        <w:tc>
          <w:tcPr>
            <w:tcW w:w="2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(1)</w:t>
            </w:r>
          </w:p>
        </w:tc>
        <w:tc>
          <w:tcPr>
            <w:tcW w:w="1960" w:type="dxa"/>
            <w:vAlign w:val="bottom"/>
            <w:gridSpan w:val="2"/>
          </w:tcPr>
          <w:p>
            <w:pPr>
              <w:ind w:left="520"/>
              <w:spacing w:after="0"/>
              <w:rPr>
                <w:sz w:val="20"/>
                <w:szCs w:val="20"/>
                <w:color w:val="auto"/>
              </w:rPr>
            </w:pPr>
            <w:r>
              <w:rPr>
                <w:rFonts w:ascii="Arial" w:cs="Arial" w:eastAsia="Arial" w:hAnsi="Arial"/>
                <w:sz w:val="14"/>
                <w:szCs w:val="14"/>
                <w:b w:val="1"/>
                <w:bCs w:val="1"/>
                <w:color w:val="auto"/>
              </w:rPr>
              <w:t>Technique</w:t>
            </w:r>
          </w:p>
        </w:tc>
        <w:tc>
          <w:tcPr>
            <w:tcW w:w="1600" w:type="dxa"/>
            <w:vAlign w:val="bottom"/>
            <w:gridSpan w:val="3"/>
          </w:tcPr>
          <w:p>
            <w:pPr>
              <w:ind w:left="380"/>
              <w:spacing w:after="0"/>
              <w:rPr>
                <w:sz w:val="20"/>
                <w:szCs w:val="20"/>
                <w:color w:val="auto"/>
              </w:rPr>
            </w:pPr>
            <w:r>
              <w:rPr>
                <w:rFonts w:ascii="Arial" w:cs="Arial" w:eastAsia="Arial" w:hAnsi="Arial"/>
                <w:sz w:val="14"/>
                <w:szCs w:val="14"/>
                <w:b w:val="1"/>
                <w:bCs w:val="1"/>
                <w:color w:val="auto"/>
              </w:rPr>
              <w:t>Input</w:t>
            </w: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Input</w:t>
            </w:r>
          </w:p>
        </w:tc>
      </w:tr>
      <w:tr>
        <w:trPr>
          <w:trHeight w:val="210"/>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452,831</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Income Approach</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9"/>
              </w:rPr>
              <w:t>Market Yield</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7.00% — 11.29% (9.84%)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Decrease</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Common equity</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Market Approach (2)</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right="3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$114.5 million of debt investments which, due to the proximity of the transactions relative to the measurement date, were valued by using the value implied from such transactions.</w:t>
      </w:r>
    </w:p>
    <w:p>
      <w:pPr>
        <w:ind w:left="460" w:right="28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Due to the proximity of the transaction relative to the measurement date, the value implied from the transaction is representative of the fair value for the investments as of December 31,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2012 and 2011,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2012 and 2011, the Company’s asset coverage was 244.6% and 211.7%,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6"/>
              </w:rPr>
              <w:t>Total Facility</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100,000</w:t>
            </w:r>
          </w:p>
        </w:tc>
        <w:tc>
          <w:tcPr>
            <w:tcW w:w="1980" w:type="dxa"/>
            <w:vAlign w:val="bottom"/>
            <w:gridSpan w:val="5"/>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200,000</w:t>
            </w:r>
          </w:p>
        </w:tc>
        <w:tc>
          <w:tcPr>
            <w:tcW w:w="1980" w:type="dxa"/>
            <w:vAlign w:val="bottom"/>
            <w:gridSpan w:val="5"/>
            <w:shd w:val="clear" w:color="auto" w:fill="CCEEFF"/>
          </w:tcPr>
          <w:p>
            <w:pPr>
              <w:jc w:val="right"/>
              <w:ind w:right="74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550,000</w:t>
            </w:r>
          </w:p>
        </w:tc>
        <w:tc>
          <w:tcPr>
            <w:tcW w:w="1980" w:type="dxa"/>
            <w:vAlign w:val="bottom"/>
            <w:gridSpan w:val="5"/>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gridSpan w:val="4"/>
          </w:tcPr>
          <w:p>
            <w:pPr>
              <w:jc w:val="center"/>
              <w:ind w:right="8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4"/>
              </w:rPr>
              <w:t>Total Facility</w:t>
            </w:r>
          </w:p>
        </w:tc>
        <w:tc>
          <w:tcPr>
            <w:tcW w:w="440" w:type="dxa"/>
            <w:vAlign w:val="bottom"/>
          </w:tcPr>
          <w:p>
            <w:pPr>
              <w:spacing w:after="0"/>
              <w:rPr>
                <w:sz w:val="14"/>
                <w:szCs w:val="14"/>
                <w:color w:val="auto"/>
              </w:rPr>
            </w:pPr>
          </w:p>
        </w:tc>
        <w:tc>
          <w:tcPr>
            <w:tcW w:w="154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$ 155,000</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center"/>
              <w:ind w:left="359"/>
              <w:spacing w:after="0"/>
              <w:rPr>
                <w:sz w:val="20"/>
                <w:szCs w:val="20"/>
                <w:color w:val="auto"/>
              </w:rPr>
            </w:pPr>
            <w:r>
              <w:rPr>
                <w:rFonts w:ascii="Arial" w:cs="Arial" w:eastAsia="Arial" w:hAnsi="Arial"/>
                <w:sz w:val="18"/>
                <w:szCs w:val="18"/>
                <w:color w:val="auto"/>
                <w:w w:val="89"/>
              </w:rPr>
              <w:t>$ 155,000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Average debt outstanding during the years ended December 31, 2012 and 2011, was $111.2 million and $11.4 million, respectively. The weighted average interest rate for outstanding borrowings during the year ended December 31, 2012 and 2011 was 2.9% and 3.0%,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Year Ended</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504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84"/>
              </w:rPr>
              <w:t>December 31, 2012</w:t>
            </w:r>
          </w:p>
        </w:tc>
        <w:tc>
          <w:tcPr>
            <w:tcW w:w="25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1,252</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22"/>
        </w:trPr>
        <w:tc>
          <w:tcPr>
            <w:tcW w:w="50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August 23, 2012, the Company entered into a Senior Secured Revolving Credit Agreement (the “Revolving Credit Facility (SunTrust)”). The parties to the Revolving Credit Facility (SunTrust) include the Company, as Borrower, the lenders from time to time parties thereto (each a “Lender” and collectively, the “Lenders”) and SunTrust Bank, as Administrative Agent.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of the Company that are formed or acquired by the Company in the future (collectively, the “Guarantors”). Proceeds from borrowings may be used for general corporate purposes, including the funding of portfolio investments.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maximum principal amount of the facility is $200 million, subject to availability under the borrowing base, which is based on the Company’s portfolio investments and other outstanding indebtedness. Maximum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capacity may be increased to $300 million through the exercise by the Borrower of an uncommitted accordion feature through which existing and new lenders may, at their option, agree to provide additional financing. The Revolving Credit Facility (SunTrust) includes a $30 million limit for swingline loans and a $20 million limit for letters of credit and is secured by a perfected first-priority interest in substantially the entire portfolio of investments held by the Company and each Guarantor.</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availability period under the Revolving Credit Facility (SunTrust) will terminate on August 24, 2015 (the “SunTrust Commitment Termination Date”) and it will mature on August 23, 2016 (the “SunTrust Maturity Date”). During the period from the SunTrust Commitment Termination Date to the SunTrust Maturity Date, the Company will be obligated to make mandatory prepayments out of the proceeds of certain asset sales, and other recovery events and equity and debt issuances.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will bear interest at either LIBOR plus a margin, or the prime rate plus a margin. The Company may elect either the LIBOR or prime rate at the time of drawdown, and loans may be converted from one rate to another at any time, subject to certain conditions. The Company will also pay a fee of 0.50%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covenants, including certain financial covenants related to asset coverage and liquidity and other maintenance covenants, as well as customary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8, 2012 (the “Natixis Closing Date”), the Company’s wholly-owned subsidiary TPG SL SPV, LLC (the “Subsidiary”), a Delaware limited liability company, entered into a Revolving Credit and Security Agreement (the “Revolving Credit Facility (Natixis)”). Parties to the agreement include TPG SL SPV, LLC, as Borrower, and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The Company retains a residual interest in assets contributed to or acquired by the Subsidiary through its ownership of the Subsidiary. The maximum principal amount of the facility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agreement provides for a contribution and reinvestment period for up to 18 months after the Natixis Closing Date (the “Natixis Commitment Termination Date”). Prior to the Natixis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Natixis Commitment Termination Date must be used to make quarterly payments of principal on outstanding borrowings. Following the Natixis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 As of December 31, 2012, the Subsidiary had $4.3 million in restricted cash, a component of Prepaid expenses and other assets, in the accompanying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Revolving Credit Facility (Natixis) will mature on May 8, 2020. Amounts drawn bear interest at LIBOR plus a margin and the undrawn portion of the commitment bears an unutilized commitment fee of 0.75%.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 As of December 31, 2012, the Subsidiary had $163.8 million in assets, including $154.4 million in investments, and $67.3 million in liabilities, including the outstanding borrowings, on its balance sheet.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the Subsidiary are considered borrowings of the Company for purposes of complying with the asset coverage requirements under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September 28, 2011, the Company entered into a revolving credit facility (the “Initial DBTCA Revolving Credit Facility”) with Deutsche Bank Trust Company Americas (“DBTCA”) as administrative agent (the “Administrative Agent”), and DBTCA and certain of its affiliates as lenders. At closing, the maximum principal amount of the Initial DTBCA Revolving Credit Facility was $150 million, subject to availability under the borrowing base. On December 22, 2011, the Initial DBTCA Revolving Credit Facility was amended and restated (the “Revolving Credit Facility (DBTCA)”). Under the Revolving Credit Facility (DBTCA),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 Facility (DBTCA) may be increased to up to $300 million upon request of the Company within twelve months of closing and subject to payment of an additional fee. The option to increase the facility expired on September 28, 2012. Proceeds from the Revolving Credit Facility (DBTCA) may be used for investment activities, expenses, working capital requirements and general corporate purposes.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December 20, 2013, and 25 days prior to a qualifying initial public offering of the Company.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(DBTCA)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the Company will pay a fee and a fixed rate while the letter of credit is outstanding.</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 certain distributions, and restrict certain types and amounts of indebtedness. The Revolving Credit Facility (DBTCA) includes customary events of default.</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connection with the closing of all three revolving credit facilities, the Company paid fees totaling $7.6 million. Such fees have been capitalized as debt issuance costs, included in Prepaid expenses and other assets, and are being amortized over the life of the respective facility.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the Company was in compliance with the terms of its debt arrangements.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Subsequent to December 31, 2012, the Company repaid a portion of its debt and borrowed additional amounts to fund investments. As of March 14, 2013, there was $132.7 million outstanding.</w:t>
      </w:r>
    </w:p>
    <w:p>
      <w:pPr>
        <w:spacing w:after="0" w:line="207" w:lineRule="exact"/>
        <w:rPr>
          <w:sz w:val="20"/>
          <w:szCs w:val="20"/>
          <w:color w:val="auto"/>
        </w:rPr>
      </w:pPr>
    </w:p>
    <w:p>
      <w:pPr>
        <w:ind w:right="8720" w:firstLine="8"/>
        <w:spacing w:after="0" w:line="417" w:lineRule="auto"/>
        <w:tabs>
          <w:tab w:leader="none" w:pos="176"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2012 and 2011, the Company had the following commitments to fund loans: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20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84"/>
              </w:rPr>
              <w:t>December 31, 2012</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340" w:type="dxa"/>
            <w:vAlign w:val="bottom"/>
          </w:tcPr>
          <w:p>
            <w:pPr>
              <w:spacing w:after="0"/>
              <w:rPr>
                <w:sz w:val="18"/>
                <w:szCs w:val="18"/>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8"/>
                <w:szCs w:val="18"/>
                <w:color w:val="auto"/>
              </w:rPr>
              <w:t>14,500</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7"/>
        </w:trPr>
        <w:tc>
          <w:tcPr>
            <w:tcW w:w="6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32,000</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2012 and 2011, the Company had $1.4 billion and $1.2 billion, respectively, in total capital commitments from investors ($0.9 billion and $1.0 billion unfunded, respectively), of which $114.1 million and $70.4 million, respectively, is from the Adviser and its affiliates ($76.6 million and $60.3 million unfunded,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2012,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its formation, the Company had the authority to issue 10,000 shares of common stock at $0.01 per share par value (“Common Stock”). The Company also had the authority to issue 100,000,000 shares of preferred stock at $0.01 per share par value. The Company’s preferred stock is non-convertible.</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December 21, 2010, the Company issued 1,000 shares of Common Stock for $1,000 to Tarrant Advisors, Inc., an affiliate of the Company and its Adviser.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8, 2011, the Company increased the number of shares of Common Stock authorized to be issued to 100,000,000, par value $0.01 per share. The authorized preferred stock was unchanged and no preferred stock was outstanding as of December 31, 2011.</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years ended December 31 2012 and 2011, the Company entered into subscription agreements (collectively, the “Subscription Agreements”) with several investors, including the Adviser and its affiliates,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90"/>
              </w:rPr>
              <w:t>December 31, 2012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20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1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February 22, 2012</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35,521</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76,137</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May 31, 2012</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13,379</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September 26, 2012</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22,439</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December 10, 2012 (1)</w:t>
            </w:r>
          </w:p>
        </w:tc>
        <w:tc>
          <w:tcPr>
            <w:tcW w:w="17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99,161</w:t>
            </w:r>
          </w:p>
        </w:tc>
        <w:tc>
          <w:tcPr>
            <w:tcW w:w="9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2"/>
        </w:trPr>
        <w:tc>
          <w:tcPr>
            <w:tcW w:w="404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287,951</w:t>
            </w:r>
          </w:p>
        </w:tc>
        <w:tc>
          <w:tcPr>
            <w:tcW w:w="132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1920" w:right="420" w:hanging="440"/>
        <w:spacing w:after="0" w:line="268" w:lineRule="auto"/>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90"/>
              </w:rPr>
              <w:t>December 31, 2011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20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30, 2011</w:t>
            </w:r>
          </w:p>
        </w:tc>
        <w:tc>
          <w:tcPr>
            <w:tcW w:w="1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August 12, 2011</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75,652</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December 15, 2011</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53,146</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52,534</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December 30, 2011</w:t>
            </w:r>
          </w:p>
        </w:tc>
        <w:tc>
          <w:tcPr>
            <w:tcW w:w="17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w:t>
            </w:r>
          </w:p>
        </w:tc>
        <w:tc>
          <w:tcPr>
            <w:tcW w:w="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176,532</w:t>
            </w:r>
          </w:p>
        </w:tc>
        <w:tc>
          <w:tcPr>
            <w:tcW w:w="13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173,034</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drawdowns noted above, on June 29, 2011, the Company repurchased 999 shares of its Common Stock issued as part of its formation from Tarrant Advisors, Inc. for $999. The repurchased shares are held in treasury shares, at cost, as of December 31, 2012 and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4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2460" w:type="dxa"/>
            <w:vAlign w:val="bottom"/>
            <w:vMerge w:val="restart"/>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jc w:val="right"/>
              <w:ind w:right="1400"/>
              <w:spacing w:after="0"/>
              <w:rPr>
                <w:sz w:val="20"/>
                <w:szCs w:val="20"/>
                <w:color w:val="auto"/>
              </w:rPr>
            </w:pPr>
            <w:r>
              <w:rPr>
                <w:rFonts w:ascii="Arial" w:cs="Arial" w:eastAsia="Arial" w:hAnsi="Arial"/>
                <w:sz w:val="14"/>
                <w:szCs w:val="14"/>
                <w:b w:val="1"/>
                <w:bCs w:val="1"/>
                <w:color w:val="auto"/>
                <w:w w:val="96"/>
              </w:rPr>
              <w:t>December 31, 2012</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2080" w:type="dxa"/>
            <w:vAlign w:val="bottom"/>
            <w:gridSpan w:val="2"/>
          </w:tcPr>
          <w:p>
            <w:pPr>
              <w:ind w:left="400"/>
              <w:spacing w:after="0" w:line="129" w:lineRule="exact"/>
              <w:rPr>
                <w:sz w:val="20"/>
                <w:szCs w:val="20"/>
                <w:color w:val="auto"/>
              </w:rPr>
            </w:pPr>
            <w:r>
              <w:rPr>
                <w:rFonts w:ascii="Arial" w:cs="Arial" w:eastAsia="Arial" w:hAnsi="Arial"/>
                <w:sz w:val="14"/>
                <w:szCs w:val="14"/>
                <w:b w:val="1"/>
                <w:bCs w:val="1"/>
                <w:color w:val="auto"/>
              </w:rPr>
              <w:t>Record Date</w:t>
            </w:r>
          </w:p>
        </w:tc>
        <w:tc>
          <w:tcPr>
            <w:tcW w:w="2640" w:type="dxa"/>
            <w:vAlign w:val="bottom"/>
            <w:gridSpan w:val="2"/>
          </w:tcPr>
          <w:p>
            <w:pPr>
              <w:jc w:val="right"/>
              <w:ind w:right="1340"/>
              <w:spacing w:after="0" w:line="129" w:lineRule="exact"/>
              <w:rPr>
                <w:sz w:val="20"/>
                <w:szCs w:val="20"/>
                <w:color w:val="auto"/>
              </w:rPr>
            </w:pPr>
            <w:r>
              <w:rPr>
                <w:rFonts w:ascii="Arial" w:cs="Arial" w:eastAsia="Arial" w:hAnsi="Arial"/>
                <w:sz w:val="14"/>
                <w:szCs w:val="14"/>
                <w:b w:val="1"/>
                <w:bCs w:val="1"/>
                <w:color w:val="auto"/>
                <w:w w:val="99"/>
              </w:rPr>
              <w:t>Date Shares Issued</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Shares Issued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5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16, 2012</w:t>
            </w:r>
          </w:p>
        </w:tc>
        <w:tc>
          <w:tcPr>
            <w:tcW w:w="1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rPr>
              <w:t>June 30, 2012</w:t>
            </w:r>
          </w:p>
        </w:tc>
        <w:tc>
          <w:tcPr>
            <w:tcW w:w="2640" w:type="dxa"/>
            <w:vAlign w:val="bottom"/>
            <w:gridSpan w:val="2"/>
          </w:tcPr>
          <w:p>
            <w:pPr>
              <w:jc w:val="right"/>
              <w:ind w:right="1140"/>
              <w:spacing w:after="0"/>
              <w:rPr>
                <w:sz w:val="20"/>
                <w:szCs w:val="20"/>
                <w:color w:val="auto"/>
              </w:rPr>
            </w:pPr>
            <w:r>
              <w:rPr>
                <w:rFonts w:ascii="Arial" w:cs="Arial" w:eastAsia="Arial" w:hAnsi="Arial"/>
                <w:sz w:val="18"/>
                <w:szCs w:val="18"/>
                <w:color w:val="auto"/>
              </w:rPr>
              <w:t>August 7, 2012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September 30, 2012</w:t>
            </w:r>
          </w:p>
        </w:tc>
        <w:tc>
          <w:tcPr>
            <w:tcW w:w="26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93"/>
              </w:rPr>
              <w:t>November 13, 2012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December 31, 2012</w:t>
            </w:r>
          </w:p>
        </w:tc>
        <w:tc>
          <w:tcPr>
            <w:tcW w:w="2640" w:type="dxa"/>
            <w:vAlign w:val="bottom"/>
            <w:gridSpan w:val="2"/>
          </w:tcPr>
          <w:p>
            <w:pPr>
              <w:jc w:val="right"/>
              <w:ind w:right="1140"/>
              <w:spacing w:after="0"/>
              <w:rPr>
                <w:sz w:val="20"/>
                <w:szCs w:val="20"/>
                <w:color w:val="auto"/>
              </w:rPr>
            </w:pPr>
            <w:r>
              <w:rPr>
                <w:rFonts w:ascii="Arial" w:cs="Arial" w:eastAsia="Arial" w:hAnsi="Arial"/>
                <w:sz w:val="18"/>
                <w:szCs w:val="18"/>
                <w:color w:val="auto"/>
              </w:rPr>
              <w:t>March 12, 2013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80" w:type="dxa"/>
            <w:vAlign w:val="bottom"/>
            <w:gridSpan w:val="2"/>
            <w:vMerge w:val="restart"/>
          </w:tcPr>
          <w:p>
            <w:pPr>
              <w:ind w:left="700"/>
              <w:spacing w:after="0"/>
              <w:rPr>
                <w:sz w:val="20"/>
                <w:szCs w:val="20"/>
                <w:color w:val="auto"/>
              </w:rPr>
            </w:pPr>
            <w:r>
              <w:rPr>
                <w:rFonts w:ascii="Arial" w:cs="Arial" w:eastAsia="Arial" w:hAnsi="Arial"/>
                <w:sz w:val="18"/>
                <w:szCs w:val="18"/>
                <w:color w:val="auto"/>
              </w:rPr>
              <w:t>F-27</w:t>
            </w: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2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8"/>
              </w:rPr>
              <w:t>Year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2700" w:type="dxa"/>
            <w:vAlign w:val="bottom"/>
            <w:vMerge w:val="restart"/>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center"/>
              <w:ind w:right="1340"/>
              <w:spacing w:after="0"/>
              <w:rPr>
                <w:sz w:val="20"/>
                <w:szCs w:val="20"/>
                <w:color w:val="auto"/>
              </w:rPr>
            </w:pPr>
            <w:r>
              <w:rPr>
                <w:rFonts w:ascii="Arial" w:cs="Arial" w:eastAsia="Arial" w:hAnsi="Arial"/>
                <w:sz w:val="14"/>
                <w:szCs w:val="14"/>
                <w:b w:val="1"/>
                <w:bCs w:val="1"/>
                <w:color w:val="auto"/>
                <w:w w:val="85"/>
              </w:rPr>
              <w:t>December 31, 2011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2120" w:type="dxa"/>
            <w:vAlign w:val="bottom"/>
            <w:gridSpan w:val="2"/>
          </w:tcPr>
          <w:p>
            <w:pPr>
              <w:ind w:left="340"/>
              <w:spacing w:after="0" w:line="129" w:lineRule="exact"/>
              <w:rPr>
                <w:sz w:val="20"/>
                <w:szCs w:val="20"/>
                <w:color w:val="auto"/>
              </w:rPr>
            </w:pPr>
            <w:r>
              <w:rPr>
                <w:rFonts w:ascii="Arial" w:cs="Arial" w:eastAsia="Arial" w:hAnsi="Arial"/>
                <w:sz w:val="14"/>
                <w:szCs w:val="14"/>
                <w:b w:val="1"/>
                <w:bCs w:val="1"/>
                <w:color w:val="auto"/>
              </w:rPr>
              <w:t>Record Date</w:t>
            </w:r>
          </w:p>
        </w:tc>
        <w:tc>
          <w:tcPr>
            <w:tcW w:w="24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Date Shares Issued</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0"/>
              </w:rPr>
              <w:t>Shares Issued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 (1)</w:t>
            </w:r>
          </w:p>
        </w:tc>
        <w:tc>
          <w:tcPr>
            <w:tcW w:w="1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December 31, 2011</w:t>
            </w:r>
          </w:p>
        </w:tc>
        <w:tc>
          <w:tcPr>
            <w:tcW w:w="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March 20, 2012</w:t>
            </w:r>
          </w:p>
        </w:tc>
        <w:tc>
          <w:tcPr>
            <w:tcW w:w="1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March 20, 2012, 29 shares were issued to the Adviser in connection with its then participation in the dividend reinvestment plan.</w:t>
      </w:r>
    </w:p>
    <w:p>
      <w:pPr>
        <w:spacing w:after="0" w:line="19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2012 and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2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80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1240"/>
              <w:spacing w:after="0"/>
              <w:rPr>
                <w:sz w:val="20"/>
                <w:szCs w:val="20"/>
                <w:color w:val="auto"/>
              </w:rPr>
            </w:pPr>
            <w:r>
              <w:rPr>
                <w:rFonts w:ascii="Arial" w:cs="Arial" w:eastAsia="Arial" w:hAnsi="Arial"/>
                <w:sz w:val="14"/>
                <w:szCs w:val="14"/>
                <w:b w:val="1"/>
                <w:bCs w:val="1"/>
                <w:color w:val="auto"/>
                <w:w w:val="99"/>
              </w:rPr>
              <w:t>December 31, 2012</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16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2520" w:type="dxa"/>
            <w:vAlign w:val="bottom"/>
            <w:gridSpan w:val="2"/>
          </w:tcPr>
          <w:p>
            <w:pPr>
              <w:jc w:val="right"/>
              <w:ind w:right="148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6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1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9"/>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160" w:type="dxa"/>
            <w:vAlign w:val="bottom"/>
            <w:gridSpan w:val="2"/>
          </w:tcPr>
          <w:p>
            <w:pPr>
              <w:jc w:val="right"/>
              <w:ind w:right="680"/>
              <w:spacing w:after="0"/>
              <w:rPr>
                <w:sz w:val="20"/>
                <w:szCs w:val="20"/>
                <w:color w:val="auto"/>
              </w:rPr>
            </w:pPr>
            <w:r>
              <w:rPr>
                <w:rFonts w:ascii="Arial" w:cs="Arial" w:eastAsia="Arial" w:hAnsi="Arial"/>
                <w:sz w:val="18"/>
                <w:szCs w:val="18"/>
                <w:color w:val="auto"/>
              </w:rPr>
              <w:t>June 30, 2012</w:t>
            </w:r>
          </w:p>
        </w:tc>
        <w:tc>
          <w:tcPr>
            <w:tcW w:w="2520" w:type="dxa"/>
            <w:vAlign w:val="bottom"/>
            <w:gridSpan w:val="2"/>
          </w:tcPr>
          <w:p>
            <w:pPr>
              <w:jc w:val="right"/>
              <w:ind w:right="1240"/>
              <w:spacing w:after="0"/>
              <w:rPr>
                <w:sz w:val="20"/>
                <w:szCs w:val="20"/>
                <w:color w:val="auto"/>
              </w:rPr>
            </w:pPr>
            <w:r>
              <w:rPr>
                <w:rFonts w:ascii="Arial" w:cs="Arial" w:eastAsia="Arial" w:hAnsi="Arial"/>
                <w:sz w:val="18"/>
                <w:szCs w:val="18"/>
                <w:color w:val="auto"/>
              </w:rPr>
              <w:t>August 3, 2012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September 30, 2012</w:t>
            </w:r>
          </w:p>
        </w:tc>
        <w:tc>
          <w:tcPr>
            <w:tcW w:w="252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w w:val="90"/>
              </w:rPr>
              <w:t>October 30, 2012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color w:val="auto"/>
              </w:rPr>
              <w:t>December 31, 2012 (1)</w:t>
            </w:r>
          </w:p>
        </w:tc>
        <w:tc>
          <w:tcPr>
            <w:tcW w:w="216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December 31, 2012</w:t>
            </w:r>
          </w:p>
        </w:tc>
        <w:tc>
          <w:tcPr>
            <w:tcW w:w="2520" w:type="dxa"/>
            <w:vAlign w:val="bottom"/>
            <w:gridSpan w:val="2"/>
          </w:tcPr>
          <w:p>
            <w:pPr>
              <w:jc w:val="right"/>
              <w:ind w:right="1240"/>
              <w:spacing w:after="0"/>
              <w:rPr>
                <w:sz w:val="20"/>
                <w:szCs w:val="20"/>
                <w:color w:val="auto"/>
              </w:rPr>
            </w:pPr>
            <w:r>
              <w:rPr>
                <w:rFonts w:ascii="Arial" w:cs="Arial" w:eastAsia="Arial" w:hAnsi="Arial"/>
                <w:sz w:val="18"/>
                <w:szCs w:val="18"/>
                <w:color w:val="auto"/>
                <w:w w:val="90"/>
              </w:rPr>
              <w:t>January 31, 2013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$0.55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208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24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2011</w:t>
            </w:r>
          </w:p>
        </w:tc>
        <w:tc>
          <w:tcPr>
            <w:tcW w:w="6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January 30, 2012</w:t>
            </w: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dividends declared during the year ended December 31, 2012, were derived from net investment income and long-term capital gains, determined on a tax basis. The dividend declared during the year ended December 31, 2011, was derived from net investment income determined on a tax basis.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2012 and 2011, to undistributed taxable income at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Year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100" w:type="dxa"/>
            <w:vAlign w:val="bottom"/>
          </w:tcPr>
          <w:p>
            <w:pPr>
              <w:spacing w:after="0"/>
              <w:rPr>
                <w:sz w:val="12"/>
                <w:szCs w:val="12"/>
                <w:color w:val="auto"/>
              </w:rPr>
            </w:pPr>
          </w:p>
        </w:tc>
        <w:tc>
          <w:tcPr>
            <w:tcW w:w="17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December 31, 2012</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(Estimated) (1)</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(7,211)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(2,312)</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Other income (expense) for tax purposes, not book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(670)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r>
      <w:tr>
        <w:trPr>
          <w:trHeight w:val="222"/>
        </w:trPr>
        <w:tc>
          <w:tcPr>
            <w:tcW w:w="5100" w:type="dxa"/>
            <w:vAlign w:val="bottom"/>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31,755</w:t>
            </w:r>
          </w:p>
        </w:tc>
        <w:tc>
          <w:tcPr>
            <w:tcW w:w="6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20" w:hanging="440"/>
        <w:spacing w:after="0"/>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income is an estimate and will not be fully determined until the Company’s 2012 tax return is filed in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w:t>
      </w:r>
    </w:p>
    <w:p>
      <w:pPr>
        <w:spacing w:after="0" w:line="113"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During the year ended December 31, 2012, permanent differences of $46 thousand were principally attributable to accrued U.S. federal excise taxes and $441 thousand of distributions from the Company’s net short-term capital gains generally characterized as ordinary dividend income to Company shareholders.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2012 and 2011,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years ended December 31, 2012 and 2011. There was no activity for the period from July 21, 2010 (inception) to December 31, 2010 other than the initial issuance of Common Stock.</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2"/>
          </w:tcPr>
          <w:p>
            <w:pPr>
              <w:jc w:val="right"/>
              <w:ind w:right="14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2220" w:type="dxa"/>
            <w:vAlign w:val="bottom"/>
            <w:gridSpan w:val="2"/>
          </w:tcPr>
          <w:p>
            <w:pPr>
              <w:jc w:val="right"/>
              <w:ind w:right="14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980.51</w:t>
            </w:r>
          </w:p>
        </w:tc>
        <w:tc>
          <w:tcPr>
            <w:tcW w:w="1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 asset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14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90.98</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220"/>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Total from investment operations</w:t>
            </w:r>
          </w:p>
        </w:tc>
        <w:tc>
          <w:tcPr>
            <w:tcW w:w="140" w:type="dxa"/>
            <w:vAlign w:val="bottom"/>
          </w:tcPr>
          <w:p>
            <w:pPr>
              <w:spacing w:after="0"/>
              <w:rPr>
                <w:sz w:val="19"/>
                <w:szCs w:val="19"/>
                <w:color w:val="auto"/>
              </w:rPr>
            </w:pP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110.39</w:t>
            </w:r>
          </w:p>
        </w:tc>
        <w:tc>
          <w:tcPr>
            <w:tcW w:w="140" w:type="dxa"/>
            <w:vAlign w:val="bottom"/>
          </w:tcPr>
          <w:p>
            <w:pPr>
              <w:spacing w:after="0"/>
              <w:rPr>
                <w:sz w:val="19"/>
                <w:szCs w:val="19"/>
                <w:color w:val="auto"/>
              </w:rPr>
            </w:pPr>
          </w:p>
        </w:tc>
        <w:tc>
          <w:tcPr>
            <w:tcW w:w="2220" w:type="dxa"/>
            <w:vAlign w:val="bottom"/>
            <w:gridSpan w:val="2"/>
          </w:tcPr>
          <w:p>
            <w:pPr>
              <w:jc w:val="right"/>
              <w:ind w:right="1220"/>
              <w:spacing w:after="0"/>
              <w:rPr>
                <w:sz w:val="20"/>
                <w:szCs w:val="20"/>
                <w:color w:val="auto"/>
              </w:rPr>
            </w:pPr>
            <w:r>
              <w:rPr>
                <w:rFonts w:ascii="Arial" w:cs="Arial" w:eastAsia="Arial" w:hAnsi="Arial"/>
                <w:sz w:val="18"/>
                <w:szCs w:val="18"/>
                <w:color w:val="auto"/>
              </w:rPr>
              <w:t>(15.81)</w:t>
            </w:r>
          </w:p>
        </w:tc>
        <w:tc>
          <w:tcPr>
            <w:tcW w:w="1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(77.97)</w:t>
            </w: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Total increase in net assets</w:t>
            </w: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1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979.51</w:t>
            </w:r>
          </w:p>
        </w:tc>
        <w:tc>
          <w:tcPr>
            <w:tcW w:w="1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1,012.93</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980.51</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473,678</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176,533</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2"/>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Ratio of net investment income (loss) to average net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2220" w:type="dxa"/>
            <w:vAlign w:val="bottom"/>
            <w:gridSpan w:val="2"/>
          </w:tcPr>
          <w:p>
            <w:pPr>
              <w:jc w:val="right"/>
              <w:ind w:right="10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173,092</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308,079</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50,207</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committed capital, end of period (2)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1,402,970</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1,211,246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Ratio of total contributed capital to total committed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capital, end of period</w:t>
            </w:r>
          </w:p>
        </w:tc>
        <w:tc>
          <w:tcPr>
            <w:tcW w:w="140" w:type="dxa"/>
            <w:vAlign w:val="bottom"/>
          </w:tcPr>
          <w:p>
            <w:pPr>
              <w:spacing w:after="0"/>
              <w:rPr>
                <w:sz w:val="19"/>
                <w:szCs w:val="19"/>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right="40" w:hanging="446"/>
        <w:spacing w:after="0" w:line="283"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of December 31, 2012 and 2011, the amount includes commitments from the Adviser and its affiliates of $114.1 and $70.4 million, respectively.</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60"/>
          </w:cols>
          <w:pgMar w:left="240" w:top="459" w:right="3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18,169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14,554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$ 11,314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6,637</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4,711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4,357</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7,917</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5,664</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0"/>
              </w:rPr>
              <w:t>13,581</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200" w:type="dxa"/>
            <w:vAlign w:val="bottom"/>
            <w:shd w:val="clear" w:color="auto" w:fill="CCEEFF"/>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Net Assets Value per Share as of the End of the Quarter</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$ 1,012.93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5"/>
          </w:tcPr>
          <w:p>
            <w:pPr>
              <w:jc w:val="right"/>
              <w:ind w:right="380"/>
              <w:spacing w:after="0"/>
              <w:rPr>
                <w:sz w:val="20"/>
                <w:szCs w:val="20"/>
                <w:color w:val="auto"/>
              </w:rPr>
            </w:pPr>
            <w:r>
              <w:rPr>
                <w:rFonts w:ascii="Arial" w:cs="Arial" w:eastAsia="Arial" w:hAnsi="Arial"/>
                <w:sz w:val="18"/>
                <w:szCs w:val="18"/>
                <w:color w:val="auto"/>
                <w:w w:val="84"/>
              </w:rPr>
              <w:t>$ 1,008.24</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$ 994.86</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$ 991.83</w:t>
            </w:r>
          </w:p>
        </w:tc>
        <w:tc>
          <w:tcPr>
            <w:tcW w:w="200" w:type="dxa"/>
            <w:vAlign w:val="bottom"/>
          </w:tcPr>
          <w:p>
            <w:pPr>
              <w:spacing w:after="0"/>
              <w:rPr>
                <w:sz w:val="19"/>
                <w:szCs w:val="19"/>
                <w:color w:val="auto"/>
              </w:rPr>
            </w:pPr>
          </w:p>
        </w:tc>
      </w:tr>
      <w:tr>
        <w:trPr>
          <w:trHeight w:val="345"/>
        </w:trPr>
        <w:tc>
          <w:tcPr>
            <w:tcW w:w="5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Q1</w:t>
            </w:r>
          </w:p>
        </w:tc>
        <w:tc>
          <w:tcPr>
            <w:tcW w:w="20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2,835</w:t>
            </w:r>
          </w:p>
        </w:tc>
        <w:tc>
          <w:tcPr>
            <w:tcW w:w="5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3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(1,554)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Unrealized Gains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5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1,375</w:t>
            </w:r>
          </w:p>
        </w:tc>
        <w:tc>
          <w:tcPr>
            <w:tcW w:w="3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(1,554)</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w w:val="99"/>
              </w:rPr>
              <w:t>Net Assets (Liabilities) Value per Share as of the End of the Quarter</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980.51</w:t>
            </w:r>
          </w:p>
        </w:tc>
        <w:tc>
          <w:tcPr>
            <w:tcW w:w="50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$966.50</w:t>
            </w:r>
          </w:p>
        </w:tc>
        <w:tc>
          <w:tcPr>
            <w:tcW w:w="380" w:type="dxa"/>
            <w:vAlign w:val="bottom"/>
          </w:tcPr>
          <w:p>
            <w:pPr>
              <w:spacing w:after="0"/>
              <w:rPr>
                <w:sz w:val="19"/>
                <w:szCs w:val="19"/>
                <w:color w:val="auto"/>
              </w:rPr>
            </w:pPr>
          </w:p>
        </w:tc>
        <w:tc>
          <w:tcPr>
            <w:tcW w:w="840" w:type="dxa"/>
            <w:vAlign w:val="bottom"/>
            <w:gridSpan w:val="5"/>
          </w:tcPr>
          <w:p>
            <w:pPr>
              <w:ind w:left="100"/>
              <w:spacing w:after="0"/>
              <w:rPr>
                <w:sz w:val="20"/>
                <w:szCs w:val="20"/>
                <w:color w:val="auto"/>
              </w:rPr>
            </w:pPr>
            <w:r>
              <w:rPr>
                <w:rFonts w:ascii="Arial" w:cs="Arial" w:eastAsia="Arial" w:hAnsi="Arial"/>
                <w:sz w:val="18"/>
                <w:szCs w:val="18"/>
                <w:color w:val="auto"/>
              </w:rPr>
              <w:t>$937.39</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$(1,553.31)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31, 2013, the Company concluded its Private Offerings by reaching $1.5 billion in committed capital.</w:t>
      </w:r>
    </w:p>
    <w:p>
      <w:pPr>
        <w:spacing w:after="0" w:line="171"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On March 12, 2013, the Board renewed the Administration Agreement which will now remain in effect until March 15, 2014, unless earlier terminated. F-31</w:t>
      </w:r>
    </w:p>
    <w:p>
      <w:pPr>
        <w:sectPr>
          <w:pgSz w:w="11900" w:h="16838" w:orient="portrait"/>
          <w:cols w:equalWidth="0" w:num="1">
            <w:col w:w="11120"/>
          </w:cols>
          <w:pgMar w:left="240" w:top="459" w:right="5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960" w:type="dxa"/>
            <w:vAlign w:val="bottom"/>
            <w:gridSpan w:val="3"/>
          </w:tcPr>
          <w:p>
            <w:pPr>
              <w:ind w:left="112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6"/>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201"/>
        </w:trPr>
        <w:tc>
          <w:tcPr>
            <w:tcW w:w="20" w:type="dxa"/>
            <w:vAlign w:val="bottom"/>
          </w:tcPr>
          <w:p>
            <w:pPr>
              <w:spacing w:after="0"/>
              <w:rPr>
                <w:sz w:val="17"/>
                <w:szCs w:val="17"/>
                <w:color w:val="auto"/>
              </w:rPr>
            </w:pPr>
          </w:p>
        </w:tc>
        <w:tc>
          <w:tcPr>
            <w:tcW w:w="2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TC Lending, LLC</w:t>
            </w:r>
          </w:p>
        </w:tc>
        <w:tc>
          <w:tcPr>
            <w:tcW w:w="3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TPG SL SPV, LLC</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1900" w:hanging="1446"/>
        <w:spacing w:after="0"/>
        <w:tabs>
          <w:tab w:leader="none" w:pos="1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December 31, 2012, of TPG Specialty Lending, Inc.;</w:t>
      </w:r>
    </w:p>
    <w:p>
      <w:pPr>
        <w:spacing w:after="0" w:line="113"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320"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5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320"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E. V</w:t>
      </w:r>
      <w:r>
        <w:rPr>
          <w:rFonts w:ascii="Arial" w:cs="Arial" w:eastAsia="Arial" w:hAnsi="Arial"/>
          <w:sz w:val="14"/>
          <w:szCs w:val="14"/>
          <w:color w:val="auto"/>
        </w:rPr>
        <w:t>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E. Viola</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annual report on Form 10-K of TPG Specialty Lending, Inc. (the “Company”) for the annual period ended December 31, 2012,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 to such officer’s knowledge:</w:t>
      </w:r>
    </w:p>
    <w:p>
      <w:pPr>
        <w:spacing w:after="0" w:line="184"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Fishman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E. V</w:t>
      </w:r>
      <w:r>
        <w:rPr>
          <w:rFonts w:ascii="Arial" w:cs="Arial" w:eastAsia="Arial" w:hAnsi="Arial"/>
          <w:sz w:val="14"/>
          <w:szCs w:val="14"/>
          <w:color w:val="auto"/>
        </w:rPr>
        <w:t>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E. Viola</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lowerRoman"/>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lowerRoman"/>
      <w:start w:val="3"/>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2"/>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2"/>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Roman"/>
      <w:start w:val="1"/>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1)"/>
      <w:numFmt w:val="lowerRoman"/>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5"/>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7"/>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2019-12-07T22:54:33Z</dcterms:created>
  <dcterms:modified xsi:type="dcterms:W3CDTF">2019-12-07T22:54:33Z</dcterms:modified>
</cp:coreProperties>
</file>