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March 28, 2018</w:t>
      </w:r>
    </w:p>
    <w:p>
      <w:pPr>
        <w:spacing w:after="0" w:line="28" w:lineRule="exact"/>
        <w:rPr>
          <w:sz w:val="24"/>
          <w:szCs w:val="24"/>
          <w:color w:val="auto"/>
        </w:rPr>
      </w:pPr>
    </w:p>
    <w:p>
      <w:pPr>
        <w:ind w:left="8940"/>
        <w:spacing w:after="0"/>
        <w:rPr>
          <w:sz w:val="20"/>
          <w:szCs w:val="20"/>
          <w:color w:val="auto"/>
        </w:rPr>
      </w:pPr>
      <w:r>
        <w:rPr>
          <w:rFonts w:ascii="Times New Roman" w:cs="Times New Roman" w:eastAsia="Times New Roman" w:hAnsi="Times New Roman"/>
          <w:sz w:val="16"/>
          <w:szCs w:val="16"/>
          <w:b w:val="1"/>
          <w:bCs w:val="1"/>
          <w:color w:val="auto"/>
        </w:rPr>
        <w:t>Securities Act File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75565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118745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121920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3"/>
          <w:szCs w:val="23"/>
          <w:b w:val="1"/>
          <w:bCs w:val="1"/>
          <w:color w:val="auto"/>
        </w:rPr>
        <w:t>FORM N-2</w:t>
      </w:r>
    </w:p>
    <w:p>
      <w:pPr>
        <w:spacing w:after="0" w:line="3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3"/>
          <w:szCs w:val="23"/>
          <w:b w:val="1"/>
          <w:bCs w:val="1"/>
          <w:color w:val="auto"/>
        </w:rPr>
        <w:t>REGISTRATION STATEMENT</w:t>
      </w:r>
    </w:p>
    <w:tbl>
      <w:tblPr>
        <w:tblLayout w:type="fixed"/>
        <w:tblInd w:w="4160" w:type="dxa"/>
        <w:tblCellMar>
          <w:top w:w="0" w:type="dxa"/>
          <w:left w:w="0" w:type="dxa"/>
          <w:bottom w:w="0" w:type="dxa"/>
          <w:right w:w="0" w:type="dxa"/>
        </w:tblCellMar>
      </w:tblPr>
      <w:tr>
        <w:trPr>
          <w:trHeight w:val="205"/>
        </w:trPr>
        <w:tc>
          <w:tcPr>
            <w:tcW w:w="4780" w:type="dxa"/>
            <w:vAlign w:val="bottom"/>
          </w:tcPr>
          <w:p>
            <w:pPr>
              <w:ind w:left="1240"/>
              <w:spacing w:after="0" w:line="206" w:lineRule="exact"/>
              <w:rPr>
                <w:sz w:val="20"/>
                <w:szCs w:val="20"/>
                <w:color w:val="auto"/>
              </w:rPr>
            </w:pPr>
            <w:r>
              <w:rPr>
                <w:rFonts w:ascii="Times New Roman" w:cs="Times New Roman" w:eastAsia="Times New Roman" w:hAnsi="Times New Roman"/>
                <w:sz w:val="18"/>
                <w:szCs w:val="18"/>
                <w:b w:val="1"/>
                <w:bCs w:val="1"/>
                <w:i w:val="1"/>
                <w:iCs w:val="1"/>
                <w:color w:val="auto"/>
              </w:rPr>
              <w:t>UNDER</w:t>
            </w:r>
          </w:p>
        </w:tc>
        <w:tc>
          <w:tcPr>
            <w:tcW w:w="2280" w:type="dxa"/>
            <w:vAlign w:val="bottom"/>
            <w:vMerge w:val="restart"/>
          </w:tcPr>
          <w:p>
            <w:pPr>
              <w:ind w:left="21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91"/>
        </w:trPr>
        <w:tc>
          <w:tcPr>
            <w:tcW w:w="478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tc>
        <w:tc>
          <w:tcPr>
            <w:tcW w:w="2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Pre-Effective Amendment No.</w:t>
            </w:r>
          </w:p>
        </w:tc>
        <w:tc>
          <w:tcPr>
            <w:tcW w:w="2280" w:type="dxa"/>
            <w:vAlign w:val="bottom"/>
          </w:tcPr>
          <w:p>
            <w:pPr>
              <w:ind w:left="21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Post-Effective Amendment No.</w:t>
            </w:r>
          </w:p>
        </w:tc>
        <w:tc>
          <w:tcPr>
            <w:tcW w:w="2280" w:type="dxa"/>
            <w:vAlign w:val="bottom"/>
          </w:tcPr>
          <w:p>
            <w:pPr>
              <w:ind w:left="21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99060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6"/>
          <w:szCs w:val="36"/>
          <w:b w:val="1"/>
          <w:bCs w:val="1"/>
          <w:color w:val="auto"/>
        </w:rPr>
        <w:t>TPG Specialty Lending, Inc.</w:t>
      </w:r>
    </w:p>
    <w:p>
      <w:pPr>
        <w:spacing w:after="0" w:line="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107950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301 Commerce Street, Suite 3300</w:t>
      </w:r>
    </w:p>
    <w:p>
      <w:pPr>
        <w:jc w:val="center"/>
        <w:ind w:right="-179"/>
        <w:spacing w:after="0" w:line="233" w:lineRule="auto"/>
        <w:rPr>
          <w:sz w:val="20"/>
          <w:szCs w:val="20"/>
          <w:color w:val="auto"/>
        </w:rPr>
      </w:pPr>
      <w:r>
        <w:rPr>
          <w:rFonts w:ascii="Times New Roman" w:cs="Times New Roman" w:eastAsia="Times New Roman" w:hAnsi="Times New Roman"/>
          <w:sz w:val="14"/>
          <w:szCs w:val="14"/>
          <w:b w:val="1"/>
          <w:bCs w:val="1"/>
          <w:color w:val="auto"/>
        </w:rPr>
        <w:t>Fort Worth, TX 76102</w:t>
      </w:r>
    </w:p>
    <w:p>
      <w:pPr>
        <w:jc w:val="center"/>
        <w:ind w:right="-179"/>
        <w:spacing w:after="0" w:line="213" w:lineRule="auto"/>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jc w:val="center"/>
        <w:ind w:right="-179"/>
        <w:spacing w:after="0" w:line="225" w:lineRule="auto"/>
        <w:rPr>
          <w:sz w:val="20"/>
          <w:szCs w:val="20"/>
          <w:color w:val="auto"/>
        </w:rPr>
      </w:pPr>
      <w:r>
        <w:rPr>
          <w:rFonts w:ascii="Times New Roman" w:cs="Times New Roman" w:eastAsia="Times New Roman" w:hAnsi="Times New Roman"/>
          <w:sz w:val="14"/>
          <w:szCs w:val="14"/>
          <w:b w:val="1"/>
          <w:bCs w:val="1"/>
          <w:color w:val="auto"/>
        </w:rPr>
        <w:t>(817) 871-4000</w:t>
      </w:r>
    </w:p>
    <w:p>
      <w:pPr>
        <w:jc w:val="center"/>
        <w:ind w:right="-179"/>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David Stiepleman</w:t>
      </w:r>
    </w:p>
    <w:p>
      <w:pPr>
        <w:jc w:val="center"/>
        <w:ind w:right="-179"/>
        <w:spacing w:after="0" w:line="229" w:lineRule="auto"/>
        <w:rPr>
          <w:sz w:val="20"/>
          <w:szCs w:val="20"/>
          <w:color w:val="auto"/>
        </w:rPr>
      </w:pPr>
      <w:r>
        <w:rPr>
          <w:rFonts w:ascii="Times New Roman" w:cs="Times New Roman" w:eastAsia="Times New Roman" w:hAnsi="Times New Roman"/>
          <w:sz w:val="14"/>
          <w:szCs w:val="14"/>
          <w:b w:val="1"/>
          <w:bCs w:val="1"/>
          <w:color w:val="auto"/>
        </w:rPr>
        <w:t>c/o TPG Specialty Lending, Inc.</w:t>
      </w:r>
    </w:p>
    <w:p>
      <w:pPr>
        <w:jc w:val="center"/>
        <w:ind w:right="-179"/>
        <w:spacing w:after="0" w:line="222" w:lineRule="auto"/>
        <w:rPr>
          <w:sz w:val="20"/>
          <w:szCs w:val="20"/>
          <w:color w:val="auto"/>
        </w:rPr>
      </w:pPr>
      <w:r>
        <w:rPr>
          <w:rFonts w:ascii="Times New Roman" w:cs="Times New Roman" w:eastAsia="Times New Roman" w:hAnsi="Times New Roman"/>
          <w:sz w:val="14"/>
          <w:szCs w:val="14"/>
          <w:b w:val="1"/>
          <w:bCs w:val="1"/>
          <w:color w:val="auto"/>
        </w:rPr>
        <w:t>345 California Street, Suite 3300</w:t>
      </w:r>
    </w:p>
    <w:p>
      <w:pPr>
        <w:jc w:val="center"/>
        <w:ind w:right="-179"/>
        <w:spacing w:after="0" w:line="225" w:lineRule="auto"/>
        <w:rPr>
          <w:sz w:val="20"/>
          <w:szCs w:val="20"/>
          <w:color w:val="auto"/>
        </w:rPr>
      </w:pPr>
      <w:r>
        <w:rPr>
          <w:rFonts w:ascii="Times New Roman" w:cs="Times New Roman" w:eastAsia="Times New Roman" w:hAnsi="Times New Roman"/>
          <w:sz w:val="14"/>
          <w:szCs w:val="14"/>
          <w:b w:val="1"/>
          <w:bCs w:val="1"/>
          <w:color w:val="auto"/>
        </w:rPr>
        <w:t>San Francisco, CA 94104</w:t>
      </w:r>
    </w:p>
    <w:p>
      <w:pPr>
        <w:jc w:val="center"/>
        <w:ind w:right="-179"/>
        <w:spacing w:after="0"/>
        <w:rPr>
          <w:sz w:val="20"/>
          <w:szCs w:val="20"/>
          <w:color w:val="auto"/>
        </w:rPr>
      </w:pPr>
      <w:r>
        <w:rPr>
          <w:rFonts w:ascii="Times New Roman" w:cs="Times New Roman" w:eastAsia="Times New Roman" w:hAnsi="Times New Roman"/>
          <w:sz w:val="13"/>
          <w:szCs w:val="13"/>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113665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i w:val="1"/>
          <w:iCs w:val="1"/>
          <w:color w:val="auto"/>
        </w:rPr>
        <w:t>WITH COPIES TO:</w:t>
      </w:r>
    </w:p>
    <w:p>
      <w:pPr>
        <w:spacing w:after="0" w:line="2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Adam E. Fleisher, Esq.</w:t>
      </w:r>
    </w:p>
    <w:p>
      <w:pPr>
        <w:jc w:val="center"/>
        <w:ind w:right="-179"/>
        <w:spacing w:after="0" w:line="221" w:lineRule="auto"/>
        <w:rPr>
          <w:sz w:val="20"/>
          <w:szCs w:val="20"/>
          <w:color w:val="auto"/>
        </w:rPr>
      </w:pPr>
      <w:r>
        <w:rPr>
          <w:rFonts w:ascii="Times New Roman" w:cs="Times New Roman" w:eastAsia="Times New Roman" w:hAnsi="Times New Roman"/>
          <w:sz w:val="14"/>
          <w:szCs w:val="14"/>
          <w:b w:val="1"/>
          <w:bCs w:val="1"/>
          <w:color w:val="auto"/>
        </w:rPr>
        <w:t>Helena K. Grannis, Esq.</w:t>
      </w:r>
    </w:p>
    <w:p>
      <w:pPr>
        <w:jc w:val="center"/>
        <w:ind w:right="-179"/>
        <w:spacing w:after="0" w:line="221" w:lineRule="auto"/>
        <w:rPr>
          <w:sz w:val="20"/>
          <w:szCs w:val="20"/>
          <w:color w:val="auto"/>
        </w:rPr>
      </w:pPr>
      <w:r>
        <w:rPr>
          <w:rFonts w:ascii="Times New Roman" w:cs="Times New Roman" w:eastAsia="Times New Roman" w:hAnsi="Times New Roman"/>
          <w:sz w:val="14"/>
          <w:szCs w:val="14"/>
          <w:b w:val="1"/>
          <w:bCs w:val="1"/>
          <w:color w:val="auto"/>
        </w:rPr>
        <w:t>Cleary Gottlieb Steen &amp; Hamilton LLP</w:t>
      </w:r>
    </w:p>
    <w:p>
      <w:pPr>
        <w:jc w:val="center"/>
        <w:ind w:right="-179"/>
        <w:spacing w:after="0" w:line="222" w:lineRule="auto"/>
        <w:rPr>
          <w:sz w:val="20"/>
          <w:szCs w:val="20"/>
          <w:color w:val="auto"/>
        </w:rPr>
      </w:pPr>
      <w:r>
        <w:rPr>
          <w:rFonts w:ascii="Times New Roman" w:cs="Times New Roman" w:eastAsia="Times New Roman" w:hAnsi="Times New Roman"/>
          <w:sz w:val="14"/>
          <w:szCs w:val="14"/>
          <w:b w:val="1"/>
          <w:bCs w:val="1"/>
          <w:color w:val="auto"/>
        </w:rPr>
        <w:t>One Liberty Plaza</w:t>
      </w:r>
    </w:p>
    <w:p>
      <w:pPr>
        <w:jc w:val="center"/>
        <w:ind w:right="-179"/>
        <w:spacing w:after="0" w:line="221" w:lineRule="auto"/>
        <w:rPr>
          <w:sz w:val="20"/>
          <w:szCs w:val="20"/>
          <w:color w:val="auto"/>
        </w:rPr>
      </w:pPr>
      <w:r>
        <w:rPr>
          <w:rFonts w:ascii="Times New Roman" w:cs="Times New Roman" w:eastAsia="Times New Roman" w:hAnsi="Times New Roman"/>
          <w:sz w:val="14"/>
          <w:szCs w:val="14"/>
          <w:b w:val="1"/>
          <w:bCs w:val="1"/>
          <w:color w:val="auto"/>
        </w:rPr>
        <w:t>New York, NY 10006</w:t>
      </w:r>
    </w:p>
    <w:p>
      <w:pPr>
        <w:jc w:val="center"/>
        <w:ind w:right="-179"/>
        <w:spacing w:after="0" w:line="222" w:lineRule="auto"/>
        <w:rPr>
          <w:sz w:val="20"/>
          <w:szCs w:val="20"/>
          <w:color w:val="auto"/>
        </w:rPr>
      </w:pPr>
      <w:r>
        <w:rPr>
          <w:rFonts w:ascii="Times New Roman" w:cs="Times New Roman" w:eastAsia="Times New Roman" w:hAnsi="Times New Roman"/>
          <w:sz w:val="14"/>
          <w:szCs w:val="14"/>
          <w:b w:val="1"/>
          <w:bCs w:val="1"/>
          <w:color w:val="auto"/>
        </w:rPr>
        <w:t>Telephone: (212) 225-2000</w:t>
      </w: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Facsimile: (212) 225-3999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116205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6"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Proposed Public Offering: </w:t>
      </w:r>
      <w:r>
        <w:rPr>
          <w:rFonts w:ascii="Times New Roman" w:cs="Times New Roman" w:eastAsia="Times New Roman" w:hAnsi="Times New Roman"/>
          <w:sz w:val="14"/>
          <w:szCs w:val="14"/>
          <w:color w:val="auto"/>
        </w:rPr>
        <w:t>From time to time after the effective date of this Registration Statement.</w:t>
      </w:r>
    </w:p>
    <w:p>
      <w:pPr>
        <w:spacing w:after="0" w:line="44" w:lineRule="exact"/>
        <w:rPr>
          <w:sz w:val="24"/>
          <w:szCs w:val="24"/>
          <w:color w:val="auto"/>
        </w:rPr>
      </w:pPr>
    </w:p>
    <w:p>
      <w:pPr>
        <w:ind w:left="200" w:right="520"/>
        <w:spacing w:after="0" w:line="182" w:lineRule="exact"/>
        <w:rPr>
          <w:sz w:val="20"/>
          <w:szCs w:val="20"/>
          <w:color w:val="auto"/>
        </w:rPr>
      </w:pPr>
      <w:r>
        <w:rPr>
          <w:rFonts w:ascii="Times New Roman" w:cs="Times New Roman" w:eastAsia="Times New Roman" w:hAnsi="Times New Roman"/>
          <w:sz w:val="14"/>
          <w:szCs w:val="14"/>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4"/>
          <w:szCs w:val="14"/>
          <w:color w:val="auto"/>
        </w:rPr>
        <w:t>☒</w:t>
      </w:r>
    </w:p>
    <w:p>
      <w:pPr>
        <w:spacing w:after="0" w:line="15"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4"/>
          <w:szCs w:val="14"/>
          <w:color w:val="auto"/>
        </w:rPr>
        <w:t>It is proposed that this filing will become effective (check appropriate box):</w:t>
      </w:r>
    </w:p>
    <w:p>
      <w:pPr>
        <w:spacing w:after="0" w:line="12" w:lineRule="exact"/>
        <w:rPr>
          <w:sz w:val="24"/>
          <w:szCs w:val="24"/>
          <w:color w:val="auto"/>
        </w:rPr>
      </w:pPr>
    </w:p>
    <w:p>
      <w:pPr>
        <w:ind w:left="480" w:hanging="276"/>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when declared effective pursuant to section 8(c)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120015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CALCULATION OF REGISTRATION FEE UNDER THE SECURITIES ACT OF 1933</w:t>
      </w:r>
    </w:p>
    <w:p>
      <w:pPr>
        <w:spacing w:after="0" w:line="73"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642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42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4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Securities</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Being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Fee</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6420" w:type="dxa"/>
            <w:vAlign w:val="bottom"/>
            <w:tcBorders>
              <w:bottom w:val="single" w:sz="8" w:color="auto"/>
              <w:right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Common Stock, $0.01 par value per share</w:t>
            </w:r>
            <w:r>
              <w:rPr>
                <w:rFonts w:ascii="Times New Roman" w:cs="Times New Roman" w:eastAsia="Times New Roman" w:hAnsi="Times New Roman"/>
                <w:sz w:val="12"/>
                <w:szCs w:val="12"/>
                <w:color w:val="auto"/>
              </w:rPr>
              <w:t>(1)(2)</w:t>
            </w:r>
          </w:p>
        </w:tc>
        <w:tc>
          <w:tcPr>
            <w:tcW w:w="1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tcBorders>
              <w:bottom w:val="single" w:sz="8" w:color="auto"/>
              <w:right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Preferred Stock, $0.01 par value per share</w:t>
            </w:r>
            <w:r>
              <w:rPr>
                <w:rFonts w:ascii="Times New Roman" w:cs="Times New Roman" w:eastAsia="Times New Roman" w:hAnsi="Times New Roman"/>
                <w:sz w:val="12"/>
                <w:szCs w:val="12"/>
                <w:color w:val="auto"/>
              </w:rPr>
              <w:t>(1)(2)</w:t>
            </w:r>
          </w:p>
        </w:tc>
        <w:tc>
          <w:tcPr>
            <w:tcW w:w="1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tcBorders>
              <w:bottom w:val="single" w:sz="8" w:color="auto"/>
              <w:right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Subscription Rights</w:t>
            </w:r>
            <w:r>
              <w:rPr>
                <w:rFonts w:ascii="Times New Roman" w:cs="Times New Roman" w:eastAsia="Times New Roman" w:hAnsi="Times New Roman"/>
                <w:sz w:val="12"/>
                <w:szCs w:val="12"/>
                <w:color w:val="auto"/>
              </w:rPr>
              <w:t>(1)</w:t>
            </w:r>
          </w:p>
        </w:tc>
        <w:tc>
          <w:tcPr>
            <w:tcW w:w="1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tcBorders>
              <w:bottom w:val="single" w:sz="8" w:color="auto"/>
              <w:right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Warrants</w:t>
            </w:r>
            <w:r>
              <w:rPr>
                <w:rFonts w:ascii="Times New Roman" w:cs="Times New Roman" w:eastAsia="Times New Roman" w:hAnsi="Times New Roman"/>
                <w:sz w:val="12"/>
                <w:szCs w:val="12"/>
                <w:color w:val="auto"/>
              </w:rPr>
              <w:t>(3)</w:t>
            </w:r>
          </w:p>
        </w:tc>
        <w:tc>
          <w:tcPr>
            <w:tcW w:w="1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tcBorders>
              <w:bottom w:val="single" w:sz="8" w:color="auto"/>
              <w:right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Debt Securities</w:t>
            </w:r>
            <w:r>
              <w:rPr>
                <w:rFonts w:ascii="Times New Roman" w:cs="Times New Roman" w:eastAsia="Times New Roman" w:hAnsi="Times New Roman"/>
                <w:sz w:val="12"/>
                <w:szCs w:val="12"/>
                <w:color w:val="auto"/>
              </w:rPr>
              <w:t>(2)(4)</w:t>
            </w:r>
          </w:p>
        </w:tc>
        <w:tc>
          <w:tcPr>
            <w:tcW w:w="1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tcBorders>
              <w:bottom w:val="single" w:sz="8" w:color="auto"/>
              <w:right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Total</w:t>
            </w:r>
            <w:r>
              <w:rPr>
                <w:rFonts w:ascii="Times New Roman" w:cs="Times New Roman" w:eastAsia="Times New Roman" w:hAnsi="Times New Roman"/>
                <w:sz w:val="12"/>
                <w:szCs w:val="12"/>
                <w:color w:val="auto"/>
              </w:rPr>
              <w:t>(5)</w:t>
            </w:r>
          </w:p>
        </w:tc>
        <w:tc>
          <w:tcPr>
            <w:tcW w:w="1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$750,000,000</w:t>
            </w:r>
          </w:p>
        </w:tc>
        <w:tc>
          <w:tcPr>
            <w:tcW w:w="15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$93,375</w:t>
            </w: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20" w:right="60" w:hanging="316"/>
        <w:spacing w:after="0" w:line="226"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Note 5 below, there is being registered hereunder an indeterminate number of shares of common stock or preferred stock, or subscription rights to purchase shares of common stock as may be sold, from time to time.</w:t>
      </w:r>
    </w:p>
    <w:p>
      <w:pPr>
        <w:ind w:left="520" w:right="160" w:hanging="316"/>
        <w:spacing w:after="0" w:line="221"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such indeterminate number of shares of common stock, preferred stock or debt securities as may, from time to time, be issued upon conversion or exchange of other securities registered hereunder, to the extent any such securities are, by their terms, convertible or exchangeable for common stock, preferred stock or debt securities.</w:t>
      </w:r>
    </w:p>
    <w:p>
      <w:pPr>
        <w:ind w:left="520" w:right="380" w:hanging="316"/>
        <w:spacing w:after="0" w:line="221"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Note 5 below, there is being registered hereunder an indeterminate number of warrants as may be sold, from time to time, representing rights to purchase common stock, preferred stock or debt securities.</w:t>
      </w:r>
    </w:p>
    <w:p>
      <w:pPr>
        <w:ind w:left="520" w:right="80" w:hanging="316"/>
        <w:spacing w:after="0" w:line="221"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Note 5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$750,000,000.</w:t>
      </w:r>
    </w:p>
    <w:p>
      <w:pPr>
        <w:ind w:left="520" w:hanging="316"/>
        <w:spacing w:after="0" w:line="221"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 event will the aggregate offering price of all securities issued from time to time pursuant to this registration statement by the Registrant exceed $750,000,000.</w:t>
      </w:r>
    </w:p>
    <w:p>
      <w:pPr>
        <w:ind w:left="520" w:right="60" w:hanging="316"/>
        <w:spacing w:after="0" w:line="221"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pursuant to Rule 457(o) solely for the purpose of determining the registration fee. The proposed maximum offering price per security will be determined from time to time, by the Registrant in connection with the sale by the Registrant of the securities registered under this registration statement.</w:t>
      </w:r>
    </w:p>
    <w:p>
      <w:pPr>
        <w:ind w:left="520" w:right="40" w:hanging="316"/>
        <w:spacing w:after="0" w:line="230"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initial filing of this registration statement, $750,000,000 aggregate principal amount of securities remained registered and unsold pursuant to a registration statement on Form N-2 (File No. 333-210524), which was initially filed by the Registrant on March 31, 2016. Pursuant to Rule 457(p), $75,525 of the total filing fee of $93,375 required in connection with the registration of $750,000,000 aggregate principal amount of securities under this registration statement is being offset against the $75,525 filing fee associated with the unsold securities registered under the registration statement on Form N-2 (File No. 333-210524), and an additional $17,850 is being paid in connection herewith.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100965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2" w:lineRule="exact"/>
        <w:rPr>
          <w:sz w:val="24"/>
          <w:szCs w:val="24"/>
          <w:color w:val="auto"/>
        </w:rPr>
      </w:pPr>
    </w:p>
    <w:p>
      <w:pPr>
        <w:ind w:left="200" w:right="360" w:firstLine="331"/>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48260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90805</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26" w:right="41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both"/>
        <w:ind w:left="200" w:right="180"/>
        <w:spacing w:after="0" w:line="268" w:lineRule="auto"/>
        <w:rPr>
          <w:sz w:val="20"/>
          <w:szCs w:val="20"/>
          <w:color w:val="auto"/>
        </w:rPr>
      </w:pPr>
      <w:r>
        <w:rPr>
          <w:rFonts w:ascii="Times New Roman" w:cs="Times New Roman" w:eastAsia="Times New Roman" w:hAnsi="Times New Roman"/>
          <w:sz w:val="18"/>
          <w:szCs w:val="18"/>
          <w:b w:val="1"/>
          <w:bCs w:val="1"/>
          <w:color w:val="EB0029"/>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0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EB0029"/>
        </w:rPr>
        <w:t>Subject to completion, dated March 28, 2018</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PROSPECTUS</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163830</wp:posOffset>
            </wp:positionV>
            <wp:extent cx="1689735" cy="720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8973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43"/>
          <w:szCs w:val="43"/>
          <w:b w:val="1"/>
          <w:bCs w:val="1"/>
          <w:color w:val="auto"/>
        </w:rPr>
        <w:t>TPG Specialty Lending, Inc.</w:t>
      </w:r>
    </w:p>
    <w:p>
      <w:pPr>
        <w:spacing w:after="0" w:line="24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157480</wp:posOffset>
            </wp:positionV>
            <wp:extent cx="1466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31" w:lineRule="exact"/>
        <w:rPr>
          <w:sz w:val="20"/>
          <w:szCs w:val="20"/>
          <w:color w:val="auto"/>
        </w:rPr>
      </w:pPr>
    </w:p>
    <w:p>
      <w:pPr>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and unsecured loans and investments in corporate bonds and equity securities.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December 31, 2017, our investment portfolio consisted of investments in 45 portfolio companies with an aggregate fair value of</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$1,693.7 million. We intend to continue to pursue an investment strategy focused on direct origination of loans to middle-market companies principally</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domiciled in the United States.</w:t>
      </w:r>
    </w:p>
    <w:p>
      <w:pPr>
        <w:spacing w:after="0" w:line="207" w:lineRule="exact"/>
        <w:rPr>
          <w:sz w:val="20"/>
          <w:szCs w:val="20"/>
          <w:color w:val="auto"/>
        </w:rPr>
      </w:pPr>
    </w:p>
    <w:p>
      <w:pPr>
        <w:ind w:left="200" w:right="280" w:firstLine="441"/>
        <w:spacing w:after="0" w:line="261" w:lineRule="auto"/>
        <w:rPr>
          <w:sz w:val="20"/>
          <w:szCs w:val="20"/>
          <w:color w:val="auto"/>
        </w:rPr>
      </w:pPr>
      <w:r>
        <w:rPr>
          <w:rFonts w:ascii="Times New Roman" w:cs="Times New Roman" w:eastAsia="Times New Roman" w:hAnsi="Times New Roman"/>
          <w:sz w:val="18"/>
          <w:szCs w:val="18"/>
          <w:color w:val="auto"/>
        </w:rPr>
        <w:t>We are an externally managed, closed-end, non-diversified management investment company. TSL Advisers, LLC, or the Adviser, acts as our investment adviser and administrator. We and the Adviser are part of the TPG Sixth Street Partners platform, which had approximately $20 billion of assets under management as of September 30, 2017. TPG Sixth Street Partners is the special situations and credit platform of TPG, a leading global private investment firm founded in 1992 with over $79 billion of assets under management as of September 30, 2017.</w:t>
      </w:r>
    </w:p>
    <w:p>
      <w:pPr>
        <w:spacing w:after="0" w:line="180"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188" w:lineRule="exact"/>
        <w:rPr>
          <w:sz w:val="20"/>
          <w:szCs w:val="20"/>
          <w:color w:val="auto"/>
        </w:rPr>
      </w:pPr>
    </w:p>
    <w:p>
      <w:pPr>
        <w:ind w:left="200" w:right="180" w:firstLine="441"/>
        <w:spacing w:after="0" w:line="266" w:lineRule="auto"/>
        <w:rPr>
          <w:sz w:val="20"/>
          <w:szCs w:val="20"/>
          <w:color w:val="auto"/>
        </w:rPr>
      </w:pPr>
      <w:r>
        <w:rPr>
          <w:rFonts w:ascii="Times New Roman" w:cs="Times New Roman" w:eastAsia="Times New Roman" w:hAnsi="Times New Roman"/>
          <w:sz w:val="18"/>
          <w:szCs w:val="18"/>
          <w:color w:val="auto"/>
        </w:rPr>
        <w:t>Substantially all of our debt investments have variable interest rates that reset periodically based on interest rate benchmarks such as the London Interbank Offered Rate, the Federal Funds Effective Rate or the Prime Rate. As a result, significant increases in such interest rate benchmarks in the future would make it more difficult for these borrowers to service their obligations under the debt investments that we hold.</w:t>
      </w:r>
    </w:p>
    <w:p>
      <w:pPr>
        <w:spacing w:after="0" w:line="176" w:lineRule="exact"/>
        <w:rPr>
          <w:sz w:val="20"/>
          <w:szCs w:val="20"/>
          <w:color w:val="auto"/>
        </w:rPr>
      </w:pPr>
    </w:p>
    <w:p>
      <w:pPr>
        <w:ind w:left="200" w:right="180" w:firstLine="441"/>
        <w:spacing w:after="0" w:line="258" w:lineRule="auto"/>
        <w:rPr>
          <w:sz w:val="20"/>
          <w:szCs w:val="20"/>
          <w:color w:val="auto"/>
        </w:rPr>
      </w:pPr>
      <w:r>
        <w:rPr>
          <w:rFonts w:ascii="Times New Roman" w:cs="Times New Roman" w:eastAsia="Times New Roman" w:hAnsi="Times New Roman"/>
          <w:sz w:val="18"/>
          <w:szCs w:val="18"/>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which we refer to, collectively, as the “securities.” The preferred stock, debt securities, subscription rights and warrants offered hereby may be convertible or exchangeable into shares of our common stock. The securities may be offered at prices and on terms to be described in one or more supplements to this prospectus.</w:t>
      </w:r>
    </w:p>
    <w:p>
      <w:pPr>
        <w:sectPr>
          <w:pgSz w:w="11900" w:h="16838" w:orient="portrait"/>
          <w:cols w:equalWidth="0" w:num="1">
            <w:col w:w="11220"/>
          </w:cols>
          <w:pgMar w:left="240" w:top="455" w:right="4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8" w:lineRule="auto"/>
        <w:rPr>
          <w:sz w:val="20"/>
          <w:szCs w:val="20"/>
          <w:color w:val="auto"/>
        </w:rPr>
      </w:pPr>
      <w:r>
        <w:rPr>
          <w:rFonts w:ascii="Times New Roman" w:cs="Times New Roman" w:eastAsia="Times New Roman" w:hAnsi="Times New Roman"/>
          <w:sz w:val="18"/>
          <w:szCs w:val="18"/>
          <w:color w:val="auto"/>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stockholders, (ii) with the prior approval of the majority of our outstanding voting securities or (iii) under such other circumstances as the Securities and Exchange Commission may permit.</w:t>
      </w:r>
    </w:p>
    <w:p>
      <w:pPr>
        <w:spacing w:after="0" w:line="184"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The securities may be offered directly to one or more purchasers,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 We will not sell any of the securities pursuant to this registration statement through agents, underwriters or dealers without delivery of this prospectus and a prospectus supplement describing the method and terms of the offering of such securities.</w:t>
      </w:r>
    </w:p>
    <w:p>
      <w:pPr>
        <w:spacing w:after="0" w:line="188" w:lineRule="exact"/>
        <w:rPr>
          <w:sz w:val="20"/>
          <w:szCs w:val="20"/>
          <w:color w:val="auto"/>
        </w:rPr>
      </w:pPr>
    </w:p>
    <w:p>
      <w:pPr>
        <w:jc w:val="both"/>
        <w:ind w:left="200" w:right="140" w:firstLine="441"/>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New York Stock Exchange, or NYSE, under the symbol “TSLX.” On March 26, 2018, the last reported sales price of our common stock on the NYSE was $17.50 per share. The net asset value per share of our common stock at December 31, 2017 (the last date prior to the date of this prospectus for which we reported net asset value) was $16.09.</w:t>
      </w:r>
    </w:p>
    <w:p>
      <w:pPr>
        <w:spacing w:after="0" w:line="163" w:lineRule="exact"/>
        <w:rPr>
          <w:sz w:val="20"/>
          <w:szCs w:val="20"/>
          <w:color w:val="auto"/>
        </w:rPr>
      </w:pPr>
    </w:p>
    <w:p>
      <w:pPr>
        <w:ind w:left="200" w:right="20" w:firstLine="441"/>
        <w:spacing w:after="0" w:line="23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securities involves a high degree of risk. Shares of closed-end investment companies, including business development companies, frequently trade at a discount to their net asset values. If our shares trade at a discount to our net asset value, purchasers in any offering will face increased risk of loss. In addition, the companies in which we invest are subject to special risks. Before buying any securities, you should read the discussion of the material risks of investing in our securities, including the risk of leverage, in “</w:t>
      </w:r>
      <w:hyperlink w:anchor="page27">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21 of this prospectus.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sales of our securities unless accompanied by a prospectus supplement.</w:t>
      </w:r>
    </w:p>
    <w:p>
      <w:pPr>
        <w:spacing w:after="0" w:line="229"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Please read this prospectus and any accompanying prospectus supplements before investing and keep each for future reference. This prospectus and any accompanying prospectus supplements contain important information about us that a prospective investor ought to know before investing in our securities. Information required to be included in a Statement of Additional Information may be found in this prospectus and an accompanying prospectus supplement, as applicable. We also file periodic and current reports, proxy statements and other information about us with the Securities and Exchange Commission. This information is available free of charge by contacting us at 888 7th Avenue, 35th Floor, New York, NY 10106, Attention: TSLX Investor Relations, by emailing us at IRTSL@tpg.com or visiting our website at http://www.tpgspecialtylending.com. Information on our website is not incorporated into or a part of this prospectus or any prospectus supplement. The Securities and Exchange Commission also maintains a website at http://www.sec.gov that contains this information.</w:t>
      </w:r>
    </w:p>
    <w:p>
      <w:pPr>
        <w:spacing w:after="0" w:line="181" w:lineRule="exact"/>
        <w:rPr>
          <w:sz w:val="20"/>
          <w:szCs w:val="20"/>
          <w:color w:val="auto"/>
        </w:rPr>
      </w:pPr>
    </w:p>
    <w:p>
      <w:pPr>
        <w:ind w:left="200" w:right="6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The Securities and Exchange Commission has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207010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tbl>
      <w:tblPr>
        <w:tblLayout w:type="fixed"/>
        <w:tblInd w:w="402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2018</w:t>
            </w:r>
          </w:p>
        </w:tc>
      </w:tr>
    </w:tbl>
    <w:p>
      <w:pPr>
        <w:sectPr>
          <w:pgSz w:w="11900" w:h="16838" w:orient="portrait"/>
          <w:cols w:equalWidth="0" w:num="1">
            <w:col w:w="11200"/>
          </w:cols>
          <w:pgMar w:left="240" w:top="455" w:right="4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CROSS-REFERENCE SHEET</w:t>
      </w:r>
    </w:p>
    <w:p>
      <w:pPr>
        <w:spacing w:after="0" w:line="249"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ITEM</w:t>
            </w:r>
          </w:p>
        </w:tc>
        <w:tc>
          <w:tcPr>
            <w:tcW w:w="5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CAPTION</w:t>
            </w:r>
          </w:p>
        </w:tc>
        <w:tc>
          <w:tcPr>
            <w:tcW w:w="4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IN PROSPECTUS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3"/>
              </w:rPr>
              <w:t>NUMBER</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60" w:type="dxa"/>
            <w:vAlign w:val="bottom"/>
            <w:gridSpan w:val="2"/>
            <w:vMerge w:val="continue"/>
          </w:tcPr>
          <w:p>
            <w:pPr>
              <w:spacing w:after="0"/>
              <w:rPr>
                <w:sz w:val="14"/>
                <w:szCs w:val="14"/>
                <w:color w:val="auto"/>
              </w:rPr>
            </w:pPr>
          </w:p>
        </w:tc>
        <w:tc>
          <w:tcPr>
            <w:tcW w:w="4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 w:type="dxa"/>
            <w:vAlign w:val="bottom"/>
            <w:tcBorders>
              <w:top w:val="single" w:sz="8" w:color="auto"/>
            </w:tcBorders>
            <w:gridSpan w:val="2"/>
          </w:tcPr>
          <w:p>
            <w:pPr>
              <w:jc w:val="center"/>
              <w:ind w:left="30"/>
              <w:spacing w:after="0" w:line="171"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4840" w:type="dxa"/>
            <w:vAlign w:val="bottom"/>
            <w:tcBorders>
              <w:top w:val="single" w:sz="8" w:color="auto"/>
            </w:tcBorders>
          </w:tcPr>
          <w:p>
            <w:pPr>
              <w:jc w:val="center"/>
              <w:spacing w:after="0" w:line="171" w:lineRule="exact"/>
              <w:rPr>
                <w:sz w:val="20"/>
                <w:szCs w:val="20"/>
                <w:color w:val="auto"/>
              </w:rPr>
            </w:pPr>
            <w:r>
              <w:rPr>
                <w:rFonts w:ascii="Times New Roman" w:cs="Times New Roman" w:eastAsia="Times New Roman" w:hAnsi="Times New Roman"/>
                <w:sz w:val="18"/>
                <w:szCs w:val="18"/>
                <w:color w:val="auto"/>
                <w:w w:val="99"/>
              </w:rPr>
              <w:t>Outside Front Cover</w:t>
            </w:r>
          </w:p>
        </w:tc>
        <w:tc>
          <w:tcPr>
            <w:tcW w:w="220" w:type="dxa"/>
            <w:vAlign w:val="bottom"/>
          </w:tcPr>
          <w:p>
            <w:pPr>
              <w:spacing w:after="0"/>
              <w:rPr>
                <w:sz w:val="14"/>
                <w:szCs w:val="14"/>
                <w:color w:val="auto"/>
              </w:rPr>
            </w:pPr>
          </w:p>
        </w:tc>
        <w:tc>
          <w:tcPr>
            <w:tcW w:w="4860" w:type="dxa"/>
            <w:vAlign w:val="bottom"/>
            <w:tcBorders>
              <w:top w:val="single" w:sz="8" w:color="auto"/>
            </w:tcBorders>
          </w:tcPr>
          <w:p>
            <w:pPr>
              <w:jc w:val="center"/>
              <w:spacing w:after="0" w:line="171" w:lineRule="exact"/>
              <w:rPr>
                <w:sz w:val="20"/>
                <w:szCs w:val="20"/>
                <w:color w:val="auto"/>
              </w:rPr>
            </w:pPr>
            <w:r>
              <w:rPr>
                <w:rFonts w:ascii="Times New Roman" w:cs="Times New Roman" w:eastAsia="Times New Roman" w:hAnsi="Times New Roman"/>
                <w:sz w:val="18"/>
                <w:szCs w:val="18"/>
                <w:color w:val="auto"/>
              </w:rPr>
              <w:t>Outside Front Cover Page</w:t>
            </w:r>
          </w:p>
        </w:tc>
        <w:tc>
          <w:tcPr>
            <w:tcW w:w="0" w:type="dxa"/>
            <w:vAlign w:val="bottom"/>
          </w:tcPr>
          <w:p>
            <w:pPr>
              <w:spacing w:after="0"/>
              <w:rPr>
                <w:sz w:val="1"/>
                <w:szCs w:val="1"/>
                <w:color w:val="auto"/>
              </w:rPr>
            </w:pPr>
          </w:p>
        </w:tc>
      </w:tr>
      <w:tr>
        <w:trPr>
          <w:trHeight w:val="216"/>
        </w:trPr>
        <w:tc>
          <w:tcPr>
            <w:tcW w:w="5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Cover Pages; Other Offering Information</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Inside Front and Outside Back Cover Pages</w:t>
            </w:r>
          </w:p>
        </w:tc>
        <w:tc>
          <w:tcPr>
            <w:tcW w:w="0" w:type="dxa"/>
            <w:vAlign w:val="bottom"/>
          </w:tcPr>
          <w:p>
            <w:pPr>
              <w:spacing w:after="0"/>
              <w:rPr>
                <w:sz w:val="1"/>
                <w:szCs w:val="1"/>
                <w:color w:val="auto"/>
              </w:rPr>
            </w:pPr>
          </w:p>
        </w:tc>
      </w:tr>
      <w:tr>
        <w:trPr>
          <w:trHeight w:val="216"/>
        </w:trPr>
        <w:tc>
          <w:tcPr>
            <w:tcW w:w="5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Fee Table and Synopsis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Fees and Expenses; Available Information</w:t>
            </w:r>
          </w:p>
        </w:tc>
        <w:tc>
          <w:tcPr>
            <w:tcW w:w="0" w:type="dxa"/>
            <w:vAlign w:val="bottom"/>
          </w:tcPr>
          <w:p>
            <w:pPr>
              <w:spacing w:after="0"/>
              <w:rPr>
                <w:sz w:val="1"/>
                <w:szCs w:val="1"/>
                <w:color w:val="auto"/>
              </w:rPr>
            </w:pPr>
          </w:p>
        </w:tc>
      </w:tr>
      <w:tr>
        <w:trPr>
          <w:trHeight w:val="216"/>
        </w:trPr>
        <w:tc>
          <w:tcPr>
            <w:tcW w:w="5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Financial Highlights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Selected Financial Data and Other Information; Selected Quarterly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Financial Data; Management’s Discussion and Analysis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Financial Condition and Results of Operations; Senior Securities</w:t>
            </w:r>
          </w:p>
        </w:tc>
        <w:tc>
          <w:tcPr>
            <w:tcW w:w="0" w:type="dxa"/>
            <w:vAlign w:val="bottom"/>
          </w:tcPr>
          <w:p>
            <w:pPr>
              <w:spacing w:after="0"/>
              <w:rPr>
                <w:sz w:val="1"/>
                <w:szCs w:val="1"/>
                <w:color w:val="auto"/>
              </w:rPr>
            </w:pPr>
          </w:p>
        </w:tc>
      </w:tr>
      <w:tr>
        <w:trPr>
          <w:trHeight w:val="216"/>
        </w:trPr>
        <w:tc>
          <w:tcPr>
            <w:tcW w:w="5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Plan of Distribution</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Plan of Distribution</w:t>
            </w:r>
          </w:p>
        </w:tc>
        <w:tc>
          <w:tcPr>
            <w:tcW w:w="0" w:type="dxa"/>
            <w:vAlign w:val="bottom"/>
          </w:tcPr>
          <w:p>
            <w:pPr>
              <w:spacing w:after="0"/>
              <w:rPr>
                <w:sz w:val="1"/>
                <w:szCs w:val="1"/>
                <w:color w:val="auto"/>
              </w:rPr>
            </w:pPr>
          </w:p>
        </w:tc>
      </w:tr>
      <w:tr>
        <w:trPr>
          <w:trHeight w:val="216"/>
        </w:trPr>
        <w:tc>
          <w:tcPr>
            <w:tcW w:w="5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Selling Shareholders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5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Use of Proceeds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Use of Proceeds</w:t>
            </w:r>
          </w:p>
        </w:tc>
        <w:tc>
          <w:tcPr>
            <w:tcW w:w="0" w:type="dxa"/>
            <w:vAlign w:val="bottom"/>
          </w:tcPr>
          <w:p>
            <w:pPr>
              <w:spacing w:after="0"/>
              <w:rPr>
                <w:sz w:val="1"/>
                <w:szCs w:val="1"/>
                <w:color w:val="auto"/>
              </w:rPr>
            </w:pPr>
          </w:p>
        </w:tc>
      </w:tr>
      <w:tr>
        <w:trPr>
          <w:trHeight w:val="216"/>
        </w:trPr>
        <w:tc>
          <w:tcPr>
            <w:tcW w:w="5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General Description of the Registrant</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Outside Front Cover Page; Prospectus Summary; Risk Factors;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Management’s Discussion and Analysis of Financial Condition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 Results of Operations; The Company; Portfolio Companies;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Regulation; Shares Eligible for Future Sale; Price Range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and Distributions</w:t>
            </w:r>
          </w:p>
        </w:tc>
        <w:tc>
          <w:tcPr>
            <w:tcW w:w="0" w:type="dxa"/>
            <w:vAlign w:val="bottom"/>
          </w:tcPr>
          <w:p>
            <w:pPr>
              <w:spacing w:after="0"/>
              <w:rPr>
                <w:sz w:val="1"/>
                <w:szCs w:val="1"/>
                <w:color w:val="auto"/>
              </w:rPr>
            </w:pPr>
          </w:p>
        </w:tc>
      </w:tr>
      <w:tr>
        <w:trPr>
          <w:trHeight w:val="216"/>
        </w:trPr>
        <w:tc>
          <w:tcPr>
            <w:tcW w:w="5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Management</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Management; Management and Other Agreements; Custodian,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Transfer and Dividend Paying Agent and Registrar</w:t>
            </w:r>
          </w:p>
        </w:tc>
        <w:tc>
          <w:tcPr>
            <w:tcW w:w="0" w:type="dxa"/>
            <w:vAlign w:val="bottom"/>
          </w:tcPr>
          <w:p>
            <w:pPr>
              <w:spacing w:after="0"/>
              <w:rPr>
                <w:sz w:val="1"/>
                <w:szCs w:val="1"/>
                <w:color w:val="auto"/>
              </w:rPr>
            </w:pPr>
          </w:p>
        </w:tc>
      </w:tr>
      <w:tr>
        <w:trPr>
          <w:trHeight w:val="216"/>
        </w:trPr>
        <w:tc>
          <w:tcPr>
            <w:tcW w:w="5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Capital Stock, Long-Term Debt, and Other Securities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Material U.S. Federal Income Tax Considerations; Description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Our Capital Stock; Description of Our Preferred Stock;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Description of Our Subscription Rights; Description of Our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Warrants; Description of Our Debt Securities; Dividend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Reinvestment Plan; Management’s Discussion and Analysis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Financial Condition and Results of Operations</w:t>
            </w:r>
          </w:p>
        </w:tc>
        <w:tc>
          <w:tcPr>
            <w:tcW w:w="0" w:type="dxa"/>
            <w:vAlign w:val="bottom"/>
          </w:tcPr>
          <w:p>
            <w:pPr>
              <w:spacing w:after="0"/>
              <w:rPr>
                <w:sz w:val="1"/>
                <w:szCs w:val="1"/>
                <w:color w:val="auto"/>
              </w:rPr>
            </w:pPr>
          </w:p>
        </w:tc>
      </w:tr>
      <w:tr>
        <w:trPr>
          <w:trHeight w:val="216"/>
        </w:trPr>
        <w:tc>
          <w:tcPr>
            <w:tcW w:w="5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11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Defaults and Arrears on Senior Securities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5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Legal Proceedings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Company</w:t>
            </w:r>
          </w:p>
        </w:tc>
        <w:tc>
          <w:tcPr>
            <w:tcW w:w="0" w:type="dxa"/>
            <w:vAlign w:val="bottom"/>
          </w:tcPr>
          <w:p>
            <w:pPr>
              <w:spacing w:after="0"/>
              <w:rPr>
                <w:sz w:val="1"/>
                <w:szCs w:val="1"/>
                <w:color w:val="auto"/>
              </w:rPr>
            </w:pPr>
          </w:p>
        </w:tc>
      </w:tr>
      <w:tr>
        <w:trPr>
          <w:trHeight w:val="216"/>
        </w:trPr>
        <w:tc>
          <w:tcPr>
            <w:tcW w:w="5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Table of Contents of the Statement of Additional Information, or</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SAI</w:t>
            </w:r>
          </w:p>
        </w:tc>
        <w:tc>
          <w:tcPr>
            <w:tcW w:w="4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Cover Page of SAI</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5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Table of Contents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Table of Contents</w:t>
            </w:r>
          </w:p>
        </w:tc>
        <w:tc>
          <w:tcPr>
            <w:tcW w:w="0" w:type="dxa"/>
            <w:vAlign w:val="bottom"/>
          </w:tcPr>
          <w:p>
            <w:pPr>
              <w:spacing w:after="0"/>
              <w:rPr>
                <w:sz w:val="1"/>
                <w:szCs w:val="1"/>
                <w:color w:val="auto"/>
              </w:rPr>
            </w:pPr>
          </w:p>
        </w:tc>
      </w:tr>
      <w:tr>
        <w:trPr>
          <w:trHeight w:val="216"/>
        </w:trPr>
        <w:tc>
          <w:tcPr>
            <w:tcW w:w="5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16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General Information and History</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5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Investment Objective and Policies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Management’s Discussion and Analysis of Financial Condition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 Results of Operations; Senior Securities</w:t>
            </w:r>
          </w:p>
        </w:tc>
        <w:tc>
          <w:tcPr>
            <w:tcW w:w="0" w:type="dxa"/>
            <w:vAlign w:val="bottom"/>
          </w:tcPr>
          <w:p>
            <w:pPr>
              <w:spacing w:after="0"/>
              <w:rPr>
                <w:sz w:val="1"/>
                <w:szCs w:val="1"/>
                <w:color w:val="auto"/>
              </w:rPr>
            </w:pPr>
          </w:p>
        </w:tc>
      </w:tr>
      <w:tr>
        <w:trPr>
          <w:trHeight w:val="216"/>
        </w:trPr>
        <w:tc>
          <w:tcPr>
            <w:tcW w:w="5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Management</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Management; Control Persons and Principal Stockholders;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Regulation</w:t>
            </w:r>
          </w:p>
        </w:tc>
        <w:tc>
          <w:tcPr>
            <w:tcW w:w="0" w:type="dxa"/>
            <w:vAlign w:val="bottom"/>
          </w:tcPr>
          <w:p>
            <w:pPr>
              <w:spacing w:after="0"/>
              <w:rPr>
                <w:sz w:val="1"/>
                <w:szCs w:val="1"/>
                <w:color w:val="auto"/>
              </w:rPr>
            </w:pPr>
          </w:p>
        </w:tc>
      </w:tr>
      <w:tr>
        <w:trPr>
          <w:trHeight w:val="216"/>
        </w:trPr>
        <w:tc>
          <w:tcPr>
            <w:tcW w:w="5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Control Persons and Principal Holders of Securities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Control Persons and Principal Stockholders</w:t>
            </w:r>
          </w:p>
        </w:tc>
        <w:tc>
          <w:tcPr>
            <w:tcW w:w="0" w:type="dxa"/>
            <w:vAlign w:val="bottom"/>
          </w:tcPr>
          <w:p>
            <w:pPr>
              <w:spacing w:after="0"/>
              <w:rPr>
                <w:sz w:val="1"/>
                <w:szCs w:val="1"/>
                <w:color w:val="auto"/>
              </w:rPr>
            </w:pPr>
          </w:p>
        </w:tc>
      </w:tr>
      <w:tr>
        <w:trPr>
          <w:trHeight w:val="216"/>
        </w:trPr>
        <w:tc>
          <w:tcPr>
            <w:tcW w:w="5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Investment Advisory and Other Services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Management and Other Agreements</w:t>
            </w:r>
          </w:p>
        </w:tc>
        <w:tc>
          <w:tcPr>
            <w:tcW w:w="0" w:type="dxa"/>
            <w:vAlign w:val="bottom"/>
          </w:tcPr>
          <w:p>
            <w:pPr>
              <w:spacing w:after="0"/>
              <w:rPr>
                <w:sz w:val="1"/>
                <w:szCs w:val="1"/>
                <w:color w:val="auto"/>
              </w:rPr>
            </w:pPr>
          </w:p>
        </w:tc>
      </w:tr>
      <w:tr>
        <w:trPr>
          <w:trHeight w:val="216"/>
        </w:trPr>
        <w:tc>
          <w:tcPr>
            <w:tcW w:w="5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21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Portfolio Managers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5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Brokerage Allocation and Other Practices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Brokerage Allocation and Other Practices</w:t>
            </w:r>
          </w:p>
        </w:tc>
        <w:tc>
          <w:tcPr>
            <w:tcW w:w="0" w:type="dxa"/>
            <w:vAlign w:val="bottom"/>
          </w:tcPr>
          <w:p>
            <w:pPr>
              <w:spacing w:after="0"/>
              <w:rPr>
                <w:sz w:val="1"/>
                <w:szCs w:val="1"/>
                <w:color w:val="auto"/>
              </w:rPr>
            </w:pPr>
          </w:p>
        </w:tc>
      </w:tr>
      <w:tr>
        <w:trPr>
          <w:trHeight w:val="216"/>
        </w:trPr>
        <w:tc>
          <w:tcPr>
            <w:tcW w:w="5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23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Tax Status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Material U.S. Federal Income Tax Considerations</w:t>
            </w:r>
          </w:p>
        </w:tc>
        <w:tc>
          <w:tcPr>
            <w:tcW w:w="0" w:type="dxa"/>
            <w:vAlign w:val="bottom"/>
          </w:tcPr>
          <w:p>
            <w:pPr>
              <w:spacing w:after="0"/>
              <w:rPr>
                <w:sz w:val="1"/>
                <w:szCs w:val="1"/>
                <w:color w:val="auto"/>
              </w:rPr>
            </w:pPr>
          </w:p>
        </w:tc>
      </w:tr>
      <w:tr>
        <w:trPr>
          <w:trHeight w:val="234"/>
        </w:trPr>
        <w:tc>
          <w:tcPr>
            <w:tcW w:w="52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24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Financial Statements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Financial Statements</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240" w:top="455" w:right="41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We have not authorized any dealer, salesman or other person to give any information or to make any representation other than those contained in this prospectus or any prospectus supplement to this prospectus. This prospectus and any such supplements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and any such supplements is accurate only as of the dates on their respective covers. Our business, financial condition, results of operations and prospects may have changed since then. We will update these documents to reflect material changes only as required by law.</w:t>
      </w:r>
    </w:p>
    <w:p>
      <w:pPr>
        <w:spacing w:after="0" w:line="200" w:lineRule="exact"/>
        <w:rPr>
          <w:sz w:val="20"/>
          <w:szCs w:val="20"/>
          <w:color w:val="auto"/>
        </w:rPr>
      </w:pP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60" w:type="dxa"/>
            <w:vAlign w:val="bottom"/>
          </w:tcPr>
          <w:p>
            <w:pPr>
              <w:spacing w:after="0"/>
              <w:rPr>
                <w:sz w:val="20"/>
                <w:szCs w:val="20"/>
                <w:color w:val="auto"/>
              </w:rPr>
            </w:pPr>
          </w:p>
        </w:tc>
      </w:tr>
      <w:tr>
        <w:trPr>
          <w:trHeight w:val="419"/>
        </w:trPr>
        <w:tc>
          <w:tcPr>
            <w:tcW w:w="22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ABOUT THIS PROSPECTUS</w:t>
              </w:r>
            </w:hyperlink>
          </w:p>
        </w:tc>
        <w:tc>
          <w:tcPr>
            <w:tcW w:w="6680" w:type="dxa"/>
            <w:vAlign w:val="bottom"/>
            <w:gridSpan w:val="22"/>
          </w:tcPr>
          <w:p>
            <w:pPr>
              <w:spacing w:after="0"/>
              <w:rPr>
                <w:sz w:val="24"/>
                <w:szCs w:val="2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iii</w:t>
            </w:r>
          </w:p>
        </w:tc>
      </w:tr>
      <w:tr>
        <w:trPr>
          <w:trHeight w:val="196"/>
        </w:trPr>
        <w:tc>
          <w:tcPr>
            <w:tcW w:w="8920" w:type="dxa"/>
            <w:vAlign w:val="bottom"/>
            <w:gridSpan w:val="34"/>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SUMMARY</w:t>
              </w:r>
            </w:hyperlink>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2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17">
              <w:r>
                <w:rPr>
                  <w:rFonts w:ascii="Times New Roman" w:cs="Times New Roman" w:eastAsia="Times New Roman" w:hAnsi="Times New Roman"/>
                  <w:sz w:val="18"/>
                  <w:szCs w:val="18"/>
                  <w:color w:val="0000EE"/>
                  <w:w w:val="98"/>
                </w:rPr>
                <w:t>THE OFFERING</w:t>
              </w:r>
            </w:hyperlink>
          </w:p>
        </w:tc>
        <w:tc>
          <w:tcPr>
            <w:tcW w:w="7640" w:type="dxa"/>
            <w:vAlign w:val="bottom"/>
            <w:gridSpan w:val="29"/>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8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FEES AND EXPENSES</w:t>
              </w:r>
            </w:hyperlink>
          </w:p>
        </w:tc>
        <w:tc>
          <w:tcPr>
            <w:tcW w:w="7120" w:type="dxa"/>
            <w:vAlign w:val="bottom"/>
            <w:gridSpan w:val="24"/>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480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8"/>
              </w:rPr>
            </w:pPr>
            <w:hyperlink w:anchor="page24">
              <w:r>
                <w:rPr>
                  <w:rFonts w:ascii="Times New Roman" w:cs="Times New Roman" w:eastAsia="Times New Roman" w:hAnsi="Times New Roman"/>
                  <w:sz w:val="18"/>
                  <w:szCs w:val="18"/>
                  <w:color w:val="0000EE"/>
                  <w:w w:val="98"/>
                </w:rPr>
                <w:t>SELECTED FINANCIAL DATA AND OTHER INFORMATION</w:t>
              </w:r>
            </w:hyperlink>
          </w:p>
        </w:tc>
        <w:tc>
          <w:tcPr>
            <w:tcW w:w="4120" w:type="dxa"/>
            <w:vAlign w:val="bottom"/>
            <w:gridSpan w:val="5"/>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35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SELECTED QUARTERLY FINANCIAL DATA</w:t>
              </w:r>
            </w:hyperlink>
          </w:p>
        </w:tc>
        <w:tc>
          <w:tcPr>
            <w:tcW w:w="5380" w:type="dxa"/>
            <w:vAlign w:val="bottom"/>
            <w:gridSpan w:val="13"/>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12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RISK FACTORS</w:t>
              </w:r>
            </w:hyperlink>
          </w:p>
        </w:tc>
        <w:tc>
          <w:tcPr>
            <w:tcW w:w="7660" w:type="dxa"/>
            <w:vAlign w:val="bottom"/>
            <w:gridSpan w:val="30"/>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534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8"/>
              </w:rPr>
            </w:pPr>
            <w:hyperlink w:anchor="page58">
              <w:r>
                <w:rPr>
                  <w:rFonts w:ascii="Times New Roman" w:cs="Times New Roman" w:eastAsia="Times New Roman" w:hAnsi="Times New Roman"/>
                  <w:sz w:val="18"/>
                  <w:szCs w:val="18"/>
                  <w:color w:val="0000EE"/>
                  <w:w w:val="98"/>
                </w:rPr>
                <w:t>SPECIAL NOTE REGARDING FORWARD-LOOKING STATEMENTS</w:t>
              </w:r>
            </w:hyperlink>
          </w:p>
        </w:tc>
        <w:tc>
          <w:tcPr>
            <w:tcW w:w="3580" w:type="dxa"/>
            <w:vAlign w:val="bottom"/>
            <w:gridSpan w:val="3"/>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8920" w:type="dxa"/>
            <w:vAlign w:val="bottom"/>
            <w:gridSpan w:val="34"/>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USE OF PROCEEDS</w:t>
              </w:r>
            </w:hyperlink>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8920" w:type="dxa"/>
            <w:vAlign w:val="bottom"/>
            <w:gridSpan w:val="34"/>
          </w:tcPr>
          <w:p>
            <w:pPr>
              <w:spacing w:after="0" w:line="19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PRICE RANGE OF COMMON STOCK AND DISTRIBUTIONS</w:t>
              </w:r>
            </w:hyperlink>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480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RATIO OF EARNINGS TO FIXED CHARGES</w:t>
              </w:r>
            </w:hyperlink>
          </w:p>
        </w:tc>
        <w:tc>
          <w:tcPr>
            <w:tcW w:w="4120" w:type="dxa"/>
            <w:vAlign w:val="bottom"/>
            <w:gridSpan w:val="5"/>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892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17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94">
              <w:r>
                <w:rPr>
                  <w:rFonts w:ascii="Times New Roman" w:cs="Times New Roman" w:eastAsia="Times New Roman" w:hAnsi="Times New Roman"/>
                  <w:sz w:val="18"/>
                  <w:szCs w:val="18"/>
                  <w:color w:val="0000EE"/>
                  <w:w w:val="99"/>
                </w:rPr>
                <w:t>SENIOR SECURITIES</w:t>
              </w:r>
            </w:hyperlink>
          </w:p>
        </w:tc>
        <w:tc>
          <w:tcPr>
            <w:tcW w:w="7200" w:type="dxa"/>
            <w:vAlign w:val="bottom"/>
            <w:gridSpan w:val="25"/>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196"/>
        </w:trPr>
        <w:tc>
          <w:tcPr>
            <w:tcW w:w="8920" w:type="dxa"/>
            <w:vAlign w:val="bottom"/>
            <w:gridSpan w:val="34"/>
          </w:tcPr>
          <w:p>
            <w:pPr>
              <w:spacing w:after="0" w:line="196" w:lineRule="exact"/>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THE COMPANY</w:t>
              </w:r>
            </w:hyperlink>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w:anchor="page110">
              <w:r>
                <w:rPr>
                  <w:rFonts w:ascii="Times New Roman" w:cs="Times New Roman" w:eastAsia="Times New Roman" w:hAnsi="Times New Roman"/>
                  <w:sz w:val="18"/>
                  <w:szCs w:val="18"/>
                  <w:color w:val="0000EE"/>
                  <w:w w:val="98"/>
                </w:rPr>
                <w:t>PORTFOLIO COMPANIES</w:t>
              </w:r>
            </w:hyperlink>
          </w:p>
        </w:tc>
        <w:tc>
          <w:tcPr>
            <w:tcW w:w="6860" w:type="dxa"/>
            <w:vAlign w:val="bottom"/>
            <w:gridSpan w:val="23"/>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r>
      <w:tr>
        <w:trPr>
          <w:trHeight w:val="196"/>
        </w:trPr>
        <w:tc>
          <w:tcPr>
            <w:tcW w:w="8920" w:type="dxa"/>
            <w:vAlign w:val="bottom"/>
            <w:gridSpan w:val="34"/>
          </w:tcPr>
          <w:p>
            <w:pPr>
              <w:spacing w:after="0" w:line="196" w:lineRule="exact"/>
              <w:rPr>
                <w:rFonts w:ascii="Times New Roman" w:cs="Times New Roman" w:eastAsia="Times New Roman" w:hAnsi="Times New Roman"/>
                <w:sz w:val="18"/>
                <w:szCs w:val="18"/>
                <w:color w:val="0000EE"/>
              </w:rPr>
            </w:pPr>
            <w:hyperlink w:anchor="page115">
              <w:r>
                <w:rPr>
                  <w:rFonts w:ascii="Times New Roman" w:cs="Times New Roman" w:eastAsia="Times New Roman" w:hAnsi="Times New Roman"/>
                  <w:sz w:val="18"/>
                  <w:szCs w:val="18"/>
                  <w:color w:val="0000EE"/>
                </w:rPr>
                <w:t>MANAGEMENT</w:t>
              </w:r>
            </w:hyperlink>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109</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36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w:anchor="page126">
              <w:r>
                <w:rPr>
                  <w:rFonts w:ascii="Times New Roman" w:cs="Times New Roman" w:eastAsia="Times New Roman" w:hAnsi="Times New Roman"/>
                  <w:sz w:val="18"/>
                  <w:szCs w:val="18"/>
                  <w:color w:val="0000EE"/>
                  <w:w w:val="99"/>
                </w:rPr>
                <w:t>MANAGEMENT AND OTHER AGREEMENTS</w:t>
              </w:r>
            </w:hyperlink>
          </w:p>
        </w:tc>
        <w:tc>
          <w:tcPr>
            <w:tcW w:w="5280" w:type="dxa"/>
            <w:vAlign w:val="bottom"/>
            <w:gridSpan w:val="11"/>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r>
      <w:tr>
        <w:trPr>
          <w:trHeight w:val="196"/>
        </w:trPr>
        <w:tc>
          <w:tcPr>
            <w:tcW w:w="550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8"/>
              </w:rPr>
            </w:pPr>
            <w:hyperlink w:anchor="page136">
              <w:r>
                <w:rPr>
                  <w:rFonts w:ascii="Times New Roman" w:cs="Times New Roman" w:eastAsia="Times New Roman" w:hAnsi="Times New Roman"/>
                  <w:sz w:val="18"/>
                  <w:szCs w:val="18"/>
                  <w:color w:val="0000EE"/>
                  <w:w w:val="98"/>
                </w:rPr>
                <w:t>RELATED-PARTY TRANSACTIONS AND CERTAIN RELATIONSHIPS</w:t>
              </w:r>
            </w:hyperlink>
          </w:p>
        </w:tc>
        <w:tc>
          <w:tcPr>
            <w:tcW w:w="3420" w:type="dxa"/>
            <w:vAlign w:val="bottom"/>
            <w:gridSpan w:val="2"/>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r>
      <w:tr>
        <w:trPr>
          <w:trHeight w:val="196"/>
        </w:trPr>
        <w:tc>
          <w:tcPr>
            <w:tcW w:w="8920" w:type="dxa"/>
            <w:vAlign w:val="bottom"/>
            <w:gridSpan w:val="34"/>
          </w:tcPr>
          <w:p>
            <w:pPr>
              <w:spacing w:after="0" w:line="196" w:lineRule="exact"/>
              <w:rPr>
                <w:rFonts w:ascii="Times New Roman" w:cs="Times New Roman" w:eastAsia="Times New Roman" w:hAnsi="Times New Roman"/>
                <w:sz w:val="18"/>
                <w:szCs w:val="18"/>
                <w:color w:val="0000EE"/>
              </w:rPr>
            </w:pPr>
            <w:hyperlink w:anchor="page139">
              <w:r>
                <w:rPr>
                  <w:rFonts w:ascii="Times New Roman" w:cs="Times New Roman" w:eastAsia="Times New Roman" w:hAnsi="Times New Roman"/>
                  <w:sz w:val="18"/>
                  <w:szCs w:val="18"/>
                  <w:color w:val="0000EE"/>
                </w:rPr>
                <w:t>CONTROL PERSONS AND PRINCIPAL STOCKHOLDERS</w:t>
              </w:r>
            </w:hyperlink>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r>
      <w:tr>
        <w:trPr>
          <w:trHeight w:val="196"/>
        </w:trPr>
        <w:tc>
          <w:tcPr>
            <w:tcW w:w="338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w:anchor="page141">
              <w:r>
                <w:rPr>
                  <w:rFonts w:ascii="Times New Roman" w:cs="Times New Roman" w:eastAsia="Times New Roman" w:hAnsi="Times New Roman"/>
                  <w:sz w:val="18"/>
                  <w:szCs w:val="18"/>
                  <w:color w:val="0000EE"/>
                  <w:w w:val="98"/>
                </w:rPr>
                <w:t>DETERMINATION OF NET ASSET VALUE</w:t>
              </w:r>
            </w:hyperlink>
          </w:p>
        </w:tc>
        <w:tc>
          <w:tcPr>
            <w:tcW w:w="1160" w:type="dxa"/>
            <w:vAlign w:val="bottom"/>
            <w:tcBorders>
              <w:top w:val="single" w:sz="8" w:color="0000EE"/>
            </w:tcBorders>
            <w:gridSpan w:val="8"/>
          </w:tcPr>
          <w:p>
            <w:pPr>
              <w:spacing w:after="0"/>
              <w:rPr>
                <w:sz w:val="17"/>
                <w:szCs w:val="17"/>
                <w:color w:val="auto"/>
              </w:rPr>
            </w:pPr>
          </w:p>
        </w:tc>
        <w:tc>
          <w:tcPr>
            <w:tcW w:w="4380" w:type="dxa"/>
            <w:vAlign w:val="bottom"/>
            <w:gridSpan w:val="7"/>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r>
      <w:tr>
        <w:trPr>
          <w:trHeight w:val="196"/>
        </w:trPr>
        <w:tc>
          <w:tcPr>
            <w:tcW w:w="8920" w:type="dxa"/>
            <w:vAlign w:val="bottom"/>
            <w:gridSpan w:val="34"/>
          </w:tcPr>
          <w:p>
            <w:pPr>
              <w:spacing w:after="0" w:line="196" w:lineRule="exact"/>
              <w:rPr>
                <w:rFonts w:ascii="Times New Roman" w:cs="Times New Roman" w:eastAsia="Times New Roman" w:hAnsi="Times New Roman"/>
                <w:sz w:val="18"/>
                <w:szCs w:val="18"/>
                <w:color w:val="0000EE"/>
              </w:rPr>
            </w:pPr>
            <w:hyperlink w:anchor="page142">
              <w:r>
                <w:rPr>
                  <w:rFonts w:ascii="Times New Roman" w:cs="Times New Roman" w:eastAsia="Times New Roman" w:hAnsi="Times New Roman"/>
                  <w:sz w:val="18"/>
                  <w:szCs w:val="18"/>
                  <w:color w:val="0000EE"/>
                </w:rPr>
                <w:t>SALES OF COMMON STOCK BELOW NET ASSET VALUE</w:t>
              </w:r>
            </w:hyperlink>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r>
      <w:tr>
        <w:trPr>
          <w:trHeight w:val="196"/>
        </w:trPr>
        <w:tc>
          <w:tcPr>
            <w:tcW w:w="464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w:anchor="page148">
              <w:r>
                <w:rPr>
                  <w:rFonts w:ascii="Times New Roman" w:cs="Times New Roman" w:eastAsia="Times New Roman" w:hAnsi="Times New Roman"/>
                  <w:sz w:val="18"/>
                  <w:szCs w:val="18"/>
                  <w:color w:val="0000EE"/>
                </w:rPr>
                <w:t>DIVIDEND REINVESTMENT PLAN</w:t>
              </w:r>
            </w:hyperlink>
          </w:p>
        </w:tc>
        <w:tc>
          <w:tcPr>
            <w:tcW w:w="4280" w:type="dxa"/>
            <w:vAlign w:val="bottom"/>
            <w:gridSpan w:val="6"/>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8"/>
              </w:rPr>
            </w:pPr>
            <w:hyperlink w:anchor="page150">
              <w:r>
                <w:rPr>
                  <w:rFonts w:ascii="Times New Roman" w:cs="Times New Roman" w:eastAsia="Times New Roman" w:hAnsi="Times New Roman"/>
                  <w:sz w:val="18"/>
                  <w:szCs w:val="18"/>
                  <w:color w:val="0000EE"/>
                  <w:w w:val="98"/>
                </w:rPr>
                <w:t>MATERIAL U.S. FEDERAL INCOME TAX CONSIDERATIONS</w:t>
              </w:r>
            </w:hyperlink>
          </w:p>
        </w:tc>
        <w:tc>
          <w:tcPr>
            <w:tcW w:w="4040" w:type="dxa"/>
            <w:vAlign w:val="bottom"/>
            <w:gridSpan w:val="4"/>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144</w:t>
            </w:r>
          </w:p>
        </w:tc>
      </w:tr>
      <w:tr>
        <w:trPr>
          <w:trHeight w:val="196"/>
        </w:trPr>
        <w:tc>
          <w:tcPr>
            <w:tcW w:w="29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158">
              <w:r>
                <w:rPr>
                  <w:rFonts w:ascii="Times New Roman" w:cs="Times New Roman" w:eastAsia="Times New Roman" w:hAnsi="Times New Roman"/>
                  <w:sz w:val="18"/>
                  <w:szCs w:val="18"/>
                  <w:color w:val="0000EE"/>
                  <w:w w:val="99"/>
                </w:rPr>
                <w:t>DESCRIPTION OF OUR SECURITIES</w:t>
              </w:r>
            </w:hyperlink>
          </w:p>
        </w:tc>
        <w:tc>
          <w:tcPr>
            <w:tcW w:w="5980" w:type="dxa"/>
            <w:vAlign w:val="bottom"/>
            <w:gridSpan w:val="18"/>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r>
      <w:tr>
        <w:trPr>
          <w:trHeight w:val="196"/>
        </w:trPr>
        <w:tc>
          <w:tcPr>
            <w:tcW w:w="33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158">
              <w:r>
                <w:rPr>
                  <w:rFonts w:ascii="Times New Roman" w:cs="Times New Roman" w:eastAsia="Times New Roman" w:hAnsi="Times New Roman"/>
                  <w:sz w:val="18"/>
                  <w:szCs w:val="18"/>
                  <w:color w:val="0000EE"/>
                  <w:w w:val="99"/>
                </w:rPr>
                <w:t>DESCRIPTION OF OUR CAPITAL STOCK</w:t>
              </w:r>
            </w:hyperlink>
          </w:p>
        </w:tc>
        <w:tc>
          <w:tcPr>
            <w:tcW w:w="5620" w:type="dxa"/>
            <w:vAlign w:val="bottom"/>
            <w:gridSpan w:val="16"/>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r>
      <w:tr>
        <w:trPr>
          <w:trHeight w:val="196"/>
        </w:trPr>
        <w:tc>
          <w:tcPr>
            <w:tcW w:w="35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w:anchor="page163">
              <w:r>
                <w:rPr>
                  <w:rFonts w:ascii="Times New Roman" w:cs="Times New Roman" w:eastAsia="Times New Roman" w:hAnsi="Times New Roman"/>
                  <w:sz w:val="18"/>
                  <w:szCs w:val="18"/>
                  <w:color w:val="0000EE"/>
                  <w:w w:val="99"/>
                </w:rPr>
                <w:t>DESCRIPTION OF OUR PREFERRED STOCK</w:t>
              </w:r>
            </w:hyperlink>
          </w:p>
        </w:tc>
        <w:tc>
          <w:tcPr>
            <w:tcW w:w="5340" w:type="dxa"/>
            <w:vAlign w:val="bottom"/>
            <w:gridSpan w:val="12"/>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157</w:t>
            </w:r>
          </w:p>
        </w:tc>
      </w:tr>
      <w:tr>
        <w:trPr>
          <w:trHeight w:val="196"/>
        </w:trPr>
        <w:tc>
          <w:tcPr>
            <w:tcW w:w="39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w:anchor="page165">
              <w:r>
                <w:rPr>
                  <w:rFonts w:ascii="Times New Roman" w:cs="Times New Roman" w:eastAsia="Times New Roman" w:hAnsi="Times New Roman"/>
                  <w:sz w:val="18"/>
                  <w:szCs w:val="18"/>
                  <w:color w:val="0000EE"/>
                  <w:w w:val="99"/>
                </w:rPr>
                <w:t>DESCRIPTION OF OUR SUBSCRIPTION RIGHTS</w:t>
              </w:r>
            </w:hyperlink>
          </w:p>
        </w:tc>
        <w:tc>
          <w:tcPr>
            <w:tcW w:w="5020" w:type="dxa"/>
            <w:vAlign w:val="bottom"/>
            <w:gridSpan w:val="10"/>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159</w:t>
            </w:r>
          </w:p>
        </w:tc>
      </w:tr>
      <w:tr>
        <w:trPr>
          <w:trHeight w:val="196"/>
        </w:trPr>
        <w:tc>
          <w:tcPr>
            <w:tcW w:w="8920" w:type="dxa"/>
            <w:vAlign w:val="bottom"/>
            <w:gridSpan w:val="34"/>
          </w:tcPr>
          <w:p>
            <w:pPr>
              <w:spacing w:after="0" w:line="196" w:lineRule="exact"/>
              <w:rPr>
                <w:rFonts w:ascii="Times New Roman" w:cs="Times New Roman" w:eastAsia="Times New Roman" w:hAnsi="Times New Roman"/>
                <w:sz w:val="18"/>
                <w:szCs w:val="18"/>
                <w:color w:val="0000EE"/>
              </w:rPr>
            </w:pPr>
            <w:hyperlink w:anchor="page167">
              <w:r>
                <w:rPr>
                  <w:rFonts w:ascii="Times New Roman" w:cs="Times New Roman" w:eastAsia="Times New Roman" w:hAnsi="Times New Roman"/>
                  <w:sz w:val="18"/>
                  <w:szCs w:val="18"/>
                  <w:color w:val="0000EE"/>
                </w:rPr>
                <w:t>DESCRIPTION OF OUR WARRANTS</w:t>
              </w:r>
            </w:hyperlink>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161</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35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w:anchor="page169">
              <w:r>
                <w:rPr>
                  <w:rFonts w:ascii="Times New Roman" w:cs="Times New Roman" w:eastAsia="Times New Roman" w:hAnsi="Times New Roman"/>
                  <w:sz w:val="18"/>
                  <w:szCs w:val="18"/>
                  <w:color w:val="0000EE"/>
                </w:rPr>
                <w:t>DESCRIPTION OF OUR DEBT SECURITIES</w:t>
              </w:r>
            </w:hyperlink>
          </w:p>
        </w:tc>
        <w:tc>
          <w:tcPr>
            <w:tcW w:w="5420" w:type="dxa"/>
            <w:vAlign w:val="bottom"/>
            <w:gridSpan w:val="14"/>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163</w:t>
            </w:r>
          </w:p>
        </w:tc>
      </w:tr>
      <w:tr>
        <w:trPr>
          <w:trHeight w:val="196"/>
        </w:trPr>
        <w:tc>
          <w:tcPr>
            <w:tcW w:w="8920" w:type="dxa"/>
            <w:vAlign w:val="bottom"/>
            <w:gridSpan w:val="34"/>
          </w:tcPr>
          <w:p>
            <w:pPr>
              <w:spacing w:after="0" w:line="196" w:lineRule="exact"/>
              <w:rPr>
                <w:rFonts w:ascii="Times New Roman" w:cs="Times New Roman" w:eastAsia="Times New Roman" w:hAnsi="Times New Roman"/>
                <w:sz w:val="18"/>
                <w:szCs w:val="18"/>
                <w:color w:val="0000EE"/>
              </w:rPr>
            </w:pPr>
            <w:hyperlink w:anchor="page182">
              <w:r>
                <w:rPr>
                  <w:rFonts w:ascii="Times New Roman" w:cs="Times New Roman" w:eastAsia="Times New Roman" w:hAnsi="Times New Roman"/>
                  <w:sz w:val="18"/>
                  <w:szCs w:val="18"/>
                  <w:color w:val="0000EE"/>
                </w:rPr>
                <w:t>SHARES ELIGIBLE FOR FUTURE SALE</w:t>
              </w:r>
            </w:hyperlink>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176</w:t>
            </w:r>
          </w:p>
        </w:tc>
      </w:tr>
      <w:tr>
        <w:trPr>
          <w:trHeight w:val="196"/>
        </w:trPr>
        <w:tc>
          <w:tcPr>
            <w:tcW w:w="31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w:anchor="page183">
              <w:r>
                <w:rPr>
                  <w:rFonts w:ascii="Times New Roman" w:cs="Times New Roman" w:eastAsia="Times New Roman" w:hAnsi="Times New Roman"/>
                  <w:sz w:val="18"/>
                  <w:szCs w:val="18"/>
                  <w:color w:val="0000EE"/>
                </w:rPr>
                <w:t>REGULATION</w:t>
              </w:r>
            </w:hyperlink>
          </w:p>
        </w:tc>
        <w:tc>
          <w:tcPr>
            <w:tcW w:w="5740" w:type="dxa"/>
            <w:vAlign w:val="bottom"/>
            <w:gridSpan w:val="17"/>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177</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00" w:type="dxa"/>
            <w:vAlign w:val="bottom"/>
            <w:gridSpan w:val="1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624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w:anchor="page189">
              <w:r>
                <w:rPr>
                  <w:rFonts w:ascii="Times New Roman" w:cs="Times New Roman" w:eastAsia="Times New Roman" w:hAnsi="Times New Roman"/>
                  <w:sz w:val="18"/>
                  <w:szCs w:val="18"/>
                  <w:color w:val="0000EE"/>
                  <w:w w:val="99"/>
                </w:rPr>
                <w:t>CUSTODIAN, TRANSFER AND DIVIDEND PAYING AGENT AND REGISTRAR</w:t>
              </w:r>
            </w:hyperlink>
          </w:p>
        </w:tc>
        <w:tc>
          <w:tcPr>
            <w:tcW w:w="2680" w:type="dxa"/>
            <w:vAlign w:val="bottom"/>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183</w:t>
            </w:r>
          </w:p>
        </w:tc>
      </w:tr>
      <w:tr>
        <w:trPr>
          <w:trHeight w:val="196"/>
        </w:trPr>
        <w:tc>
          <w:tcPr>
            <w:tcW w:w="8920" w:type="dxa"/>
            <w:vAlign w:val="bottom"/>
            <w:gridSpan w:val="34"/>
          </w:tcPr>
          <w:p>
            <w:pPr>
              <w:spacing w:after="0" w:line="196" w:lineRule="exact"/>
              <w:rPr>
                <w:rFonts w:ascii="Times New Roman" w:cs="Times New Roman" w:eastAsia="Times New Roman" w:hAnsi="Times New Roman"/>
                <w:sz w:val="18"/>
                <w:szCs w:val="18"/>
                <w:color w:val="0000EE"/>
              </w:rPr>
            </w:pPr>
            <w:hyperlink w:anchor="page189">
              <w:r>
                <w:rPr>
                  <w:rFonts w:ascii="Times New Roman" w:cs="Times New Roman" w:eastAsia="Times New Roman" w:hAnsi="Times New Roman"/>
                  <w:sz w:val="18"/>
                  <w:szCs w:val="18"/>
                  <w:color w:val="0000EE"/>
                </w:rPr>
                <w:t>BROKERAGE ALLOCATION AND OTHER PRACTICES</w:t>
              </w:r>
            </w:hyperlink>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183</w:t>
            </w:r>
          </w:p>
        </w:tc>
      </w:tr>
      <w:tr>
        <w:trPr>
          <w:trHeight w:val="196"/>
        </w:trPr>
        <w:tc>
          <w:tcPr>
            <w:tcW w:w="206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190">
              <w:r>
                <w:rPr>
                  <w:rFonts w:ascii="Times New Roman" w:cs="Times New Roman" w:eastAsia="Times New Roman" w:hAnsi="Times New Roman"/>
                  <w:sz w:val="18"/>
                  <w:szCs w:val="18"/>
                  <w:color w:val="0000EE"/>
                  <w:w w:val="99"/>
                </w:rPr>
                <w:t>PLAN OF DISTRIBUTION</w:t>
              </w:r>
            </w:hyperlink>
          </w:p>
        </w:tc>
        <w:tc>
          <w:tcPr>
            <w:tcW w:w="2320" w:type="dxa"/>
            <w:vAlign w:val="bottom"/>
            <w:tcBorders>
              <w:top w:val="single" w:sz="8" w:color="0000EE"/>
            </w:tcBorders>
            <w:gridSpan w:val="14"/>
          </w:tcPr>
          <w:p>
            <w:pPr>
              <w:spacing w:after="0"/>
              <w:rPr>
                <w:sz w:val="17"/>
                <w:szCs w:val="17"/>
                <w:color w:val="auto"/>
              </w:rPr>
            </w:pPr>
          </w:p>
        </w:tc>
        <w:tc>
          <w:tcPr>
            <w:tcW w:w="4540" w:type="dxa"/>
            <w:vAlign w:val="bottom"/>
            <w:gridSpan w:val="9"/>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184</w:t>
            </w:r>
          </w:p>
        </w:tc>
      </w:tr>
      <w:tr>
        <w:trPr>
          <w:trHeight w:val="196"/>
        </w:trPr>
        <w:tc>
          <w:tcPr>
            <w:tcW w:w="14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w:anchor="page192">
              <w:r>
                <w:rPr>
                  <w:rFonts w:ascii="Times New Roman" w:cs="Times New Roman" w:eastAsia="Times New Roman" w:hAnsi="Times New Roman"/>
                  <w:sz w:val="18"/>
                  <w:szCs w:val="18"/>
                  <w:color w:val="0000EE"/>
                  <w:w w:val="97"/>
                </w:rPr>
                <w:t>LEGAL MATTERS</w:t>
              </w:r>
            </w:hyperlink>
          </w:p>
        </w:tc>
        <w:tc>
          <w:tcPr>
            <w:tcW w:w="7460" w:type="dxa"/>
            <w:vAlign w:val="bottom"/>
            <w:gridSpan w:val="27"/>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186</w:t>
            </w:r>
          </w:p>
        </w:tc>
      </w:tr>
      <w:tr>
        <w:trPr>
          <w:trHeight w:val="196"/>
        </w:trPr>
        <w:tc>
          <w:tcPr>
            <w:tcW w:w="7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192">
              <w:r>
                <w:rPr>
                  <w:rFonts w:ascii="Times New Roman" w:cs="Times New Roman" w:eastAsia="Times New Roman" w:hAnsi="Times New Roman"/>
                  <w:sz w:val="18"/>
                  <w:szCs w:val="18"/>
                  <w:color w:val="0000EE"/>
                  <w:w w:val="97"/>
                </w:rPr>
                <w:t>EXPERTS</w:t>
              </w:r>
            </w:hyperlink>
          </w:p>
        </w:tc>
        <w:tc>
          <w:tcPr>
            <w:tcW w:w="8140" w:type="dxa"/>
            <w:vAlign w:val="bottom"/>
            <w:gridSpan w:val="33"/>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186</w:t>
            </w:r>
          </w:p>
        </w:tc>
      </w:tr>
      <w:tr>
        <w:trPr>
          <w:trHeight w:val="196"/>
        </w:trPr>
        <w:tc>
          <w:tcPr>
            <w:tcW w:w="22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6"/>
              </w:rPr>
            </w:pPr>
            <w:hyperlink w:anchor="page192">
              <w:r>
                <w:rPr>
                  <w:rFonts w:ascii="Times New Roman" w:cs="Times New Roman" w:eastAsia="Times New Roman" w:hAnsi="Times New Roman"/>
                  <w:sz w:val="18"/>
                  <w:szCs w:val="18"/>
                  <w:color w:val="0000EE"/>
                  <w:w w:val="96"/>
                </w:rPr>
                <w:t>AVAILABLE INFORMATION</w:t>
              </w:r>
            </w:hyperlink>
          </w:p>
        </w:tc>
        <w:tc>
          <w:tcPr>
            <w:tcW w:w="6640" w:type="dxa"/>
            <w:vAlign w:val="bottom"/>
            <w:gridSpan w:val="21"/>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186</w:t>
            </w:r>
          </w:p>
        </w:tc>
      </w:tr>
      <w:tr>
        <w:trPr>
          <w:trHeight w:val="196"/>
        </w:trPr>
        <w:tc>
          <w:tcPr>
            <w:tcW w:w="446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8"/>
              </w:rPr>
            </w:pPr>
            <w:hyperlink w:anchor="page193">
              <w:r>
                <w:rPr>
                  <w:rFonts w:ascii="Times New Roman" w:cs="Times New Roman" w:eastAsia="Times New Roman" w:hAnsi="Times New Roman"/>
                  <w:sz w:val="18"/>
                  <w:szCs w:val="18"/>
                  <w:color w:val="0000EE"/>
                  <w:w w:val="98"/>
                </w:rPr>
                <w:t>INDEX TO CONSOLIDATED FINANCIAL STATEMENTS</w:t>
              </w:r>
            </w:hyperlink>
          </w:p>
        </w:tc>
        <w:tc>
          <w:tcPr>
            <w:tcW w:w="4460" w:type="dxa"/>
            <w:vAlign w:val="bottom"/>
            <w:gridSpan w:val="8"/>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bl>
    <w:p>
      <w:pPr>
        <w:spacing w:after="0" w:line="15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00"/>
          </w:cols>
          <w:pgMar w:left="240" w:top="455" w:right="4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200" w:right="80" w:firstLine="441"/>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Securities and Exchange Commission, or SEC, using the “shelf” registration process. Under the shelf registration process, which constitutes a delayed offering in reliance on Rule 415 under the Securities Act of 1933, as amended, or the Securities Act, we may offer, from time to time, in one or more offerings, up to $750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w:t>
      </w:r>
    </w:p>
    <w:p>
      <w:pPr>
        <w:spacing w:after="0" w:line="184"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The securities may be offered at prices and on terms described in one or more supplements to this prospectus. This prospectus provides you with a general description of the offerings of securities that we may conduct pursuant to this prospectus. Each time we use this prospectus to sell securities, we will provide a prospectus supplement that will contain specific information about the terms of that offering. A prospectus supplement may also add, update or change information contained in this prospectus.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Please read this prospectus and the accompanying prospectus supplement before you make an investment decision.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80"/>
          </w:cols>
          <w:pgMar w:left="240" w:top="455" w:right="47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62985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2145" cy="62985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ind w:left="380" w:firstLine="426"/>
        <w:spacing w:after="0" w:line="261" w:lineRule="auto"/>
        <w:rPr>
          <w:sz w:val="20"/>
          <w:szCs w:val="20"/>
          <w:color w:val="auto"/>
        </w:rPr>
      </w:pPr>
      <w:r>
        <w:rPr>
          <w:rFonts w:ascii="Times New Roman" w:cs="Times New Roman" w:eastAsia="Times New Roman" w:hAnsi="Times New Roman"/>
          <w:sz w:val="18"/>
          <w:szCs w:val="18"/>
          <w:color w:val="auto"/>
        </w:rPr>
        <w:t>This summary highlights some of the information in this prospectus. It is not complete and may not contain all of the information that you may want to consider. You should read this entire prospectus and any accompanying prospectus supplement carefully. In particular, you should read the more detailed information set forth under “Risk Factors” and the consolidated financial statements and the related notes included elsewhere in this prospectus and any accompanying prospectus supplement.</w:t>
      </w:r>
    </w:p>
    <w:p>
      <w:pPr>
        <w:spacing w:after="0" w:line="18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As used in the prospectus, except where the context suggests otherwise, references to:</w:t>
      </w:r>
    </w:p>
    <w:p>
      <w:pPr>
        <w:spacing w:after="0" w:line="129" w:lineRule="exact"/>
        <w:rPr>
          <w:sz w:val="20"/>
          <w:szCs w:val="20"/>
          <w:color w:val="auto"/>
        </w:rPr>
      </w:pPr>
    </w:p>
    <w:p>
      <w:pPr>
        <w:ind w:left="1220" w:right="100" w:hanging="307"/>
        <w:spacing w:after="0" w:line="284"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“TSLX,” “TPG Specialty Lending,” “we,” “us,” “our,” the “Company,” and the “Registrant” refer to TPG Specialty Lending, Inc., a Delaware corporation, and its consolidated subsidiaries;</w:t>
      </w:r>
    </w:p>
    <w:p>
      <w:pPr>
        <w:spacing w:after="0" w:line="63" w:lineRule="exact"/>
        <w:rPr>
          <w:rFonts w:ascii="Times New Roman" w:cs="Times New Roman" w:eastAsia="Times New Roman" w:hAnsi="Times New Roman"/>
          <w:sz w:val="18"/>
          <w:szCs w:val="18"/>
          <w:color w:val="auto"/>
        </w:rPr>
      </w:pPr>
    </w:p>
    <w:p>
      <w:pPr>
        <w:ind w:left="1220" w:right="160" w:hanging="307"/>
        <w:spacing w:after="0" w:line="284"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consolidated subsidiaries of TPG Specialty Lending, Inc. refers to TC Lending, LLC, TPG SL SPV, LLC and TSL MR, LLC, each a Delaware limited liability company;</w:t>
      </w:r>
    </w:p>
    <w:p>
      <w:pPr>
        <w:spacing w:after="0" w:line="63" w:lineRule="exact"/>
        <w:rPr>
          <w:rFonts w:ascii="Times New Roman" w:cs="Times New Roman" w:eastAsia="Times New Roman" w:hAnsi="Times New Roman"/>
          <w:sz w:val="18"/>
          <w:szCs w:val="18"/>
          <w:color w:val="auto"/>
        </w:rPr>
      </w:pPr>
    </w:p>
    <w:p>
      <w:pPr>
        <w:ind w:left="1220" w:hanging="307"/>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“Adviser” refers to TSL Advisers, LLC, a Delaware limited liability company;</w:t>
      </w:r>
    </w:p>
    <w:p>
      <w:pPr>
        <w:spacing w:after="0" w:line="130" w:lineRule="exact"/>
        <w:rPr>
          <w:rFonts w:ascii="Times New Roman" w:cs="Times New Roman" w:eastAsia="Times New Roman" w:hAnsi="Times New Roman"/>
          <w:sz w:val="18"/>
          <w:szCs w:val="18"/>
          <w:color w:val="auto"/>
        </w:rPr>
      </w:pPr>
    </w:p>
    <w:p>
      <w:pPr>
        <w:ind w:left="1220" w:hanging="307"/>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“TSSP” refers to TPG Sixth Street Partners, LLC; and</w:t>
      </w:r>
    </w:p>
    <w:p>
      <w:pPr>
        <w:spacing w:after="0" w:line="130" w:lineRule="exact"/>
        <w:rPr>
          <w:rFonts w:ascii="Times New Roman" w:cs="Times New Roman" w:eastAsia="Times New Roman" w:hAnsi="Times New Roman"/>
          <w:sz w:val="18"/>
          <w:szCs w:val="18"/>
          <w:color w:val="auto"/>
        </w:rPr>
      </w:pPr>
    </w:p>
    <w:p>
      <w:pPr>
        <w:ind w:left="1220" w:hanging="307"/>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“TPG” refers to TPG Global, LLC and its affiliates.</w:t>
      </w:r>
    </w:p>
    <w:p>
      <w:pPr>
        <w:spacing w:after="0" w:line="227" w:lineRule="exact"/>
        <w:rPr>
          <w:sz w:val="20"/>
          <w:szCs w:val="20"/>
          <w:color w:val="auto"/>
        </w:rPr>
      </w:pPr>
    </w:p>
    <w:p>
      <w:pPr>
        <w:ind w:left="380" w:right="80" w:firstLine="426"/>
        <w:spacing w:after="0" w:line="266" w:lineRule="auto"/>
        <w:rPr>
          <w:sz w:val="20"/>
          <w:szCs w:val="20"/>
          <w:color w:val="auto"/>
        </w:rPr>
      </w:pPr>
      <w:r>
        <w:rPr>
          <w:rFonts w:ascii="Times New Roman" w:cs="Times New Roman" w:eastAsia="Times New Roman" w:hAnsi="Times New Roman"/>
          <w:sz w:val="18"/>
          <w:szCs w:val="18"/>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176" w:lineRule="exact"/>
        <w:rPr>
          <w:sz w:val="20"/>
          <w:szCs w:val="20"/>
          <w:color w:val="auto"/>
        </w:rPr>
      </w:pPr>
    </w:p>
    <w:p>
      <w:pPr>
        <w:ind w:left="380" w:right="100" w:firstLine="426"/>
        <w:spacing w:after="0" w:line="282" w:lineRule="auto"/>
        <w:rPr>
          <w:sz w:val="20"/>
          <w:szCs w:val="20"/>
          <w:color w:val="auto"/>
        </w:rPr>
      </w:pPr>
      <w:r>
        <w:rPr>
          <w:rFonts w:ascii="Times New Roman" w:cs="Times New Roman" w:eastAsia="Times New Roman" w:hAnsi="Times New Roman"/>
          <w:sz w:val="18"/>
          <w:szCs w:val="18"/>
          <w:color w:val="auto"/>
        </w:rPr>
        <w:t>Unless indicated otherwise or the context suggests otherwise, all information in this prospectus gives effect to our stock split in the form of a stock dividend on December 5, 2013.</w:t>
      </w:r>
    </w:p>
    <w:p>
      <w:pPr>
        <w:spacing w:after="0" w:line="2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TPG Specialty Lending</w:t>
      </w:r>
    </w:p>
    <w:p>
      <w:pPr>
        <w:spacing w:after="0" w:line="121" w:lineRule="exact"/>
        <w:rPr>
          <w:sz w:val="20"/>
          <w:szCs w:val="20"/>
          <w:color w:val="auto"/>
        </w:rPr>
      </w:pPr>
    </w:p>
    <w:p>
      <w:pPr>
        <w:ind w:left="380" w:right="20" w:firstLine="426"/>
        <w:spacing w:after="0" w:line="254" w:lineRule="auto"/>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 through December 31, 2017, we have originated more than $7.3 billion aggregate principal amount of investments and retained approximately $4.4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December 31, 2017, our core portfolio companies, which excludes certain investments that fall outside of our typical borrower profile and represent 83.2% of our total investments based on fair value, had weighted average annual revenue of $130.3 million and weighted average annual EBITDA of $25.1 million.</w:t>
      </w:r>
    </w:p>
    <w:p>
      <w:pPr>
        <w:spacing w:after="0" w:line="200" w:lineRule="exact"/>
        <w:rPr>
          <w:sz w:val="20"/>
          <w:szCs w:val="20"/>
          <w:color w:val="auto"/>
        </w:rPr>
      </w:pPr>
    </w:p>
    <w:p>
      <w:pPr>
        <w:spacing w:after="0" w:line="205" w:lineRule="exact"/>
        <w:rPr>
          <w:sz w:val="20"/>
          <w:szCs w:val="20"/>
          <w:color w:val="auto"/>
        </w:rPr>
      </w:pPr>
    </w:p>
    <w:p>
      <w:pPr>
        <w:ind w:left="380" w:right="420" w:firstLine="426"/>
        <w:spacing w:after="0" w:line="282"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w:t>
      </w:r>
    </w:p>
    <w:p>
      <w:pPr>
        <w:spacing w:after="0" w:line="162" w:lineRule="exact"/>
        <w:rPr>
          <w:sz w:val="20"/>
          <w:szCs w:val="20"/>
          <w:color w:val="auto"/>
        </w:rPr>
      </w:pPr>
    </w:p>
    <w:p>
      <w:pPr>
        <w:ind w:left="380" w:right="120" w:firstLine="426"/>
        <w:spacing w:after="0" w:line="282" w:lineRule="auto"/>
        <w:rPr>
          <w:sz w:val="20"/>
          <w:szCs w:val="20"/>
          <w:color w:val="auto"/>
        </w:rPr>
      </w:pPr>
      <w:r>
        <w:rPr>
          <w:rFonts w:ascii="Times New Roman" w:cs="Times New Roman" w:eastAsia="Times New Roman" w:hAnsi="Times New Roman"/>
          <w:sz w:val="18"/>
          <w:szCs w:val="18"/>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200" w:lineRule="exact"/>
        <w:rPr>
          <w:sz w:val="20"/>
          <w:szCs w:val="20"/>
          <w:color w:val="auto"/>
        </w:rPr>
      </w:pPr>
    </w:p>
    <w:p>
      <w:pPr>
        <w:spacing w:after="0" w:line="39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40"/>
          </w:cols>
          <w:pgMar w:left="240" w:top="455" w:right="61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55695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2145" cy="55695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Investment Portfolio</w:t>
      </w:r>
    </w:p>
    <w:p>
      <w:pPr>
        <w:spacing w:after="0" w:line="121" w:lineRule="exact"/>
        <w:rPr>
          <w:sz w:val="20"/>
          <w:szCs w:val="20"/>
          <w:color w:val="auto"/>
        </w:rPr>
      </w:pPr>
    </w:p>
    <w:p>
      <w:pPr>
        <w:ind w:left="380" w:firstLine="426"/>
        <w:spacing w:after="0" w:line="256"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(including restructurings).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left="380" w:right="440" w:firstLine="426"/>
        <w:spacing w:after="0" w:line="261" w:lineRule="auto"/>
        <w:rPr>
          <w:sz w:val="20"/>
          <w:szCs w:val="20"/>
          <w:color w:val="auto"/>
        </w:rPr>
      </w:pPr>
      <w:r>
        <w:rPr>
          <w:rFonts w:ascii="Times New Roman" w:cs="Times New Roman" w:eastAsia="Times New Roman" w:hAnsi="Times New Roman"/>
          <w:sz w:val="18"/>
          <w:szCs w:val="18"/>
          <w:color w:val="auto"/>
        </w:rPr>
        <w:t>As of December 31, 2017, based on fair value our portfolio consisted of 93.4% first-lien debt investments, 3.6% second-lien debt investments, and 3.0% equity and other investments. All of our debt investments based on fair value as of December 31, 2017 bore interest at floating rates (when including investment specific hedges), with 93.3% of these subject to interest rate floors, which we believe helps act as a portfolio-wide hedge against inflation.</w:t>
      </w:r>
    </w:p>
    <w:p>
      <w:pPr>
        <w:spacing w:after="0" w:line="180" w:lineRule="exact"/>
        <w:rPr>
          <w:sz w:val="20"/>
          <w:szCs w:val="20"/>
          <w:color w:val="auto"/>
        </w:rPr>
      </w:pPr>
    </w:p>
    <w:p>
      <w:pPr>
        <w:ind w:left="380" w:firstLine="426"/>
        <w:spacing w:after="0" w:line="266" w:lineRule="auto"/>
        <w:rPr>
          <w:sz w:val="20"/>
          <w:szCs w:val="20"/>
          <w:color w:val="auto"/>
        </w:rPr>
      </w:pPr>
      <w:r>
        <w:rPr>
          <w:rFonts w:ascii="Times New Roman" w:cs="Times New Roman" w:eastAsia="Times New Roman" w:hAnsi="Times New Roman"/>
          <w:sz w:val="18"/>
          <w:szCs w:val="18"/>
          <w:color w:val="auto"/>
        </w:rPr>
        <w:t>As of December 31, 2017, we had investments in 45 portfolio companies with an aggregate fair value of $1,693.7 million. For the year ended December 31, 2017, we made new investment commitments of $1,072.6 million in 22 new portfolio companies and 12 existing portfolio companies. For this period, we had $951.5 million aggregate principal amount in exits and repayments.</w:t>
      </w:r>
    </w:p>
    <w:p>
      <w:pPr>
        <w:spacing w:after="0" w:line="17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As of December 31, 2016, we had investments in 52 portfolio companies with an aggregate fair value of $1,657.4 million. For the year ended</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December 31, 2016, we made new investment commitments of $562.7 million in 14 new portfolio companies and 9 existing portfolio companies.</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this period, we had $416.5 million aggregate principal amount in exits and repayments.</w:t>
      </w:r>
    </w:p>
    <w:p>
      <w:pPr>
        <w:spacing w:after="0" w:line="207" w:lineRule="exact"/>
        <w:rPr>
          <w:sz w:val="20"/>
          <w:szCs w:val="20"/>
          <w:color w:val="auto"/>
        </w:rPr>
      </w:pPr>
    </w:p>
    <w:p>
      <w:pPr>
        <w:ind w:left="380" w:right="280" w:firstLine="426"/>
        <w:spacing w:after="0" w:line="266" w:lineRule="auto"/>
        <w:rPr>
          <w:sz w:val="20"/>
          <w:szCs w:val="20"/>
          <w:color w:val="auto"/>
        </w:rPr>
      </w:pPr>
      <w:r>
        <w:rPr>
          <w:rFonts w:ascii="Times New Roman" w:cs="Times New Roman" w:eastAsia="Times New Roman" w:hAnsi="Times New Roman"/>
          <w:sz w:val="18"/>
          <w:szCs w:val="18"/>
          <w:color w:val="auto"/>
        </w:rPr>
        <w:t>As of December 31, 2017, the largest single investment based on fair value represented 6.7% of our total investment portfolio. As of December 31, 2017, the average investment size in each of our portfolio companies was approximately $37.6 million based on fair value. As of December 31, 2017, the largest industry represented 14.0% of our total portfolio based on fair value.</w:t>
      </w:r>
    </w:p>
    <w:p>
      <w:pPr>
        <w:spacing w:after="0" w:line="176" w:lineRule="exact"/>
        <w:rPr>
          <w:sz w:val="20"/>
          <w:szCs w:val="20"/>
          <w:color w:val="auto"/>
        </w:rPr>
      </w:pPr>
    </w:p>
    <w:p>
      <w:pPr>
        <w:ind w:left="380" w:right="260" w:firstLine="426"/>
        <w:spacing w:after="0" w:line="258" w:lineRule="auto"/>
        <w:rPr>
          <w:sz w:val="20"/>
          <w:szCs w:val="20"/>
          <w:color w:val="auto"/>
        </w:rPr>
      </w:pPr>
      <w:r>
        <w:rPr>
          <w:rFonts w:ascii="Times New Roman" w:cs="Times New Roman" w:eastAsia="Times New Roman" w:hAnsi="Times New Roman"/>
          <w:sz w:val="18"/>
          <w:szCs w:val="18"/>
          <w:color w:val="auto"/>
        </w:rPr>
        <w:t>Since we began investing in 2011 through December 31, 2017, weighted by capital invested, our exited investments have generated an average realized gross internal rate of return to us of 18.8% (based on total capital invested of $2.6 billion and total proceeds from these exited investments of $3.2 billion). Eighty eight percent of these exited investments resulted in a realized gross internal rate of return to us of 10% or greater. For a description of how we calculate gross internal rates of return, see “Management’s Discussion and Analysis of Financial Condition and Results of Operations—Results of Operations—Realized Gross Internal Rate of Return.”</w:t>
      </w:r>
    </w:p>
    <w:p>
      <w:pPr>
        <w:spacing w:after="0" w:line="2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TPG Specialty Lending, Inc. is a Delaware corporation formed on July 21, 2010. TSL Advisers, LLC is our external manager.</w:t>
      </w:r>
    </w:p>
    <w:p>
      <w:pPr>
        <w:spacing w:after="0" w:line="225" w:lineRule="exact"/>
        <w:rPr>
          <w:sz w:val="20"/>
          <w:szCs w:val="20"/>
          <w:color w:val="auto"/>
        </w:rPr>
      </w:pPr>
    </w:p>
    <w:p>
      <w:pPr>
        <w:ind w:left="380" w:firstLine="426"/>
        <w:spacing w:after="0" w:line="266" w:lineRule="auto"/>
        <w:rPr>
          <w:sz w:val="20"/>
          <w:szCs w:val="20"/>
          <w:color w:val="auto"/>
        </w:rPr>
      </w:pPr>
      <w:r>
        <w:rPr>
          <w:rFonts w:ascii="Times New Roman" w:cs="Times New Roman" w:eastAsia="Times New Roman" w:hAnsi="Times New Roman"/>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for more information on these requirements.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240" w:top="455" w:right="6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5981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2145" cy="59817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About Our Adviser</w:t>
      </w:r>
    </w:p>
    <w:p>
      <w:pPr>
        <w:spacing w:after="0" w:line="121" w:lineRule="exact"/>
        <w:rPr>
          <w:sz w:val="20"/>
          <w:szCs w:val="20"/>
          <w:color w:val="auto"/>
        </w:rPr>
      </w:pPr>
    </w:p>
    <w:p>
      <w:pPr>
        <w:ind w:left="380" w:right="600" w:firstLine="426"/>
        <w:spacing w:after="0" w:line="282"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62" w:lineRule="exact"/>
        <w:rPr>
          <w:sz w:val="20"/>
          <w:szCs w:val="20"/>
          <w:color w:val="auto"/>
        </w:rPr>
      </w:pPr>
    </w:p>
    <w:p>
      <w:pPr>
        <w:ind w:left="380" w:right="40" w:firstLine="426"/>
        <w:spacing w:after="0" w:line="256" w:lineRule="auto"/>
        <w:rPr>
          <w:sz w:val="20"/>
          <w:szCs w:val="20"/>
          <w:color w:val="auto"/>
        </w:rPr>
      </w:pPr>
      <w:r>
        <w:rPr>
          <w:rFonts w:ascii="Times New Roman" w:cs="Times New Roman" w:eastAsia="Times New Roman" w:hAnsi="Times New Roman"/>
          <w:sz w:val="18"/>
          <w:szCs w:val="18"/>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TSSP. The members of our Investment Review Committee are Joshua Easterly, Michael Fishman, Alan Waxman and David Stiepleman.</w:t>
      </w:r>
    </w:p>
    <w:p>
      <w:pPr>
        <w:spacing w:after="0" w:line="188" w:lineRule="exact"/>
        <w:rPr>
          <w:sz w:val="20"/>
          <w:szCs w:val="20"/>
          <w:color w:val="auto"/>
        </w:rPr>
      </w:pPr>
    </w:p>
    <w:p>
      <w:pPr>
        <w:ind w:left="380" w:right="140" w:firstLine="426"/>
        <w:spacing w:after="0" w:line="255" w:lineRule="auto"/>
        <w:rPr>
          <w:sz w:val="20"/>
          <w:szCs w:val="20"/>
          <w:color w:val="auto"/>
        </w:rPr>
      </w:pPr>
      <w:r>
        <w:rPr>
          <w:rFonts w:ascii="Times New Roman" w:cs="Times New Roman" w:eastAsia="Times New Roman" w:hAnsi="Times New Roman"/>
          <w:sz w:val="18"/>
          <w:szCs w:val="18"/>
          <w:color w:val="auto"/>
        </w:rPr>
        <w:t>TSSP, with approximately $20 billion of assets under management as of September 30, 2017, is TPG’s special situations and credit platform and encompasses TPG Specialty Lending, TPG Opportunities Partners and TSSP Adjacent Opportunities Partners, which invest in special situations and distressed investments across the credit cycle, TSL Europe, which is aimed at European middle-market loan originations, and TPG Institutional Credit Partners, which is a “public-side” credit investment platform focused on investment opportunities in broadly syndicated leveraged loan markets. TSSP has extensive experience with highly complex, global public and private investments executed through primary originations, secondary market purchases and restructurings, and has a team of over 180 investment and operating professionals. As of December 31, 2017, thirty one (31) of these personnel are dedicated to our business, including twenty four (24) investment professionals.</w:t>
      </w:r>
    </w:p>
    <w:p>
      <w:pPr>
        <w:spacing w:after="0" w:line="189" w:lineRule="exact"/>
        <w:rPr>
          <w:sz w:val="20"/>
          <w:szCs w:val="20"/>
          <w:color w:val="auto"/>
        </w:rPr>
      </w:pPr>
    </w:p>
    <w:p>
      <w:pPr>
        <w:ind w:left="380" w:firstLine="426"/>
        <w:spacing w:after="0" w:line="254" w:lineRule="auto"/>
        <w:rPr>
          <w:sz w:val="20"/>
          <w:szCs w:val="20"/>
          <w:color w:val="auto"/>
        </w:rPr>
      </w:pPr>
      <w:r>
        <w:rPr>
          <w:rFonts w:ascii="Times New Roman" w:cs="Times New Roman" w:eastAsia="Times New Roman" w:hAnsi="Times New Roman"/>
          <w:sz w:val="18"/>
          <w:szCs w:val="18"/>
          <w:color w:val="auto"/>
        </w:rPr>
        <w:t>TPG is a leading global private investment firm founded in 1992 with over $79 billion of assets under management as of September 30, 2017, and offices in San Francisco, Fort Worth,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350 deal professionals.</w:t>
      </w:r>
    </w:p>
    <w:p>
      <w:pPr>
        <w:spacing w:after="0" w:line="189" w:lineRule="exact"/>
        <w:rPr>
          <w:sz w:val="20"/>
          <w:szCs w:val="20"/>
          <w:color w:val="auto"/>
        </w:rPr>
      </w:pPr>
    </w:p>
    <w:p>
      <w:pPr>
        <w:ind w:left="380" w:right="40" w:firstLine="426"/>
        <w:spacing w:after="0" w:line="261" w:lineRule="auto"/>
        <w:rPr>
          <w:sz w:val="20"/>
          <w:szCs w:val="20"/>
          <w:color w:val="auto"/>
        </w:rPr>
      </w:pPr>
      <w:r>
        <w:rPr>
          <w:rFonts w:ascii="Times New Roman" w:cs="Times New Roman" w:eastAsia="Times New Roman" w:hAnsi="Times New Roman"/>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2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21" w:lineRule="exact"/>
        <w:rPr>
          <w:sz w:val="20"/>
          <w:szCs w:val="20"/>
          <w:color w:val="auto"/>
        </w:rPr>
      </w:pPr>
    </w:p>
    <w:p>
      <w:pPr>
        <w:ind w:left="380" w:right="520" w:firstLine="426"/>
        <w:spacing w:after="0" w:line="282" w:lineRule="auto"/>
        <w:rPr>
          <w:sz w:val="20"/>
          <w:szCs w:val="20"/>
          <w:color w:val="auto"/>
        </w:rPr>
      </w:pPr>
      <w:r>
        <w:rPr>
          <w:rFonts w:ascii="Times New Roman" w:cs="Times New Roman" w:eastAsia="Times New Roman" w:hAnsi="Times New Roman"/>
          <w:sz w:val="18"/>
          <w:szCs w:val="18"/>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60" w:lineRule="exact"/>
        <w:rPr>
          <w:sz w:val="20"/>
          <w:szCs w:val="20"/>
          <w:color w:val="auto"/>
        </w:rPr>
      </w:pPr>
    </w:p>
    <w:p>
      <w:pPr>
        <w:ind w:left="380" w:right="58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Limited availability of capital for middle-market companies</w:t>
      </w:r>
      <w:r>
        <w:rPr>
          <w:rFonts w:ascii="Times New Roman" w:cs="Times New Roman" w:eastAsia="Times New Roman" w:hAnsi="Times New Roman"/>
          <w:sz w:val="18"/>
          <w:szCs w:val="18"/>
          <w:color w:val="auto"/>
        </w:rPr>
        <w:t>. We believe that certain structural changes in the market have reduced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capital available to middle-market companies. In particular, we believe</w:t>
      </w:r>
    </w:p>
    <w:p>
      <w:pPr>
        <w:spacing w:after="0" w:line="200" w:lineRule="exact"/>
        <w:rPr>
          <w:sz w:val="20"/>
          <w:szCs w:val="20"/>
          <w:color w:val="auto"/>
        </w:rPr>
      </w:pPr>
    </w:p>
    <w:p>
      <w:pPr>
        <w:spacing w:after="0" w:line="39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40"/>
          </w:cols>
          <w:pgMar w:left="240" w:top="455" w:right="61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59131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2145" cy="59131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40"/>
        <w:spacing w:after="0" w:line="255" w:lineRule="auto"/>
        <w:rPr>
          <w:sz w:val="20"/>
          <w:szCs w:val="20"/>
          <w:color w:val="auto"/>
        </w:rPr>
      </w:pPr>
      <w:r>
        <w:rPr>
          <w:rFonts w:ascii="Times New Roman" w:cs="Times New Roman" w:eastAsia="Times New Roman" w:hAnsi="Times New Roman"/>
          <w:sz w:val="18"/>
          <w:szCs w:val="18"/>
          <w:color w:val="auto"/>
        </w:rPr>
        <w:t>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regulations imposed by the Federal Reserve, the Office of the Comptroller of the Currency and the Federal Deposit Insurance Corporation, or FDIC, significantly increase capital and liquidity requirements for banks, decreasing their capacity to hold non-investment grade leveraged loans on their balance sheets. We believe these factors reduce the capacity of traditional lenders to serve this market segment and, as a result, increase the cost of borrowing for middle-market companies.</w:t>
      </w:r>
    </w:p>
    <w:p>
      <w:pPr>
        <w:spacing w:after="0" w:line="187" w:lineRule="exact"/>
        <w:rPr>
          <w:sz w:val="20"/>
          <w:szCs w:val="20"/>
          <w:color w:val="auto"/>
        </w:rPr>
      </w:pPr>
    </w:p>
    <w:p>
      <w:pPr>
        <w:ind w:left="380" w:firstLine="426"/>
        <w:spacing w:after="0" w:line="259" w:lineRule="auto"/>
        <w:rPr>
          <w:sz w:val="20"/>
          <w:szCs w:val="20"/>
          <w:color w:val="auto"/>
        </w:rPr>
      </w:pPr>
      <w:r>
        <w:rPr>
          <w:rFonts w:ascii="Times New Roman" w:cs="Times New Roman" w:eastAsia="Times New Roman" w:hAnsi="Times New Roman"/>
          <w:sz w:val="18"/>
          <w:szCs w:val="18"/>
          <w:i w:val="1"/>
          <w:iCs w:val="1"/>
          <w:color w:val="auto"/>
        </w:rPr>
        <w:t>Strong demand for debt capital</w:t>
      </w:r>
      <w:r>
        <w:rPr>
          <w:rFonts w:ascii="Times New Roman" w:cs="Times New Roman" w:eastAsia="Times New Roman" w:hAnsi="Times New Roman"/>
          <w:sz w:val="18"/>
          <w:szCs w:val="18"/>
          <w:color w:val="auto"/>
        </w:rPr>
        <w:t>. We believe middle-market companies will continue to require access to debt capital to refinance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support growth and finance acquisitions. In addition, we believe the large amount of uninvested capital held by funds of private equity firms, estimated by Preqin Ltd., an alternative assets industry data and research company, at $1.75 trillion as of March 2018, will continue to drive deal activity. We expect that private equity firms will continue to pursue acquisitions and to seek to leverage their equity investments with secured loans provided by companies such as ours.</w:t>
      </w:r>
    </w:p>
    <w:p>
      <w:pPr>
        <w:spacing w:after="0" w:line="180" w:lineRule="exact"/>
        <w:rPr>
          <w:sz w:val="20"/>
          <w:szCs w:val="20"/>
          <w:color w:val="auto"/>
        </w:rPr>
      </w:pPr>
    </w:p>
    <w:p>
      <w:pPr>
        <w:ind w:left="380" w:right="4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Attractive investment dynamics</w:t>
      </w:r>
      <w:r>
        <w:rPr>
          <w:rFonts w:ascii="Times New Roman" w:cs="Times New Roman" w:eastAsia="Times New Roman" w:hAnsi="Times New Roman"/>
          <w:sz w:val="18"/>
          <w:szCs w:val="18"/>
          <w:color w:val="auto"/>
        </w:rPr>
        <w:t>. An imbalance between the supply of, and demand for, middle-market debt capital creates attractive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dynamics. 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83" w:lineRule="exact"/>
        <w:rPr>
          <w:sz w:val="20"/>
          <w:szCs w:val="20"/>
          <w:color w:val="auto"/>
        </w:rPr>
      </w:pPr>
    </w:p>
    <w:p>
      <w:pPr>
        <w:ind w:left="380" w:right="160" w:firstLine="426"/>
        <w:spacing w:after="0" w:line="259" w:lineRule="auto"/>
        <w:rPr>
          <w:sz w:val="20"/>
          <w:szCs w:val="20"/>
          <w:color w:val="auto"/>
        </w:rPr>
      </w:pPr>
      <w:r>
        <w:rPr>
          <w:rFonts w:ascii="Times New Roman" w:cs="Times New Roman" w:eastAsia="Times New Roman" w:hAnsi="Times New Roman"/>
          <w:sz w:val="18"/>
          <w:szCs w:val="18"/>
          <w:i w:val="1"/>
          <w:iCs w:val="1"/>
          <w:color w:val="auto"/>
        </w:rPr>
        <w:t>Conservative capital structures</w:t>
      </w:r>
      <w:r>
        <w:rPr>
          <w:rFonts w:ascii="Times New Roman" w:cs="Times New Roman" w:eastAsia="Times New Roman" w:hAnsi="Times New Roman"/>
          <w:sz w:val="18"/>
          <w:szCs w:val="18"/>
          <w:color w:val="auto"/>
        </w:rPr>
        <w:t>. Following the credit crisis, which we define broadly as occurring between mid-2007 and mid-2009,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borrowers have 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80" w:lineRule="exact"/>
        <w:rPr>
          <w:sz w:val="20"/>
          <w:szCs w:val="20"/>
          <w:color w:val="auto"/>
        </w:rPr>
      </w:pPr>
    </w:p>
    <w:p>
      <w:pPr>
        <w:ind w:left="380" w:right="14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Specialized lending requirements</w:t>
      </w:r>
      <w:r>
        <w:rPr>
          <w:rFonts w:ascii="Times New Roman" w:cs="Times New Roman" w:eastAsia="Times New Roman" w:hAnsi="Times New Roman"/>
          <w:sz w:val="18"/>
          <w:szCs w:val="18"/>
          <w:color w:val="auto"/>
        </w:rPr>
        <w:t>. Lending to middle-market companies requires specialized due diligence and underwriting capabilities,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80" w:lineRule="exact"/>
        <w:rPr>
          <w:sz w:val="20"/>
          <w:szCs w:val="20"/>
          <w:color w:val="auto"/>
        </w:rPr>
      </w:pPr>
    </w:p>
    <w:p>
      <w:pPr>
        <w:ind w:left="380" w:right="6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Desirability of partnering with BDCs</w:t>
      </w:r>
      <w:r>
        <w:rPr>
          <w:rFonts w:ascii="Times New Roman" w:cs="Times New Roman" w:eastAsia="Times New Roman" w:hAnsi="Times New Roman"/>
          <w:sz w:val="18"/>
          <w:szCs w:val="18"/>
          <w:color w:val="auto"/>
        </w:rPr>
        <w:t>. We believe middle-market companies see advantages in raising capital from BDCs. BDCs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2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Competitive Strengths and Core Competencies</w:t>
      </w:r>
    </w:p>
    <w:p>
      <w:pPr>
        <w:spacing w:after="0" w:line="119" w:lineRule="exact"/>
        <w:rPr>
          <w:sz w:val="20"/>
          <w:szCs w:val="20"/>
          <w:color w:val="auto"/>
        </w:rPr>
      </w:pPr>
    </w:p>
    <w:p>
      <w:pPr>
        <w:ind w:left="380" w:right="20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Leading platform and access to proprietary deal flow</w:t>
      </w:r>
      <w:r>
        <w:rPr>
          <w:rFonts w:ascii="Times New Roman" w:cs="Times New Roman" w:eastAsia="Times New Roman" w:hAnsi="Times New Roman"/>
          <w:sz w:val="18"/>
          <w:szCs w:val="18"/>
          <w:color w:val="auto"/>
        </w:rPr>
        <w:t>. The substantial majority of our investments are not intermediated and are originated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the assistance of investment banks or other traditional Wall Street</w:t>
      </w:r>
    </w:p>
    <w:p>
      <w:pPr>
        <w:spacing w:after="0" w:line="200" w:lineRule="exact"/>
        <w:rPr>
          <w:sz w:val="20"/>
          <w:szCs w:val="20"/>
          <w:color w:val="auto"/>
        </w:rPr>
      </w:pPr>
    </w:p>
    <w:p>
      <w:pPr>
        <w:spacing w:after="0" w:line="39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240" w:top="455" w:right="6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61188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2145" cy="61188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00"/>
        <w:spacing w:after="0" w:line="261" w:lineRule="auto"/>
        <w:rPr>
          <w:sz w:val="20"/>
          <w:szCs w:val="20"/>
          <w:color w:val="auto"/>
        </w:rPr>
      </w:pPr>
      <w:r>
        <w:rPr>
          <w:rFonts w:ascii="Times New Roman" w:cs="Times New Roman" w:eastAsia="Times New Roman" w:hAnsi="Times New Roman"/>
          <w:sz w:val="18"/>
          <w:szCs w:val="18"/>
          <w:color w:val="auto"/>
        </w:rPr>
        <w:t>sources. Our Adviser has a dedicated team of 24 investment professionals responsible for originating, underwriting, executing and managing the assets of our direct lending transactions. This team is responsible for sourcing and executing opportunities directly, while leveraging the resources and expertise of the TSSP and TPG platforms. The senior members of our Investment Team have over 225 years of collective experience as commercial dealmakers.</w:t>
      </w:r>
    </w:p>
    <w:p>
      <w:pPr>
        <w:spacing w:after="0" w:line="180" w:lineRule="exact"/>
        <w:rPr>
          <w:sz w:val="20"/>
          <w:szCs w:val="20"/>
          <w:color w:val="auto"/>
        </w:rPr>
      </w:pPr>
    </w:p>
    <w:p>
      <w:pPr>
        <w:ind w:left="380" w:right="200" w:firstLine="426"/>
        <w:spacing w:after="0" w:line="258" w:lineRule="auto"/>
        <w:rPr>
          <w:sz w:val="20"/>
          <w:szCs w:val="20"/>
          <w:color w:val="auto"/>
        </w:rPr>
      </w:pPr>
      <w:r>
        <w:rPr>
          <w:rFonts w:ascii="Times New Roman" w:cs="Times New Roman" w:eastAsia="Times New Roman" w:hAnsi="Times New Roman"/>
          <w:sz w:val="18"/>
          <w:szCs w:val="18"/>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84" w:lineRule="exact"/>
        <w:rPr>
          <w:sz w:val="20"/>
          <w:szCs w:val="20"/>
          <w:color w:val="auto"/>
        </w:rPr>
      </w:pPr>
    </w:p>
    <w:p>
      <w:pPr>
        <w:jc w:val="both"/>
        <w:ind w:left="380" w:firstLine="426"/>
        <w:spacing w:after="0" w:line="266" w:lineRule="auto"/>
        <w:rPr>
          <w:sz w:val="20"/>
          <w:szCs w:val="20"/>
          <w:color w:val="auto"/>
        </w:rPr>
      </w:pPr>
      <w:r>
        <w:rPr>
          <w:rFonts w:ascii="Times New Roman" w:cs="Times New Roman" w:eastAsia="Times New Roman" w:hAnsi="Times New Roman"/>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74" w:lineRule="exact"/>
        <w:rPr>
          <w:sz w:val="20"/>
          <w:szCs w:val="20"/>
          <w:color w:val="auto"/>
        </w:rPr>
      </w:pPr>
    </w:p>
    <w:p>
      <w:pPr>
        <w:jc w:val="both"/>
        <w:ind w:left="380" w:right="32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Disciplined investment and underwriting process</w:t>
      </w:r>
      <w:r>
        <w:rPr>
          <w:rFonts w:ascii="Times New Roman" w:cs="Times New Roman" w:eastAsia="Times New Roman" w:hAnsi="Times New Roman"/>
          <w:sz w:val="18"/>
          <w:szCs w:val="18"/>
          <w:color w:val="auto"/>
        </w:rPr>
        <w:t>. Through our Adviser, we seek to achieve the highest risk-adjusted returns available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opposed to the 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86" w:lineRule="exact"/>
        <w:rPr>
          <w:sz w:val="20"/>
          <w:szCs w:val="20"/>
          <w:color w:val="auto"/>
        </w:rPr>
      </w:pPr>
    </w:p>
    <w:p>
      <w:pPr>
        <w:ind w:left="1220" w:right="160" w:hanging="307"/>
        <w:spacing w:after="0" w:line="284" w:lineRule="auto"/>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Flexibility</w:t>
      </w:r>
      <w:r>
        <w:rPr>
          <w:rFonts w:ascii="Times New Roman" w:cs="Times New Roman" w:eastAsia="Times New Roman" w:hAnsi="Times New Roman"/>
          <w:sz w:val="18"/>
          <w:szCs w:val="18"/>
          <w:color w:val="auto"/>
        </w:rPr>
        <w:t>. Our broad middle-market focus and our Adviser’s integrated position within TSSP and TPG allow us to determine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opportunities and identify relative value.</w:t>
      </w:r>
    </w:p>
    <w:p>
      <w:pPr>
        <w:spacing w:after="0" w:line="63" w:lineRule="exact"/>
        <w:rPr>
          <w:rFonts w:ascii="Times New Roman" w:cs="Times New Roman" w:eastAsia="Times New Roman" w:hAnsi="Times New Roman"/>
          <w:sz w:val="18"/>
          <w:szCs w:val="18"/>
          <w:color w:val="auto"/>
        </w:rPr>
      </w:pPr>
    </w:p>
    <w:p>
      <w:pPr>
        <w:ind w:left="1220" w:right="60" w:hanging="307"/>
        <w:spacing w:after="0" w:line="259" w:lineRule="auto"/>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pricing</w:t>
      </w:r>
      <w:r>
        <w:rPr>
          <w:rFonts w:ascii="Times New Roman" w:cs="Times New Roman" w:eastAsia="Times New Roman" w:hAnsi="Times New Roman"/>
          <w:sz w:val="18"/>
          <w:szCs w:val="18"/>
          <w:color w:val="auto"/>
        </w:rPr>
        <w:t>. The risk profile of our portfolio evolves across credit cycles as credit tightens and loosens. During periods when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premiums 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85" w:lineRule="exact"/>
        <w:rPr>
          <w:rFonts w:ascii="Times New Roman" w:cs="Times New Roman" w:eastAsia="Times New Roman" w:hAnsi="Times New Roman"/>
          <w:sz w:val="18"/>
          <w:szCs w:val="18"/>
          <w:color w:val="auto"/>
        </w:rPr>
      </w:pPr>
    </w:p>
    <w:p>
      <w:pPr>
        <w:ind w:left="1220" w:right="400" w:hanging="307"/>
        <w:spacing w:after="0" w:line="284" w:lineRule="auto"/>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Disciplined four-tiered investment framework</w:t>
      </w:r>
      <w:r>
        <w:rPr>
          <w:rFonts w:ascii="Times New Roman" w:cs="Times New Roman" w:eastAsia="Times New Roman" w:hAnsi="Times New Roman"/>
          <w:sz w:val="18"/>
          <w:szCs w:val="18"/>
          <w:color w:val="auto"/>
        </w:rPr>
        <w:t>. Through our Adviser, we perform detailed company-specific analysis focusing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four-tiered investment framework:</w:t>
      </w:r>
    </w:p>
    <w:p>
      <w:pPr>
        <w:spacing w:after="0" w:line="65"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sector selection;</w:t>
      </w:r>
    </w:p>
    <w:p>
      <w:pPr>
        <w:spacing w:after="0" w:line="130"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structuring;</w:t>
      </w:r>
    </w:p>
    <w:p>
      <w:pPr>
        <w:spacing w:after="0" w:line="130"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dynamics; and</w:t>
      </w:r>
    </w:p>
    <w:p>
      <w:pPr>
        <w:spacing w:after="0" w:line="130"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mitigation.</w:t>
      </w:r>
    </w:p>
    <w:p>
      <w:pPr>
        <w:spacing w:after="0" w:line="128" w:lineRule="exact"/>
        <w:rPr>
          <w:rFonts w:ascii="Times New Roman" w:cs="Times New Roman" w:eastAsia="Times New Roman" w:hAnsi="Times New Roman"/>
          <w:sz w:val="18"/>
          <w:szCs w:val="18"/>
          <w:color w:val="auto"/>
        </w:rPr>
      </w:pPr>
    </w:p>
    <w:p>
      <w:pPr>
        <w:jc w:val="both"/>
        <w:ind w:left="1220" w:right="60" w:hanging="307"/>
        <w:spacing w:after="0" w:line="267" w:lineRule="auto"/>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Robust and active investment management</w:t>
      </w:r>
      <w:r>
        <w:rPr>
          <w:rFonts w:ascii="Times New Roman" w:cs="Times New Roman" w:eastAsia="Times New Roman" w:hAnsi="Times New Roman"/>
          <w:sz w:val="18"/>
          <w:szCs w:val="18"/>
          <w:color w:val="auto"/>
        </w:rPr>
        <w:t>. Our Adviser rigorously monitors the credit profile of portfolio investments, with the aim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proactively identifying sector and operational issues and carefully managing risks. The information gathered on market trends through this process also informs our underwriting for new loans.</w:t>
      </w:r>
    </w:p>
    <w:p>
      <w:pPr>
        <w:spacing w:after="0" w:line="176" w:lineRule="exact"/>
        <w:rPr>
          <w:sz w:val="20"/>
          <w:szCs w:val="20"/>
          <w:color w:val="auto"/>
        </w:rPr>
      </w:pPr>
    </w:p>
    <w:p>
      <w:pPr>
        <w:ind w:left="380" w:right="500" w:firstLine="426"/>
        <w:spacing w:after="0" w:line="282" w:lineRule="auto"/>
        <w:rPr>
          <w:sz w:val="20"/>
          <w:szCs w:val="20"/>
          <w:color w:val="auto"/>
        </w:rPr>
      </w:pPr>
      <w:r>
        <w:rPr>
          <w:rFonts w:ascii="Times New Roman" w:cs="Times New Roman" w:eastAsia="Times New Roman" w:hAnsi="Times New Roman"/>
          <w:sz w:val="18"/>
          <w:szCs w:val="18"/>
          <w:color w:val="auto"/>
        </w:rPr>
        <w:t>We tailor investments rather than focusing only on driving investment volume. We closed approximately 2.0% of approximately 5,900 investment opportunities our Investment Team reviewed since our inception through December 31, 2017.</w:t>
      </w:r>
    </w:p>
    <w:p>
      <w:pPr>
        <w:spacing w:after="0" w:line="200" w:lineRule="exact"/>
        <w:rPr>
          <w:sz w:val="20"/>
          <w:szCs w:val="20"/>
          <w:color w:val="auto"/>
        </w:rPr>
      </w:pPr>
    </w:p>
    <w:p>
      <w:pPr>
        <w:spacing w:after="0" w:line="39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240" w:top="455" w:right="6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61614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2145" cy="616140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380" w:right="2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Carefully constructed, existing portfolio consisting of predominantly senior, floating rate loans across a broad range of industries and borrowers. </w:t>
      </w:r>
      <w:r>
        <w:rPr>
          <w:rFonts w:ascii="Times New Roman" w:cs="Times New Roman" w:eastAsia="Times New Roman" w:hAnsi="Times New Roman"/>
          <w:sz w:val="18"/>
          <w:szCs w:val="18"/>
          <w:color w:val="auto"/>
        </w:rPr>
        <w:t>Since we began investing in July 2011, we have originated more than $7.3 billion aggregate principal amount of investments.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2017, we had a portfolio of investments in 45 portfolio companies with an aggregate fair value of $1,693.7 million that we believe exhibits strong credit quality and broad industry composition. As of December 31, 2017, 100% of our debt investments based on fair value bore interest at floating rates (when including investment specific hedges), with 93.3% of these subject to interest rate floors, and 93.4% of the fair value of our portfolio was invested in first-lien debt investments. We believe this portfolio will allow us to generate meaningful investment income, and consequently dividend income, for our stockholders.</w:t>
      </w:r>
    </w:p>
    <w:p>
      <w:pPr>
        <w:spacing w:after="0" w:line="183" w:lineRule="exact"/>
        <w:rPr>
          <w:sz w:val="20"/>
          <w:szCs w:val="20"/>
          <w:color w:val="auto"/>
        </w:rPr>
      </w:pPr>
    </w:p>
    <w:p>
      <w:pPr>
        <w:ind w:left="380" w:firstLine="426"/>
        <w:spacing w:after="0" w:line="254" w:lineRule="auto"/>
        <w:rPr>
          <w:sz w:val="20"/>
          <w:szCs w:val="20"/>
          <w:color w:val="auto"/>
        </w:rPr>
      </w:pPr>
      <w:r>
        <w:rPr>
          <w:rFonts w:ascii="Times New Roman" w:cs="Times New Roman" w:eastAsia="Times New Roman" w:hAnsi="Times New Roman"/>
          <w:sz w:val="18"/>
          <w:szCs w:val="18"/>
          <w:i w:val="1"/>
          <w:iCs w:val="1"/>
          <w:color w:val="auto"/>
        </w:rPr>
        <w:t>Experienced management team</w:t>
      </w:r>
      <w:r>
        <w:rPr>
          <w:rFonts w:ascii="Times New Roman" w:cs="Times New Roman" w:eastAsia="Times New Roman" w:hAnsi="Times New Roman"/>
          <w:sz w:val="18"/>
          <w:szCs w:val="18"/>
          <w:color w:val="auto"/>
        </w:rPr>
        <w:t>. The Adviser has a highly experienced management team consisting of seven TSSP Partners and four TSSP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managing directors, with deep experience identifying and executing 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89" w:lineRule="exact"/>
        <w:rPr>
          <w:sz w:val="20"/>
          <w:szCs w:val="20"/>
          <w:color w:val="auto"/>
        </w:rPr>
      </w:pPr>
    </w:p>
    <w:p>
      <w:pPr>
        <w:jc w:val="both"/>
        <w:ind w:left="380" w:right="38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Aligned investment professionals</w:t>
      </w:r>
      <w:r>
        <w:rPr>
          <w:rFonts w:ascii="Times New Roman" w:cs="Times New Roman" w:eastAsia="Times New Roman" w:hAnsi="Times New Roman"/>
          <w:sz w:val="18"/>
          <w:szCs w:val="18"/>
          <w:color w:val="auto"/>
        </w:rPr>
        <w:t>. We believe our investment professionals are aligned with our investment objective. The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 for our investment professionals is based on our returns, as opposed to transaction volume, which we believe fosters a focus on credit quality when originating investments.</w:t>
      </w:r>
    </w:p>
    <w:p>
      <w:pPr>
        <w:spacing w:after="0" w:line="2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Operating and Regulatory Structure</w:t>
      </w:r>
    </w:p>
    <w:p>
      <w:pPr>
        <w:spacing w:after="0" w:line="121" w:lineRule="exact"/>
        <w:rPr>
          <w:sz w:val="20"/>
          <w:szCs w:val="20"/>
          <w:color w:val="auto"/>
        </w:rPr>
      </w:pPr>
    </w:p>
    <w:p>
      <w:pPr>
        <w:ind w:left="380" w:right="120" w:firstLine="426"/>
        <w:spacing w:after="0" w:line="313" w:lineRule="auto"/>
        <w:rPr>
          <w:sz w:val="20"/>
          <w:szCs w:val="20"/>
          <w:color w:val="auto"/>
        </w:rPr>
      </w:pPr>
      <w:r>
        <w:rPr>
          <w:rFonts w:ascii="Times New Roman" w:cs="Times New Roman" w:eastAsia="Times New Roman" w:hAnsi="Times New Roman"/>
          <w:sz w:val="17"/>
          <w:szCs w:val="17"/>
          <w:color w:val="auto"/>
        </w:rPr>
        <w:t>The Adviser manages our investment activities under the direction of our board of directors, or the Board. A majority of our Board members are not “interested persons” of us, the Adviser and our respective affiliates, as such term is defined under Section 2(a)(19) of the 1940 Act.</w:t>
      </w:r>
    </w:p>
    <w:p>
      <w:pPr>
        <w:spacing w:after="0" w:line="13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As a BDC, we are required to comply with numerous regulatory requirements:</w:t>
      </w:r>
    </w:p>
    <w:p>
      <w:pPr>
        <w:spacing w:after="0" w:line="129" w:lineRule="exact"/>
        <w:rPr>
          <w:sz w:val="20"/>
          <w:szCs w:val="20"/>
          <w:color w:val="auto"/>
        </w:rPr>
      </w:pPr>
    </w:p>
    <w:p>
      <w:pPr>
        <w:ind w:left="1220" w:right="220" w:hanging="307"/>
        <w:spacing w:after="0" w:line="261" w:lineRule="auto"/>
        <w:tabs>
          <w:tab w:leader="none" w:pos="1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Leverage</w:t>
      </w:r>
      <w:r>
        <w:rPr>
          <w:rFonts w:ascii="Times New Roman" w:cs="Times New Roman" w:eastAsia="Times New Roman" w:hAnsi="Times New Roman"/>
          <w:sz w:val="18"/>
          <w:szCs w:val="18"/>
          <w:color w:val="auto"/>
        </w:rPr>
        <w:t>. Regulations under the 1940 Act limit our ability to use borrowing, also known as leverage, in significant respects.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limited exceptions, we are currently only allowed to borrow amounts, including by issuing debt securities or preferred stock, where our asset coverage, as defined in the 1940 Act, equals at least 200% after the borrowing. However, we may be able to maintain an asset coverage ratio of at least 150% if certain requirements are met. See “Regulation.”</w:t>
      </w:r>
    </w:p>
    <w:p>
      <w:pPr>
        <w:spacing w:after="0" w:line="85" w:lineRule="exact"/>
        <w:rPr>
          <w:rFonts w:ascii="Times New Roman" w:cs="Times New Roman" w:eastAsia="Times New Roman" w:hAnsi="Times New Roman"/>
          <w:sz w:val="18"/>
          <w:szCs w:val="18"/>
          <w:color w:val="auto"/>
        </w:rPr>
      </w:pPr>
    </w:p>
    <w:p>
      <w:pPr>
        <w:ind w:left="1220" w:right="60" w:hanging="307"/>
        <w:spacing w:after="0" w:line="267" w:lineRule="auto"/>
        <w:tabs>
          <w:tab w:leader="none" w:pos="1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Allocation</w:t>
      </w:r>
      <w:r>
        <w:rPr>
          <w:rFonts w:ascii="Times New Roman" w:cs="Times New Roman" w:eastAsia="Times New Roman" w:hAnsi="Times New Roman"/>
          <w:sz w:val="18"/>
          <w:szCs w:val="18"/>
          <w:color w:val="auto"/>
        </w:rPr>
        <w:t>. As a BDC, we are required to invest at least 70% of our total assets in qualifying assets, which generally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of “eligible portfolio companies,” cash, cash equivalents, U.S. government securities and high-quality debt instruments maturing in one year or less from the time of investment. “Eligible portfolio companies” are defined in the 1940 Act as:</w:t>
      </w:r>
    </w:p>
    <w:p>
      <w:pPr>
        <w:spacing w:after="0" w:line="80"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domestic operating companies;</w:t>
      </w:r>
    </w:p>
    <w:p>
      <w:pPr>
        <w:spacing w:after="0" w:line="130" w:lineRule="exact"/>
        <w:rPr>
          <w:rFonts w:ascii="Times New Roman" w:cs="Times New Roman" w:eastAsia="Times New Roman" w:hAnsi="Times New Roman"/>
          <w:sz w:val="18"/>
          <w:szCs w:val="18"/>
          <w:color w:val="auto"/>
        </w:rPr>
      </w:pPr>
    </w:p>
    <w:p>
      <w:pPr>
        <w:ind w:left="1740" w:right="320" w:hanging="408"/>
        <w:spacing w:after="0" w:line="266" w:lineRule="auto"/>
        <w:tabs>
          <w:tab w:leader="none" w:pos="17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domestic operating companies whose securities are not listed on a national securities exchange (e.g., the NYSE Amex Equities and The NASDAQ Global Market) or registered under the Securities Exchange Act of 1934, as amended, or the Exchange Act; and</w:t>
      </w:r>
    </w:p>
    <w:p>
      <w:pPr>
        <w:spacing w:after="0" w:line="81" w:lineRule="exact"/>
        <w:rPr>
          <w:rFonts w:ascii="Times New Roman" w:cs="Times New Roman" w:eastAsia="Times New Roman" w:hAnsi="Times New Roman"/>
          <w:sz w:val="18"/>
          <w:szCs w:val="18"/>
          <w:color w:val="auto"/>
        </w:rPr>
      </w:pPr>
    </w:p>
    <w:p>
      <w:pPr>
        <w:ind w:left="1740" w:hanging="408"/>
        <w:spacing w:after="0"/>
        <w:tabs>
          <w:tab w:leader="none" w:pos="17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domestic operating companies having a market capitalization of less than $250 million.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40"/>
          </w:cols>
          <w:pgMar w:left="240" w:top="455" w:right="61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6264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2145" cy="62642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20" w:firstLine="426"/>
        <w:spacing w:after="0" w:line="282" w:lineRule="auto"/>
        <w:rPr>
          <w:sz w:val="20"/>
          <w:szCs w:val="20"/>
          <w:color w:val="auto"/>
        </w:rPr>
      </w:pPr>
      <w:r>
        <w:rPr>
          <w:rFonts w:ascii="Times New Roman" w:cs="Times New Roman" w:eastAsia="Times New Roman" w:hAnsi="Times New Roman"/>
          <w:sz w:val="18"/>
          <w:szCs w:val="18"/>
          <w:color w:val="auto"/>
        </w:rPr>
        <w:t>Public domestic operating companies whose securities are quoted on the over-the-counter bulletin board and through OTC Markets Group, Inc. are not listed on a national securities exchange and, as a result, are eligible portfolio companies.</w:t>
      </w:r>
    </w:p>
    <w:p>
      <w:pPr>
        <w:spacing w:after="0" w:line="65" w:lineRule="exact"/>
        <w:rPr>
          <w:sz w:val="20"/>
          <w:szCs w:val="20"/>
          <w:color w:val="auto"/>
        </w:rPr>
      </w:pPr>
    </w:p>
    <w:p>
      <w:pPr>
        <w:ind w:left="1220" w:right="200" w:hanging="307"/>
        <w:spacing w:after="0" w:line="267" w:lineRule="auto"/>
        <w:tabs>
          <w:tab w:leader="none" w:pos="1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RIC Status</w:t>
      </w:r>
      <w:r>
        <w:rPr>
          <w:rFonts w:ascii="Times New Roman" w:cs="Times New Roman" w:eastAsia="Times New Roman" w:hAnsi="Times New Roman"/>
          <w:sz w:val="18"/>
          <w:szCs w:val="18"/>
          <w:color w:val="auto"/>
        </w:rPr>
        <w:t>. We have elected to be treated as a RIC for U.S. federal income tax purposes. To maintain our status as a RIC and to avoid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having our earnings subject to corporate-level U.S. federal income taxation, we must satisfy certain source of income, asset diversification and distribution requirements.</w:t>
      </w:r>
    </w:p>
    <w:p>
      <w:pPr>
        <w:spacing w:after="0" w:line="17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“Material U.S. Federal Income Tax Considerations.”</w:t>
      </w:r>
    </w:p>
    <w:p>
      <w:pPr>
        <w:spacing w:after="0" w:line="3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Use of Leverage</w:t>
      </w:r>
    </w:p>
    <w:p>
      <w:pPr>
        <w:spacing w:after="0" w:line="121" w:lineRule="exact"/>
        <w:rPr>
          <w:sz w:val="20"/>
          <w:szCs w:val="20"/>
          <w:color w:val="auto"/>
        </w:rPr>
      </w:pPr>
    </w:p>
    <w:p>
      <w:pPr>
        <w:ind w:left="380" w:right="80" w:firstLine="426"/>
        <w:spacing w:after="0" w:line="255" w:lineRule="auto"/>
        <w:rPr>
          <w:sz w:val="20"/>
          <w:szCs w:val="20"/>
          <w:color w:val="auto"/>
        </w:rPr>
      </w:pPr>
      <w:r>
        <w:rPr>
          <w:rFonts w:ascii="Times New Roman" w:cs="Times New Roman" w:eastAsia="Times New Roman" w:hAnsi="Times New Roman"/>
          <w:sz w:val="18"/>
          <w:szCs w:val="18"/>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 See “Risk Factors—Risks Related to Our Business and Structure—We borrow money, which magnifies the potential for gain or loss and increases the risk of investing in us”; “Risk Factors—Risks Related to Our Business and Structure—Regulations governing our operation as a BDC affect our ability to, and the way in which we, raise additional capital”; “The Company—General”; and “Regulation.”</w:t>
      </w:r>
    </w:p>
    <w:p>
      <w:pPr>
        <w:spacing w:after="0" w:line="2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Conflicts of Interests</w:t>
      </w:r>
    </w:p>
    <w:p>
      <w:pPr>
        <w:spacing w:after="0" w:line="121" w:lineRule="exact"/>
        <w:rPr>
          <w:sz w:val="20"/>
          <w:szCs w:val="20"/>
          <w:color w:val="auto"/>
        </w:rPr>
      </w:pPr>
    </w:p>
    <w:p>
      <w:pPr>
        <w:ind w:left="380" w:firstLine="426"/>
        <w:spacing w:after="0" w:line="254" w:lineRule="auto"/>
        <w:rPr>
          <w:sz w:val="20"/>
          <w:szCs w:val="20"/>
          <w:color w:val="auto"/>
        </w:rPr>
      </w:pPr>
      <w:r>
        <w:rPr>
          <w:rFonts w:ascii="Times New Roman" w:cs="Times New Roman" w:eastAsia="Times New Roman" w:hAnsi="Times New Roman"/>
          <w:sz w:val="18"/>
          <w:szCs w:val="18"/>
          <w:color w:val="auto"/>
        </w:rPr>
        <w:t>Members of the Adviser’s senior management and Investment Review Committee are and will continue to be active in other investment funds affiliated with TSSP and TPG that pursue investment opportunities that could overlap with those pursued by us. However,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then determine an appropriate size for our investment.</w:t>
      </w:r>
    </w:p>
    <w:p>
      <w:pPr>
        <w:spacing w:after="0" w:line="186" w:lineRule="exact"/>
        <w:rPr>
          <w:sz w:val="20"/>
          <w:szCs w:val="20"/>
          <w:color w:val="auto"/>
        </w:rPr>
      </w:pPr>
    </w:p>
    <w:p>
      <w:pPr>
        <w:ind w:left="380" w:firstLine="426"/>
        <w:spacing w:after="0" w:line="254" w:lineRule="auto"/>
        <w:rPr>
          <w:sz w:val="20"/>
          <w:szCs w:val="20"/>
          <w:color w:val="auto"/>
        </w:rPr>
      </w:pPr>
      <w:r>
        <w:rPr>
          <w:rFonts w:ascii="Times New Roman" w:cs="Times New Roman" w:eastAsia="Times New Roman" w:hAnsi="Times New Roman"/>
          <w:sz w:val="18"/>
          <w:szCs w:val="18"/>
          <w:color w:val="auto"/>
        </w:rPr>
        <w:t>We may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which case the scope of opportunities otherwise available to us may be adversely affected or reduced.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89" w:lineRule="exact"/>
        <w:rPr>
          <w:sz w:val="20"/>
          <w:szCs w:val="20"/>
          <w:color w:val="auto"/>
        </w:rPr>
      </w:pPr>
    </w:p>
    <w:p>
      <w:pPr>
        <w:ind w:left="380" w:right="360" w:firstLine="426"/>
        <w:spacing w:after="0" w:line="282" w:lineRule="auto"/>
        <w:rPr>
          <w:sz w:val="20"/>
          <w:szCs w:val="20"/>
          <w:color w:val="auto"/>
        </w:rPr>
      </w:pPr>
      <w:r>
        <w:rPr>
          <w:rFonts w:ascii="Times New Roman" w:cs="Times New Roman" w:eastAsia="Times New Roman" w:hAnsi="Times New Roman"/>
          <w:sz w:val="18"/>
          <w:szCs w:val="18"/>
          <w:color w:val="auto"/>
        </w:rPr>
        <w:t>Our Adviser and its affiliates may face conflicts in allocating investment opportunities between us and other TSSP and TPG entities. It is possible that we may not be given the opportunity to participate in certain investments</w:t>
      </w:r>
    </w:p>
    <w:p>
      <w:pPr>
        <w:spacing w:after="0" w:line="200" w:lineRule="exact"/>
        <w:rPr>
          <w:sz w:val="20"/>
          <w:szCs w:val="20"/>
          <w:color w:val="auto"/>
        </w:rPr>
      </w:pPr>
    </w:p>
    <w:p>
      <w:pPr>
        <w:spacing w:after="0" w:line="39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40"/>
          </w:cols>
          <w:pgMar w:left="240" w:top="455" w:right="61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61874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2145" cy="61874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320"/>
        <w:spacing w:after="0" w:line="266" w:lineRule="auto"/>
        <w:rPr>
          <w:sz w:val="20"/>
          <w:szCs w:val="20"/>
          <w:color w:val="auto"/>
        </w:rPr>
      </w:pPr>
      <w:r>
        <w:rPr>
          <w:rFonts w:ascii="Times New Roman" w:cs="Times New Roman" w:eastAsia="Times New Roman" w:hAnsi="Times New Roman"/>
          <w:sz w:val="18"/>
          <w:szCs w:val="18"/>
          <w:color w:val="auto"/>
        </w:rPr>
        <w:t>made by TSSP or TPG vehicles that would otherwise be suitable for us. For example, TSSP has organized a separate investment vehicle, TSL Europe, aimed specifically at European middle-market loan originations and may in the future organize vehicles aimed at other loan origination opportunities outside our primary focus.</w:t>
      </w:r>
    </w:p>
    <w:p>
      <w:pPr>
        <w:spacing w:after="0" w:line="17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“Related-Party Transactions and Certain Relationships.”</w:t>
      </w:r>
    </w:p>
    <w:p>
      <w:pPr>
        <w:spacing w:after="0" w:line="3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Exemptive Order</w:t>
      </w:r>
    </w:p>
    <w:p>
      <w:pPr>
        <w:spacing w:after="0" w:line="121" w:lineRule="exact"/>
        <w:rPr>
          <w:sz w:val="20"/>
          <w:szCs w:val="20"/>
          <w:color w:val="auto"/>
        </w:rPr>
      </w:pPr>
    </w:p>
    <w:p>
      <w:pPr>
        <w:ind w:left="380" w:firstLine="426"/>
        <w:spacing w:after="0" w:line="261" w:lineRule="auto"/>
        <w:rPr>
          <w:sz w:val="20"/>
          <w:szCs w:val="20"/>
          <w:color w:val="auto"/>
        </w:rPr>
      </w:pPr>
      <w:r>
        <w:rPr>
          <w:rFonts w:ascii="Times New Roman" w:cs="Times New Roman" w:eastAsia="Times New Roman" w:hAnsi="Times New Roman"/>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for us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0" w:lineRule="exact"/>
        <w:rPr>
          <w:sz w:val="20"/>
          <w:szCs w:val="20"/>
          <w:color w:val="auto"/>
        </w:rPr>
      </w:pPr>
    </w:p>
    <w:p>
      <w:pPr>
        <w:ind w:left="380" w:right="60" w:firstLine="426"/>
        <w:spacing w:after="0" w:line="261" w:lineRule="auto"/>
        <w:rPr>
          <w:sz w:val="20"/>
          <w:szCs w:val="20"/>
          <w:color w:val="auto"/>
        </w:rPr>
      </w:pPr>
      <w:r>
        <w:rPr>
          <w:rFonts w:ascii="Times New Roman" w:cs="Times New Roman" w:eastAsia="Times New Roman" w:hAnsi="Times New Roman"/>
          <w:sz w:val="18"/>
          <w:szCs w:val="18"/>
          <w:color w:val="auto"/>
        </w:rPr>
        <w:t>We believe our ability to co-invest with TSSP and TPG affiliates is particularly useful where we identify larger capital commitments than otherwise would be appropriate for us. We expect that with the ability to co-invest with TSSP and TPG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“Related-Party Transactions and Certain Relationships—Exemptive Order.”</w:t>
      </w:r>
    </w:p>
    <w:p>
      <w:pPr>
        <w:spacing w:after="0" w:line="3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Stock Repurchase Plan</w:t>
      </w:r>
    </w:p>
    <w:p>
      <w:pPr>
        <w:spacing w:after="0" w:line="121" w:lineRule="exact"/>
        <w:rPr>
          <w:sz w:val="20"/>
          <w:szCs w:val="20"/>
          <w:color w:val="auto"/>
        </w:rPr>
      </w:pPr>
    </w:p>
    <w:p>
      <w:pPr>
        <w:ind w:left="380" w:right="160" w:firstLine="426"/>
        <w:spacing w:after="0" w:line="258" w:lineRule="auto"/>
        <w:rPr>
          <w:sz w:val="20"/>
          <w:szCs w:val="20"/>
          <w:color w:val="auto"/>
        </w:rPr>
      </w:pPr>
      <w:r>
        <w:rPr>
          <w:rFonts w:ascii="Times New Roman" w:cs="Times New Roman" w:eastAsia="Times New Roman" w:hAnsi="Times New Roman"/>
          <w:sz w:val="18"/>
          <w:szCs w:val="18"/>
          <w:color w:val="auto"/>
        </w:rPr>
        <w:t>We have in place a stock repurchase plan, the Company 10b5-1 Plan, to acquire up to $50 million in the aggregate of our common stock at prices below our net asset value per share over a specified period, in accordance with the guidelines specified in Rule 10b-18 and Rule 10b5-1 of the Exchange Act. We put the Company 10b5-1 Plan in place because we believe that, in the current market conditions, if our common stock is trading below our then-current net asset value per share, it is in the best interest of our stockholders for us to reinvest in our portfolio and increase our leverage ratio through share repurchases.</w:t>
      </w:r>
    </w:p>
    <w:p>
      <w:pPr>
        <w:spacing w:after="0" w:line="184" w:lineRule="exact"/>
        <w:rPr>
          <w:sz w:val="20"/>
          <w:szCs w:val="20"/>
          <w:color w:val="auto"/>
        </w:rPr>
      </w:pPr>
    </w:p>
    <w:p>
      <w:pPr>
        <w:ind w:left="380" w:firstLine="426"/>
        <w:spacing w:after="0" w:line="255" w:lineRule="auto"/>
        <w:rPr>
          <w:sz w:val="20"/>
          <w:szCs w:val="20"/>
          <w:color w:val="auto"/>
        </w:rPr>
      </w:pPr>
      <w:r>
        <w:rPr>
          <w:rFonts w:ascii="Times New Roman" w:cs="Times New Roman" w:eastAsia="Times New Roman" w:hAnsi="Times New Roman"/>
          <w:sz w:val="18"/>
          <w:szCs w:val="18"/>
          <w:color w:val="auto"/>
        </w:rPr>
        <w:t>The Company 10b5-1 Plan is designed to allow us to repurchase our common stock at times when we otherwise might be prevented from doing so under insider trading laws. The Company 10b5-1 Plan requires Goldman Sachs &amp; Co. LLC,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left="380" w:right="20" w:firstLine="426"/>
        <w:spacing w:after="0" w:line="313" w:lineRule="auto"/>
        <w:rPr>
          <w:sz w:val="20"/>
          <w:szCs w:val="20"/>
          <w:color w:val="auto"/>
        </w:rPr>
      </w:pPr>
      <w:r>
        <w:rPr>
          <w:rFonts w:ascii="Times New Roman" w:cs="Times New Roman" w:eastAsia="Times New Roman" w:hAnsi="Times New Roman"/>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3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On August 4, 2015, our Board authorized us to enter into a new stock repurchase plan, the Company 10b5-1 Plan, to acquire up to</w:t>
      </w:r>
    </w:p>
    <w:p>
      <w:pPr>
        <w:spacing w:after="0" w:line="27" w:lineRule="exact"/>
        <w:rPr>
          <w:sz w:val="20"/>
          <w:szCs w:val="20"/>
          <w:color w:val="auto"/>
        </w:rPr>
      </w:pPr>
    </w:p>
    <w:p>
      <w:pPr>
        <w:ind w:left="380" w:right="120"/>
        <w:spacing w:after="0" w:line="255" w:lineRule="auto"/>
        <w:rPr>
          <w:sz w:val="20"/>
          <w:szCs w:val="20"/>
          <w:color w:val="auto"/>
        </w:rPr>
      </w:pPr>
      <w:r>
        <w:rPr>
          <w:rFonts w:ascii="Times New Roman" w:cs="Times New Roman" w:eastAsia="Times New Roman" w:hAnsi="Times New Roman"/>
          <w:sz w:val="18"/>
          <w:szCs w:val="18"/>
          <w:color w:val="auto"/>
        </w:rPr>
        <w:t>$50 million in the aggregate of our common stock at prices just below our net asset value per share over an initial six-month period, in accordance with the guidelines specified in Rule 10b-18 and Rule 10b5-1 of the Exchange Act, and has continued to authorize extensions of the plan termination date prior to</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40"/>
          </w:cols>
          <w:pgMar w:left="240" w:top="455" w:right="61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6659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2145" cy="66592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line="282" w:lineRule="auto"/>
        <w:rPr>
          <w:sz w:val="20"/>
          <w:szCs w:val="20"/>
          <w:color w:val="auto"/>
        </w:rPr>
      </w:pPr>
      <w:r>
        <w:rPr>
          <w:rFonts w:ascii="Times New Roman" w:cs="Times New Roman" w:eastAsia="Times New Roman" w:hAnsi="Times New Roman"/>
          <w:sz w:val="18"/>
          <w:szCs w:val="18"/>
          <w:color w:val="auto"/>
        </w:rPr>
        <w:t>its expiration since that time. Unless extended or terminated by the Board, the Company 10b5-1 Plan will be in effect through the earlier of August 31, 2018 or such time as the current approved repurchase amount of up to $50 million has been fully utilized, subject to certain conditions.</w:t>
      </w:r>
    </w:p>
    <w:p>
      <w:pPr>
        <w:spacing w:after="0" w:line="2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380" w:right="40" w:firstLine="426"/>
        <w:spacing w:after="0" w:line="266" w:lineRule="auto"/>
        <w:rPr>
          <w:sz w:val="20"/>
          <w:szCs w:val="20"/>
          <w:color w:val="auto"/>
        </w:rPr>
      </w:pPr>
      <w:r>
        <w:rPr>
          <w:rFonts w:ascii="Times New Roman" w:cs="Times New Roman" w:eastAsia="Times New Roman" w:hAnsi="Times New Roman"/>
          <w:sz w:val="18"/>
          <w:szCs w:val="18"/>
          <w:color w:val="auto"/>
        </w:rPr>
        <w:t>On March 23, 2018, we closed a public offering of 3,750,000 shares of our common stock at a public offering price of $17.45 per share. Net of underwriting fees, we received total cash proceeds of $63.5 million, which we used to pay down outstanding debt under our Revolving Credit Facility.</w:t>
      </w:r>
    </w:p>
    <w:p>
      <w:pPr>
        <w:spacing w:after="0" w:line="2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left="380" w:right="80" w:firstLine="426"/>
        <w:spacing w:after="0" w:line="261" w:lineRule="auto"/>
        <w:rPr>
          <w:sz w:val="20"/>
          <w:szCs w:val="20"/>
          <w:color w:val="auto"/>
        </w:rPr>
      </w:pPr>
      <w:r>
        <w:rPr>
          <w:rFonts w:ascii="Times New Roman" w:cs="Times New Roman" w:eastAsia="Times New Roman" w:hAnsi="Times New Roman"/>
          <w:sz w:val="18"/>
          <w:szCs w:val="18"/>
          <w:color w:val="auto"/>
        </w:rPr>
        <w:t>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for a description of these and other risks relating to our business and investments in our securities, including that:</w:t>
      </w:r>
    </w:p>
    <w:p>
      <w:pPr>
        <w:spacing w:after="0" w:line="86" w:lineRule="exact"/>
        <w:rPr>
          <w:sz w:val="20"/>
          <w:szCs w:val="20"/>
          <w:color w:val="auto"/>
        </w:rPr>
      </w:pPr>
    </w:p>
    <w:p>
      <w:pPr>
        <w:ind w:left="1220" w:hanging="307"/>
        <w:spacing w:after="0"/>
        <w:tabs>
          <w:tab w:leader="none" w:pos="1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management personnel of the Adviser, TSSP, TPG and their affiliates for our future success;</w:t>
      </w:r>
    </w:p>
    <w:p>
      <w:pPr>
        <w:spacing w:after="0" w:line="130" w:lineRule="exact"/>
        <w:rPr>
          <w:rFonts w:ascii="Times New Roman" w:cs="Times New Roman" w:eastAsia="Times New Roman" w:hAnsi="Times New Roman"/>
          <w:sz w:val="18"/>
          <w:szCs w:val="18"/>
          <w:color w:val="auto"/>
        </w:rPr>
      </w:pPr>
    </w:p>
    <w:p>
      <w:pPr>
        <w:ind w:left="1220" w:hanging="307"/>
        <w:spacing w:after="0"/>
        <w:tabs>
          <w:tab w:leader="none" w:pos="1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our operation as a BDC affect our ability to, and the way in which we, raise additional capital;</w:t>
      </w:r>
    </w:p>
    <w:p>
      <w:pPr>
        <w:spacing w:after="0" w:line="130" w:lineRule="exact"/>
        <w:rPr>
          <w:rFonts w:ascii="Times New Roman" w:cs="Times New Roman" w:eastAsia="Times New Roman" w:hAnsi="Times New Roman"/>
          <w:sz w:val="18"/>
          <w:szCs w:val="18"/>
          <w:color w:val="auto"/>
        </w:rPr>
      </w:pPr>
    </w:p>
    <w:p>
      <w:pPr>
        <w:ind w:left="1220" w:hanging="307"/>
        <w:spacing w:after="0"/>
        <w:tabs>
          <w:tab w:leader="none" w:pos="1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borrow money, which magnifies the potential for gain or loss and increases the risk of investing in us;</w:t>
      </w:r>
    </w:p>
    <w:p>
      <w:pPr>
        <w:spacing w:after="0" w:line="130" w:lineRule="exact"/>
        <w:rPr>
          <w:rFonts w:ascii="Times New Roman" w:cs="Times New Roman" w:eastAsia="Times New Roman" w:hAnsi="Times New Roman"/>
          <w:sz w:val="18"/>
          <w:szCs w:val="18"/>
          <w:color w:val="auto"/>
        </w:rPr>
      </w:pPr>
    </w:p>
    <w:p>
      <w:pPr>
        <w:ind w:left="1220" w:hanging="307"/>
        <w:spacing w:after="0"/>
        <w:tabs>
          <w:tab w:leader="none" w:pos="1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adversely affect our business, financial conditions or results of operations;</w:t>
      </w:r>
    </w:p>
    <w:p>
      <w:pPr>
        <w:spacing w:after="0" w:line="130" w:lineRule="exact"/>
        <w:rPr>
          <w:rFonts w:ascii="Times New Roman" w:cs="Times New Roman" w:eastAsia="Times New Roman" w:hAnsi="Times New Roman"/>
          <w:sz w:val="18"/>
          <w:szCs w:val="18"/>
          <w:color w:val="auto"/>
        </w:rPr>
      </w:pPr>
    </w:p>
    <w:p>
      <w:pPr>
        <w:ind w:left="1220" w:hanging="307"/>
        <w:spacing w:after="0"/>
        <w:tabs>
          <w:tab w:leader="none" w:pos="1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may allow us to incur additional leverage;</w:t>
      </w:r>
    </w:p>
    <w:p>
      <w:pPr>
        <w:spacing w:after="0" w:line="130" w:lineRule="exact"/>
        <w:rPr>
          <w:rFonts w:ascii="Times New Roman" w:cs="Times New Roman" w:eastAsia="Times New Roman" w:hAnsi="Times New Roman"/>
          <w:sz w:val="18"/>
          <w:szCs w:val="18"/>
          <w:color w:val="auto"/>
        </w:rPr>
      </w:pPr>
    </w:p>
    <w:p>
      <w:pPr>
        <w:ind w:left="1220" w:hanging="307"/>
        <w:spacing w:after="0"/>
        <w:tabs>
          <w:tab w:leader="none" w:pos="1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 for investment opportunities;</w:t>
      </w:r>
    </w:p>
    <w:p>
      <w:pPr>
        <w:spacing w:after="0" w:line="130" w:lineRule="exact"/>
        <w:rPr>
          <w:rFonts w:ascii="Times New Roman" w:cs="Times New Roman" w:eastAsia="Times New Roman" w:hAnsi="Times New Roman"/>
          <w:sz w:val="18"/>
          <w:szCs w:val="18"/>
          <w:color w:val="auto"/>
        </w:rPr>
      </w:pPr>
    </w:p>
    <w:p>
      <w:pPr>
        <w:ind w:left="1220" w:right="600" w:hanging="307"/>
        <w:spacing w:after="0" w:line="282" w:lineRule="auto"/>
        <w:tabs>
          <w:tab w:leader="none" w:pos="1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source investments, access financing or manage future growth effectively, we may be unable to achieve our investment objective;</w:t>
      </w:r>
    </w:p>
    <w:p>
      <w:pPr>
        <w:spacing w:after="0" w:line="67" w:lineRule="exact"/>
        <w:rPr>
          <w:rFonts w:ascii="Times New Roman" w:cs="Times New Roman" w:eastAsia="Times New Roman" w:hAnsi="Times New Roman"/>
          <w:sz w:val="18"/>
          <w:szCs w:val="18"/>
          <w:color w:val="auto"/>
        </w:rPr>
      </w:pPr>
    </w:p>
    <w:p>
      <w:pPr>
        <w:ind w:left="1220" w:right="60" w:hanging="307"/>
        <w:spacing w:after="0" w:line="282" w:lineRule="auto"/>
        <w:tabs>
          <w:tab w:leader="none" w:pos="1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in the event the value of your investment declines, the Management Fee and, in certain circumstances, the Incentive Fee will still be payable to the Adviser;</w:t>
      </w:r>
    </w:p>
    <w:p>
      <w:pPr>
        <w:spacing w:after="0" w:line="67" w:lineRule="exact"/>
        <w:rPr>
          <w:rFonts w:ascii="Times New Roman" w:cs="Times New Roman" w:eastAsia="Times New Roman" w:hAnsi="Times New Roman"/>
          <w:sz w:val="18"/>
          <w:szCs w:val="18"/>
          <w:color w:val="auto"/>
        </w:rPr>
      </w:pPr>
    </w:p>
    <w:p>
      <w:pPr>
        <w:ind w:left="1220" w:right="220" w:hanging="307"/>
        <w:spacing w:after="0" w:line="282" w:lineRule="auto"/>
        <w:tabs>
          <w:tab w:leader="none" w:pos="1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67" w:lineRule="exact"/>
        <w:rPr>
          <w:rFonts w:ascii="Times New Roman" w:cs="Times New Roman" w:eastAsia="Times New Roman" w:hAnsi="Times New Roman"/>
          <w:sz w:val="18"/>
          <w:szCs w:val="18"/>
          <w:color w:val="auto"/>
        </w:rPr>
      </w:pPr>
    </w:p>
    <w:p>
      <w:pPr>
        <w:ind w:left="1220" w:right="80" w:hanging="307"/>
        <w:spacing w:after="0" w:line="282" w:lineRule="auto"/>
        <w:tabs>
          <w:tab w:leader="none" w:pos="1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67" w:lineRule="exact"/>
        <w:rPr>
          <w:rFonts w:ascii="Times New Roman" w:cs="Times New Roman" w:eastAsia="Times New Roman" w:hAnsi="Times New Roman"/>
          <w:sz w:val="18"/>
          <w:szCs w:val="18"/>
          <w:color w:val="auto"/>
        </w:rPr>
      </w:pPr>
    </w:p>
    <w:p>
      <w:pPr>
        <w:ind w:left="1220" w:hanging="307"/>
        <w:spacing w:after="0"/>
        <w:tabs>
          <w:tab w:leader="none" w:pos="1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and its affiliates, officers and employees may face certain conflicts of interest;</w:t>
      </w:r>
    </w:p>
    <w:p>
      <w:pPr>
        <w:spacing w:after="0" w:line="130" w:lineRule="exact"/>
        <w:rPr>
          <w:rFonts w:ascii="Times New Roman" w:cs="Times New Roman" w:eastAsia="Times New Roman" w:hAnsi="Times New Roman"/>
          <w:sz w:val="18"/>
          <w:szCs w:val="18"/>
          <w:color w:val="auto"/>
        </w:rPr>
      </w:pPr>
    </w:p>
    <w:p>
      <w:pPr>
        <w:ind w:left="1220" w:right="320" w:hanging="307"/>
        <w:spacing w:after="0" w:line="266" w:lineRule="auto"/>
        <w:tabs>
          <w:tab w:leader="none" w:pos="1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can resign on 60 days’ notice and we may not be able to find a suitable replacement within that time, resulting in a disruption in our operations and a loss of the benefits from our relationship with TSSP and TPG, and any new investment advisory agreement would require stockholder approval;</w:t>
      </w:r>
    </w:p>
    <w:p>
      <w:pPr>
        <w:spacing w:after="0" w:line="81" w:lineRule="exact"/>
        <w:rPr>
          <w:rFonts w:ascii="Times New Roman" w:cs="Times New Roman" w:eastAsia="Times New Roman" w:hAnsi="Times New Roman"/>
          <w:sz w:val="18"/>
          <w:szCs w:val="18"/>
          <w:color w:val="auto"/>
        </w:rPr>
      </w:pPr>
    </w:p>
    <w:p>
      <w:pPr>
        <w:ind w:left="1220" w:hanging="307"/>
        <w:spacing w:after="0"/>
        <w:tabs>
          <w:tab w:leader="none" w:pos="1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maintain our status as a BDC would reduce our operating flexibility;</w:t>
      </w:r>
    </w:p>
    <w:p>
      <w:pPr>
        <w:spacing w:after="0" w:line="130" w:lineRule="exact"/>
        <w:rPr>
          <w:rFonts w:ascii="Times New Roman" w:cs="Times New Roman" w:eastAsia="Times New Roman" w:hAnsi="Times New Roman"/>
          <w:sz w:val="18"/>
          <w:szCs w:val="18"/>
          <w:color w:val="auto"/>
        </w:rPr>
      </w:pPr>
    </w:p>
    <w:p>
      <w:pPr>
        <w:ind w:left="1220" w:hanging="307"/>
        <w:spacing w:after="0"/>
        <w:tabs>
          <w:tab w:leader="none" w:pos="1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significant costs as a result of being a publicly traded company;</w:t>
      </w:r>
    </w:p>
    <w:p>
      <w:pPr>
        <w:spacing w:after="0" w:line="130" w:lineRule="exact"/>
        <w:rPr>
          <w:rFonts w:ascii="Times New Roman" w:cs="Times New Roman" w:eastAsia="Times New Roman" w:hAnsi="Times New Roman"/>
          <w:sz w:val="18"/>
          <w:szCs w:val="18"/>
          <w:color w:val="auto"/>
        </w:rPr>
      </w:pPr>
    </w:p>
    <w:p>
      <w:pPr>
        <w:ind w:left="1220" w:right="160" w:hanging="307"/>
        <w:spacing w:after="0" w:line="266" w:lineRule="auto"/>
        <w:tabs>
          <w:tab w:leader="none" w:pos="1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cyber incidents may adversely affect our business by causing a disruption to our operations, a compromise or corruption of our confidential information and/or damage to our business relationships, all of which could negatively impact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240" w:top="455" w:right="71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640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2145" cy="64014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right="340" w:hanging="307"/>
        <w:spacing w:after="0" w:line="282" w:lineRule="auto"/>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information systems and systems failures could significantly disrupt our business, which may, in turn, negatively affect the market price of our common stock and our ability to pay dividends;</w:t>
      </w:r>
    </w:p>
    <w:p>
      <w:pPr>
        <w:spacing w:after="0" w:line="67" w:lineRule="exact"/>
        <w:rPr>
          <w:rFonts w:ascii="Times New Roman" w:cs="Times New Roman" w:eastAsia="Times New Roman" w:hAnsi="Times New Roman"/>
          <w:sz w:val="18"/>
          <w:szCs w:val="18"/>
          <w:color w:val="auto"/>
        </w:rPr>
      </w:pPr>
    </w:p>
    <w:p>
      <w:pPr>
        <w:ind w:left="1220" w:hanging="307"/>
        <w:spacing w:after="0"/>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may change our investment objective, operating policies and strategies without prior notice or stockholder approval;</w:t>
      </w:r>
    </w:p>
    <w:p>
      <w:pPr>
        <w:spacing w:after="0" w:line="130" w:lineRule="exact"/>
        <w:rPr>
          <w:rFonts w:ascii="Times New Roman" w:cs="Times New Roman" w:eastAsia="Times New Roman" w:hAnsi="Times New Roman"/>
          <w:sz w:val="18"/>
          <w:szCs w:val="18"/>
          <w:color w:val="auto"/>
        </w:rPr>
      </w:pPr>
    </w:p>
    <w:p>
      <w:pPr>
        <w:ind w:left="1220" w:hanging="307"/>
        <w:spacing w:after="0"/>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governing our operations may adversely affect our business;</w:t>
      </w:r>
    </w:p>
    <w:p>
      <w:pPr>
        <w:spacing w:after="0" w:line="130" w:lineRule="exact"/>
        <w:rPr>
          <w:rFonts w:ascii="Times New Roman" w:cs="Times New Roman" w:eastAsia="Times New Roman" w:hAnsi="Times New Roman"/>
          <w:sz w:val="18"/>
          <w:szCs w:val="18"/>
          <w:color w:val="auto"/>
        </w:rPr>
      </w:pPr>
    </w:p>
    <w:p>
      <w:pPr>
        <w:ind w:left="1220" w:hanging="307"/>
        <w:spacing w:after="0"/>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recessions or downturns could impair our portfolio companies and harm our operating results;</w:t>
      </w:r>
    </w:p>
    <w:p>
      <w:pPr>
        <w:spacing w:after="0" w:line="130" w:lineRule="exact"/>
        <w:rPr>
          <w:rFonts w:ascii="Times New Roman" w:cs="Times New Roman" w:eastAsia="Times New Roman" w:hAnsi="Times New Roman"/>
          <w:sz w:val="18"/>
          <w:szCs w:val="18"/>
          <w:color w:val="auto"/>
        </w:rPr>
      </w:pPr>
    </w:p>
    <w:p>
      <w:pPr>
        <w:ind w:left="1220" w:hanging="307"/>
        <w:spacing w:after="0"/>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are very risky and highly speculative;</w:t>
      </w:r>
    </w:p>
    <w:p>
      <w:pPr>
        <w:spacing w:after="0" w:line="130" w:lineRule="exact"/>
        <w:rPr>
          <w:rFonts w:ascii="Times New Roman" w:cs="Times New Roman" w:eastAsia="Times New Roman" w:hAnsi="Times New Roman"/>
          <w:sz w:val="18"/>
          <w:szCs w:val="18"/>
          <w:color w:val="auto"/>
        </w:rPr>
      </w:pPr>
    </w:p>
    <w:p>
      <w:pPr>
        <w:ind w:left="1220" w:right="60" w:hanging="307"/>
        <w:spacing w:after="0" w:line="266" w:lineRule="auto"/>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81" w:lineRule="exact"/>
        <w:rPr>
          <w:rFonts w:ascii="Times New Roman" w:cs="Times New Roman" w:eastAsia="Times New Roman" w:hAnsi="Times New Roman"/>
          <w:sz w:val="18"/>
          <w:szCs w:val="18"/>
          <w:color w:val="auto"/>
        </w:rPr>
      </w:pPr>
    </w:p>
    <w:p>
      <w:pPr>
        <w:ind w:left="1220" w:hanging="307"/>
        <w:spacing w:after="0"/>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liquidity in our investments may adversely affect our business;</w:t>
      </w:r>
    </w:p>
    <w:p>
      <w:pPr>
        <w:spacing w:after="0" w:line="130" w:lineRule="exact"/>
        <w:rPr>
          <w:rFonts w:ascii="Times New Roman" w:cs="Times New Roman" w:eastAsia="Times New Roman" w:hAnsi="Times New Roman"/>
          <w:sz w:val="18"/>
          <w:szCs w:val="18"/>
          <w:color w:val="auto"/>
        </w:rPr>
      </w:pPr>
    </w:p>
    <w:p>
      <w:pPr>
        <w:ind w:left="1220" w:right="40" w:hanging="307"/>
        <w:spacing w:after="0" w:line="266" w:lineRule="auto"/>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81" w:lineRule="exact"/>
        <w:rPr>
          <w:rFonts w:ascii="Times New Roman" w:cs="Times New Roman" w:eastAsia="Times New Roman" w:hAnsi="Times New Roman"/>
          <w:sz w:val="18"/>
          <w:szCs w:val="18"/>
          <w:color w:val="auto"/>
        </w:rPr>
      </w:pPr>
    </w:p>
    <w:p>
      <w:pPr>
        <w:ind w:left="1220" w:hanging="307"/>
        <w:spacing w:after="0"/>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associated with changes in interest rates;</w:t>
      </w:r>
    </w:p>
    <w:p>
      <w:pPr>
        <w:spacing w:after="0" w:line="130" w:lineRule="exact"/>
        <w:rPr>
          <w:rFonts w:ascii="Times New Roman" w:cs="Times New Roman" w:eastAsia="Times New Roman" w:hAnsi="Times New Roman"/>
          <w:sz w:val="18"/>
          <w:szCs w:val="18"/>
          <w:color w:val="auto"/>
        </w:rPr>
      </w:pPr>
    </w:p>
    <w:p>
      <w:pPr>
        <w:ind w:left="1220" w:right="120" w:hanging="307"/>
        <w:spacing w:after="0" w:line="282" w:lineRule="auto"/>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originating loans to companies that are experiencing significant financial or business difficulties, we may be exposed to distressed lending risks;</w:t>
      </w:r>
    </w:p>
    <w:p>
      <w:pPr>
        <w:spacing w:after="0" w:line="67" w:lineRule="exact"/>
        <w:rPr>
          <w:rFonts w:ascii="Times New Roman" w:cs="Times New Roman" w:eastAsia="Times New Roman" w:hAnsi="Times New Roman"/>
          <w:sz w:val="18"/>
          <w:szCs w:val="18"/>
          <w:color w:val="auto"/>
        </w:rPr>
      </w:pPr>
    </w:p>
    <w:p>
      <w:pPr>
        <w:ind w:left="1220" w:right="60" w:hanging="307"/>
        <w:spacing w:after="0" w:line="282" w:lineRule="auto"/>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companies in some cases may incur debt or issue equity securities that rank equally with, or senior to, our investments in those companies;</w:t>
      </w:r>
    </w:p>
    <w:p>
      <w:pPr>
        <w:spacing w:after="0" w:line="67" w:lineRule="exact"/>
        <w:rPr>
          <w:rFonts w:ascii="Times New Roman" w:cs="Times New Roman" w:eastAsia="Times New Roman" w:hAnsi="Times New Roman"/>
          <w:sz w:val="18"/>
          <w:szCs w:val="18"/>
          <w:color w:val="auto"/>
        </w:rPr>
      </w:pPr>
    </w:p>
    <w:p>
      <w:pPr>
        <w:ind w:left="1220" w:hanging="307"/>
        <w:spacing w:after="0"/>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transactions with our affiliates is restricted;</w:t>
      </w:r>
    </w:p>
    <w:p>
      <w:pPr>
        <w:spacing w:after="0" w:line="130" w:lineRule="exact"/>
        <w:rPr>
          <w:rFonts w:ascii="Times New Roman" w:cs="Times New Roman" w:eastAsia="Times New Roman" w:hAnsi="Times New Roman"/>
          <w:sz w:val="18"/>
          <w:szCs w:val="18"/>
          <w:color w:val="auto"/>
        </w:rPr>
      </w:pPr>
    </w:p>
    <w:p>
      <w:pPr>
        <w:ind w:left="1220" w:hanging="307"/>
        <w:spacing w:after="0"/>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or strategic investments that we pursue are subject to risks and uncertainties;</w:t>
      </w:r>
    </w:p>
    <w:p>
      <w:pPr>
        <w:spacing w:after="0" w:line="130" w:lineRule="exact"/>
        <w:rPr>
          <w:rFonts w:ascii="Times New Roman" w:cs="Times New Roman" w:eastAsia="Times New Roman" w:hAnsi="Times New Roman"/>
          <w:sz w:val="18"/>
          <w:szCs w:val="18"/>
          <w:color w:val="auto"/>
        </w:rPr>
      </w:pPr>
    </w:p>
    <w:p>
      <w:pPr>
        <w:ind w:left="1220" w:hanging="307"/>
        <w:spacing w:after="0"/>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in foreign companies may involve significant risks in addition to the risks inherent in U.S. investments;</w:t>
      </w:r>
    </w:p>
    <w:p>
      <w:pPr>
        <w:spacing w:after="0" w:line="130" w:lineRule="exact"/>
        <w:rPr>
          <w:rFonts w:ascii="Times New Roman" w:cs="Times New Roman" w:eastAsia="Times New Roman" w:hAnsi="Times New Roman"/>
          <w:sz w:val="18"/>
          <w:szCs w:val="18"/>
          <w:color w:val="auto"/>
        </w:rPr>
      </w:pPr>
    </w:p>
    <w:p>
      <w:pPr>
        <w:ind w:left="1220" w:hanging="307"/>
        <w:spacing w:after="0" w:line="261" w:lineRule="auto"/>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85" w:lineRule="exact"/>
        <w:rPr>
          <w:rFonts w:ascii="Times New Roman" w:cs="Times New Roman" w:eastAsia="Times New Roman" w:hAnsi="Times New Roman"/>
          <w:sz w:val="18"/>
          <w:szCs w:val="18"/>
          <w:color w:val="auto"/>
        </w:rPr>
      </w:pPr>
    </w:p>
    <w:p>
      <w:pPr>
        <w:ind w:left="1220" w:hanging="307"/>
        <w:spacing w:after="0"/>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risk that investors in our common stock may not receive dividends or that our dividends may not grow over time;</w:t>
      </w:r>
    </w:p>
    <w:p>
      <w:pPr>
        <w:spacing w:after="0" w:line="130" w:lineRule="exact"/>
        <w:rPr>
          <w:rFonts w:ascii="Times New Roman" w:cs="Times New Roman" w:eastAsia="Times New Roman" w:hAnsi="Times New Roman"/>
          <w:sz w:val="18"/>
          <w:szCs w:val="18"/>
          <w:color w:val="auto"/>
        </w:rPr>
      </w:pPr>
    </w:p>
    <w:p>
      <w:pPr>
        <w:ind w:left="1220" w:hanging="307"/>
        <w:spacing w:after="0"/>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fluctuate significantly; and</w:t>
      </w:r>
    </w:p>
    <w:p>
      <w:pPr>
        <w:spacing w:after="0" w:line="130" w:lineRule="exact"/>
        <w:rPr>
          <w:rFonts w:ascii="Times New Roman" w:cs="Times New Roman" w:eastAsia="Times New Roman" w:hAnsi="Times New Roman"/>
          <w:sz w:val="18"/>
          <w:szCs w:val="18"/>
          <w:color w:val="auto"/>
        </w:rPr>
      </w:pPr>
    </w:p>
    <w:p>
      <w:pPr>
        <w:ind w:left="1220" w:right="220" w:hanging="307"/>
        <w:spacing w:after="0" w:line="282" w:lineRule="auto"/>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 value per share of our common stock may be diluted if we sell or otherwise issue shares of our common stock at prices below the then-current net asset value per share of our common stock.</w:t>
      </w:r>
    </w:p>
    <w:p>
      <w:pPr>
        <w:spacing w:after="0" w:line="2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Our principal executive offices are located at 301 Commerce Street, Suite 3300, Fort Worth, TX 76102 and our telephone number is</w:t>
      </w:r>
    </w:p>
    <w:p>
      <w:pPr>
        <w:spacing w:after="0" w:line="27" w:lineRule="exact"/>
        <w:rPr>
          <w:sz w:val="20"/>
          <w:szCs w:val="20"/>
          <w:color w:val="auto"/>
        </w:rPr>
      </w:pPr>
    </w:p>
    <w:p>
      <w:pPr>
        <w:ind w:left="380" w:right="60" w:firstLine="6"/>
        <w:spacing w:after="0" w:line="261" w:lineRule="auto"/>
        <w:tabs>
          <w:tab w:leader="none" w:pos="8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871-4000. Our corporate website is located at http://www.tpgspecialtylending.com. Information on our website is not incorporated into or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240" w:top="455" w:right="7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5989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02145" cy="59899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ind w:left="380" w:right="200" w:firstLine="426"/>
        <w:spacing w:after="0" w:line="254" w:lineRule="auto"/>
        <w:rPr>
          <w:sz w:val="20"/>
          <w:szCs w:val="20"/>
          <w:color w:val="auto"/>
        </w:rPr>
      </w:pPr>
      <w:r>
        <w:rPr>
          <w:rFonts w:ascii="Times New Roman" w:cs="Times New Roman" w:eastAsia="Times New Roman" w:hAnsi="Times New Roman"/>
          <w:sz w:val="18"/>
          <w:szCs w:val="18"/>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 We will offer our securities at prices and on terms to be set forth in one or more supplements to this prospectus. The offering price per share of our common stock, less any underwriting commissions or discounts, generally will not be less than the net asset value per share of our common stock at the time of an offering. However, we may issue shares of our common stock pursuant to this prospectus at a price per share that is less than our net asset value per share (a) in connection with a rights offering to our existing stockholders, (b) with the prior approval of the majority of our outstanding voting securities or (c) under such other circumstances as the SEC may permit. Any such issuance of shares of our common stock at a price per share below the net asset value per share of our common stock may be dilutive to the net asset value of our common stock. See “Risk Factors—Risks Related to Offerings Pursuant to This Prospectus.”</w:t>
      </w:r>
    </w:p>
    <w:p>
      <w:pPr>
        <w:spacing w:after="0" w:line="189" w:lineRule="exact"/>
        <w:rPr>
          <w:sz w:val="20"/>
          <w:szCs w:val="20"/>
          <w:color w:val="auto"/>
        </w:rPr>
      </w:pPr>
    </w:p>
    <w:p>
      <w:pPr>
        <w:ind w:left="380" w:right="280" w:firstLine="426"/>
        <w:spacing w:after="0" w:line="256" w:lineRule="auto"/>
        <w:rPr>
          <w:sz w:val="20"/>
          <w:szCs w:val="20"/>
          <w:color w:val="auto"/>
        </w:rPr>
      </w:pPr>
      <w:r>
        <w:rPr>
          <w:rFonts w:ascii="Times New Roman" w:cs="Times New Roman" w:eastAsia="Times New Roman" w:hAnsi="Times New Roman"/>
          <w:sz w:val="18"/>
          <w:szCs w:val="18"/>
          <w:color w:val="auto"/>
        </w:rPr>
        <w:t>Pursuant to approval granted at a special meeting of stockholders held on May 18, 2017, we are currently permitted to sell or otherwise issue shares of our common stock at a price below our then-current net asset value per share, subject to the approval of our Board and certain other conditions. Such stockholder approval expires on May 18, 2018. On March 16, 2018, we filed a preliminary proxy statement for a special meeting of stockholders, currently expected to take place on May 17, 2018. The preliminary proxy statement sets forth a proposal to be voted upon at the special meeting that, if approved by stockholders, would have the effect of extending this approval to the one-year anniversary of the date of the special meeting.</w:t>
      </w:r>
    </w:p>
    <w:p>
      <w:pPr>
        <w:spacing w:after="0" w:line="188" w:lineRule="exact"/>
        <w:rPr>
          <w:sz w:val="20"/>
          <w:szCs w:val="20"/>
          <w:color w:val="auto"/>
        </w:rPr>
      </w:pPr>
    </w:p>
    <w:p>
      <w:pPr>
        <w:ind w:left="380" w:right="300" w:firstLine="426"/>
        <w:spacing w:after="0" w:line="256" w:lineRule="auto"/>
        <w:rPr>
          <w:sz w:val="20"/>
          <w:szCs w:val="20"/>
          <w:color w:val="auto"/>
        </w:rPr>
      </w:pPr>
      <w:r>
        <w:rPr>
          <w:rFonts w:ascii="Times New Roman" w:cs="Times New Roman" w:eastAsia="Times New Roman" w:hAnsi="Times New Roman"/>
          <w:sz w:val="18"/>
          <w:szCs w:val="18"/>
          <w:color w:val="auto"/>
        </w:rPr>
        <w:t>We may offer our securities directly to one or more purchasers, including existing stockholders in a rights offering by us, through agents that we designate from time to time or to or through underwriters or dealers. The prospectus supplement relating to each offering will identify any agents or underwriters involved in the sale of our securities, and will set forth any applicable purchase price, fee, commission or discount arrangement between us and the agents or underwriters or among the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our securities.</w:t>
      </w:r>
    </w:p>
    <w:p>
      <w:pPr>
        <w:spacing w:after="0" w:line="18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Set forth below is additional information regarding offerings of our securities: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80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Unless otherwise specified in a prospectus supplement, we intend to use the net proceeds</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from the sale of our securities for general corporate purposes, which may include, among</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other things, investing in portfolio companies in accordance with our investment objective</w:t>
            </w:r>
          </w:p>
        </w:tc>
      </w:tr>
      <w:tr>
        <w:trPr>
          <w:trHeight w:val="234"/>
        </w:trPr>
        <w:tc>
          <w:tcPr>
            <w:tcW w:w="3020" w:type="dxa"/>
            <w:vAlign w:val="bottom"/>
          </w:tcPr>
          <w:p>
            <w:pPr>
              <w:spacing w:after="0"/>
              <w:rPr>
                <w:sz w:val="20"/>
                <w:szCs w:val="20"/>
                <w:color w:val="auto"/>
              </w:rPr>
            </w:pPr>
          </w:p>
        </w:tc>
        <w:tc>
          <w:tcPr>
            <w:tcW w:w="80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and repaying indebtedness (which will be subject to reborrowing).</w:t>
            </w:r>
          </w:p>
        </w:tc>
      </w:tr>
      <w:tr>
        <w:trPr>
          <w:trHeight w:val="441"/>
        </w:trPr>
        <w:tc>
          <w:tcPr>
            <w:tcW w:w="3020" w:type="dxa"/>
            <w:vAlign w:val="bottom"/>
          </w:tcPr>
          <w:p>
            <w:pPr>
              <w:spacing w:after="0"/>
              <w:rPr>
                <w:sz w:val="24"/>
                <w:szCs w:val="24"/>
                <w:color w:val="auto"/>
              </w:rPr>
            </w:pPr>
          </w:p>
        </w:tc>
        <w:tc>
          <w:tcPr>
            <w:tcW w:w="80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Each supplement to this prospectus relating to an offering will more fully identify the use</w:t>
            </w:r>
          </w:p>
        </w:tc>
      </w:tr>
      <w:tr>
        <w:trPr>
          <w:trHeight w:val="234"/>
        </w:trPr>
        <w:tc>
          <w:tcPr>
            <w:tcW w:w="3020" w:type="dxa"/>
            <w:vAlign w:val="bottom"/>
          </w:tcPr>
          <w:p>
            <w:pPr>
              <w:spacing w:after="0"/>
              <w:rPr>
                <w:sz w:val="20"/>
                <w:szCs w:val="20"/>
                <w:color w:val="auto"/>
              </w:rPr>
            </w:pPr>
          </w:p>
        </w:tc>
        <w:tc>
          <w:tcPr>
            <w:tcW w:w="80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of the proceeds from such offering. See “Use of Proceeds.”</w:t>
            </w:r>
          </w:p>
        </w:tc>
      </w:tr>
      <w:tr>
        <w:trPr>
          <w:trHeight w:val="459"/>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Symbol on the NYSE</w:t>
            </w:r>
          </w:p>
        </w:tc>
        <w:tc>
          <w:tcPr>
            <w:tcW w:w="80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“TSLX”</w:t>
            </w:r>
          </w:p>
        </w:tc>
      </w:tr>
      <w:tr>
        <w:trPr>
          <w:trHeight w:val="454"/>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Distributions</w:t>
            </w:r>
          </w:p>
        </w:tc>
        <w:tc>
          <w:tcPr>
            <w:tcW w:w="80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To the extent we have earnings available for distribution, we expect to continue distributing</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quarterly dividends to our stockholders. The specific tax characteristics of our distributions</w:t>
            </w:r>
          </w:p>
        </w:tc>
      </w:tr>
      <w:tr>
        <w:trPr>
          <w:trHeight w:val="234"/>
        </w:trPr>
        <w:tc>
          <w:tcPr>
            <w:tcW w:w="3020" w:type="dxa"/>
            <w:vAlign w:val="bottom"/>
          </w:tcPr>
          <w:p>
            <w:pPr>
              <w:spacing w:after="0"/>
              <w:rPr>
                <w:sz w:val="20"/>
                <w:szCs w:val="20"/>
                <w:color w:val="auto"/>
              </w:rPr>
            </w:pPr>
          </w:p>
        </w:tc>
        <w:tc>
          <w:tcPr>
            <w:tcW w:w="80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will be reported to stockholders after the end of the calendar year. Future quarterly</w:t>
            </w:r>
          </w:p>
        </w:tc>
      </w:tr>
      <w:tr>
        <w:trPr>
          <w:trHeight w:val="240"/>
        </w:trPr>
        <w:tc>
          <w:tcPr>
            <w:tcW w:w="3020" w:type="dxa"/>
            <w:vAlign w:val="bottom"/>
            <w:tcBorders>
              <w:bottom w:val="single" w:sz="8" w:color="auto"/>
            </w:tcBorders>
          </w:tcPr>
          <w:p>
            <w:pPr>
              <w:spacing w:after="0"/>
              <w:rPr>
                <w:sz w:val="20"/>
                <w:szCs w:val="20"/>
                <w:color w:val="auto"/>
              </w:rPr>
            </w:pPr>
          </w:p>
        </w:tc>
        <w:tc>
          <w:tcPr>
            <w:tcW w:w="8020" w:type="dxa"/>
            <w:vAlign w:val="bottom"/>
            <w:tcBorders>
              <w:bottom w:val="single" w:sz="8" w:color="auto"/>
            </w:tcBorders>
          </w:tcPr>
          <w:p>
            <w:pPr>
              <w:spacing w:after="0"/>
              <w:rPr>
                <w:sz w:val="20"/>
                <w:szCs w:val="20"/>
                <w:color w:val="auto"/>
              </w:rPr>
            </w:pPr>
          </w:p>
        </w:tc>
      </w:tr>
      <w:tr>
        <w:trPr>
          <w:trHeight w:val="604"/>
        </w:trPr>
        <w:tc>
          <w:tcPr>
            <w:tcW w:w="3020" w:type="dxa"/>
            <w:vAlign w:val="bottom"/>
          </w:tcPr>
          <w:p>
            <w:pPr>
              <w:spacing w:after="0"/>
              <w:rPr>
                <w:sz w:val="24"/>
                <w:szCs w:val="24"/>
                <w:color w:val="auto"/>
              </w:rPr>
            </w:pPr>
          </w:p>
        </w:tc>
        <w:tc>
          <w:tcPr>
            <w:tcW w:w="802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11</w:t>
            </w:r>
          </w:p>
        </w:tc>
      </w:tr>
    </w:tbl>
    <w:p>
      <w:pPr>
        <w:sectPr>
          <w:pgSz w:w="11900" w:h="16838" w:orient="portrait"/>
          <w:cols w:equalWidth="0" w:num="1">
            <w:col w:w="11240"/>
          </w:cols>
          <w:pgMar w:left="240" w:top="455" w:right="41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61188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02145" cy="61188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76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dividends, if any, will be determined by our Board. See “Price Range of Common Stock</w:t>
            </w:r>
          </w:p>
        </w:tc>
      </w:tr>
      <w:tr>
        <w:trPr>
          <w:trHeight w:val="234"/>
        </w:trPr>
        <w:tc>
          <w:tcPr>
            <w:tcW w:w="3000" w:type="dxa"/>
            <w:vAlign w:val="bottom"/>
          </w:tcPr>
          <w:p>
            <w:pPr>
              <w:spacing w:after="0"/>
              <w:rPr>
                <w:sz w:val="20"/>
                <w:szCs w:val="20"/>
                <w:color w:val="auto"/>
              </w:rPr>
            </w:pPr>
          </w:p>
        </w:tc>
        <w:tc>
          <w:tcPr>
            <w:tcW w:w="76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and Distributions.”</w:t>
            </w:r>
          </w:p>
        </w:tc>
      </w:tr>
      <w:tr>
        <w:trPr>
          <w:trHeight w:val="454"/>
        </w:trPr>
        <w:tc>
          <w:tcPr>
            <w:tcW w:w="3000" w:type="dxa"/>
            <w:vAlign w:val="bottom"/>
          </w:tcPr>
          <w:p>
            <w:pPr>
              <w:spacing w:after="0"/>
              <w:rPr>
                <w:sz w:val="24"/>
                <w:szCs w:val="24"/>
                <w:color w:val="auto"/>
              </w:rPr>
            </w:pPr>
          </w:p>
        </w:tc>
        <w:tc>
          <w:tcPr>
            <w:tcW w:w="76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To maintain our tax treatment as a RIC, we must make certain distributions. See “Material</w:t>
            </w:r>
          </w:p>
        </w:tc>
      </w:tr>
      <w:tr>
        <w:trPr>
          <w:trHeight w:val="234"/>
        </w:trPr>
        <w:tc>
          <w:tcPr>
            <w:tcW w:w="3000" w:type="dxa"/>
            <w:vAlign w:val="bottom"/>
          </w:tcPr>
          <w:p>
            <w:pPr>
              <w:spacing w:after="0"/>
              <w:rPr>
                <w:sz w:val="20"/>
                <w:szCs w:val="20"/>
                <w:color w:val="auto"/>
              </w:rPr>
            </w:pPr>
          </w:p>
        </w:tc>
        <w:tc>
          <w:tcPr>
            <w:tcW w:w="76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w w:val="99"/>
              </w:rPr>
              <w:t>U.S. Federal Income Tax Considerations—Regulated Investment Company Classification.”</w:t>
            </w:r>
          </w:p>
        </w:tc>
      </w:tr>
      <w:tr>
        <w:trPr>
          <w:trHeight w:val="441"/>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tc>
        <w:tc>
          <w:tcPr>
            <w:tcW w:w="76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w w:val="99"/>
              </w:rPr>
              <w:t>Our Board is divided into three classes of directors serving staggered three-year terms. This</w:t>
            </w:r>
          </w:p>
        </w:tc>
      </w:tr>
      <w:tr>
        <w:trPr>
          <w:trHeight w:val="216"/>
        </w:trPr>
        <w:tc>
          <w:tcPr>
            <w:tcW w:w="3000" w:type="dxa"/>
            <w:vAlign w:val="bottom"/>
          </w:tcPr>
          <w:p>
            <w:pPr>
              <w:spacing w:after="0"/>
              <w:rPr>
                <w:sz w:val="18"/>
                <w:szCs w:val="18"/>
                <w:color w:val="auto"/>
              </w:rPr>
            </w:pPr>
          </w:p>
        </w:tc>
        <w:tc>
          <w:tcPr>
            <w:tcW w:w="76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structure is intended to provide us with a greater likelihood of continuity of management,</w:t>
            </w:r>
          </w:p>
        </w:tc>
      </w:tr>
      <w:tr>
        <w:trPr>
          <w:trHeight w:val="216"/>
        </w:trPr>
        <w:tc>
          <w:tcPr>
            <w:tcW w:w="3000" w:type="dxa"/>
            <w:vAlign w:val="bottom"/>
          </w:tcPr>
          <w:p>
            <w:pPr>
              <w:spacing w:after="0"/>
              <w:rPr>
                <w:sz w:val="18"/>
                <w:szCs w:val="18"/>
                <w:color w:val="auto"/>
              </w:rPr>
            </w:pPr>
          </w:p>
        </w:tc>
        <w:tc>
          <w:tcPr>
            <w:tcW w:w="76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which may be necessary for us to realize the full value of our investments. A staggered</w:t>
            </w:r>
          </w:p>
        </w:tc>
      </w:tr>
      <w:tr>
        <w:trPr>
          <w:trHeight w:val="216"/>
        </w:trPr>
        <w:tc>
          <w:tcPr>
            <w:tcW w:w="3000" w:type="dxa"/>
            <w:vAlign w:val="bottom"/>
          </w:tcPr>
          <w:p>
            <w:pPr>
              <w:spacing w:after="0"/>
              <w:rPr>
                <w:sz w:val="18"/>
                <w:szCs w:val="18"/>
                <w:color w:val="auto"/>
              </w:rPr>
            </w:pPr>
          </w:p>
        </w:tc>
        <w:tc>
          <w:tcPr>
            <w:tcW w:w="76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board of directors also may serve to deter hostile takeovers or proxy contests, as may</w:t>
            </w:r>
          </w:p>
        </w:tc>
      </w:tr>
      <w:tr>
        <w:trPr>
          <w:trHeight w:val="216"/>
        </w:trPr>
        <w:tc>
          <w:tcPr>
            <w:tcW w:w="3000" w:type="dxa"/>
            <w:vAlign w:val="bottom"/>
          </w:tcPr>
          <w:p>
            <w:pPr>
              <w:spacing w:after="0"/>
              <w:rPr>
                <w:sz w:val="18"/>
                <w:szCs w:val="18"/>
                <w:color w:val="auto"/>
              </w:rPr>
            </w:pPr>
          </w:p>
        </w:tc>
        <w:tc>
          <w:tcPr>
            <w:tcW w:w="76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certain other measures adopted by us. See “Description of Our Capital</w:t>
            </w:r>
          </w:p>
        </w:tc>
      </w:tr>
      <w:tr>
        <w:trPr>
          <w:trHeight w:val="234"/>
        </w:trPr>
        <w:tc>
          <w:tcPr>
            <w:tcW w:w="3000" w:type="dxa"/>
            <w:vAlign w:val="bottom"/>
          </w:tcPr>
          <w:p>
            <w:pPr>
              <w:spacing w:after="0"/>
              <w:rPr>
                <w:sz w:val="20"/>
                <w:szCs w:val="20"/>
                <w:color w:val="auto"/>
              </w:rPr>
            </w:pPr>
          </w:p>
        </w:tc>
        <w:tc>
          <w:tcPr>
            <w:tcW w:w="76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Stock—Anti-Takeover Provisions.”</w:t>
            </w:r>
          </w:p>
        </w:tc>
      </w:tr>
      <w:tr>
        <w:trPr>
          <w:trHeight w:val="441"/>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Taxation</w:t>
            </w:r>
          </w:p>
        </w:tc>
        <w:tc>
          <w:tcPr>
            <w:tcW w:w="76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We have elected to be treated as a RIC for U.S. federal income tax purposes. Our status as</w:t>
            </w:r>
          </w:p>
        </w:tc>
      </w:tr>
      <w:tr>
        <w:trPr>
          <w:trHeight w:val="216"/>
        </w:trPr>
        <w:tc>
          <w:tcPr>
            <w:tcW w:w="3000" w:type="dxa"/>
            <w:vAlign w:val="bottom"/>
          </w:tcPr>
          <w:p>
            <w:pPr>
              <w:spacing w:after="0"/>
              <w:rPr>
                <w:sz w:val="18"/>
                <w:szCs w:val="18"/>
                <w:color w:val="auto"/>
              </w:rPr>
            </w:pPr>
          </w:p>
        </w:tc>
        <w:tc>
          <w:tcPr>
            <w:tcW w:w="76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a RIC will enable us to deduct qualifying distributions to our stockholders, so that we will</w:t>
            </w:r>
          </w:p>
        </w:tc>
      </w:tr>
      <w:tr>
        <w:trPr>
          <w:trHeight w:val="216"/>
        </w:trPr>
        <w:tc>
          <w:tcPr>
            <w:tcW w:w="3000" w:type="dxa"/>
            <w:vAlign w:val="bottom"/>
          </w:tcPr>
          <w:p>
            <w:pPr>
              <w:spacing w:after="0"/>
              <w:rPr>
                <w:sz w:val="18"/>
                <w:szCs w:val="18"/>
                <w:color w:val="auto"/>
              </w:rPr>
            </w:pPr>
          </w:p>
        </w:tc>
        <w:tc>
          <w:tcPr>
            <w:tcW w:w="76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be subject to corporate-level U.S. federal income taxation only in respect of earnings that</w:t>
            </w:r>
          </w:p>
        </w:tc>
      </w:tr>
      <w:tr>
        <w:trPr>
          <w:trHeight w:val="234"/>
        </w:trPr>
        <w:tc>
          <w:tcPr>
            <w:tcW w:w="3000" w:type="dxa"/>
            <w:vAlign w:val="bottom"/>
          </w:tcPr>
          <w:p>
            <w:pPr>
              <w:spacing w:after="0"/>
              <w:rPr>
                <w:sz w:val="20"/>
                <w:szCs w:val="20"/>
                <w:color w:val="auto"/>
              </w:rPr>
            </w:pPr>
          </w:p>
        </w:tc>
        <w:tc>
          <w:tcPr>
            <w:tcW w:w="76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we retain and do not distribute.</w:t>
            </w:r>
          </w:p>
        </w:tc>
      </w:tr>
      <w:tr>
        <w:trPr>
          <w:trHeight w:val="441"/>
        </w:trPr>
        <w:tc>
          <w:tcPr>
            <w:tcW w:w="3000" w:type="dxa"/>
            <w:vAlign w:val="bottom"/>
          </w:tcPr>
          <w:p>
            <w:pPr>
              <w:spacing w:after="0"/>
              <w:rPr>
                <w:sz w:val="24"/>
                <w:szCs w:val="24"/>
                <w:color w:val="auto"/>
              </w:rPr>
            </w:pPr>
          </w:p>
        </w:tc>
        <w:tc>
          <w:tcPr>
            <w:tcW w:w="76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To maintain our status as a RIC and to avoid being subject to corporate-level U.S. federal</w:t>
            </w:r>
          </w:p>
        </w:tc>
      </w:tr>
      <w:tr>
        <w:trPr>
          <w:trHeight w:val="234"/>
        </w:trPr>
        <w:tc>
          <w:tcPr>
            <w:tcW w:w="3000" w:type="dxa"/>
            <w:vAlign w:val="bottom"/>
          </w:tcPr>
          <w:p>
            <w:pPr>
              <w:spacing w:after="0"/>
              <w:rPr>
                <w:sz w:val="20"/>
                <w:szCs w:val="20"/>
                <w:color w:val="auto"/>
              </w:rPr>
            </w:pPr>
          </w:p>
        </w:tc>
        <w:tc>
          <w:tcPr>
            <w:tcW w:w="76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income taxation on our earnings, we must, among other things:</w:t>
            </w:r>
          </w:p>
        </w:tc>
      </w:tr>
      <w:tr>
        <w:trPr>
          <w:trHeight w:val="338"/>
        </w:trPr>
        <w:tc>
          <w:tcPr>
            <w:tcW w:w="3000" w:type="dxa"/>
            <w:vAlign w:val="bottom"/>
          </w:tcPr>
          <w:p>
            <w:pPr>
              <w:spacing w:after="0"/>
              <w:rPr>
                <w:sz w:val="24"/>
                <w:szCs w:val="24"/>
                <w:color w:val="auto"/>
              </w:rPr>
            </w:pPr>
          </w:p>
        </w:tc>
        <w:tc>
          <w:tcPr>
            <w:tcW w:w="11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maintain our election under the 1940 Act to be treated as a BDC;</w:t>
            </w:r>
          </w:p>
        </w:tc>
      </w:tr>
      <w:tr>
        <w:trPr>
          <w:trHeight w:val="319"/>
        </w:trPr>
        <w:tc>
          <w:tcPr>
            <w:tcW w:w="3000" w:type="dxa"/>
            <w:vAlign w:val="bottom"/>
          </w:tcPr>
          <w:p>
            <w:pPr>
              <w:spacing w:after="0"/>
              <w:rPr>
                <w:sz w:val="24"/>
                <w:szCs w:val="24"/>
                <w:color w:val="auto"/>
              </w:rPr>
            </w:pPr>
          </w:p>
        </w:tc>
        <w:tc>
          <w:tcPr>
            <w:tcW w:w="11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derive in each taxable year at least 90% of our gross income from dividends, interest,</w:t>
            </w:r>
          </w:p>
        </w:tc>
      </w:tr>
      <w:tr>
        <w:trPr>
          <w:trHeight w:val="216"/>
        </w:trPr>
        <w:tc>
          <w:tcPr>
            <w:tcW w:w="3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gains from the sale or other disposition of stock or securities and other specified</w:t>
            </w:r>
          </w:p>
        </w:tc>
      </w:tr>
      <w:tr>
        <w:trPr>
          <w:trHeight w:val="234"/>
        </w:trPr>
        <w:tc>
          <w:tcPr>
            <w:tcW w:w="3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categories of investment income; and</w:t>
            </w:r>
          </w:p>
        </w:tc>
      </w:tr>
      <w:tr>
        <w:trPr>
          <w:trHeight w:val="338"/>
        </w:trPr>
        <w:tc>
          <w:tcPr>
            <w:tcW w:w="3000" w:type="dxa"/>
            <w:vAlign w:val="bottom"/>
          </w:tcPr>
          <w:p>
            <w:pPr>
              <w:spacing w:after="0"/>
              <w:rPr>
                <w:sz w:val="24"/>
                <w:szCs w:val="24"/>
                <w:color w:val="auto"/>
              </w:rPr>
            </w:pPr>
          </w:p>
        </w:tc>
        <w:tc>
          <w:tcPr>
            <w:tcW w:w="11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maintain diversified holdings.</w:t>
            </w:r>
          </w:p>
        </w:tc>
      </w:tr>
    </w:tbl>
    <w:p>
      <w:pPr>
        <w:spacing w:after="0" w:line="225" w:lineRule="exact"/>
        <w:rPr>
          <w:sz w:val="20"/>
          <w:szCs w:val="20"/>
          <w:color w:val="auto"/>
        </w:rPr>
      </w:pPr>
    </w:p>
    <w:p>
      <w:pPr>
        <w:ind w:left="4420" w:right="40"/>
        <w:spacing w:after="0" w:line="266" w:lineRule="auto"/>
        <w:rPr>
          <w:sz w:val="20"/>
          <w:szCs w:val="20"/>
          <w:color w:val="auto"/>
        </w:rPr>
      </w:pPr>
      <w:r>
        <w:rPr>
          <w:rFonts w:ascii="Times New Roman" w:cs="Times New Roman" w:eastAsia="Times New Roman" w:hAnsi="Times New Roman"/>
          <w:sz w:val="18"/>
          <w:szCs w:val="18"/>
          <w:color w:val="auto"/>
        </w:rPr>
        <w:t>In addition, we must distribute (or be treated as distributing) in each taxable year dividends for tax purposes equal to at least 90% of our investment company taxable income and net tax-exempt income for that taxable year.</w:t>
      </w:r>
    </w:p>
    <w:p>
      <w:pPr>
        <w:spacing w:after="0" w:line="203" w:lineRule="exact"/>
        <w:rPr>
          <w:sz w:val="20"/>
          <w:szCs w:val="20"/>
          <w:color w:val="auto"/>
        </w:rPr>
      </w:pPr>
    </w:p>
    <w:p>
      <w:pPr>
        <w:ind w:left="4420" w:right="80"/>
        <w:spacing w:after="0" w:line="253" w:lineRule="auto"/>
        <w:rPr>
          <w:sz w:val="20"/>
          <w:szCs w:val="20"/>
          <w:color w:val="auto"/>
        </w:rPr>
      </w:pPr>
      <w:r>
        <w:rPr>
          <w:rFonts w:ascii="Times New Roman" w:cs="Times New Roman" w:eastAsia="Times New Roman" w:hAnsi="Times New Roman"/>
          <w:sz w:val="18"/>
          <w:szCs w:val="18"/>
          <w:color w:val="auto"/>
        </w:rPr>
        <w:t>As a RIC, we generally will not be subject to corporate-level U.S. federal income tax on our investment company taxable income and net capital gains that we distribute to stockholders. If we fail to distribute our investment company taxable income or net capital gains on a timely basis, we will be subject to a nondeductible 4% U.S. federal excise tax. We can be expected to carry forward investment company taxable income in excess of current year distributions into the next tax year and pay a 4% excise tax on such income. We elected to retain a portion of income and capital gains for the calendar years ended December 31, 2017 and 2016 and we recorded a net expense of $2.8 million and</w:t>
      </w:r>
    </w:p>
    <w:p>
      <w:pPr>
        <w:spacing w:after="0" w:line="1" w:lineRule="exact"/>
        <w:rPr>
          <w:sz w:val="20"/>
          <w:szCs w:val="20"/>
          <w:color w:val="auto"/>
        </w:rPr>
      </w:pPr>
    </w:p>
    <w:p>
      <w:pPr>
        <w:ind w:left="4420" w:right="700"/>
        <w:spacing w:after="0" w:line="261" w:lineRule="auto"/>
        <w:rPr>
          <w:sz w:val="20"/>
          <w:szCs w:val="20"/>
          <w:color w:val="auto"/>
        </w:rPr>
      </w:pPr>
      <w:r>
        <w:rPr>
          <w:rFonts w:ascii="Times New Roman" w:cs="Times New Roman" w:eastAsia="Times New Roman" w:hAnsi="Times New Roman"/>
          <w:sz w:val="18"/>
          <w:szCs w:val="18"/>
          <w:color w:val="auto"/>
        </w:rPr>
        <w:t>$2.2 million, respectively, for U.S. federal excise tax as a result. Any carryover of investment company taxable income 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240" w:top="455" w:right="6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210" w:type="dxa"/>
        <w:tblCellMar>
          <w:top w:w="0" w:type="dxa"/>
          <w:left w:w="0" w:type="dxa"/>
          <w:bottom w:w="0" w:type="dxa"/>
          <w:right w:w="0" w:type="dxa"/>
        </w:tblCellMar>
      </w:tblPr>
      <w:tr>
        <w:trPr>
          <w:trHeight w:val="390"/>
        </w:trPr>
        <w:tc>
          <w:tcPr>
            <w:tcW w:w="3300" w:type="dxa"/>
            <w:vAlign w:val="bottom"/>
            <w:tcBorders>
              <w:top w:val="single" w:sz="8" w:color="auto"/>
              <w:left w:val="single" w:sz="8" w:color="auto"/>
            </w:tcBorders>
          </w:tcPr>
          <w:p>
            <w:pPr>
              <w:spacing w:after="0"/>
              <w:rPr>
                <w:sz w:val="24"/>
                <w:szCs w:val="24"/>
                <w:color w:val="auto"/>
              </w:rPr>
            </w:pPr>
          </w:p>
        </w:tc>
        <w:tc>
          <w:tcPr>
            <w:tcW w:w="7740" w:type="dxa"/>
            <w:vAlign w:val="bottom"/>
            <w:tcBorders>
              <w:top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net capital gains must be timely declared and distributed as a dividend in the taxable year</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following the taxable year in which the income or gains were earned. See “Price Range of</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Common Stock and Distributions” and “Material U.S. Federal Income Tax</w:t>
            </w:r>
          </w:p>
        </w:tc>
      </w:tr>
      <w:tr>
        <w:trPr>
          <w:trHeight w:val="234"/>
        </w:trPr>
        <w:tc>
          <w:tcPr>
            <w:tcW w:w="330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Considerations.”</w:t>
            </w:r>
          </w:p>
        </w:tc>
      </w:tr>
      <w:tr>
        <w:trPr>
          <w:trHeight w:val="454"/>
        </w:trPr>
        <w:tc>
          <w:tcPr>
            <w:tcW w:w="33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Leverage</w:t>
            </w:r>
          </w:p>
        </w:tc>
        <w:tc>
          <w:tcPr>
            <w:tcW w:w="774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As a BDC, we are permitted under the 1940 Act to borrow funds or issue senior securities</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to finance a portion of our investments. As a result, we are exposed to the risks of leverage,</w:t>
            </w:r>
          </w:p>
        </w:tc>
      </w:tr>
      <w:tr>
        <w:trPr>
          <w:trHeight w:val="234"/>
        </w:trPr>
        <w:tc>
          <w:tcPr>
            <w:tcW w:w="330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which may be considered a speculative investment technique.</w:t>
            </w:r>
          </w:p>
        </w:tc>
      </w:tr>
      <w:tr>
        <w:trPr>
          <w:trHeight w:val="441"/>
        </w:trPr>
        <w:tc>
          <w:tcPr>
            <w:tcW w:w="330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Leverage increases the potential for gain and loss on amounts invested and, as a result,</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increases the risks associated with investing in our securities. With certain limited</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exceptions, we currently are only allowed to borrow amounts, including by issuing debt</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securities or preferred stock, where our asset coverage, as defined in the 1940 Act, equals</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at least 200% after the borrowing (or 150% if certain requirements are met). The costs</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associated with our borrowings, including any increase in the fees payable to the Adviser,</w:t>
            </w:r>
          </w:p>
        </w:tc>
      </w:tr>
      <w:tr>
        <w:trPr>
          <w:trHeight w:val="234"/>
        </w:trPr>
        <w:tc>
          <w:tcPr>
            <w:tcW w:w="330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are borne by our stockholders. See “Regulation.”</w:t>
            </w:r>
          </w:p>
        </w:tc>
      </w:tr>
      <w:tr>
        <w:trPr>
          <w:trHeight w:val="441"/>
        </w:trPr>
        <w:tc>
          <w:tcPr>
            <w:tcW w:w="33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tc>
        <w:tc>
          <w:tcPr>
            <w:tcW w:w="774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We have adopted a dividend reinvestment plan for our stockholders, which is an “opt out”</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dividend reinvestment plan. Under this plan, if we declare a cash dividend or other</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distribution, our stockholders who have not elected to “opt out” of our dividend</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reinvestment plan will have their cash distribution automatically reinvested in additional</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shares of our common stock, rather than receiving the cash distribution. If a stockholder</w:t>
            </w:r>
          </w:p>
        </w:tc>
      </w:tr>
      <w:tr>
        <w:trPr>
          <w:trHeight w:val="234"/>
        </w:trPr>
        <w:tc>
          <w:tcPr>
            <w:tcW w:w="330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elects to “opt out,” that stockholder will receive cash dividends or other distributions.</w:t>
            </w:r>
          </w:p>
        </w:tc>
      </w:tr>
      <w:tr>
        <w:trPr>
          <w:trHeight w:val="441"/>
        </w:trPr>
        <w:tc>
          <w:tcPr>
            <w:tcW w:w="330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Stockholders who receive dividends and other distributions in the form of shares of</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common stock generally are subject to the same U.S. federal tax consequences as</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stockholders who elect to receive their distributions in cash; however, since their cash</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dividends will be reinvested, those stockholders will not receive cash with which to pay</w:t>
            </w:r>
          </w:p>
        </w:tc>
      </w:tr>
      <w:tr>
        <w:trPr>
          <w:trHeight w:val="234"/>
        </w:trPr>
        <w:tc>
          <w:tcPr>
            <w:tcW w:w="330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any applicable taxes on reinvested dividends. See “Dividend Reinvestment Plan.”</w:t>
            </w:r>
          </w:p>
        </w:tc>
      </w:tr>
      <w:tr>
        <w:trPr>
          <w:trHeight w:val="441"/>
        </w:trPr>
        <w:tc>
          <w:tcPr>
            <w:tcW w:w="33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Management Arrangements</w:t>
            </w:r>
          </w:p>
        </w:tc>
        <w:tc>
          <w:tcPr>
            <w:tcW w:w="774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Our Adviser serves as our investment adviser and our administrator. For a description of</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our Adviser, TSSP and TPG and our contractual arrangements with these companies, see</w:t>
            </w:r>
          </w:p>
        </w:tc>
      </w:tr>
      <w:tr>
        <w:trPr>
          <w:trHeight w:val="234"/>
        </w:trPr>
        <w:tc>
          <w:tcPr>
            <w:tcW w:w="330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“Management and Other Agreements.”</w:t>
            </w:r>
          </w:p>
        </w:tc>
      </w:tr>
      <w:tr>
        <w:trPr>
          <w:trHeight w:val="441"/>
        </w:trPr>
        <w:tc>
          <w:tcPr>
            <w:tcW w:w="33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Trading at a Discount</w:t>
            </w:r>
          </w:p>
        </w:tc>
        <w:tc>
          <w:tcPr>
            <w:tcW w:w="774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Shares of closed-end investment companies, including BDCs, frequently trade at a discount</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to their net asset value. We are not generally able to issue and sell our common stock at a</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price below our net asset value per share except (a) in connection with a rights offering to</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our existing stockholders, (b) with the prior approval of the majority of our outstanding</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voting securities or (c) under such other circumstances as the SEC may permit. The risk</w:t>
            </w:r>
          </w:p>
        </w:tc>
      </w:tr>
      <w:tr>
        <w:trPr>
          <w:trHeight w:val="234"/>
        </w:trPr>
        <w:tc>
          <w:tcPr>
            <w:tcW w:w="330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that our shares</w:t>
            </w:r>
          </w:p>
        </w:tc>
      </w:tr>
      <w:tr>
        <w:trPr>
          <w:trHeight w:val="240"/>
        </w:trPr>
        <w:tc>
          <w:tcPr>
            <w:tcW w:w="3300" w:type="dxa"/>
            <w:vAlign w:val="bottom"/>
            <w:tcBorders>
              <w:left w:val="single" w:sz="8" w:color="auto"/>
              <w:bottom w:val="single" w:sz="8" w:color="auto"/>
            </w:tcBorders>
          </w:tcPr>
          <w:p>
            <w:pPr>
              <w:spacing w:after="0"/>
              <w:rPr>
                <w:sz w:val="20"/>
                <w:szCs w:val="20"/>
                <w:color w:val="auto"/>
              </w:rPr>
            </w:pPr>
          </w:p>
        </w:tc>
        <w:tc>
          <w:tcPr>
            <w:tcW w:w="7740" w:type="dxa"/>
            <w:vAlign w:val="bottom"/>
            <w:tcBorders>
              <w:bottom w:val="single" w:sz="8" w:color="auto"/>
              <w:right w:val="single" w:sz="8" w:color="auto"/>
            </w:tcBorders>
          </w:tcPr>
          <w:p>
            <w:pPr>
              <w:spacing w:after="0"/>
              <w:rPr>
                <w:sz w:val="20"/>
                <w:szCs w:val="20"/>
                <w:color w:val="auto"/>
              </w:rPr>
            </w:pPr>
          </w:p>
        </w:tc>
      </w:tr>
      <w:tr>
        <w:trPr>
          <w:trHeight w:val="604"/>
        </w:trPr>
        <w:tc>
          <w:tcPr>
            <w:tcW w:w="3300" w:type="dxa"/>
            <w:vAlign w:val="bottom"/>
          </w:tcPr>
          <w:p>
            <w:pPr>
              <w:spacing w:after="0"/>
              <w:rPr>
                <w:sz w:val="24"/>
                <w:szCs w:val="24"/>
                <w:color w:val="auto"/>
              </w:rPr>
            </w:pPr>
          </w:p>
        </w:tc>
        <w:tc>
          <w:tcPr>
            <w:tcW w:w="77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13</w:t>
            </w:r>
          </w:p>
        </w:tc>
      </w:tr>
    </w:tbl>
    <w:p>
      <w:pPr>
        <w:sectPr>
          <w:pgSz w:w="11900" w:h="16838" w:orient="portrait"/>
          <w:cols w:equalWidth="0" w:num="1">
            <w:col w:w="11240"/>
          </w:cols>
          <w:pgMar w:left="240" w:top="455" w:right="41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210" w:type="dxa"/>
        <w:tblCellMar>
          <w:top w:w="0" w:type="dxa"/>
          <w:left w:w="0" w:type="dxa"/>
          <w:bottom w:w="0" w:type="dxa"/>
          <w:right w:w="0" w:type="dxa"/>
        </w:tblCellMar>
      </w:tblPr>
      <w:tr>
        <w:trPr>
          <w:trHeight w:val="390"/>
        </w:trPr>
        <w:tc>
          <w:tcPr>
            <w:tcW w:w="3060" w:type="dxa"/>
            <w:vAlign w:val="bottom"/>
            <w:tcBorders>
              <w:top w:val="single" w:sz="8" w:color="auto"/>
              <w:left w:val="single" w:sz="8" w:color="auto"/>
            </w:tcBorders>
          </w:tcPr>
          <w:p>
            <w:pPr>
              <w:spacing w:after="0"/>
              <w:rPr>
                <w:sz w:val="24"/>
                <w:szCs w:val="24"/>
                <w:color w:val="auto"/>
              </w:rPr>
            </w:pPr>
          </w:p>
        </w:tc>
        <w:tc>
          <w:tcPr>
            <w:tcW w:w="7980" w:type="dxa"/>
            <w:vAlign w:val="bottom"/>
            <w:tcBorders>
              <w:top w:val="single" w:sz="8" w:color="auto"/>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may trade at a discount to our net asset value is separate and distinct from the risk that our</w:t>
            </w:r>
          </w:p>
        </w:tc>
      </w:tr>
      <w:tr>
        <w:trPr>
          <w:trHeight w:val="216"/>
        </w:trPr>
        <w:tc>
          <w:tcPr>
            <w:tcW w:w="306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net asset value per share may decline. We cannot predict whether our shares will trade at a</w:t>
            </w:r>
          </w:p>
        </w:tc>
      </w:tr>
      <w:tr>
        <w:trPr>
          <w:trHeight w:val="216"/>
        </w:trPr>
        <w:tc>
          <w:tcPr>
            <w:tcW w:w="306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price per share above, at or below net asset value per share. See “Risk Factors—Risks</w:t>
            </w:r>
          </w:p>
        </w:tc>
      </w:tr>
      <w:tr>
        <w:trPr>
          <w:trHeight w:val="234"/>
        </w:trPr>
        <w:tc>
          <w:tcPr>
            <w:tcW w:w="3060" w:type="dxa"/>
            <w:vAlign w:val="bottom"/>
            <w:tcBorders>
              <w:left w:val="single" w:sz="8" w:color="auto"/>
            </w:tcBorders>
          </w:tcPr>
          <w:p>
            <w:pPr>
              <w:spacing w:after="0"/>
              <w:rPr>
                <w:sz w:val="20"/>
                <w:szCs w:val="20"/>
                <w:color w:val="auto"/>
              </w:rPr>
            </w:pPr>
          </w:p>
        </w:tc>
        <w:tc>
          <w:tcPr>
            <w:tcW w:w="79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Related to Offerings Pursuant to This Prospectus.”</w:t>
            </w:r>
          </w:p>
        </w:tc>
      </w:tr>
      <w:tr>
        <w:trPr>
          <w:trHeight w:val="454"/>
        </w:trPr>
        <w:tc>
          <w:tcPr>
            <w:tcW w:w="3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Available Information</w:t>
            </w:r>
          </w:p>
        </w:tc>
        <w:tc>
          <w:tcPr>
            <w:tcW w:w="79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We have filed with the SEC a registration statement on Form N-2, of which this prospectus</w:t>
            </w:r>
          </w:p>
        </w:tc>
      </w:tr>
      <w:tr>
        <w:trPr>
          <w:trHeight w:val="216"/>
        </w:trPr>
        <w:tc>
          <w:tcPr>
            <w:tcW w:w="306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is a part, under the Securities Act. This registration statement contains additional</w:t>
            </w:r>
          </w:p>
        </w:tc>
      </w:tr>
      <w:tr>
        <w:trPr>
          <w:trHeight w:val="216"/>
        </w:trPr>
        <w:tc>
          <w:tcPr>
            <w:tcW w:w="306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information about us and the securities being offered by this prospectus. We are also</w:t>
            </w:r>
          </w:p>
        </w:tc>
      </w:tr>
      <w:tr>
        <w:trPr>
          <w:trHeight w:val="216"/>
        </w:trPr>
        <w:tc>
          <w:tcPr>
            <w:tcW w:w="306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required to file periodic reports, current reports, proxy statements and other information</w:t>
            </w:r>
          </w:p>
        </w:tc>
      </w:tr>
      <w:tr>
        <w:trPr>
          <w:trHeight w:val="216"/>
        </w:trPr>
        <w:tc>
          <w:tcPr>
            <w:tcW w:w="306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with the SEC. This information is available at the SEC’s public reference room at 100 F</w:t>
            </w:r>
          </w:p>
        </w:tc>
      </w:tr>
      <w:tr>
        <w:trPr>
          <w:trHeight w:val="216"/>
        </w:trPr>
        <w:tc>
          <w:tcPr>
            <w:tcW w:w="306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Street, N.E., Washington, D.C. 20549 and on the SEC’s website at http://www.sec.gov.</w:t>
            </w:r>
          </w:p>
        </w:tc>
      </w:tr>
      <w:tr>
        <w:trPr>
          <w:trHeight w:val="216"/>
        </w:trPr>
        <w:tc>
          <w:tcPr>
            <w:tcW w:w="306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Information on the operation of the SEC’s public reference room may be obtained by</w:t>
            </w:r>
          </w:p>
        </w:tc>
      </w:tr>
      <w:tr>
        <w:trPr>
          <w:trHeight w:val="234"/>
        </w:trPr>
        <w:tc>
          <w:tcPr>
            <w:tcW w:w="3060" w:type="dxa"/>
            <w:vAlign w:val="bottom"/>
            <w:tcBorders>
              <w:left w:val="single" w:sz="8" w:color="auto"/>
            </w:tcBorders>
          </w:tcPr>
          <w:p>
            <w:pPr>
              <w:spacing w:after="0"/>
              <w:rPr>
                <w:sz w:val="20"/>
                <w:szCs w:val="20"/>
                <w:color w:val="auto"/>
              </w:rPr>
            </w:pPr>
          </w:p>
        </w:tc>
        <w:tc>
          <w:tcPr>
            <w:tcW w:w="79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calling the SEC at 1 (800) SEC-0330.</w:t>
            </w:r>
          </w:p>
        </w:tc>
      </w:tr>
      <w:tr>
        <w:trPr>
          <w:trHeight w:val="441"/>
        </w:trPr>
        <w:tc>
          <w:tcPr>
            <w:tcW w:w="3060" w:type="dxa"/>
            <w:vAlign w:val="bottom"/>
            <w:tcBorders>
              <w:left w:val="single" w:sz="8" w:color="auto"/>
            </w:tcBorders>
          </w:tcPr>
          <w:p>
            <w:pPr>
              <w:spacing w:after="0"/>
              <w:rPr>
                <w:sz w:val="24"/>
                <w:szCs w:val="24"/>
                <w:color w:val="auto"/>
              </w:rPr>
            </w:pPr>
          </w:p>
        </w:tc>
        <w:tc>
          <w:tcPr>
            <w:tcW w:w="79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We maintain a website at http://www.tpgspecialtylending.com and make all of our periodic</w:t>
            </w:r>
          </w:p>
        </w:tc>
      </w:tr>
      <w:tr>
        <w:trPr>
          <w:trHeight w:val="216"/>
        </w:trPr>
        <w:tc>
          <w:tcPr>
            <w:tcW w:w="306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and current reports, proxy statements and other information available, free of charge, on or</w:t>
            </w:r>
          </w:p>
        </w:tc>
      </w:tr>
      <w:tr>
        <w:trPr>
          <w:trHeight w:val="216"/>
        </w:trPr>
        <w:tc>
          <w:tcPr>
            <w:tcW w:w="306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through our website. Information on our website is not incorporated into or part of this</w:t>
            </w:r>
          </w:p>
        </w:tc>
      </w:tr>
      <w:tr>
        <w:trPr>
          <w:trHeight w:val="216"/>
        </w:trPr>
        <w:tc>
          <w:tcPr>
            <w:tcW w:w="306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prospectus. You may also obtain such information free of charge by contacting us in</w:t>
            </w:r>
          </w:p>
        </w:tc>
      </w:tr>
      <w:tr>
        <w:trPr>
          <w:trHeight w:val="216"/>
        </w:trPr>
        <w:tc>
          <w:tcPr>
            <w:tcW w:w="306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writing at 888 7th Avenue, 35th Floor, New York, NY 10106, Attention: TSLX Investor</w:t>
            </w:r>
          </w:p>
        </w:tc>
      </w:tr>
      <w:tr>
        <w:trPr>
          <w:trHeight w:val="234"/>
        </w:trPr>
        <w:tc>
          <w:tcPr>
            <w:tcW w:w="3060" w:type="dxa"/>
            <w:vAlign w:val="bottom"/>
            <w:tcBorders>
              <w:left w:val="single" w:sz="8" w:color="auto"/>
            </w:tcBorders>
          </w:tcPr>
          <w:p>
            <w:pPr>
              <w:spacing w:after="0"/>
              <w:rPr>
                <w:sz w:val="20"/>
                <w:szCs w:val="20"/>
                <w:color w:val="auto"/>
              </w:rPr>
            </w:pPr>
          </w:p>
        </w:tc>
        <w:tc>
          <w:tcPr>
            <w:tcW w:w="79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Relations, or by emailing us at IRTSL@tpg.com.</w:t>
            </w:r>
          </w:p>
        </w:tc>
      </w:tr>
      <w:tr>
        <w:trPr>
          <w:trHeight w:val="240"/>
        </w:trPr>
        <w:tc>
          <w:tcPr>
            <w:tcW w:w="3060" w:type="dxa"/>
            <w:vAlign w:val="bottom"/>
            <w:tcBorders>
              <w:left w:val="single" w:sz="8" w:color="auto"/>
              <w:bottom w:val="single" w:sz="8" w:color="auto"/>
            </w:tcBorders>
          </w:tcPr>
          <w:p>
            <w:pPr>
              <w:spacing w:after="0"/>
              <w:rPr>
                <w:sz w:val="20"/>
                <w:szCs w:val="20"/>
                <w:color w:val="auto"/>
              </w:rPr>
            </w:pPr>
          </w:p>
        </w:tc>
        <w:tc>
          <w:tcPr>
            <w:tcW w:w="7980" w:type="dxa"/>
            <w:vAlign w:val="bottom"/>
            <w:tcBorders>
              <w:bottom w:val="single" w:sz="8" w:color="auto"/>
              <w:right w:val="single" w:sz="8" w:color="auto"/>
            </w:tcBorders>
          </w:tcPr>
          <w:p>
            <w:pPr>
              <w:spacing w:after="0"/>
              <w:rPr>
                <w:sz w:val="20"/>
                <w:szCs w:val="20"/>
                <w:color w:val="auto"/>
              </w:rPr>
            </w:pPr>
          </w:p>
        </w:tc>
      </w:tr>
      <w:tr>
        <w:trPr>
          <w:trHeight w:val="604"/>
        </w:trPr>
        <w:tc>
          <w:tcPr>
            <w:tcW w:w="3060" w:type="dxa"/>
            <w:vAlign w:val="bottom"/>
          </w:tcPr>
          <w:p>
            <w:pPr>
              <w:spacing w:after="0"/>
              <w:rPr>
                <w:sz w:val="24"/>
                <w:szCs w:val="24"/>
                <w:color w:val="auto"/>
              </w:rPr>
            </w:pPr>
          </w:p>
        </w:tc>
        <w:tc>
          <w:tcPr>
            <w:tcW w:w="798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1240"/>
          </w:cols>
          <w:pgMar w:left="240" w:top="455" w:right="41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5741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02145" cy="57410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ind w:left="380" w:right="40" w:firstLine="426"/>
        <w:spacing w:after="0" w:line="254" w:lineRule="auto"/>
        <w:rPr>
          <w:sz w:val="20"/>
          <w:szCs w:val="20"/>
          <w:color w:val="auto"/>
        </w:rPr>
      </w:pPr>
      <w:r>
        <w:rPr>
          <w:rFonts w:ascii="Times New Roman" w:cs="Times New Roman" w:eastAsia="Times New Roman" w:hAnsi="Times New Roman"/>
          <w:sz w:val="18"/>
          <w:szCs w:val="18"/>
          <w:color w:val="auto"/>
        </w:rPr>
        <w:t>The following table is intended to assist you in understanding the costs and expenses that an investor in our common stock will bear directly or indirectly in the twelve months after the date of this prospectus, based on the assumptions set forth below. We caution you that some of the percentages indicated in the table below are estimates and may vary. The following table should not be considered a representation of our future expenses, which may be greater or less than shown. Future expenses will depend on many factors, including our use of leverage, which may vary periodically depending on market conditions, our portfolio composition and our Adviser’s assessment of risks and returns. However, our total borrowings are limited under the 1940 Act so that we may not incur any additional leverage if doing so would cause our asset coverage ratio to fall below 200% (or 150% if certain requirements are met), as defined in the 1940 Act. Except where the context suggests otherwise, whenever this prospectus contains a reference to fees or expenses paid by “us,” the “Company” or “TPG Specialty Lending, Inc.” or says that “we” will pay fees or expenses, stockholders will indirectly bear these fees or expenses as investors in TPG Specialty Lending, Inc.</w:t>
      </w:r>
    </w:p>
    <w:p>
      <w:pPr>
        <w:spacing w:after="0" w:line="235"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 transaction expenses (as a percentage of offering price):</w:t>
            </w:r>
          </w:p>
        </w:tc>
        <w:tc>
          <w:tcPr>
            <w:tcW w:w="2260" w:type="dxa"/>
            <w:vAlign w:val="bottom"/>
            <w:shd w:val="clear" w:color="auto" w:fill="CCEEFF"/>
          </w:tcPr>
          <w:p>
            <w:pPr>
              <w:spacing w:after="0"/>
              <w:rPr>
                <w:sz w:val="18"/>
                <w:szCs w:val="18"/>
                <w:color w:val="auto"/>
              </w:rPr>
            </w:pPr>
          </w:p>
        </w:tc>
      </w:tr>
      <w:tr>
        <w:trPr>
          <w:trHeight w:val="216"/>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load</w:t>
            </w:r>
          </w:p>
        </w:tc>
        <w:tc>
          <w:tcPr>
            <w:tcW w:w="22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(1)</w:t>
            </w:r>
          </w:p>
        </w:tc>
      </w:tr>
      <w:tr>
        <w:trPr>
          <w:trHeight w:val="216"/>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Offering expenses</w:t>
            </w:r>
          </w:p>
        </w:tc>
        <w:tc>
          <w:tcPr>
            <w:tcW w:w="226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(2)</w:t>
            </w:r>
          </w:p>
        </w:tc>
      </w:tr>
      <w:tr>
        <w:trPr>
          <w:trHeight w:val="234"/>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reinvestment plan expenses</w:t>
            </w:r>
          </w:p>
        </w:tc>
        <w:tc>
          <w:tcPr>
            <w:tcW w:w="226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(3)</w:t>
            </w:r>
          </w:p>
        </w:tc>
      </w:tr>
      <w:tr>
        <w:trPr>
          <w:trHeight w:val="90"/>
        </w:trPr>
        <w:tc>
          <w:tcPr>
            <w:tcW w:w="8380" w:type="dxa"/>
            <w:vAlign w:val="bottom"/>
          </w:tcPr>
          <w:p>
            <w:pPr>
              <w:spacing w:after="0"/>
              <w:rPr>
                <w:sz w:val="7"/>
                <w:szCs w:val="7"/>
                <w:color w:val="auto"/>
              </w:rPr>
            </w:pPr>
          </w:p>
        </w:tc>
        <w:tc>
          <w:tcPr>
            <w:tcW w:w="2260" w:type="dxa"/>
            <w:vAlign w:val="bottom"/>
          </w:tcPr>
          <w:p>
            <w:pPr>
              <w:spacing w:after="0"/>
              <w:rPr>
                <w:sz w:val="7"/>
                <w:szCs w:val="7"/>
                <w:color w:val="auto"/>
              </w:rPr>
            </w:pPr>
          </w:p>
        </w:tc>
      </w:tr>
      <w:tr>
        <w:trPr>
          <w:trHeight w:val="216"/>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annual expenses (as a percentage of net assets attributable to common stock)</w:t>
            </w:r>
            <w:r>
              <w:rPr>
                <w:rFonts w:ascii="Times New Roman" w:cs="Times New Roman" w:eastAsia="Times New Roman" w:hAnsi="Times New Roman"/>
                <w:sz w:val="15"/>
                <w:szCs w:val="15"/>
                <w:b w:val="1"/>
                <w:bCs w:val="1"/>
                <w:color w:val="auto"/>
              </w:rPr>
              <w:t>(4)</w:t>
            </w:r>
            <w:r>
              <w:rPr>
                <w:rFonts w:ascii="Times New Roman" w:cs="Times New Roman" w:eastAsia="Times New Roman" w:hAnsi="Times New Roman"/>
                <w:sz w:val="18"/>
                <w:szCs w:val="18"/>
                <w:b w:val="1"/>
                <w:bCs w:val="1"/>
                <w:color w:val="auto"/>
              </w:rPr>
              <w:t>:</w:t>
            </w:r>
          </w:p>
        </w:tc>
        <w:tc>
          <w:tcPr>
            <w:tcW w:w="2260" w:type="dxa"/>
            <w:vAlign w:val="bottom"/>
            <w:shd w:val="clear" w:color="auto" w:fill="CCEEFF"/>
          </w:tcPr>
          <w:p>
            <w:pPr>
              <w:spacing w:after="0"/>
              <w:rPr>
                <w:sz w:val="18"/>
                <w:szCs w:val="18"/>
                <w:color w:val="auto"/>
              </w:rPr>
            </w:pPr>
          </w:p>
        </w:tc>
      </w:tr>
      <w:tr>
        <w:trPr>
          <w:trHeight w:val="216"/>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Fee payable under the Investment Advisory Agreement</w:t>
            </w:r>
          </w:p>
        </w:tc>
        <w:tc>
          <w:tcPr>
            <w:tcW w:w="2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2.51%</w:t>
            </w:r>
            <w:r>
              <w:rPr>
                <w:rFonts w:ascii="Times New Roman" w:cs="Times New Roman" w:eastAsia="Times New Roman" w:hAnsi="Times New Roman"/>
                <w:sz w:val="15"/>
                <w:szCs w:val="15"/>
                <w:color w:val="auto"/>
              </w:rPr>
              <w:t>(5)</w:t>
            </w:r>
          </w:p>
        </w:tc>
      </w:tr>
      <w:tr>
        <w:trPr>
          <w:trHeight w:val="216"/>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Incentive Fee payable under the Investment Advisory Agreement</w:t>
            </w:r>
          </w:p>
        </w:tc>
        <w:tc>
          <w:tcPr>
            <w:tcW w:w="22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2.63%</w:t>
            </w:r>
            <w:r>
              <w:rPr>
                <w:rFonts w:ascii="Times New Roman" w:cs="Times New Roman" w:eastAsia="Times New Roman" w:hAnsi="Times New Roman"/>
                <w:sz w:val="15"/>
                <w:szCs w:val="15"/>
                <w:color w:val="auto"/>
              </w:rPr>
              <w:t>(6)</w:t>
            </w:r>
          </w:p>
        </w:tc>
      </w:tr>
      <w:tr>
        <w:trPr>
          <w:trHeight w:val="216"/>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payments on borrowed funds</w:t>
            </w:r>
          </w:p>
        </w:tc>
        <w:tc>
          <w:tcPr>
            <w:tcW w:w="2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2.44%</w:t>
            </w:r>
            <w:r>
              <w:rPr>
                <w:rFonts w:ascii="Times New Roman" w:cs="Times New Roman" w:eastAsia="Times New Roman" w:hAnsi="Times New Roman"/>
                <w:sz w:val="15"/>
                <w:szCs w:val="15"/>
                <w:color w:val="auto"/>
              </w:rPr>
              <w:t>(7)</w:t>
            </w:r>
          </w:p>
        </w:tc>
      </w:tr>
      <w:tr>
        <w:trPr>
          <w:trHeight w:val="216"/>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22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1.39%</w:t>
            </w:r>
            <w:r>
              <w:rPr>
                <w:rFonts w:ascii="Times New Roman" w:cs="Times New Roman" w:eastAsia="Times New Roman" w:hAnsi="Times New Roman"/>
                <w:sz w:val="15"/>
                <w:szCs w:val="15"/>
                <w:color w:val="auto"/>
              </w:rPr>
              <w:t>(8)</w:t>
            </w:r>
          </w:p>
        </w:tc>
      </w:tr>
      <w:tr>
        <w:trPr>
          <w:trHeight w:val="234"/>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annual expenses</w:t>
            </w:r>
          </w:p>
        </w:tc>
        <w:tc>
          <w:tcPr>
            <w:tcW w:w="2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8.97%</w:t>
            </w:r>
          </w:p>
        </w:tc>
      </w:tr>
    </w:tbl>
    <w:p>
      <w:pPr>
        <w:spacing w:after="0" w:line="206" w:lineRule="exact"/>
        <w:rPr>
          <w:sz w:val="20"/>
          <w:szCs w:val="20"/>
          <w:color w:val="auto"/>
        </w:rPr>
      </w:pPr>
    </w:p>
    <w:p>
      <w:pPr>
        <w:ind w:left="800" w:right="280" w:hanging="414"/>
        <w:spacing w:after="0" w:line="261" w:lineRule="auto"/>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securities to which this prospectus relates are sold to or through underwriters, a corresponding prospectus supplement will disclose the applicable sales load (underwriting discount or commission).</w:t>
      </w:r>
    </w:p>
    <w:p>
      <w:pPr>
        <w:ind w:left="800" w:right="440" w:hanging="414"/>
        <w:spacing w:after="0" w:line="250" w:lineRule="auto"/>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prospectus supplement will disclose the estimated amount of offering expenses, the offering price and the offering expenses borne by us as a percentage of the offering price.</w:t>
      </w:r>
    </w:p>
    <w:p>
      <w:pPr>
        <w:ind w:left="800" w:right="160" w:hanging="414"/>
        <w:spacing w:after="0" w:line="250" w:lineRule="auto"/>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the dividend reinvestment plan are included in “Other expenses” in the table above. The plan administrator’s fees will be paid by us. There are no brokerage charges or other charges to stockholders who participate in the plan, except that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 For additional information, see “Dividend Reinvestment Plan.”</w:t>
      </w:r>
    </w:p>
    <w:p>
      <w:pPr>
        <w:spacing w:after="0" w:line="2" w:lineRule="exact"/>
        <w:rPr>
          <w:rFonts w:ascii="Times New Roman" w:cs="Times New Roman" w:eastAsia="Times New Roman" w:hAnsi="Times New Roman"/>
          <w:sz w:val="18"/>
          <w:szCs w:val="18"/>
          <w:color w:val="auto"/>
        </w:rPr>
      </w:pPr>
    </w:p>
    <w:p>
      <w:pPr>
        <w:ind w:left="800" w:right="560" w:hanging="414"/>
        <w:spacing w:after="0" w:line="250" w:lineRule="auto"/>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assets attributable to common stock used to calculate the percentages in this table reflect our net assets of $969.3 million as of December 31, 2017.</w:t>
      </w:r>
    </w:p>
    <w:p>
      <w:pPr>
        <w:ind w:left="800" w:right="20" w:hanging="414"/>
        <w:spacing w:after="0" w:line="253" w:lineRule="auto"/>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Under the 1940 Act, any material change to our Investment Advisory Agreement must be submitted to stockholders for approval. See “Management and Other Agreements—Investment Advisory Agreement; Administration Agreement; License Agreement.”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240" w:top="455" w:right="6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5501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02145" cy="55010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right="140"/>
        <w:spacing w:after="0" w:line="282" w:lineRule="auto"/>
        <w:rPr>
          <w:sz w:val="20"/>
          <w:szCs w:val="20"/>
          <w:color w:val="auto"/>
        </w:rPr>
      </w:pPr>
      <w:r>
        <w:rPr>
          <w:rFonts w:ascii="Times New Roman" w:cs="Times New Roman" w:eastAsia="Times New Roman" w:hAnsi="Times New Roman"/>
          <w:sz w:val="18"/>
          <w:szCs w:val="18"/>
          <w:color w:val="auto"/>
        </w:rPr>
        <w:t>The Management Fee reflected in the table is calculated by determining the ratio that the Management Fee for the year ended December 31, 2017 bears to our net assets attributable to common stock (rather than our gross assets).</w:t>
      </w:r>
    </w:p>
    <w:p>
      <w:pPr>
        <w:spacing w:after="0" w:line="54" w:lineRule="exact"/>
        <w:rPr>
          <w:sz w:val="20"/>
          <w:szCs w:val="20"/>
          <w:color w:val="auto"/>
        </w:rPr>
      </w:pPr>
    </w:p>
    <w:p>
      <w:pPr>
        <w:ind w:left="820" w:right="140"/>
        <w:spacing w:after="0" w:line="255" w:lineRule="auto"/>
        <w:rPr>
          <w:sz w:val="20"/>
          <w:szCs w:val="20"/>
          <w:color w:val="auto"/>
        </w:rPr>
      </w:pPr>
      <w:r>
        <w:rPr>
          <w:rFonts w:ascii="Times New Roman" w:cs="Times New Roman" w:eastAsia="Times New Roman" w:hAnsi="Times New Roman"/>
          <w:sz w:val="18"/>
          <w:szCs w:val="18"/>
          <w:color w:val="auto"/>
        </w:rPr>
        <w:t>From time to time, our Adviser voluntarily has waived certain Management Fees. See “Management’s Discussion and Analysis of Financial Condition and Results of Operations—Results of Operations—Management Fees” elsewhere in this prospectus. The above estimates are based on our actual Management Fees for the year ended December 31, 2017 and do not reflect any Management Fees that were waived during the year ended December 31, 2017.</w:t>
      </w:r>
    </w:p>
    <w:p>
      <w:pPr>
        <w:spacing w:after="0" w:line="3" w:lineRule="exact"/>
        <w:rPr>
          <w:sz w:val="20"/>
          <w:szCs w:val="20"/>
          <w:color w:val="auto"/>
        </w:rPr>
      </w:pPr>
    </w:p>
    <w:p>
      <w:pPr>
        <w:jc w:val="both"/>
        <w:ind w:left="800" w:right="60" w:hanging="414"/>
        <w:spacing w:after="0" w:line="254" w:lineRule="auto"/>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capital gains and interest income that could result in the payment of an Incentive Fee to the Adviser in the twelve months after the date of this prospectus. The Incentive Fee payable in the example below is based upon our actual results for the year ended December 31, 2017 and assumes that the Incentive Fee is 17.5% for all relevant periods. However, the Incentive Fee payable to the Adviser is based on our performance and will not be paid unless we achieve certain goals.</w:t>
      </w:r>
    </w:p>
    <w:p>
      <w:pPr>
        <w:spacing w:after="0" w:line="77"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Incentive Fee consists of two parts:</w:t>
      </w:r>
    </w:p>
    <w:p>
      <w:pPr>
        <w:spacing w:after="0" w:line="117" w:lineRule="exact"/>
        <w:rPr>
          <w:rFonts w:ascii="Times New Roman" w:cs="Times New Roman" w:eastAsia="Times New Roman" w:hAnsi="Times New Roman"/>
          <w:sz w:val="18"/>
          <w:szCs w:val="18"/>
          <w:color w:val="auto"/>
        </w:rPr>
      </w:pPr>
    </w:p>
    <w:p>
      <w:pPr>
        <w:ind w:left="820"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component, payable at the end of each quarter in arrears, equals 100% of the pre-Incentive Fee net investment income in excess of a 1.5% quarterly “hurdle rate” until the Adviser has received 17.5% of the total pre-Incentive Fee net investment income for that quarter and, for pre-Incentive Fee net investment income in excess of 1.82% quarterly, 17.5% of all remaining pre-Incentive Fee net investment income for that quarter.</w:t>
      </w:r>
    </w:p>
    <w:p>
      <w:pPr>
        <w:spacing w:after="0" w:line="71" w:lineRule="exact"/>
        <w:rPr>
          <w:rFonts w:ascii="Times New Roman" w:cs="Times New Roman" w:eastAsia="Times New Roman" w:hAnsi="Times New Roman"/>
          <w:sz w:val="18"/>
          <w:szCs w:val="18"/>
          <w:color w:val="auto"/>
        </w:rPr>
      </w:pPr>
    </w:p>
    <w:p>
      <w:pPr>
        <w:ind w:left="8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which we refer to as the Capital Gains Fee,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depreciation and net of the aggregate amount of any previously paid Capital Gains Fee for prior periods. For capital gains that accrue following March 31, 2014, the Incentive Fee rate is 17.5%. We accrue, but do not pay, a Capital Gains Fee with respect to unrealized appreciation because a Capital Gains Fee would be owed to the Adviser if we were to sell the relevant investment and realize a capital gain.</w:t>
      </w:r>
    </w:p>
    <w:p>
      <w:pPr>
        <w:spacing w:after="0" w:line="79" w:lineRule="exact"/>
        <w:rPr>
          <w:rFonts w:ascii="Times New Roman" w:cs="Times New Roman" w:eastAsia="Times New Roman" w:hAnsi="Times New Roman"/>
          <w:sz w:val="18"/>
          <w:szCs w:val="18"/>
          <w:color w:val="auto"/>
        </w:rPr>
      </w:pPr>
    </w:p>
    <w:p>
      <w:pPr>
        <w:ind w:left="820" w:right="5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3 to our consolidated financial statements included in this prospectus and “Management and Other Agreements—Investment Advisory Agreement; Administration Agreement; License Agreement.”</w:t>
      </w:r>
    </w:p>
    <w:p>
      <w:pPr>
        <w:spacing w:after="0" w:line="53" w:lineRule="exact"/>
        <w:rPr>
          <w:rFonts w:ascii="Times New Roman" w:cs="Times New Roman" w:eastAsia="Times New Roman" w:hAnsi="Times New Roman"/>
          <w:sz w:val="18"/>
          <w:szCs w:val="18"/>
          <w:color w:val="auto"/>
        </w:rPr>
      </w:pPr>
    </w:p>
    <w:p>
      <w:pPr>
        <w:jc w:val="both"/>
        <w:ind w:left="820" w:right="40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our Adviser has voluntarily waived certain Incentive Fees. See “Management’s Discussion and Analysis of Financial Condition and Results of Operations—Results of Operations—Incentive Fees” elsewhere in this prospectus. The above estimates do not reflect or assume any such waivers.</w:t>
      </w:r>
    </w:p>
    <w:p>
      <w:pPr>
        <w:spacing w:after="0" w:line="1" w:lineRule="exact"/>
        <w:rPr>
          <w:rFonts w:ascii="Times New Roman" w:cs="Times New Roman" w:eastAsia="Times New Roman" w:hAnsi="Times New Roman"/>
          <w:sz w:val="18"/>
          <w:szCs w:val="18"/>
          <w:color w:val="auto"/>
        </w:rPr>
      </w:pPr>
    </w:p>
    <w:p>
      <w:pPr>
        <w:ind w:left="800" w:right="100" w:hanging="414"/>
        <w:spacing w:after="0" w:line="250" w:lineRule="auto"/>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on borrowed funds is based on our interest expense for the year ended December 31, 2017 under our credit facilities excluding fees (such as fees on undrawn amounts and amortization of upfront fees) and including the swap-adjusted interest expense related to our Convertible Senior Notes.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Our stockholders indirectly bear the costs of borrowings under any debt instruments we may enter into.</w:t>
      </w:r>
    </w:p>
    <w:p>
      <w:pPr>
        <w:spacing w:after="0" w:line="2" w:lineRule="exact"/>
        <w:rPr>
          <w:rFonts w:ascii="Times New Roman" w:cs="Times New Roman" w:eastAsia="Times New Roman" w:hAnsi="Times New Roman"/>
          <w:sz w:val="18"/>
          <w:szCs w:val="18"/>
          <w:color w:val="auto"/>
        </w:rPr>
      </w:pPr>
    </w:p>
    <w:p>
      <w:pPr>
        <w:ind w:left="800" w:right="100" w:hanging="414"/>
        <w:spacing w:after="0" w:line="255" w:lineRule="auto"/>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our overhead expenses, such as payments under the Administration Agreement for certain expenses incurred by the Adviser, and excise taxes. See “Management and Other Agreements—Investment Advisory Agreement; Administration Agreement; License Agreement.” The expenses in this table are based on our actual other expenses and excise taxes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40"/>
          </w:cols>
          <w:pgMar w:left="240" w:top="455" w:right="61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38976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02145" cy="38976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21" w:lineRule="exact"/>
        <w:rPr>
          <w:sz w:val="20"/>
          <w:szCs w:val="20"/>
          <w:color w:val="auto"/>
        </w:rPr>
      </w:pPr>
    </w:p>
    <w:p>
      <w:pPr>
        <w:ind w:left="380" w:right="200" w:firstLine="426"/>
        <w:spacing w:after="0" w:line="256" w:lineRule="auto"/>
        <w:rPr>
          <w:sz w:val="20"/>
          <w:szCs w:val="20"/>
          <w:color w:val="auto"/>
        </w:rPr>
      </w:pPr>
      <w:r>
        <w:rPr>
          <w:rFonts w:ascii="Times New Roman" w:cs="Times New Roman" w:eastAsia="Times New Roman" w:hAnsi="Times New Roman"/>
          <w:sz w:val="18"/>
          <w:szCs w:val="18"/>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 In the event that shares to which this prospectus relates are sold to or through underwriters, a corresponding prospectus supplement will restate this example to reflect the applicable sales load and offering expenses.</w:t>
      </w:r>
    </w:p>
    <w:p>
      <w:pPr>
        <w:spacing w:after="0" w:line="209" w:lineRule="exact"/>
        <w:rPr>
          <w:sz w:val="20"/>
          <w:szCs w:val="20"/>
          <w:color w:val="auto"/>
        </w:rPr>
      </w:pPr>
    </w:p>
    <w:tbl>
      <w:tblPr>
        <w:tblLayout w:type="fixed"/>
        <w:tblInd w:w="380" w:type="dxa"/>
        <w:tblCellMar>
          <w:top w:w="0" w:type="dxa"/>
          <w:left w:w="0" w:type="dxa"/>
          <w:bottom w:w="0" w:type="dxa"/>
          <w:right w:w="0" w:type="dxa"/>
        </w:tblCellMar>
      </w:tblPr>
      <w:tr>
        <w:trPr>
          <w:trHeight w:val="173"/>
        </w:trPr>
        <w:tc>
          <w:tcPr>
            <w:tcW w:w="746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10 years</w:t>
            </w:r>
          </w:p>
        </w:tc>
      </w:tr>
      <w:tr>
        <w:trPr>
          <w:trHeight w:val="178"/>
        </w:trPr>
        <w:tc>
          <w:tcPr>
            <w:tcW w:w="7460" w:type="dxa"/>
            <w:vAlign w:val="bottom"/>
            <w:tcBorders>
              <w:top w:val="single" w:sz="8" w:color="CCEEFF"/>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You would pay the following expenses on a $1,000 common stock investment, assuming a 5%</w:t>
            </w:r>
          </w:p>
        </w:tc>
        <w:tc>
          <w:tcPr>
            <w:tcW w:w="4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4"/>
        </w:trPr>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annual return from realized capital gains</w:t>
            </w:r>
          </w:p>
        </w:tc>
        <w:tc>
          <w:tcPr>
            <w:tcW w:w="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72</w:t>
            </w:r>
          </w:p>
        </w:tc>
        <w:tc>
          <w:tcPr>
            <w:tcW w:w="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$ 212</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$ 345</w:t>
            </w:r>
          </w:p>
        </w:tc>
        <w:tc>
          <w:tcPr>
            <w:tcW w:w="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653</w:t>
            </w:r>
          </w:p>
        </w:tc>
      </w:tr>
    </w:tbl>
    <w:p>
      <w:pPr>
        <w:spacing w:after="0" w:line="198" w:lineRule="exact"/>
        <w:rPr>
          <w:sz w:val="20"/>
          <w:szCs w:val="20"/>
          <w:color w:val="auto"/>
        </w:rPr>
      </w:pPr>
    </w:p>
    <w:p>
      <w:pPr>
        <w:ind w:left="380" w:firstLine="426"/>
        <w:spacing w:after="0" w:line="253" w:lineRule="auto"/>
        <w:rPr>
          <w:sz w:val="20"/>
          <w:szCs w:val="20"/>
          <w:color w:val="auto"/>
        </w:rPr>
      </w:pPr>
      <w:r>
        <w:rPr>
          <w:rFonts w:ascii="Times New Roman" w:cs="Times New Roman" w:eastAsia="Times New Roman" w:hAnsi="Times New Roman"/>
          <w:sz w:val="18"/>
          <w:szCs w:val="18"/>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w:t>
      </w:r>
    </w:p>
    <w:p>
      <w:pPr>
        <w:spacing w:after="0" w:line="189" w:lineRule="exact"/>
        <w:rPr>
          <w:sz w:val="20"/>
          <w:szCs w:val="20"/>
          <w:color w:val="auto"/>
        </w:rPr>
      </w:pPr>
    </w:p>
    <w:p>
      <w:pPr>
        <w:ind w:left="380" w:right="580" w:firstLine="426"/>
        <w:spacing w:after="0" w:line="286" w:lineRule="auto"/>
        <w:rPr>
          <w:sz w:val="20"/>
          <w:szCs w:val="20"/>
          <w:color w:val="auto"/>
        </w:rPr>
      </w:pPr>
      <w:r>
        <w:rPr>
          <w:rFonts w:ascii="Times New Roman" w:cs="Times New Roman" w:eastAsia="Times New Roman" w:hAnsi="Times New Roman"/>
          <w:sz w:val="18"/>
          <w:szCs w:val="18"/>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00" w:lineRule="exact"/>
        <w:rPr>
          <w:sz w:val="20"/>
          <w:szCs w:val="20"/>
          <w:color w:val="auto"/>
        </w:rPr>
      </w:pPr>
    </w:p>
    <w:p>
      <w:pPr>
        <w:spacing w:after="0" w:line="3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40"/>
          </w:cols>
          <w:pgMar w:left="240" w:top="455" w:right="61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69335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02145" cy="69335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SELECTED FINANCIAL DATA AND OTHER INFORMATION</w:t>
      </w:r>
    </w:p>
    <w:p>
      <w:pPr>
        <w:spacing w:after="0" w:line="229" w:lineRule="exact"/>
        <w:rPr>
          <w:sz w:val="20"/>
          <w:szCs w:val="20"/>
          <w:color w:val="auto"/>
        </w:rPr>
      </w:pPr>
    </w:p>
    <w:p>
      <w:pPr>
        <w:ind w:left="380" w:right="420" w:firstLine="426"/>
        <w:spacing w:after="0" w:line="281" w:lineRule="auto"/>
        <w:rPr>
          <w:sz w:val="20"/>
          <w:szCs w:val="20"/>
          <w:color w:val="auto"/>
        </w:rPr>
      </w:pPr>
      <w:r>
        <w:rPr>
          <w:rFonts w:ascii="Times New Roman" w:cs="Times New Roman" w:eastAsia="Times New Roman" w:hAnsi="Times New Roman"/>
          <w:sz w:val="17"/>
          <w:szCs w:val="17"/>
          <w:color w:val="auto"/>
        </w:rPr>
        <w:t>You should read the following selected consolidated historical financial data below in conjunction with the section entitled “Management’s Discussion and Analysis of Financial Condition and Results of Operations” and our consolidated financial statements, related notes and other financial information included in this prospectus. The selected financial data in this section is not intended to replace the consolidated financial statements and is qualified in its entirety by our consolidated financial statements and related notes included in this prospectus.</w:t>
      </w:r>
    </w:p>
    <w:p>
      <w:pPr>
        <w:spacing w:after="0" w:line="165" w:lineRule="exact"/>
        <w:rPr>
          <w:sz w:val="20"/>
          <w:szCs w:val="20"/>
          <w:color w:val="auto"/>
        </w:rPr>
      </w:pPr>
    </w:p>
    <w:p>
      <w:pPr>
        <w:ind w:left="380" w:right="340" w:firstLine="426"/>
        <w:spacing w:after="0" w:line="261" w:lineRule="auto"/>
        <w:rPr>
          <w:sz w:val="20"/>
          <w:szCs w:val="20"/>
          <w:color w:val="auto"/>
        </w:rPr>
      </w:pPr>
      <w:r>
        <w:rPr>
          <w:rFonts w:ascii="Times New Roman" w:cs="Times New Roman" w:eastAsia="Times New Roman" w:hAnsi="Times New Roman"/>
          <w:sz w:val="18"/>
          <w:szCs w:val="18"/>
          <w:color w:val="auto"/>
        </w:rPr>
        <w:t>We derived the selected consolidated financial data for the years ended December 31, 2017, 2016 and 2015 from our audited consolidated financial statements and related notes, which are included elsewhere in this prospectus. We derived the selected consolidated financial data for the years ended December 31, 2014 and 2013 from our audited consolidated financial statements and related notes, which are not included in this prospectus. Certain prior period information has been reclassified to conform to the current period presentation.</w:t>
      </w:r>
    </w:p>
    <w:p>
      <w:pPr>
        <w:spacing w:after="0" w:line="2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p>
      <w:pPr>
        <w:spacing w:after="0" w:line="128"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 except per share amounts)</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11"/>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5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320" w:type="dxa"/>
            <w:vAlign w:val="bottom"/>
          </w:tcPr>
          <w:p>
            <w:pPr>
              <w:spacing w:after="0"/>
              <w:rPr>
                <w:sz w:val="12"/>
                <w:szCs w:val="12"/>
                <w:color w:val="auto"/>
              </w:rPr>
            </w:pPr>
          </w:p>
        </w:tc>
        <w:tc>
          <w:tcPr>
            <w:tcW w:w="500" w:type="dxa"/>
            <w:vAlign w:val="bottom"/>
            <w:gridSpan w:val="3"/>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Pr>
          <w:p>
            <w:pPr>
              <w:spacing w:after="0"/>
              <w:rPr>
                <w:sz w:val="12"/>
                <w:szCs w:val="12"/>
                <w:color w:val="auto"/>
              </w:rPr>
            </w:pPr>
          </w:p>
        </w:tc>
        <w:tc>
          <w:tcPr>
            <w:tcW w:w="640" w:type="dxa"/>
            <w:vAlign w:val="bottom"/>
            <w:gridSpan w:val="3"/>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12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Income</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 Income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$210.9</w:t>
            </w:r>
          </w:p>
        </w:tc>
        <w:tc>
          <w:tcPr>
            <w:tcW w:w="140" w:type="dxa"/>
            <w:vAlign w:val="bottom"/>
          </w:tcPr>
          <w:p>
            <w:pPr>
              <w:spacing w:after="0"/>
              <w:rPr>
                <w:sz w:val="18"/>
                <w:szCs w:val="18"/>
                <w:color w:val="auto"/>
              </w:rPr>
            </w:pPr>
          </w:p>
        </w:tc>
        <w:tc>
          <w:tcPr>
            <w:tcW w:w="24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w w:val="98"/>
              </w:rPr>
              <w:t>192.4</w:t>
            </w:r>
          </w:p>
        </w:tc>
        <w:tc>
          <w:tcPr>
            <w:tcW w:w="7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w w:val="96"/>
              </w:rPr>
              <w:t>$173.4</w:t>
            </w:r>
          </w:p>
        </w:tc>
        <w:tc>
          <w:tcPr>
            <w:tcW w:w="80" w:type="dxa"/>
            <w:vAlign w:val="bottom"/>
          </w:tcPr>
          <w:p>
            <w:pPr>
              <w:spacing w:after="0"/>
              <w:rPr>
                <w:sz w:val="18"/>
                <w:szCs w:val="18"/>
                <w:color w:val="auto"/>
              </w:rPr>
            </w:pPr>
          </w:p>
        </w:tc>
        <w:tc>
          <w:tcPr>
            <w:tcW w:w="600" w:type="dxa"/>
            <w:vAlign w:val="bottom"/>
            <w:gridSpan w:val="3"/>
          </w:tcPr>
          <w:p>
            <w:pPr>
              <w:jc w:val="right"/>
              <w:ind w:right="55"/>
              <w:spacing w:after="0"/>
              <w:rPr>
                <w:sz w:val="20"/>
                <w:szCs w:val="20"/>
                <w:color w:val="auto"/>
              </w:rPr>
            </w:pPr>
            <w:r>
              <w:rPr>
                <w:rFonts w:ascii="Times New Roman" w:cs="Times New Roman" w:eastAsia="Times New Roman" w:hAnsi="Times New Roman"/>
                <w:sz w:val="18"/>
                <w:szCs w:val="18"/>
                <w:color w:val="auto"/>
              </w:rPr>
              <w:t>$163.3</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Expenses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82.8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76.6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57.7</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 Before Income Taxes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$123.1</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8"/>
              </w:rPr>
              <w:t>109.6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96.8</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$105.6</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w w:val="98"/>
              </w:rPr>
              <w:t>107.3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95.3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w w:val="98"/>
              </w:rPr>
              <w:t>104.4</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Change in Net Unrealized Gain (Loss)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29.8</w:t>
            </w:r>
          </w:p>
        </w:tc>
        <w:tc>
          <w:tcPr>
            <w:tcW w:w="7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Realized Gain (Loss)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$111.6</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8"/>
              </w:rPr>
              <w:t>137.0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63.6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85.0</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share—basic and diluted</w:t>
            </w:r>
            <w:r>
              <w:rPr>
                <w:rFonts w:ascii="Times New Roman" w:cs="Times New Roman" w:eastAsia="Times New Roman" w:hAnsi="Times New Roman"/>
                <w:sz w:val="15"/>
                <w:szCs w:val="15"/>
                <w:color w:val="auto"/>
              </w:rPr>
              <w:t>(1)(2)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$ 1.86</w:t>
            </w:r>
          </w:p>
        </w:tc>
        <w:tc>
          <w:tcPr>
            <w:tcW w:w="140" w:type="dxa"/>
            <w:vAlign w:val="bottom"/>
          </w:tcPr>
          <w:p>
            <w:pPr>
              <w:spacing w:after="0"/>
              <w:rPr>
                <w:sz w:val="20"/>
                <w:szCs w:val="20"/>
                <w:color w:val="auto"/>
              </w:rPr>
            </w:pPr>
          </w:p>
        </w:tc>
        <w:tc>
          <w:tcPr>
            <w:tcW w:w="24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1.18</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1.68</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18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 except per share amounts)</w:t>
            </w:r>
          </w:p>
        </w:tc>
        <w:tc>
          <w:tcPr>
            <w:tcW w:w="1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gridSpan w:val="10"/>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512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3"/>
          </w:tcPr>
          <w:p>
            <w:pPr>
              <w:jc w:val="center"/>
              <w:ind w:right="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9.8</w:t>
            </w:r>
          </w:p>
        </w:tc>
        <w:tc>
          <w:tcPr>
            <w:tcW w:w="160" w:type="dxa"/>
            <w:vAlign w:val="bottom"/>
            <w:shd w:val="clear" w:color="auto" w:fill="CCEEFF"/>
          </w:tcPr>
          <w:p>
            <w:pPr>
              <w:spacing w:after="0"/>
              <w:rPr>
                <w:sz w:val="18"/>
                <w:szCs w:val="18"/>
                <w:color w:val="auto"/>
              </w:rPr>
            </w:pP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6"/>
              </w:rPr>
              <w:t>1,693.7</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8"/>
              </w:rPr>
              <w:t>$1,657.4</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w w:val="98"/>
              </w:rPr>
              <w:t>$1,485.7</w:t>
            </w:r>
          </w:p>
        </w:tc>
        <w:tc>
          <w:tcPr>
            <w:tcW w:w="320" w:type="dxa"/>
            <w:vAlign w:val="bottom"/>
          </w:tcPr>
          <w:p>
            <w:pPr>
              <w:spacing w:after="0"/>
              <w:rPr>
                <w:sz w:val="18"/>
                <w:szCs w:val="18"/>
                <w:color w:val="auto"/>
              </w:rPr>
            </w:pPr>
          </w:p>
        </w:tc>
        <w:tc>
          <w:tcPr>
            <w:tcW w:w="8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$1,263.5</w:t>
            </w:r>
          </w:p>
        </w:tc>
        <w:tc>
          <w:tcPr>
            <w:tcW w:w="100" w:type="dxa"/>
            <w:vAlign w:val="bottom"/>
          </w:tcPr>
          <w:p>
            <w:pPr>
              <w:spacing w:after="0"/>
              <w:rPr>
                <w:sz w:val="18"/>
                <w:szCs w:val="18"/>
                <w:color w:val="auto"/>
              </w:rPr>
            </w:pPr>
          </w:p>
        </w:tc>
        <w:tc>
          <w:tcPr>
            <w:tcW w:w="114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$1,016.5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6"/>
              </w:rPr>
              <w:t>1,720.2</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$1,675.5</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$1,506.5</w:t>
            </w:r>
          </w:p>
        </w:tc>
        <w:tc>
          <w:tcPr>
            <w:tcW w:w="32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$1,288.9</w:t>
            </w:r>
          </w:p>
        </w:tc>
        <w:tc>
          <w:tcPr>
            <w:tcW w:w="10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$1,032.9</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703.4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680.7</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642.4</w:t>
            </w:r>
          </w:p>
        </w:tc>
        <w:tc>
          <w:tcPr>
            <w:tcW w:w="3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381.1</w:t>
            </w:r>
          </w:p>
        </w:tc>
        <w:tc>
          <w:tcPr>
            <w:tcW w:w="100" w:type="dxa"/>
            <w:vAlign w:val="bottom"/>
          </w:tcPr>
          <w:p>
            <w:pPr>
              <w:spacing w:after="0"/>
              <w:rPr>
                <w:sz w:val="18"/>
                <w:szCs w:val="18"/>
                <w:color w:val="auto"/>
              </w:rPr>
            </w:pPr>
          </w:p>
        </w:tc>
        <w:tc>
          <w:tcPr>
            <w:tcW w:w="5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426.0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750.9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723.3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685.8</w:t>
            </w:r>
          </w:p>
        </w:tc>
        <w:tc>
          <w:tcPr>
            <w:tcW w:w="3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453.5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458.2</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969.3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952.2</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820.7</w:t>
            </w:r>
          </w:p>
        </w:tc>
        <w:tc>
          <w:tcPr>
            <w:tcW w:w="3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835.4</w:t>
            </w:r>
          </w:p>
        </w:tc>
        <w:tc>
          <w:tcPr>
            <w:tcW w:w="100" w:type="dxa"/>
            <w:vAlign w:val="bottom"/>
          </w:tcPr>
          <w:p>
            <w:pPr>
              <w:spacing w:after="0"/>
              <w:rPr>
                <w:sz w:val="18"/>
                <w:szCs w:val="18"/>
                <w:color w:val="auto"/>
              </w:rPr>
            </w:pPr>
          </w:p>
        </w:tc>
        <w:tc>
          <w:tcPr>
            <w:tcW w:w="5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574.7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 value per share</w:t>
            </w:r>
            <w:r>
              <w:rPr>
                <w:rFonts w:ascii="Times New Roman" w:cs="Times New Roman" w:eastAsia="Times New Roman" w:hAnsi="Times New Roman"/>
                <w:sz w:val="15"/>
                <w:szCs w:val="15"/>
                <w:color w:val="auto"/>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16.09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15.95</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15.15</w:t>
            </w:r>
          </w:p>
        </w:tc>
        <w:tc>
          <w:tcPr>
            <w:tcW w:w="3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15.52</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portfolio companies at year end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per share</w:t>
            </w:r>
            <w:r>
              <w:rPr>
                <w:rFonts w:ascii="Times New Roman" w:cs="Times New Roman" w:eastAsia="Times New Roman" w:hAnsi="Times New Roman"/>
                <w:sz w:val="15"/>
                <w:szCs w:val="15"/>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1.56</w:t>
            </w:r>
          </w:p>
        </w:tc>
        <w:tc>
          <w:tcPr>
            <w:tcW w:w="3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8"/>
                <w:szCs w:val="18"/>
                <w:color w:val="auto"/>
              </w:rPr>
            </w:pPr>
          </w:p>
        </w:tc>
        <w:tc>
          <w:tcPr>
            <w:tcW w:w="5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return based on net asset value</w:t>
            </w: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15.5%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51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yield of debt and income-producing securities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 fair value</w:t>
            </w:r>
            <w:r>
              <w:rPr>
                <w:rFonts w:ascii="Times New Roman" w:cs="Times New Roman" w:eastAsia="Times New Roman" w:hAnsi="Times New Roman"/>
                <w:sz w:val="15"/>
                <w:szCs w:val="15"/>
                <w:color w:val="auto"/>
              </w:rPr>
              <w:t>(4)</w:t>
            </w:r>
          </w:p>
        </w:tc>
        <w:tc>
          <w:tcPr>
            <w:tcW w:w="10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0"/>
                <w:szCs w:val="20"/>
                <w:color w:val="auto"/>
              </w:rPr>
            </w:pPr>
          </w:p>
        </w:tc>
        <w:tc>
          <w:tcPr>
            <w:tcW w:w="1020" w:type="dxa"/>
            <w:vAlign w:val="bottom"/>
            <w:gridSpan w:val="3"/>
          </w:tcPr>
          <w:p>
            <w:pPr>
              <w:jc w:val="right"/>
              <w:ind w:right="279"/>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51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yield of debt and income-producing securities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5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at amortized cost</w:t>
            </w:r>
            <w:r>
              <w:rPr>
                <w:rFonts w:ascii="Times New Roman" w:cs="Times New Roman" w:eastAsia="Times New Roman" w:hAnsi="Times New Roman"/>
                <w:sz w:val="15"/>
                <w:szCs w:val="15"/>
                <w:color w:val="auto"/>
              </w:rPr>
              <w:t>(4)</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debt investments as a percentage of principal</w:t>
            </w: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99.4%</w:t>
            </w:r>
          </w:p>
        </w:tc>
        <w:tc>
          <w:tcPr>
            <w:tcW w:w="140" w:type="dxa"/>
            <w:vAlign w:val="bottom"/>
          </w:tcPr>
          <w:p>
            <w:pPr>
              <w:spacing w:after="0"/>
              <w:rPr>
                <w:sz w:val="18"/>
                <w:szCs w:val="18"/>
                <w:color w:val="auto"/>
              </w:rPr>
            </w:pPr>
          </w:p>
        </w:tc>
        <w:tc>
          <w:tcPr>
            <w:tcW w:w="1020" w:type="dxa"/>
            <w:vAlign w:val="bottom"/>
            <w:gridSpan w:val="3"/>
          </w:tcPr>
          <w:p>
            <w:pPr>
              <w:jc w:val="right"/>
              <w:ind w:right="279"/>
              <w:spacing w:after="0"/>
              <w:rPr>
                <w:sz w:val="20"/>
                <w:szCs w:val="20"/>
                <w:color w:val="auto"/>
              </w:rPr>
            </w:pPr>
            <w:r>
              <w:rPr>
                <w:rFonts w:ascii="Times New Roman" w:cs="Times New Roman" w:eastAsia="Times New Roman" w:hAnsi="Times New Roman"/>
                <w:sz w:val="18"/>
                <w:szCs w:val="18"/>
                <w:color w:val="auto"/>
              </w:rPr>
              <w:t>98.5%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color w:val="auto"/>
              </w:rPr>
              <w:t>96.7%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51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fair value of debt investments as a percentage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5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 call price</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95.6%</w:t>
            </w:r>
          </w:p>
        </w:tc>
        <w:tc>
          <w:tcPr>
            <w:tcW w:w="1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95.0%</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92.1%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4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8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99"/>
              </w:rPr>
              <w:t>18</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5" w:right="41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27571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02145" cy="27571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00" w:right="240" w:hanging="414"/>
        <w:spacing w:after="0" w:line="261" w:lineRule="auto"/>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indicated amounts for periods prior to December 3, 2013 have been retroactively adjusted for the stock split which was effected in the form of a stock dividend. See Note 9 of our audited consolidated financial statements.</w:t>
      </w:r>
    </w:p>
    <w:p>
      <w:pPr>
        <w:ind w:left="800" w:hanging="414"/>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common share is based on weighted average shares of common stock outstanding during the period.</w:t>
      </w:r>
    </w:p>
    <w:p>
      <w:pPr>
        <w:spacing w:after="0" w:line="9" w:lineRule="exact"/>
        <w:rPr>
          <w:rFonts w:ascii="Times New Roman" w:cs="Times New Roman" w:eastAsia="Times New Roman" w:hAnsi="Times New Roman"/>
          <w:sz w:val="18"/>
          <w:szCs w:val="18"/>
          <w:color w:val="auto"/>
        </w:rPr>
      </w:pPr>
    </w:p>
    <w:p>
      <w:pPr>
        <w:ind w:left="800" w:hanging="414"/>
        <w:spacing w:after="0" w:line="250" w:lineRule="auto"/>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Generally Accepted Accounting Principles, or U.S. GAAP, require that total return be calculated as the change in net asset value per share during the period plus declared dividends per share, divided by the beginning net asset value per share. Our total return set forth in the table above for the years ended December 31, 2017, 2016, 2015, 2014, and 2013 reflects the Adviser’s waivers of its right to receive a portion of the Management Fee and Incentive Fees prior to our IPO and separately with respect to our ownership of shares of common stock of Triangle Capital Corp. and TICC Capital Corp. The Management Fee, excluding the effects of the waivers, would have been $24.3 million, $24.3 million, $21.3 million, $18.3 million, and $13.4 million for the years ended December 31, 2017, 2016, 2015, 2014, and 2013, respectively. The Incentive Fee excluding the effects of the waiver would have been $25.5 million, $22.7 million and $20.2 million for the years ended December 31, 2017, 2016 and 2015, respectively.</w:t>
      </w:r>
    </w:p>
    <w:p>
      <w:pPr>
        <w:spacing w:after="0" w:line="3" w:lineRule="exact"/>
        <w:rPr>
          <w:rFonts w:ascii="Times New Roman" w:cs="Times New Roman" w:eastAsia="Times New Roman" w:hAnsi="Times New Roman"/>
          <w:sz w:val="18"/>
          <w:szCs w:val="18"/>
          <w:color w:val="auto"/>
        </w:rPr>
      </w:pPr>
    </w:p>
    <w:p>
      <w:pPr>
        <w:ind w:left="800" w:right="20" w:hanging="414"/>
        <w:spacing w:after="0" w:line="265" w:lineRule="auto"/>
        <w:tabs>
          <w:tab w:leader="none" w:pos="8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Weighted average yield on debt and income-producing securities at fair value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income-producing securities, divided by (b) total debt and income-producing securities at fair value. Weighted average yield on debt and income-producing securities at amortized cost is computed as</w:t>
      </w:r>
    </w:p>
    <w:p>
      <w:pPr>
        <w:ind w:left="800" w:right="2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the annual stated interest rate or yield earned plus additional interest, if any, as a result of arrangements between us and other lenders in any syndication plus the net annual amortization of original issue discount and market discount earned on accruing debt and income-producing securities, divided by (b) total debt and income-producing securities at amortized cost.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240" w:top="455" w:right="6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206375</wp:posOffset>
            </wp:positionV>
            <wp:extent cx="7002145" cy="46437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02145" cy="46437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SELECTED QUARTERLY FINANCIAL DATA</w:t>
      </w:r>
    </w:p>
    <w:p>
      <w:pPr>
        <w:spacing w:after="0" w:line="22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27" w:lineRule="exact"/>
        <w:rPr>
          <w:sz w:val="20"/>
          <w:szCs w:val="20"/>
          <w:color w:val="auto"/>
        </w:rPr>
      </w:pPr>
    </w:p>
    <w:tbl>
      <w:tblPr>
        <w:tblLayout w:type="fixed"/>
        <w:tblInd w:w="380" w:type="dxa"/>
        <w:tblCellMar>
          <w:top w:w="0" w:type="dxa"/>
          <w:left w:w="0" w:type="dxa"/>
          <w:bottom w:w="0" w:type="dxa"/>
          <w:right w:w="0" w:type="dxa"/>
        </w:tblCellMar>
      </w:tblPr>
      <w:tr>
        <w:trPr>
          <w:trHeight w:val="173"/>
        </w:trPr>
        <w:tc>
          <w:tcPr>
            <w:tcW w:w="7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Q4</w:t>
            </w:r>
          </w:p>
        </w:tc>
        <w:tc>
          <w:tcPr>
            <w:tcW w:w="120" w:type="dxa"/>
            <w:vAlign w:val="bottom"/>
          </w:tcPr>
          <w:p>
            <w:pPr>
              <w:spacing w:after="0"/>
              <w:rPr>
                <w:sz w:val="12"/>
                <w:szCs w:val="12"/>
                <w:color w:val="auto"/>
              </w:rPr>
            </w:pPr>
          </w:p>
        </w:tc>
        <w:tc>
          <w:tcPr>
            <w:tcW w:w="860" w:type="dxa"/>
            <w:vAlign w:val="bottom"/>
            <w:gridSpan w:val="2"/>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Q3</w:t>
            </w:r>
          </w:p>
        </w:tc>
        <w:tc>
          <w:tcPr>
            <w:tcW w:w="100" w:type="dxa"/>
            <w:vAlign w:val="bottom"/>
          </w:tcPr>
          <w:p>
            <w:pPr>
              <w:spacing w:after="0"/>
              <w:rPr>
                <w:sz w:val="12"/>
                <w:szCs w:val="12"/>
                <w:color w:val="auto"/>
              </w:rPr>
            </w:pPr>
          </w:p>
        </w:tc>
        <w:tc>
          <w:tcPr>
            <w:tcW w:w="80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Q2</w:t>
            </w:r>
          </w:p>
        </w:tc>
        <w:tc>
          <w:tcPr>
            <w:tcW w:w="100" w:type="dxa"/>
            <w:vAlign w:val="bottom"/>
          </w:tcPr>
          <w:p>
            <w:pPr>
              <w:spacing w:after="0"/>
              <w:rPr>
                <w:sz w:val="12"/>
                <w:szCs w:val="12"/>
                <w:color w:val="auto"/>
              </w:rPr>
            </w:pPr>
          </w:p>
        </w:tc>
        <w:tc>
          <w:tcPr>
            <w:tcW w:w="50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48,825</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52,305</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58,819</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50,948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Expenses</w:t>
            </w:r>
            <w:r>
              <w:rPr>
                <w:rFonts w:ascii="Times New Roman" w:cs="Times New Roman" w:eastAsia="Times New Roman" w:hAnsi="Times New Roman"/>
                <w:sz w:val="15"/>
                <w:szCs w:val="15"/>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21,946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21,376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6"/>
              </w:rPr>
              <w:t>24,887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22,429</w:t>
            </w:r>
          </w:p>
        </w:tc>
      </w:tr>
      <w:tr>
        <w:trPr>
          <w:trHeight w:val="21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26,879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30,929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33,932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28,519</w:t>
            </w:r>
          </w:p>
        </w:tc>
      </w:tr>
      <w:tr>
        <w:trPr>
          <w:trHeight w:val="216"/>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Unrealized and Realized Gains (Losses)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(6,170)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26,746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24,759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31,826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28,278</w:t>
            </w:r>
          </w:p>
        </w:tc>
      </w:tr>
      <w:tr>
        <w:trPr>
          <w:trHeight w:val="234"/>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 Value per Share as of the End of the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16.09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16.04</w:t>
            </w:r>
          </w:p>
        </w:tc>
      </w:tr>
      <w:tr>
        <w:trPr>
          <w:trHeight w:val="346"/>
        </w:trPr>
        <w:tc>
          <w:tcPr>
            <w:tcW w:w="7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Q4</w:t>
            </w:r>
          </w:p>
        </w:tc>
        <w:tc>
          <w:tcPr>
            <w:tcW w:w="120" w:type="dxa"/>
            <w:vAlign w:val="bottom"/>
          </w:tcPr>
          <w:p>
            <w:pPr>
              <w:spacing w:after="0"/>
              <w:rPr>
                <w:sz w:val="12"/>
                <w:szCs w:val="12"/>
                <w:color w:val="auto"/>
              </w:rPr>
            </w:pPr>
          </w:p>
        </w:tc>
        <w:tc>
          <w:tcPr>
            <w:tcW w:w="860" w:type="dxa"/>
            <w:vAlign w:val="bottom"/>
            <w:gridSpan w:val="2"/>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Q3</w:t>
            </w:r>
          </w:p>
        </w:tc>
        <w:tc>
          <w:tcPr>
            <w:tcW w:w="100" w:type="dxa"/>
            <w:vAlign w:val="bottom"/>
          </w:tcPr>
          <w:p>
            <w:pPr>
              <w:spacing w:after="0"/>
              <w:rPr>
                <w:sz w:val="12"/>
                <w:szCs w:val="12"/>
                <w:color w:val="auto"/>
              </w:rPr>
            </w:pPr>
          </w:p>
        </w:tc>
        <w:tc>
          <w:tcPr>
            <w:tcW w:w="80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Q2</w:t>
            </w:r>
          </w:p>
        </w:tc>
        <w:tc>
          <w:tcPr>
            <w:tcW w:w="100" w:type="dxa"/>
            <w:vAlign w:val="bottom"/>
          </w:tcPr>
          <w:p>
            <w:pPr>
              <w:spacing w:after="0"/>
              <w:rPr>
                <w:sz w:val="12"/>
                <w:szCs w:val="12"/>
                <w:color w:val="auto"/>
              </w:rPr>
            </w:pPr>
          </w:p>
        </w:tc>
        <w:tc>
          <w:tcPr>
            <w:tcW w:w="50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49,708</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53,917</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46,034</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42,751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Expenses</w:t>
            </w:r>
            <w:r>
              <w:rPr>
                <w:rFonts w:ascii="Times New Roman" w:cs="Times New Roman" w:eastAsia="Times New Roman" w:hAnsi="Times New Roman"/>
                <w:sz w:val="15"/>
                <w:szCs w:val="15"/>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21,641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23,346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6"/>
              </w:rPr>
              <w:t>20,531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19,559</w:t>
            </w:r>
          </w:p>
        </w:tc>
      </w:tr>
      <w:tr>
        <w:trPr>
          <w:trHeight w:val="21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28,067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30,571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25,503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23,192</w:t>
            </w:r>
          </w:p>
        </w:tc>
      </w:tr>
      <w:tr>
        <w:trPr>
          <w:trHeight w:val="216"/>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Unrealized and Realized Gains (Losses)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4,656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6,304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6"/>
              </w:rPr>
              <w:t>24,135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(5,421)</w:t>
            </w:r>
          </w:p>
        </w:tc>
      </w:tr>
      <w:tr>
        <w:trPr>
          <w:trHeight w:val="21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32,723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36,875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49,638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17,771</w:t>
            </w:r>
          </w:p>
        </w:tc>
      </w:tr>
      <w:tr>
        <w:trPr>
          <w:trHeight w:val="234"/>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 Value per Share as of the End of the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15.95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15.11</w:t>
            </w:r>
          </w:p>
        </w:tc>
      </w:tr>
      <w:tr>
        <w:trPr>
          <w:trHeight w:val="346"/>
        </w:trPr>
        <w:tc>
          <w:tcPr>
            <w:tcW w:w="7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Q4</w:t>
            </w:r>
          </w:p>
        </w:tc>
        <w:tc>
          <w:tcPr>
            <w:tcW w:w="120" w:type="dxa"/>
            <w:vAlign w:val="bottom"/>
          </w:tcPr>
          <w:p>
            <w:pPr>
              <w:spacing w:after="0"/>
              <w:rPr>
                <w:sz w:val="12"/>
                <w:szCs w:val="12"/>
                <w:color w:val="auto"/>
              </w:rPr>
            </w:pPr>
          </w:p>
        </w:tc>
        <w:tc>
          <w:tcPr>
            <w:tcW w:w="860" w:type="dxa"/>
            <w:vAlign w:val="bottom"/>
            <w:gridSpan w:val="2"/>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Q3</w:t>
            </w:r>
          </w:p>
        </w:tc>
        <w:tc>
          <w:tcPr>
            <w:tcW w:w="100" w:type="dxa"/>
            <w:vAlign w:val="bottom"/>
          </w:tcPr>
          <w:p>
            <w:pPr>
              <w:spacing w:after="0"/>
              <w:rPr>
                <w:sz w:val="12"/>
                <w:szCs w:val="12"/>
                <w:color w:val="auto"/>
              </w:rPr>
            </w:pPr>
          </w:p>
        </w:tc>
        <w:tc>
          <w:tcPr>
            <w:tcW w:w="80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Q2</w:t>
            </w:r>
          </w:p>
        </w:tc>
        <w:tc>
          <w:tcPr>
            <w:tcW w:w="100" w:type="dxa"/>
            <w:vAlign w:val="bottom"/>
          </w:tcPr>
          <w:p>
            <w:pPr>
              <w:spacing w:after="0"/>
              <w:rPr>
                <w:sz w:val="12"/>
                <w:szCs w:val="12"/>
                <w:color w:val="auto"/>
              </w:rPr>
            </w:pPr>
          </w:p>
        </w:tc>
        <w:tc>
          <w:tcPr>
            <w:tcW w:w="50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43,559</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46,774</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45,352</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37,730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Expenses</w:t>
            </w:r>
            <w:r>
              <w:rPr>
                <w:rFonts w:ascii="Times New Roman" w:cs="Times New Roman" w:eastAsia="Times New Roman" w:hAnsi="Times New Roman"/>
                <w:sz w:val="15"/>
                <w:szCs w:val="15"/>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19,916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20,926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6"/>
              </w:rPr>
              <w:t>20,332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16,943</w:t>
            </w:r>
          </w:p>
        </w:tc>
      </w:tr>
      <w:tr>
        <w:trPr>
          <w:trHeight w:val="21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23,643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25,849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25,020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20,787</w:t>
            </w:r>
          </w:p>
        </w:tc>
      </w:tr>
      <w:tr>
        <w:trPr>
          <w:trHeight w:val="216"/>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Unrealized and Realized Gains (Losses)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(27,985)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(16,512)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9,085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3,681</w:t>
            </w:r>
          </w:p>
        </w:tc>
      </w:tr>
      <w:tr>
        <w:trPr>
          <w:trHeight w:val="21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Net Assets Resulting from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(4,342)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9,337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34,105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24,468</w:t>
            </w:r>
          </w:p>
        </w:tc>
      </w:tr>
      <w:tr>
        <w:trPr>
          <w:trHeight w:val="234"/>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 Value per Share as of the End of the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15.15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15.60</w:t>
            </w:r>
          </w:p>
        </w:tc>
      </w:tr>
    </w:tbl>
    <w:p>
      <w:pPr>
        <w:spacing w:after="0" w:line="206" w:lineRule="exact"/>
        <w:rPr>
          <w:sz w:val="20"/>
          <w:szCs w:val="20"/>
          <w:color w:val="auto"/>
        </w:rPr>
      </w:pPr>
    </w:p>
    <w:p>
      <w:pPr>
        <w:ind w:left="800" w:hanging="414"/>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Expenses includes Income taxes, including excise taxes.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240" w:top="455" w:right="6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a number of significant risks. Before you invest in our securities, you should be aware of various risks associated with the investment, including those described below. You should carefully consider these risk factors, together with all of the other information included in this prospectus and any accompanying prospectus supplement, including our consolidated financial statements and the related notes thereto, before you decide whether to make an investment in our securities. The risks set out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all or part of your investment.</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Structure</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management personnel of the Adviser, TSSP, TPG and their affiliates for our future success.</w:t>
      </w:r>
    </w:p>
    <w:p>
      <w:pPr>
        <w:spacing w:after="0" w:line="121"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We depend on the experience, diligence, skill and network of business contacts of senior members of our Investment Team. Our Investment Team, together with other professionals at TSSP and TPG and their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84"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In addition, we cannot assure you that the Adviser will remain our investment adviser or that we will continue to have access to TSSP, TPG or their investment professionals. The Investment Advisory Agreement may be terminated by either party without penalty on 60 days’ written notice to the other party. The holders of a majority of our outstanding voting securities may also terminate the Investment Advisory Agreement without penalty on 60 days’ written notice.</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Regulations governing our operation as a BDC affect our ability to, and the way in which we, raise additional capital.</w:t>
      </w:r>
    </w:p>
    <w:p>
      <w:pPr>
        <w:spacing w:after="0" w:line="121" w:lineRule="exact"/>
        <w:rPr>
          <w:sz w:val="20"/>
          <w:szCs w:val="20"/>
          <w:color w:val="auto"/>
        </w:rPr>
      </w:pPr>
    </w:p>
    <w:p>
      <w:pPr>
        <w:ind w:left="200" w:right="40" w:firstLine="441"/>
        <w:spacing w:after="0" w:line="261" w:lineRule="auto"/>
        <w:rPr>
          <w:sz w:val="20"/>
          <w:szCs w:val="20"/>
          <w:color w:val="auto"/>
        </w:rPr>
      </w:pPr>
      <w:r>
        <w:rPr>
          <w:rFonts w:ascii="Times New Roman" w:cs="Times New Roman" w:eastAsia="Times New Roman" w:hAnsi="Times New Roman"/>
          <w:sz w:val="18"/>
          <w:szCs w:val="18"/>
          <w:color w:val="auto"/>
        </w:rPr>
        <w:t>The 1940 Act imposes numerous constraints on the operations of BDCs. See “Regulation” for a discussion of BDC limitations.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80" w:lineRule="exact"/>
        <w:rPr>
          <w:sz w:val="20"/>
          <w:szCs w:val="20"/>
          <w:color w:val="auto"/>
        </w:rPr>
      </w:pPr>
    </w:p>
    <w:p>
      <w:pPr>
        <w:jc w:val="both"/>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We may need to periodically access the debt and equity capital markets to raise cash to fund new investments in excess of our repayments, and we may also need to access the capital markets to refinance existing debt obligations to the extent such maturing obligations are not repaid with availability under our revolving credit facilities or cash flows from operations.</w:t>
      </w:r>
    </w:p>
    <w:p>
      <w:pPr>
        <w:spacing w:after="0" w:line="176"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200% (or 150% if certain requirements are met). We may need to continue to borrow from financial institutions and issue additional securities to fund our growth. Unfavorable</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00"/>
          </w:cols>
          <w:pgMar w:left="240" w:top="455" w:right="4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Times New Roman" w:cs="Times New Roman" w:eastAsia="Times New Roman" w:hAnsi="Times New Roman"/>
          <w:sz w:val="18"/>
          <w:szCs w:val="18"/>
          <w:color w:val="auto"/>
        </w:rPr>
        <w:t>economic or capital market conditions may increase our funding costs, limit our access to the capital markets or could result in a decision by lenders not to extend credit to us. An inability to successfully access the capital markets may limit our ability to refinance our existing debt obligations as they come due and/or to fully execute our business strategy and could limit our ability to grow or cause us to have to shrink the size of our business, which could decrease our earnings, if any. Consequently, if the value of our assets declines or we are unable to access the capital markets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89"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89" w:lineRule="exact"/>
        <w:rPr>
          <w:sz w:val="20"/>
          <w:szCs w:val="20"/>
          <w:color w:val="auto"/>
        </w:rPr>
      </w:pPr>
    </w:p>
    <w:p>
      <w:pPr>
        <w:ind w:left="200" w:right="60" w:firstLine="441"/>
        <w:spacing w:after="0" w:line="252" w:lineRule="auto"/>
        <w:rPr>
          <w:sz w:val="20"/>
          <w:szCs w:val="20"/>
          <w:color w:val="auto"/>
        </w:rPr>
      </w:pPr>
      <w:r>
        <w:rPr>
          <w:rFonts w:ascii="Times New Roman" w:cs="Times New Roman" w:eastAsia="Times New Roman" w:hAnsi="Times New Roman"/>
          <w:sz w:val="18"/>
          <w:szCs w:val="18"/>
          <w:color w:val="auto"/>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May 18, 2017, we are currently permitted to sell or otherwise issue shares of our common stock at a price below our then-current net asset value per share, subject to the approval of our Board and certain other conditions. Such stockholder approval expires on May 18, 2018. On March 16, 2018, we filed a preliminary proxy statement for a special meeting of stockholders, currently expected to take place on May 17, 2018. The preliminary proxy statement sets forth a proposal to be voted upon at the special meeting that, if approved by stockholders, would have the effect of extending this approval to the one-year anniversary of the date of the special meeting.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 See “—Risks Related to Offerings Pursuant to This Prospectus—The net asset value per share of our common stock may be diluted if we sell or otherwise issue shares of our common stock at prices below the then-current net asset value per share of our common stock.”</w:t>
      </w:r>
    </w:p>
    <w:p>
      <w:pPr>
        <w:spacing w:after="0" w:line="194" w:lineRule="exact"/>
        <w:rPr>
          <w:sz w:val="20"/>
          <w:szCs w:val="20"/>
          <w:color w:val="auto"/>
        </w:rPr>
      </w:pPr>
    </w:p>
    <w:p>
      <w:pPr>
        <w:ind w:left="200" w:right="120" w:firstLine="441"/>
        <w:spacing w:after="0" w:line="258" w:lineRule="auto"/>
        <w:rPr>
          <w:sz w:val="20"/>
          <w:szCs w:val="20"/>
          <w:color w:val="auto"/>
        </w:rPr>
      </w:pPr>
      <w:r>
        <w:rPr>
          <w:rFonts w:ascii="Times New Roman" w:cs="Times New Roman" w:eastAsia="Times New Roman" w:hAnsi="Times New Roman"/>
          <w:sz w:val="18"/>
          <w:szCs w:val="18"/>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240" w:top="455" w:right="4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4" w:lineRule="auto"/>
        <w:rPr>
          <w:sz w:val="20"/>
          <w:szCs w:val="20"/>
          <w:color w:val="auto"/>
        </w:rPr>
      </w:pPr>
      <w:r>
        <w:rPr>
          <w:rFonts w:ascii="Times New Roman" w:cs="Times New Roman" w:eastAsia="Times New Roman" w:hAnsi="Times New Roman"/>
          <w:sz w:val="17"/>
          <w:szCs w:val="17"/>
          <w:color w:val="auto"/>
        </w:rPr>
        <w:t>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“—Risks Related to Our Portfolio Company Investments—We may securitize certain of our investments, which may subject us to certain structured financing risks.”</w:t>
      </w:r>
    </w:p>
    <w:p>
      <w:pPr>
        <w:spacing w:after="0" w:line="2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We borrow money, which magnifies the potential for gain or loss and increases the risk of investing in us.</w:t>
      </w:r>
    </w:p>
    <w:p>
      <w:pPr>
        <w:spacing w:after="0" w:line="121" w:lineRule="exact"/>
        <w:rPr>
          <w:sz w:val="20"/>
          <w:szCs w:val="20"/>
          <w:color w:val="auto"/>
        </w:rPr>
      </w:pPr>
    </w:p>
    <w:p>
      <w:pPr>
        <w:ind w:left="200" w:firstLine="441"/>
        <w:spacing w:after="0" w:line="253" w:lineRule="auto"/>
        <w:rPr>
          <w:sz w:val="20"/>
          <w:szCs w:val="20"/>
          <w:color w:val="auto"/>
        </w:rPr>
      </w:pPr>
      <w:r>
        <w:rPr>
          <w:rFonts w:ascii="Times New Roman" w:cs="Times New Roman" w:eastAsia="Times New Roman" w:hAnsi="Times New Roman"/>
          <w:sz w:val="18"/>
          <w:szCs w:val="18"/>
          <w:color w:val="auto"/>
        </w:rPr>
        <w:t>As part of our business strategy, we borrow from and may in the future issue additional senior debt securities to banks, insurance companies and other lenders. Holders of these loans or senior securities would have fixed-dollar claims on our assets that have priority over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See “—Risks Related to Our Business and Structure—Even in the event the value of your investment declines, the Management Fee and, in certain circumstances, the Incentive Fee will still be payable to the Adviser.” The amount of leverage that we employ will depend on our Adviser’s and our Board’s assessment of market and other factors at the time of any proposed borrowing. We cannot assure you that we will be able to obtain credit at all or on terms acceptable to us.</w:t>
      </w:r>
    </w:p>
    <w:p>
      <w:pPr>
        <w:spacing w:after="0" w:line="193"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Our credit facilities and indentures governing our indebtedness also impose financial and operating covenants that restrict our business activities, remedies on default and similar matters. As of December 31, 2017, we are in compliance with the covenants of our credit facilities and indentures.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and indentures.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85" w:lineRule="exact"/>
        <w:rPr>
          <w:sz w:val="20"/>
          <w:szCs w:val="20"/>
          <w:color w:val="auto"/>
        </w:rPr>
      </w:pPr>
    </w:p>
    <w:p>
      <w:pPr>
        <w:ind w:left="200" w:right="300" w:firstLine="441"/>
        <w:spacing w:after="0" w:line="266" w:lineRule="auto"/>
        <w:rPr>
          <w:sz w:val="20"/>
          <w:szCs w:val="20"/>
          <w:color w:val="auto"/>
        </w:rPr>
      </w:pPr>
      <w:r>
        <w:rPr>
          <w:rFonts w:ascii="Times New Roman" w:cs="Times New Roman" w:eastAsia="Times New Roman" w:hAnsi="Times New Roman"/>
          <w:sz w:val="18"/>
          <w:szCs w:val="18"/>
          <w:color w:val="auto"/>
        </w:rPr>
        <w:t>Lastly, the SEC has issued a proposed rule, Rule 18f-4, that if adopted would potentially constrain our ability to use leverage if we have substantial exposure to swaps and other derivatives, or have significant outstanding financial commitments to our portfolio companies. See “—Risks Related to Our Portfolio Company Investments—We expose ourselves to risks when we engage in hedging transactions.”</w:t>
      </w:r>
    </w:p>
    <w:p>
      <w:pPr>
        <w:spacing w:after="0" w:line="176" w:lineRule="exact"/>
        <w:rPr>
          <w:sz w:val="20"/>
          <w:szCs w:val="20"/>
          <w:color w:val="auto"/>
        </w:rPr>
      </w:pPr>
    </w:p>
    <w:p>
      <w:pPr>
        <w:ind w:left="200" w:right="60" w:firstLine="441"/>
        <w:spacing w:after="0" w:line="258" w:lineRule="auto"/>
        <w:rPr>
          <w:sz w:val="20"/>
          <w:szCs w:val="20"/>
          <w:color w:val="auto"/>
        </w:rPr>
      </w:pPr>
      <w:r>
        <w:rPr>
          <w:rFonts w:ascii="Times New Roman" w:cs="Times New Roman" w:eastAsia="Times New Roman" w:hAnsi="Times New Roman"/>
          <w:sz w:val="18"/>
          <w:szCs w:val="18"/>
          <w:color w:val="auto"/>
        </w:rPr>
        <w:t>As of December 31, 2017, we had $716.8 million of outstanding indebtedness, which had an annualized interest cost of 3.34% under the terms of our debt, excluding fees (such as fees on undrawn amounts and amortization of upfront fees) and giving effect to the swap-adjusted interest rates on our Convertible Senior Notes. As of December 31, 2017, the interest rate on the 2019 Convertible Senior Notes, as adjusted to give effect to the interest rate swaps, was three-month London Interbank Offered Rate, or LIBOR, plus 286 basis points and the interest rate on the 2022 Convertible Senior Notes was three-month LIBOR plus 237.2 basis points.</w:t>
      </w:r>
    </w:p>
    <w:p>
      <w:pPr>
        <w:spacing w:after="0" w:line="184"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For us to cover these annualized interest payments on indebtedness, we must achieve annual returns on our investments of at least 1.4%. Since we generally pay interest at a floating rate on our debt, an increase in interest</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240" w:top="455" w:right="4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82" w:lineRule="auto"/>
        <w:rPr>
          <w:sz w:val="20"/>
          <w:szCs w:val="20"/>
          <w:color w:val="auto"/>
        </w:rPr>
      </w:pPr>
      <w:r>
        <w:rPr>
          <w:rFonts w:ascii="Times New Roman" w:cs="Times New Roman" w:eastAsia="Times New Roman" w:hAnsi="Times New Roman"/>
          <w:sz w:val="18"/>
          <w:szCs w:val="18"/>
          <w:color w:val="auto"/>
        </w:rPr>
        <w:t>rates will generally increase our borrowing costs. We expect that our annualized interest cost and returns required to cover interest will increase if we issue additional debt securities.</w:t>
      </w:r>
    </w:p>
    <w:p>
      <w:pPr>
        <w:spacing w:after="0" w:line="162" w:lineRule="exact"/>
        <w:rPr>
          <w:sz w:val="20"/>
          <w:szCs w:val="20"/>
          <w:color w:val="auto"/>
        </w:rPr>
      </w:pPr>
    </w:p>
    <w:p>
      <w:pPr>
        <w:ind w:left="200" w:right="120" w:firstLine="441"/>
        <w:spacing w:after="0" w:line="261" w:lineRule="auto"/>
        <w:rPr>
          <w:sz w:val="20"/>
          <w:szCs w:val="20"/>
          <w:color w:val="auto"/>
        </w:rPr>
      </w:pPr>
      <w:r>
        <w:rPr>
          <w:rFonts w:ascii="Times New Roman" w:cs="Times New Roman" w:eastAsia="Times New Roman" w:hAnsi="Times New Roman"/>
          <w:sz w:val="18"/>
          <w:szCs w:val="18"/>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201"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4"/>
          <w:szCs w:val="14"/>
          <w:b w:val="1"/>
          <w:bCs w:val="1"/>
          <w:color w:val="auto"/>
        </w:rPr>
        <w:t>Assumed Return on Our Portfolio</w:t>
      </w:r>
    </w:p>
    <w:p>
      <w:pPr>
        <w:jc w:val="center"/>
        <w:ind w:left="5620"/>
        <w:spacing w:after="0"/>
        <w:rPr>
          <w:sz w:val="20"/>
          <w:szCs w:val="20"/>
          <w:color w:val="auto"/>
        </w:rPr>
      </w:pPr>
      <w:r>
        <w:rPr>
          <w:rFonts w:ascii="Times New Roman" w:cs="Times New Roman" w:eastAsia="Times New Roman" w:hAnsi="Times New Roman"/>
          <w:sz w:val="14"/>
          <w:szCs w:val="14"/>
          <w:b w:val="1"/>
          <w:bCs w:val="1"/>
          <w:color w:val="auto"/>
        </w:rPr>
        <w:t>(net of expenses)</w:t>
      </w: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8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-10%</w:t>
            </w:r>
          </w:p>
        </w:tc>
        <w:tc>
          <w:tcPr>
            <w:tcW w:w="54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-5%</w:t>
            </w:r>
          </w:p>
        </w:tc>
        <w:tc>
          <w:tcPr>
            <w:tcW w:w="5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0%</w:t>
            </w:r>
          </w:p>
        </w:tc>
        <w:tc>
          <w:tcPr>
            <w:tcW w:w="56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5%</w:t>
            </w:r>
          </w:p>
        </w:tc>
        <w:tc>
          <w:tcPr>
            <w:tcW w:w="5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10%</w:t>
            </w:r>
          </w:p>
        </w:tc>
        <w:tc>
          <w:tcPr>
            <w:tcW w:w="2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Corresponding return to stockholder</w:t>
            </w:r>
            <w:r>
              <w:rPr>
                <w:rFonts w:ascii="Times New Roman" w:cs="Times New Roman" w:eastAsia="Times New Roman" w:hAnsi="Times New Roman"/>
                <w:sz w:val="15"/>
                <w:szCs w:val="15"/>
                <w:color w:val="auto"/>
              </w:rPr>
              <w:t>(1)</w:t>
            </w:r>
          </w:p>
        </w:tc>
        <w:tc>
          <w:tcPr>
            <w:tcW w:w="1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-20.22%</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-11.34%</w:t>
            </w:r>
          </w:p>
        </w:tc>
        <w:tc>
          <w:tcPr>
            <w:tcW w:w="1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-2.47%</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6.40%</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15.28%</w:t>
            </w:r>
          </w:p>
        </w:tc>
      </w:tr>
    </w:tbl>
    <w:p>
      <w:pPr>
        <w:spacing w:after="0" w:line="225" w:lineRule="exact"/>
        <w:rPr>
          <w:sz w:val="20"/>
          <w:szCs w:val="20"/>
          <w:color w:val="auto"/>
        </w:rPr>
      </w:pPr>
    </w:p>
    <w:p>
      <w:pPr>
        <w:ind w:left="640" w:right="80" w:hanging="436"/>
        <w:spacing w:after="0" w:line="28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as of December 31, 2017, (i) $1.7 billion in total assets, (ii) $716.8 million in outstanding indebtedness, (iii) $969.3 million in net assets and (iv) annualized interest cost of 3.34%, under the terms of our debt.</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business, financial conditions or results of operations.</w:t>
      </w:r>
    </w:p>
    <w:p>
      <w:pPr>
        <w:spacing w:after="0" w:line="121"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Legislation may allow us to incur additional leverage.</w:t>
      </w:r>
    </w:p>
    <w:p>
      <w:pPr>
        <w:spacing w:after="0" w:line="121" w:lineRule="exact"/>
        <w:rPr>
          <w:sz w:val="20"/>
          <w:szCs w:val="20"/>
          <w:color w:val="auto"/>
        </w:rPr>
      </w:pPr>
    </w:p>
    <w:p>
      <w:pPr>
        <w:ind w:left="200" w:right="20" w:firstLine="441"/>
        <w:spacing w:after="0" w:line="253" w:lineRule="auto"/>
        <w:rPr>
          <w:sz w:val="20"/>
          <w:szCs w:val="20"/>
          <w:color w:val="auto"/>
        </w:rPr>
      </w:pPr>
      <w:r>
        <w:rPr>
          <w:rFonts w:ascii="Times New Roman" w:cs="Times New Roman" w:eastAsia="Times New Roman" w:hAnsi="Times New Roman"/>
          <w:sz w:val="18"/>
          <w:szCs w:val="18"/>
          <w:color w:val="auto"/>
        </w:rPr>
        <w:t>As a BDC, under the 1940 Act we generally are not permitted to incur borrowings, issue debt securities or issue preferred stock unless immediately after the borrowing or issuance the ratio of total assets (less total liabilities other than indebtedness) to total indebtedness plus preferred stock is at least 200%. However, recent legislation has modified the 1940 Act by allowing a BDC to increase the maximum amount of leverage it may incur from an asset coverage ratio of 200% to an asset coverage ratio of 150%, if certain requirements are met. Under the legislation, the majority of our Independent Directors may vote to approve an increase in our leverage capacity, and such approval would become effective after one year. In addition, we are allowed to increase our leverage capacity if stockholders representing at least a majority of the votes cast, when quorum is met, approve a proposal to do so. If we receive stockholder approval, we would be allowed to increase our leverage capacity on the first day after such approval. In both cases, we would be required to make certain disclosures on our website and in SEC filings regarding, among other things, the receipt of approval to increase our leverage, our leverage capacity and usage, and risks related to leverage. We would be also required to amend the terms of our Revolving Credit Facility in order to incur leverage based on an asset coverage ratio of 150%. As a result, we may be able to increase our leverage up to an amount that reduces our asset coverage ratio from 200% to 150% and you may face increased investment risk. In addition, since our Management Fee is calculated as a percentage of the value of our gross assets, which includes cash, cash equivalents and any borrowings for investment purposes, our Management Fee expenses will increase if we incur additional indebtedness.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240" w:top="455" w:right="41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market for investment opportunities.</w:t>
      </w:r>
    </w:p>
    <w:p>
      <w:pPr>
        <w:spacing w:after="0" w:line="121" w:lineRule="exact"/>
        <w:rPr>
          <w:sz w:val="20"/>
          <w:szCs w:val="20"/>
          <w:color w:val="auto"/>
        </w:rPr>
      </w:pPr>
    </w:p>
    <w:p>
      <w:pPr>
        <w:ind w:left="200" w:right="60" w:firstLine="441"/>
        <w:spacing w:after="0" w:line="255" w:lineRule="auto"/>
        <w:rPr>
          <w:sz w:val="20"/>
          <w:szCs w:val="20"/>
          <w:color w:val="auto"/>
        </w:rPr>
      </w:pPr>
      <w:r>
        <w:rPr>
          <w:rFonts w:ascii="Times New Roman" w:cs="Times New Roman" w:eastAsia="Times New Roman" w:hAnsi="Times New Roman"/>
          <w:sz w:val="18"/>
          <w:szCs w:val="18"/>
          <w:color w:val="auto"/>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89"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2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source investments, access financing or manage future growth effectively, we may be unable to achieve our investment objective.</w:t>
      </w:r>
    </w:p>
    <w:p>
      <w:pPr>
        <w:spacing w:after="0" w:line="12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 Moreover, our ability to structure investments may also depend upon the 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89" w:lineRule="exact"/>
        <w:rPr>
          <w:sz w:val="20"/>
          <w:szCs w:val="20"/>
          <w:color w:val="auto"/>
        </w:rPr>
      </w:pPr>
    </w:p>
    <w:p>
      <w:pPr>
        <w:ind w:left="200" w:right="180" w:firstLine="441"/>
        <w:spacing w:after="0" w:line="261" w:lineRule="auto"/>
        <w:rPr>
          <w:sz w:val="20"/>
          <w:szCs w:val="20"/>
          <w:color w:val="auto"/>
        </w:rPr>
      </w:pPr>
      <w:r>
        <w:rPr>
          <w:rFonts w:ascii="Times New Roman" w:cs="Times New Roman" w:eastAsia="Times New Roman" w:hAnsi="Times New Roman"/>
          <w:sz w:val="18"/>
          <w:szCs w:val="18"/>
          <w:color w:val="auto"/>
        </w:rPr>
        <w:t>In addition to monitoring the performance of our existing investments, members of our Investment Team may also be called upon to provide managerial assistance to our portfolio companies. These demands on their 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284" w:lineRule="exact"/>
        <w:rPr>
          <w:sz w:val="20"/>
          <w:szCs w:val="20"/>
          <w:color w:val="auto"/>
        </w:rPr>
      </w:pPr>
    </w:p>
    <w:p>
      <w:pPr>
        <w:ind w:left="20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51"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including investors in offerings of common stock pursuant to this prospectus. Given the subjective nature of the investment decisions that our Adviser will make on our behalf, we may not be able to monitor this potential conflict of interest.</w:t>
      </w:r>
    </w:p>
    <w:p>
      <w:pPr>
        <w:spacing w:after="0" w:line="12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20"/>
          </w:cols>
          <w:pgMar w:left="240" w:top="455" w:right="4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5" w:lineRule="auto"/>
        <w:rPr>
          <w:sz w:val="20"/>
          <w:szCs w:val="20"/>
          <w:color w:val="auto"/>
        </w:rPr>
      </w:pPr>
      <w:r>
        <w:rPr>
          <w:rFonts w:ascii="Times New Roman" w:cs="Times New Roman" w:eastAsia="Times New Roman" w:hAnsi="Times New Roman"/>
          <w:sz w:val="18"/>
          <w:szCs w:val="18"/>
          <w:color w:val="auto"/>
        </w:rPr>
        <w:t>The Incentive Fee is calculated as a percentage of pre-Incentive Fee net investment income. Since pre-Incentive Fee net investment income does not include any realized capital gains, realized capital losses or unrealized capital appreciation or depreciation,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85"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Also, one component of the Incentive Fee is calculated annually based upon our realized capital gains, computed net of realized capital losses and unrealized capital depreciation on a cumulative basis. As a result, we may owe the Adviser an Incentive Fee during one year as a result of realized capital gains on certain investments, and then incur significant realized capital losses and unrealized capital depreciation on the remaining investments in our portfolio during subsequent years. Incentive Fees earned in prior years cannot be clawed back even if we later incur losses.</w:t>
      </w:r>
    </w:p>
    <w:p>
      <w:pPr>
        <w:spacing w:after="0" w:line="180"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292" w:lineRule="exact"/>
        <w:rPr>
          <w:sz w:val="20"/>
          <w:szCs w:val="20"/>
          <w:color w:val="auto"/>
        </w:rPr>
      </w:pPr>
    </w:p>
    <w:p>
      <w:pPr>
        <w:ind w:left="20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5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To maintain our status as a RIC for U.S. federal income tax purposes, we must distribute (or be treated as distributing) in each taxable year dividends for tax purposes equal to at least 90% of our investment company taxable income and net tax-exempt income for that taxable year, and may either distribute or retain our realized net capital gains from investments. Unless investors elect to reinvest dividends, earnings that we are required to distribute to stockholders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293" w:lineRule="exact"/>
        <w:rPr>
          <w:sz w:val="20"/>
          <w:szCs w:val="20"/>
          <w:color w:val="auto"/>
        </w:rPr>
      </w:pPr>
    </w:p>
    <w:p>
      <w:pPr>
        <w:ind w:left="20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51" w:lineRule="exact"/>
        <w:rPr>
          <w:sz w:val="20"/>
          <w:szCs w:val="20"/>
          <w:color w:val="auto"/>
        </w:rPr>
      </w:pPr>
    </w:p>
    <w:p>
      <w:pPr>
        <w:ind w:left="200" w:right="40" w:firstLine="441"/>
        <w:spacing w:after="0" w:line="289" w:lineRule="auto"/>
        <w:rPr>
          <w:sz w:val="20"/>
          <w:szCs w:val="20"/>
          <w:color w:val="auto"/>
        </w:rPr>
      </w:pPr>
      <w:r>
        <w:rPr>
          <w:rFonts w:ascii="Times New Roman" w:cs="Times New Roman" w:eastAsia="Times New Roman" w:hAnsi="Times New Roman"/>
          <w:sz w:val="17"/>
          <w:szCs w:val="17"/>
          <w:color w:val="auto"/>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you that we will be able to continue to qualify for and maintain RIC status. To maintain RIC status under</w:t>
      </w:r>
    </w:p>
    <w:p>
      <w:pPr>
        <w:spacing w:after="0" w:line="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80"/>
          </w:cols>
          <w:pgMar w:left="240" w:top="455" w:right="47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82" w:lineRule="auto"/>
        <w:rPr>
          <w:sz w:val="20"/>
          <w:szCs w:val="20"/>
          <w:color w:val="auto"/>
        </w:rPr>
      </w:pPr>
      <w:r>
        <w:rPr>
          <w:rFonts w:ascii="Times New Roman" w:cs="Times New Roman" w:eastAsia="Times New Roman" w:hAnsi="Times New Roman"/>
          <w:sz w:val="18"/>
          <w:szCs w:val="18"/>
          <w:color w:val="auto"/>
        </w:rPr>
        <w:t>the Code and to avoid corporate-level U.S. federal income tax, we must meet the following annual distribution, income source and asset diversification requirements:</w:t>
      </w:r>
    </w:p>
    <w:p>
      <w:pPr>
        <w:spacing w:after="0" w:line="67" w:lineRule="exact"/>
        <w:rPr>
          <w:sz w:val="20"/>
          <w:szCs w:val="20"/>
          <w:color w:val="auto"/>
        </w:rPr>
      </w:pPr>
    </w:p>
    <w:p>
      <w:pPr>
        <w:ind w:left="1060" w:hanging="316"/>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distribute (or be treated as distributing) dividends for tax purposes in each taxable year equal to at least 90% of each of:</w:t>
      </w:r>
    </w:p>
    <w:p>
      <w:pPr>
        <w:spacing w:after="0" w:line="130" w:lineRule="exact"/>
        <w:rPr>
          <w:rFonts w:ascii="Times New Roman" w:cs="Times New Roman" w:eastAsia="Times New Roman" w:hAnsi="Times New Roman"/>
          <w:sz w:val="18"/>
          <w:szCs w:val="18"/>
          <w:color w:val="auto"/>
        </w:rPr>
      </w:pPr>
    </w:p>
    <w:p>
      <w:pPr>
        <w:ind w:left="1060" w:right="80" w:hanging="316"/>
        <w:spacing w:after="0" w:line="282" w:lineRule="auto"/>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our net ordinary income and realized net short-term capital gains in excess of realized net long-term capital losses or, investment company taxable income, if any, for that taxable year; and</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tax-exempt income for that taxable year.</w:t>
      </w:r>
    </w:p>
    <w:p>
      <w:pPr>
        <w:spacing w:after="0" w:line="225"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86" w:lineRule="exact"/>
        <w:rPr>
          <w:sz w:val="20"/>
          <w:szCs w:val="20"/>
          <w:color w:val="auto"/>
        </w:rPr>
      </w:pPr>
    </w:p>
    <w:p>
      <w:pPr>
        <w:ind w:left="1060" w:right="20" w:hanging="316"/>
        <w:spacing w:after="0" w:line="282"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derive at least 90% of our gross income for each taxable year from dividends, interest, gains from the sale of or other disposition of stock or securities or similar sources.</w:t>
      </w:r>
    </w:p>
    <w:p>
      <w:pPr>
        <w:spacing w:after="0" w:line="67" w:lineRule="exact"/>
        <w:rPr>
          <w:rFonts w:ascii="Times New Roman" w:cs="Times New Roman" w:eastAsia="Times New Roman" w:hAnsi="Times New Roman"/>
          <w:sz w:val="18"/>
          <w:szCs w:val="18"/>
          <w:color w:val="auto"/>
        </w:rPr>
      </w:pPr>
    </w:p>
    <w:p>
      <w:pPr>
        <w:ind w:left="1060" w:right="140" w:hanging="316"/>
        <w:spacing w:after="0" w:line="261"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180" w:lineRule="exact"/>
        <w:rPr>
          <w:sz w:val="20"/>
          <w:szCs w:val="20"/>
          <w:color w:val="auto"/>
        </w:rPr>
      </w:pPr>
    </w:p>
    <w:p>
      <w:pPr>
        <w:ind w:left="200" w:right="100" w:firstLine="441"/>
        <w:spacing w:after="0" w:line="282" w:lineRule="auto"/>
        <w:rPr>
          <w:sz w:val="20"/>
          <w:szCs w:val="20"/>
          <w:color w:val="auto"/>
        </w:rPr>
      </w:pPr>
      <w:r>
        <w:rPr>
          <w:rFonts w:ascii="Times New Roman" w:cs="Times New Roman" w:eastAsia="Times New Roman" w:hAnsi="Times New Roman"/>
          <w:sz w:val="18"/>
          <w:szCs w:val="18"/>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266" w:lineRule="exact"/>
        <w:rPr>
          <w:sz w:val="20"/>
          <w:szCs w:val="20"/>
          <w:color w:val="auto"/>
        </w:rPr>
      </w:pPr>
    </w:p>
    <w:p>
      <w:pPr>
        <w:ind w:left="20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 be expected to retain some income and capital gains in excess of what is permissible for excise tax purposes and such amounts will be subject to 4% U.S. federal excise tax.</w:t>
      </w:r>
    </w:p>
    <w:p>
      <w:pPr>
        <w:spacing w:after="0" w:line="51" w:lineRule="exact"/>
        <w:rPr>
          <w:sz w:val="20"/>
          <w:szCs w:val="20"/>
          <w:color w:val="auto"/>
        </w:rPr>
      </w:pPr>
    </w:p>
    <w:p>
      <w:pPr>
        <w:ind w:left="200" w:right="40" w:firstLine="441"/>
        <w:spacing w:after="0" w:line="256" w:lineRule="auto"/>
        <w:rPr>
          <w:sz w:val="20"/>
          <w:szCs w:val="20"/>
          <w:color w:val="auto"/>
        </w:rPr>
      </w:pPr>
      <w:r>
        <w:rPr>
          <w:rFonts w:ascii="Times New Roman" w:cs="Times New Roman" w:eastAsia="Times New Roman" w:hAnsi="Times New Roman"/>
          <w:sz w:val="18"/>
          <w:szCs w:val="18"/>
          <w:color w:val="auto"/>
        </w:rPr>
        <w:t>As of December 31, 2017 and 2016, we elected to retain approximately $64 million and $52 million of taxable income and capital gains, respectively, in order to provide us with additional liquidity and we recorded an expense of $2.8 million and $2.2 million, respectively, for U.S. federal excise tax as a result. We can be expected to retain some income and capital gains in the future, including for purposes of providing us with additional liquidity, which amounts would similarly be subject to the 4% U.S. federal excise tax. In that event, we will be liable for the tax on the amount by which we do not meet the foregoing distribution requirement. See “Material U.S. Federal Income Tax Considerations—Regulated Investment Company Classification.”</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Adviser and its affiliates, officers and employees may face certain conflicts of interest.</w:t>
      </w:r>
    </w:p>
    <w:p>
      <w:pPr>
        <w:spacing w:after="0" w:line="121"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 However, the Adviser, its 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stockholders.</w:t>
      </w:r>
    </w:p>
    <w:p>
      <w:pPr>
        <w:spacing w:after="0" w:line="188" w:lineRule="exact"/>
        <w:rPr>
          <w:sz w:val="20"/>
          <w:szCs w:val="20"/>
          <w:color w:val="auto"/>
        </w:rPr>
      </w:pPr>
    </w:p>
    <w:p>
      <w:pPr>
        <w:ind w:left="200" w:right="120" w:firstLine="441"/>
        <w:spacing w:after="0" w:line="282" w:lineRule="auto"/>
        <w:rPr>
          <w:sz w:val="20"/>
          <w:szCs w:val="20"/>
          <w:color w:val="auto"/>
        </w:rPr>
      </w:pPr>
      <w:r>
        <w:rPr>
          <w:rFonts w:ascii="Times New Roman" w:cs="Times New Roman" w:eastAsia="Times New Roman" w:hAnsi="Times New Roman"/>
          <w:sz w:val="18"/>
          <w:szCs w:val="18"/>
          <w:color w:val="auto"/>
        </w:rPr>
        <w:t>In addition, any affiliated investment vehicle currently formed or formed in the future and managed by the Adviser or its affiliates, particularly in connection with any future growth of their respective businesses, may</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240" w:top="455" w:right="4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55" w:lineRule="auto"/>
        <w:rPr>
          <w:sz w:val="20"/>
          <w:szCs w:val="20"/>
          <w:color w:val="auto"/>
        </w:rPr>
      </w:pPr>
      <w:r>
        <w:rPr>
          <w:rFonts w:ascii="Times New Roman" w:cs="Times New Roman" w:eastAsia="Times New Roman" w:hAnsi="Times New Roman"/>
          <w:sz w:val="18"/>
          <w:szCs w:val="18"/>
          <w:color w:val="auto"/>
        </w:rPr>
        <w:t>have overlapping investment objectives with our own and, accordingly, may invest in asset classes similar to those targeted by us. For example, TSSP has organized a separate investment vehicle, TSL Europe, aimed specifically at European middle-market loan originations and may in the future organize vehicles aimed at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TSSP or TPG senior professionals. As a result, the Adviser and its affiliates may face conflicts in allocating investment opportunities between us and those other entities. It is possible that we may not be given the opportunity to participate in certain investments made by other TSSP or TPG vehicles that would otherwise be suitable for us.</w:t>
      </w:r>
    </w:p>
    <w:p>
      <w:pPr>
        <w:spacing w:after="0" w:line="189"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If the Adviser and TPG were to determine that an investment is appropriate both for us and for one or more other TSSP or TPG vehicles, we would only be able to make the investment in conjunction with another vehicle to the extent the exemptive order granted to us by the SEC permits us to do so or the investment is otherwise permitted under relevant SEC guidance. On December 16, 2014, we were granted an exemptive order from the SEC that, if certain conditions are met, allows us to co-invest with affiliates of TSSP and TPG in middle-market loan origination activities for companies domiciled in the United States and certain “follow-on” investments in companies in which we have already co-invested pursuant to the order and remain invested. These conditions include, among others, prior approval by a majority of our Independent Directors and that the terms and conditions of the investment applicable to any affiliates of TSSP and TPG must be the same as those applicable to us. We cannot assure you when or whether we will apply for any other exemptive relief in the future and whether such orders will be obtained. See “Related-Party Transactions and Certain Relationships.”</w:t>
      </w:r>
    </w:p>
    <w:p>
      <w:pPr>
        <w:spacing w:after="0" w:line="289" w:lineRule="exact"/>
        <w:rPr>
          <w:sz w:val="20"/>
          <w:szCs w:val="20"/>
          <w:color w:val="auto"/>
        </w:rPr>
      </w:pPr>
    </w:p>
    <w:p>
      <w:pPr>
        <w:ind w:left="20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Adviser can resign on 60 days’ notice. We may not be able to find a suitable replacement within that time, resulting in a disruption in our operations and a loss of the benefits from our relationship with TSSP and TPG. Any new investment advisory agreement would require stockholder approval.</w:t>
      </w:r>
    </w:p>
    <w:p>
      <w:pPr>
        <w:spacing w:after="0" w:line="67" w:lineRule="exact"/>
        <w:rPr>
          <w:sz w:val="20"/>
          <w:szCs w:val="20"/>
          <w:color w:val="auto"/>
        </w:rPr>
      </w:pPr>
    </w:p>
    <w:p>
      <w:pPr>
        <w:ind w:left="200" w:right="20" w:firstLine="441"/>
        <w:spacing w:after="0" w:line="254" w:lineRule="auto"/>
        <w:rPr>
          <w:sz w:val="20"/>
          <w:szCs w:val="20"/>
          <w:color w:val="auto"/>
        </w:rPr>
      </w:pPr>
      <w:r>
        <w:rPr>
          <w:rFonts w:ascii="Times New Roman" w:cs="Times New Roman" w:eastAsia="Times New Roman" w:hAnsi="Times New Roman"/>
          <w:sz w:val="18"/>
          <w:szCs w:val="18"/>
          <w:color w:val="auto"/>
        </w:rPr>
        <w:t>The Adviser has the right, under the Investment Advisory Agreement and the Administration Agreement, to resign at any time on 60 days’ written notice, regardless of whether we have found a replacement. In addition, our Board has the authority to remove the Adviser for any reason or for no reason, or may choose not to renew the Investment Advisory Agreement and the Administration Agreement. Furthermore, the Investment Advisory Agreement automatically terminates in the event of its assignment, as defined in the 1940 Act, by the Adviser. If the Adviser resigns or is terminated, or if we do not obtain the requisite approvals of stockholders and our Board to approve an agreement with the Adviser after an assignment,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dividends, are likely to be adversely affected, and the value of our common stock may decline.</w:t>
      </w:r>
    </w:p>
    <w:p>
      <w:pPr>
        <w:spacing w:after="0" w:line="189" w:lineRule="exact"/>
        <w:rPr>
          <w:sz w:val="20"/>
          <w:szCs w:val="20"/>
          <w:color w:val="auto"/>
        </w:rPr>
      </w:pPr>
    </w:p>
    <w:p>
      <w:pPr>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Any new Investment Advisory Agreement would be subject to approval by our stockholders.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176"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In addition, if the Adviser resigns or is terminated, we would lose the benefits of our relationship with TSSP and TPG, including insights into our existing portfolio, market expertise, sector and macroeconomic views and due diligence capabilities, as well as any investment opportunities referred to us by TSSP and TPG. We also would no longer be able to use TPG’s name and logo because our license agreement would terminate upon the termination of the Investment Advisory Agreement.</w:t>
      </w:r>
    </w:p>
    <w:p>
      <w:pPr>
        <w:spacing w:after="0" w:line="11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00"/>
          </w:cols>
          <w:pgMar w:left="240" w:top="455" w:right="4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5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Investment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89" w:lineRule="exact"/>
        <w:rPr>
          <w:sz w:val="20"/>
          <w:szCs w:val="20"/>
          <w:color w:val="auto"/>
        </w:rPr>
      </w:pPr>
    </w:p>
    <w:p>
      <w:pPr>
        <w:ind w:left="200" w:firstLine="441"/>
        <w:spacing w:after="0" w:line="253" w:lineRule="auto"/>
        <w:rPr>
          <w:sz w:val="20"/>
          <w:szCs w:val="20"/>
          <w:color w:val="auto"/>
        </w:rPr>
      </w:pPr>
      <w:r>
        <w:rPr>
          <w:rFonts w:ascii="Times New Roman" w:cs="Times New Roman" w:eastAsia="Times New Roman" w:hAnsi="Times New Roman"/>
          <w:sz w:val="18"/>
          <w:szCs w:val="18"/>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Investment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2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Any failure to maintain our status as a BDC would reduce our operating flexibility.</w:t>
      </w:r>
    </w:p>
    <w:p>
      <w:pPr>
        <w:spacing w:after="0" w:line="121" w:lineRule="exact"/>
        <w:rPr>
          <w:sz w:val="20"/>
          <w:szCs w:val="20"/>
          <w:color w:val="auto"/>
        </w:rPr>
      </w:pPr>
    </w:p>
    <w:p>
      <w:pPr>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In addition, failure to comply with the requirements imposed on BDCs by the 1940 Act could cause the SEC to bring an enforcement action against us.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being a publicly traded company.</w:t>
      </w:r>
    </w:p>
    <w:p>
      <w:pPr>
        <w:spacing w:after="0" w:line="121" w:lineRule="exact"/>
        <w:rPr>
          <w:sz w:val="20"/>
          <w:szCs w:val="20"/>
          <w:color w:val="auto"/>
        </w:rPr>
      </w:pPr>
    </w:p>
    <w:p>
      <w:pPr>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As a publicly traded company, we incur legal, accounting, investor relations and other expenses, including costs associated with corporate governance requirements, such as those under the Sarbanes-Oxley Act of 2002, or the Sarbanes-Oxley Act, other rules implemented by the SEC and the listing standards of the NYSE. Our independent registered public accounting firm is required to attest to the effectiveness of our internal controls over financial reporting pursuant to Section 404 of the Sarbanes-Oxley Act, which increases the costs associated with our periodic reporting requirements.</w:t>
      </w:r>
    </w:p>
    <w:p>
      <w:pPr>
        <w:spacing w:after="0" w:line="284" w:lineRule="exact"/>
        <w:rPr>
          <w:sz w:val="20"/>
          <w:szCs w:val="20"/>
          <w:color w:val="auto"/>
        </w:rPr>
      </w:pPr>
    </w:p>
    <w:p>
      <w:pPr>
        <w:ind w:left="20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maintain proper and effective internal control over financial reporting. We may not complete our analysis of our internal control over financial reporting in a timely manner, or our internal controls may not be determined to be effective, which may adversely affect investor confidence in our company and, as a result, the value of our securities.</w:t>
      </w:r>
    </w:p>
    <w:p>
      <w:pPr>
        <w:spacing w:after="0" w:line="67" w:lineRule="exact"/>
        <w:rPr>
          <w:sz w:val="20"/>
          <w:szCs w:val="20"/>
          <w:color w:val="auto"/>
        </w:rPr>
      </w:pPr>
    </w:p>
    <w:p>
      <w:pPr>
        <w:ind w:left="200" w:right="460" w:firstLine="441"/>
        <w:spacing w:after="0" w:line="282" w:lineRule="auto"/>
        <w:rPr>
          <w:sz w:val="20"/>
          <w:szCs w:val="20"/>
          <w:color w:val="auto"/>
        </w:rPr>
      </w:pPr>
      <w:r>
        <w:rPr>
          <w:rFonts w:ascii="Times New Roman" w:cs="Times New Roman" w:eastAsia="Times New Roman" w:hAnsi="Times New Roman"/>
          <w:sz w:val="18"/>
          <w:szCs w:val="18"/>
          <w:color w:val="auto"/>
        </w:rPr>
        <w:t>We are required to comply with the independent auditor attestation requirements of Section 404 of the Sarbanes-Oxley Act. Complying with Section 404 requires a rigorous compliance program as well as adequate</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240" w:top="455" w:right="4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8" w:lineRule="auto"/>
        <w:rPr>
          <w:sz w:val="20"/>
          <w:szCs w:val="20"/>
          <w:color w:val="auto"/>
        </w:rPr>
      </w:pPr>
      <w:r>
        <w:rPr>
          <w:rFonts w:ascii="Times New Roman" w:cs="Times New Roman" w:eastAsia="Times New Roman" w:hAnsi="Times New Roman"/>
          <w:sz w:val="18"/>
          <w:szCs w:val="18"/>
          <w:color w:val="auto"/>
        </w:rPr>
        <w:t>time and resources. We may not be able to complete our internal control evaluation, testing and any required remediation in a timely fashion. Additionally,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attest to management’s report on the effectiveness of our internal controls, we could lose investor confidence in the accuracy and completeness of our financial reports, which would have a material adverse effect on the price of our securities.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fluctuations in our quarterly results.</w:t>
      </w:r>
    </w:p>
    <w:p>
      <w:pPr>
        <w:spacing w:after="0" w:line="121"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 syndication and other fees, the level of our expenses and default rates on our investments. As a result of these and other possible factors, results for any period should not be relied upon as being indicative of performance in future periods.</w:t>
      </w:r>
    </w:p>
    <w:p>
      <w:pPr>
        <w:spacing w:after="0" w:line="284" w:lineRule="exact"/>
        <w:rPr>
          <w:sz w:val="20"/>
          <w:szCs w:val="20"/>
          <w:color w:val="auto"/>
        </w:rPr>
      </w:pPr>
    </w:p>
    <w:p>
      <w:pPr>
        <w:ind w:left="20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the General Corporation Law of the State of Delaware and our certificate of incorporation and bylaws could deter takeover attempts and have an adverse effect on the price of our common stock.</w:t>
      </w:r>
    </w:p>
    <w:p>
      <w:pPr>
        <w:spacing w:after="0" w:line="51" w:lineRule="exact"/>
        <w:rPr>
          <w:sz w:val="20"/>
          <w:szCs w:val="20"/>
          <w:color w:val="auto"/>
        </w:rPr>
      </w:pPr>
    </w:p>
    <w:p>
      <w:pPr>
        <w:ind w:left="200" w:firstLine="441"/>
        <w:spacing w:after="0" w:line="252" w:lineRule="auto"/>
        <w:rPr>
          <w:sz w:val="20"/>
          <w:szCs w:val="20"/>
          <w:color w:val="auto"/>
        </w:rPr>
      </w:pPr>
      <w:r>
        <w:rPr>
          <w:rFonts w:ascii="Times New Roman" w:cs="Times New Roman" w:eastAsia="Times New Roman" w:hAnsi="Times New Roman"/>
          <w:sz w:val="18"/>
          <w:szCs w:val="18"/>
          <w:color w:val="auto"/>
        </w:rPr>
        <w:t>The General Corporation Law of the State of Delaware, or the DGCL, our amended and restated certificate of incorporation, which we refer to as our certificate of incorporation, and bylaws contain provisions that may discourage, delay or make more difficult a change in control of us or the removal of our directors. Among other provisions, we have a staggered board and our directors may be removed for cause only by the affirmative vote of 75% of the holders of our outstanding capital stock. Our Board also is authorized to issue preferred stock in one or more series. In addition, our certificate of incorporation requires the favorable vote of a majority of our Board followed by the favorable vote of the holders of at least 75% of our outstanding shares of common stock, to approve, adopt or authorize certain transactions, including mergers and the sale, lease or exchange of all or any substantial part of our assets with 10% or greater holders of our outstanding common stock and their affiliates or associates, unless the transaction has been approved by at least 80% of our Board, in which case approval by “a majority of the outstanding voting securities” (as defined in the 1940 Act) is required. Our certificate of incorporation further provides that stockholders may not take action by written consent in lieu of a meeting and our bylaws provide that any stockholder action required or permitted at an annual meeting or special meeting of stockholders may only be taken if it is properly brought before such meeting.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 We also are subject to Section 203 of the DGCL, which generally prohibits us from engaging in mergers and other business combinations with stockholders that beneficially own 15% or more of our voting stock, or with their affiliates, unless our directors or stockholders approve the business combination in the prescribed manner. These measures may delay, defer or prevent a transaction or a change in control that might otherwise be in the best interests of our stockholders and could have the effect of depriving stockholders of an opportunity to sell their shares at a premium over prevailing market prices. See “Description of Our Capital Stock—Anti-Takeover Provisions.”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Certain investors are limited in their ability to make significant investments in us.</w:t>
      </w:r>
    </w:p>
    <w:p>
      <w:pPr>
        <w:spacing w:after="0" w:line="121"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Investment companies registered under the 1940 Act are restricted from acquiring directly or through a controlled entity more than 3% of our total outstanding voting stock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 Act are also subject to this restriction. As a result, certain investors may be precluded from acquiring additional shares at a time that they might desire to do so.</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240" w:top="455" w:right="4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information systems and systems failures could significantly disrupt our business, which may, in turn, negatively affect the market price of our common stock and our ability to pay dividends.</w:t>
      </w:r>
    </w:p>
    <w:p>
      <w:pPr>
        <w:spacing w:after="0" w:line="51" w:lineRule="exact"/>
        <w:rPr>
          <w:sz w:val="20"/>
          <w:szCs w:val="20"/>
          <w:color w:val="auto"/>
        </w:rPr>
      </w:pPr>
    </w:p>
    <w:p>
      <w:pPr>
        <w:ind w:left="200" w:right="40" w:firstLine="441"/>
        <w:spacing w:after="0" w:line="258" w:lineRule="auto"/>
        <w:rPr>
          <w:sz w:val="20"/>
          <w:szCs w:val="20"/>
          <w:color w:val="auto"/>
        </w:rPr>
      </w:pPr>
      <w:r>
        <w:rPr>
          <w:rFonts w:ascii="Times New Roman" w:cs="Times New Roman" w:eastAsia="Times New Roman" w:hAnsi="Times New Roman"/>
          <w:sz w:val="18"/>
          <w:szCs w:val="18"/>
          <w:color w:val="auto"/>
        </w:rPr>
        <w:t>Our business is highly dependent on the communications and information systems of the Adviser, its affiliates and third parties.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89" w:lineRule="exact"/>
        <w:rPr>
          <w:sz w:val="20"/>
          <w:szCs w:val="20"/>
          <w:color w:val="auto"/>
        </w:rPr>
      </w:pPr>
    </w:p>
    <w:p>
      <w:pPr>
        <w:ind w:left="1060" w:hanging="316"/>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sudden electrical or telecommunications outages;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earthquakes, tornadoes and hurricanes;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disease pandemics;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arising from local or larger scale political or social matters, including terrorist acts;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w:t>
      </w:r>
    </w:p>
    <w:p>
      <w:pPr>
        <w:spacing w:after="0" w:line="225"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These events, in turn, could have a material adverse effect on our operating results and negatively affect the market price of our common stock and our ability to pay dividends to our stockholders.</w:t>
      </w:r>
    </w:p>
    <w:p>
      <w:pPr>
        <w:spacing w:after="0" w:line="266" w:lineRule="exact"/>
        <w:rPr>
          <w:sz w:val="20"/>
          <w:szCs w:val="20"/>
          <w:color w:val="auto"/>
        </w:rPr>
      </w:pPr>
    </w:p>
    <w:p>
      <w:pPr>
        <w:ind w:lef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Cybersecurity risks and cyber incidents may adversely affect our business by causing a disruption to our operations, a compromise or corruption of our confidential information and/or damage to our business relationships, all of which could negatively impact our business, results of operations or financial condition.</w:t>
      </w:r>
    </w:p>
    <w:p>
      <w:pPr>
        <w:spacing w:after="0" w:line="67" w:lineRule="exact"/>
        <w:rPr>
          <w:sz w:val="20"/>
          <w:szCs w:val="20"/>
          <w:color w:val="auto"/>
        </w:rPr>
      </w:pPr>
    </w:p>
    <w:p>
      <w:pPr>
        <w:ind w:left="200" w:right="160" w:firstLine="441"/>
        <w:spacing w:after="0" w:line="253" w:lineRule="auto"/>
        <w:rPr>
          <w:sz w:val="20"/>
          <w:szCs w:val="20"/>
          <w:color w:val="auto"/>
        </w:rPr>
      </w:pPr>
      <w:r>
        <w:rPr>
          <w:rFonts w:ascii="Times New Roman" w:cs="Times New Roman" w:eastAsia="Times New Roman" w:hAnsi="Times New Roman"/>
          <w:sz w:val="18"/>
          <w:szCs w:val="18"/>
          <w:color w:val="auto"/>
        </w:rPr>
        <w:t>A cyber incident is considered to be any adverse event that threatens the confidentiality, integrity or availability of our information resources. These incidents may be an intentional attack or an unintentional event and could involve gaining unauthorized access to our information systems for purposes of misappropriating assets, stealing confidential information, corrupting data or causing operational disruption. The result of these incidents may include disrupted operations, misstated or unreliable financial data, liability for stolen information, misappropriation of assets, increased cybersecurity protection and insurance costs, litigation and damage to our business relationships. This could result in significant losses, reputational damage, litigation, regulatory fines or penalties, or otherwise adversely affect our business, financial condition or results of operations. In addition, we may be required to expend significant additional resources to modify our protective measures and to investigate and remediate vulnerabilities or other exposures arising from operational and security risks. We face risks posed to our information systems, both internal and those provided to us by third-party service providers. We, our Adviser and its affiliates have implemented processes, procedures and internal controls to help mitigate cybersecurity risks and cyber intrusions, but these measures, as well as our increased awareness of the nature and extent of a risk of a cyber incident, may be ineffective and do not guarantee that a cyber incident will not occur or that our financial results, operations or confidential information will not be negatively impacted by such an incident.</w:t>
      </w:r>
    </w:p>
    <w:p>
      <w:pPr>
        <w:spacing w:after="0" w:line="191" w:lineRule="exact"/>
        <w:rPr>
          <w:sz w:val="20"/>
          <w:szCs w:val="20"/>
          <w:color w:val="auto"/>
        </w:rPr>
      </w:pPr>
    </w:p>
    <w:p>
      <w:pPr>
        <w:ind w:left="200" w:right="40" w:firstLine="441"/>
        <w:spacing w:after="0" w:line="256" w:lineRule="auto"/>
        <w:rPr>
          <w:sz w:val="20"/>
          <w:szCs w:val="20"/>
          <w:color w:val="auto"/>
        </w:rPr>
      </w:pPr>
      <w:r>
        <w:rPr>
          <w:rFonts w:ascii="Times New Roman" w:cs="Times New Roman" w:eastAsia="Times New Roman" w:hAnsi="Times New Roman"/>
          <w:sz w:val="18"/>
          <w:szCs w:val="18"/>
          <w:color w:val="auto"/>
        </w:rPr>
        <w:t>Third parties with which we do business (including those that provide services to us) may also be sources or targets of cybersecurity or other technological risks. We outsource certain functions and these relationships allow for the storage and processing of our information and assets, as well as certain investor, counterparty, employee and borrower information. While we engage in actions to reduce our exposure resulting from outsourcing, ongoing threats may result in unauthorized access, loss, exposure or destruction of data, or other cybersecurity incidents, with increased costs and other consequences, including those described above. Privacy and information security laws and regulation changes, and compliance with those changes, may also result in cost increases due to system changes and the development of new administrative processes.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20"/>
          </w:cols>
          <w:pgMar w:left="240" w:top="455" w:right="4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Board may change our investment objective, operating policies and strategies without prior notice or stockholder approval.</w:t>
      </w:r>
    </w:p>
    <w:p>
      <w:pPr>
        <w:spacing w:after="0" w:line="121" w:lineRule="exact"/>
        <w:rPr>
          <w:sz w:val="20"/>
          <w:szCs w:val="20"/>
          <w:color w:val="auto"/>
        </w:rPr>
      </w:pPr>
    </w:p>
    <w:p>
      <w:pPr>
        <w:ind w:left="200" w:right="80" w:firstLine="441"/>
        <w:spacing w:after="0" w:line="258" w:lineRule="auto"/>
        <w:rPr>
          <w:sz w:val="20"/>
          <w:szCs w:val="20"/>
          <w:color w:val="auto"/>
        </w:rPr>
      </w:pPr>
      <w:r>
        <w:rPr>
          <w:rFonts w:ascii="Times New Roman" w:cs="Times New Roman" w:eastAsia="Times New Roman" w:hAnsi="Times New Roman"/>
          <w:sz w:val="18"/>
          <w:szCs w:val="18"/>
          <w:color w:val="auto"/>
        </w:rPr>
        <w:t>Our Board has the authority to change our investment objective and modify or waive certain of our operating policies and strategies without prior notice (except as required by the 1940 Act) and without stockholder approval. However, absent stockholder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stock. Nevertheless, the effects may adversely affect our business and impact our ability to pay dividends.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or regulations governing our operations may adversely affect our business.</w:t>
      </w:r>
    </w:p>
    <w:p>
      <w:pPr>
        <w:spacing w:after="0" w:line="121" w:lineRule="exact"/>
        <w:rPr>
          <w:sz w:val="20"/>
          <w:szCs w:val="20"/>
          <w:color w:val="auto"/>
        </w:rPr>
      </w:pPr>
    </w:p>
    <w:p>
      <w:pPr>
        <w:ind w:left="200" w:right="100" w:firstLine="441"/>
        <w:spacing w:after="0" w:line="253" w:lineRule="auto"/>
        <w:rPr>
          <w:sz w:val="20"/>
          <w:szCs w:val="20"/>
          <w:color w:val="auto"/>
        </w:rPr>
      </w:pPr>
      <w:r>
        <w:rPr>
          <w:rFonts w:ascii="Times New Roman" w:cs="Times New Roman" w:eastAsia="Times New Roman" w:hAnsi="Times New Roman"/>
          <w:sz w:val="18"/>
          <w:szCs w:val="18"/>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For example, tax reform legislation could have an adverse impact on us, the credit markets and our portfolio companies, to the extent the reduction in corporate tax rates or limitations on interest expense deductibility impact the credit markets and our portfolio companies. Any changes to the laws and regulations governing our operations or the U.S. federal income tax treatment of our assets may cause us to alter our investment strategy to avail ourselves of new or different opportunities. For more information on tax regulatory risks, see “Risks Related to our Portfolio Company Investments.”</w:t>
      </w:r>
    </w:p>
    <w:p>
      <w:pPr>
        <w:spacing w:after="0" w:line="193" w:lineRule="exact"/>
        <w:rPr>
          <w:sz w:val="20"/>
          <w:szCs w:val="20"/>
          <w:color w:val="auto"/>
        </w:rPr>
      </w:pPr>
    </w:p>
    <w:p>
      <w:pPr>
        <w:ind w:left="200" w:right="80" w:firstLine="441"/>
        <w:spacing w:after="0" w:line="254" w:lineRule="auto"/>
        <w:rPr>
          <w:sz w:val="20"/>
          <w:szCs w:val="20"/>
          <w:color w:val="auto"/>
        </w:rPr>
      </w:pPr>
      <w:r>
        <w:rPr>
          <w:rFonts w:ascii="Times New Roman" w:cs="Times New Roman" w:eastAsia="Times New Roman" w:hAnsi="Times New Roman"/>
          <w:sz w:val="18"/>
          <w:szCs w:val="18"/>
          <w:color w:val="auto"/>
        </w:rPr>
        <w:t>On July 21, 2010, the Wall Street Reform and Consumer Protection Act, or the Dodd-Frank Act, was signed into law. Some of the provisions of the Dodd-Frank Act have been implemented, while others have extended implementation periods and delayed effective dates and will require extensive rulemaking by regulatory authorities, and uncertainty remains about the details of implementation. While the full impact of the Dodd-Frank Act on us and our portfolio companies may not be known for an extended period of time, the Dodd-Frank Act, including current rules and regulations and proposed rules implementing its provisions and the interpretation of those rules, along with other legislative and regulatory proposals directed at the financial services industry that are proposed or pending in the U.S. Congress, as well as the uncertainty surrounding such rules and proposal, may negatively impact the operations, cash flows or financial condition of us or our portfolio companies, impose additional costs on us or our portfolio companies, intensify the regulatory supervision of us or our portfolio companies or otherwise adversely affect our business or the business of our portfolio companies.</w:t>
      </w:r>
    </w:p>
    <w:p>
      <w:pPr>
        <w:spacing w:after="0" w:line="189"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On June 8, 2017, the U.S. House of Representatives passed the Financial Choice Act, which includes legislation intended to repeal or replace substantial portions of the Dodd-Frank Act. Among other things, the proposed law would repeal the Volcker Rule limiting certain proprietary investment and trading activities by banks, eliminate the authority of regulators to designate asset managers and other large non-bank institutions as “systemically important financial institutions” or “SIFIs,” and repeal the Department of Labor (“DOL”) “fiduciary rule” governing standards for dealing with retirement plans until the SEC issues standards for similar dealings by broker dealers and limiting the substance of any subsequent DOL rule to the SEC standards. The bill has been referred to the Senate, where it is unlikely to pass in its current form. On November 16, 2017, a bipartisan group of U.S. Senators, led by the Senate Banking Committee Chairman, introduced the Economic Growth, Regulatory Relief, and Consumer Protection Act (the “Senate Regulatory Relief Bill”). The Senate Regulatory Relief Bill would revise various post-crisis regulatory requirements and provide targeted regulatory</w:t>
      </w:r>
    </w:p>
    <w:p>
      <w:pPr>
        <w:spacing w:after="0" w:line="12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00"/>
          </w:cols>
          <w:pgMar w:left="240" w:top="455"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5" w:lineRule="auto"/>
        <w:rPr>
          <w:sz w:val="20"/>
          <w:szCs w:val="20"/>
          <w:color w:val="auto"/>
        </w:rPr>
      </w:pPr>
      <w:r>
        <w:rPr>
          <w:rFonts w:ascii="Times New Roman" w:cs="Times New Roman" w:eastAsia="Times New Roman" w:hAnsi="Times New Roman"/>
          <w:sz w:val="18"/>
          <w:szCs w:val="18"/>
          <w:color w:val="auto"/>
        </w:rPr>
        <w:t>relief to certain financial institutions. Among the most significant of its proposed amendments to the Dodd-Frank Act are a substantial increase in the $50 billion asset threshold for automatic regulation of bank holding companies as SIFIs, an exemption from the Volcker Rule for insured depository institutions with less than $10 billion in consolidated assets and lower levels of trading assets and liabilities, as well as amendments to the liquidity leverage ratio and supplementary leverage ratio requirements. On December 5, 2017, the Senate Banking Committee approved the Senate Regulatory Relief Bill. If the legislation is adopted in the Senate, it remains unclear whether and how it would be reconciled with its House-passed counterpart, the Financial Choice Act, which is substantially different in scope and substance, and ultimately approved by both chambers of Congress. At this time it is unclear what impact the Financial Choice Act, the Senate Regulatory Relief Bill or other pending legislation and developments will have on regulations that affect our, our competitors’ and our portfolio companies’ businesses.</w:t>
      </w:r>
    </w:p>
    <w:p>
      <w:pPr>
        <w:spacing w:after="0" w:line="185"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288" w:lineRule="exact"/>
        <w:rPr>
          <w:sz w:val="20"/>
          <w:szCs w:val="20"/>
          <w:color w:val="auto"/>
        </w:rPr>
      </w:pPr>
    </w:p>
    <w:p>
      <w:pPr>
        <w:ind w:left="20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interest rates of our debt investments to our portfolio companies and our indebtedness that extend beyond 2021 might be subject to change based on recent regulatory changes.</w:t>
      </w:r>
    </w:p>
    <w:p>
      <w:pPr>
        <w:spacing w:after="0" w:line="51" w:lineRule="exact"/>
        <w:rPr>
          <w:sz w:val="20"/>
          <w:szCs w:val="20"/>
          <w:color w:val="auto"/>
        </w:rPr>
      </w:pPr>
    </w:p>
    <w:p>
      <w:pPr>
        <w:ind w:left="200" w:right="220" w:firstLine="441"/>
        <w:spacing w:after="0" w:line="258" w:lineRule="auto"/>
        <w:rPr>
          <w:sz w:val="20"/>
          <w:szCs w:val="20"/>
          <w:color w:val="auto"/>
        </w:rPr>
      </w:pPr>
      <w:r>
        <w:rPr>
          <w:rFonts w:ascii="Times New Roman" w:cs="Times New Roman" w:eastAsia="Times New Roman" w:hAnsi="Times New Roman"/>
          <w:sz w:val="18"/>
          <w:szCs w:val="18"/>
          <w:color w:val="auto"/>
        </w:rPr>
        <w:t>LIBOR, the London Interbank Offered Rate, is the basic rate of interest used in lending transactions between banks on the London interbank market and is widely used as a reference for setting the interest rate on loans globally. We typically use LIBOR as a reference rate in term loans we extend to portfolio companies such that the interest due to us pursuant to a term loan extended to a portfolio company is calculated using LIBOR. The terms of our debt investments generally include minimum interest rate floors which are calculated based on LIBOR. Amounts drawn under the Revolving Credit Facility also currently bear interest at LIBOR plus a margin.</w:t>
      </w:r>
    </w:p>
    <w:p>
      <w:pPr>
        <w:spacing w:after="0" w:line="184"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On July 27, 2017, the United Kingdom’s Financial Conduct Authority, which regulates LIBOR, announced that it intends to phase out LIBOR by the end of 2021. It is unclear if at that time LIBOR will cease to exist or if new methods of calculating LIBOR will be established such that it continues to exist after 2021. The U.S. Federal Reserve, in conjunction with the Alternative Reference Rates Committee, a steering committee comprised of large U.S. financial institutions, is considering replacing U.S. dollar LIBOR with a new index calculated by short term repurchase agreements, backed by Treasury securities. The future of LIBOR at this time is uncertain. If LIBOR ceases to exist, we may need to renegotiate the credit agreements extending beyond 2021 with our portfolio companies that utilize LIBOR as a factor in determining the interest rate, in order to replace LIBOR with the new standard that is established, which may have an adverse effect on our ability to receive attractive returns.</w:t>
      </w:r>
    </w:p>
    <w:p>
      <w:pPr>
        <w:spacing w:after="0" w:line="189" w:lineRule="exact"/>
        <w:rPr>
          <w:sz w:val="20"/>
          <w:szCs w:val="20"/>
          <w:color w:val="auto"/>
        </w:rPr>
      </w:pPr>
    </w:p>
    <w:p>
      <w:pPr>
        <w:ind w:left="200" w:right="380" w:firstLine="441"/>
        <w:spacing w:after="0" w:line="266" w:lineRule="auto"/>
        <w:rPr>
          <w:sz w:val="20"/>
          <w:szCs w:val="20"/>
          <w:color w:val="auto"/>
        </w:rPr>
      </w:pPr>
      <w:r>
        <w:rPr>
          <w:rFonts w:ascii="Times New Roman" w:cs="Times New Roman" w:eastAsia="Times New Roman" w:hAnsi="Times New Roman"/>
          <w:sz w:val="18"/>
          <w:szCs w:val="18"/>
          <w:color w:val="auto"/>
        </w:rPr>
        <w:t>In addition, if LIBOR ceases to exist, we may need to renegotiate certain terms of our Revolving Credit Facility. If we are unable to do so, amounts drawn under the Revolving Credit Facility may bear interest at a higher rate, which would increase the cost of our borrowings and, in turn, affect our return on capital.</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Recently enacted tax reform legislation may adversely affect our business.</w:t>
      </w:r>
    </w:p>
    <w:p>
      <w:pPr>
        <w:spacing w:after="0" w:line="121"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Recently enacted legislation has made significant changes to the U.S. federal income tax system. Among other things, the legislation may limit the ability of borrowers to fully deduct interest expense. This could potentially affect the loan market, for example by impacting the demand for loans available from us or the terms of such loans. The changes to interest deductibility, utility of net operating losses and other provisions of the legislation could also in certain circumstances increase the U.S. tax burden on our portfolio assets which, in turn, could negatively impact their ability to service their interest expense obligations to us. Prospective investors are</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20"/>
          </w:cols>
          <w:pgMar w:left="240" w:top="455" w:right="4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2" w:lineRule="auto"/>
        <w:rPr>
          <w:sz w:val="20"/>
          <w:szCs w:val="20"/>
          <w:color w:val="auto"/>
        </w:rPr>
      </w:pPr>
      <w:r>
        <w:rPr>
          <w:rFonts w:ascii="Times New Roman" w:cs="Times New Roman" w:eastAsia="Times New Roman" w:hAnsi="Times New Roman"/>
          <w:sz w:val="18"/>
          <w:szCs w:val="18"/>
          <w:color w:val="auto"/>
        </w:rPr>
        <w:t>urged to consult with their own advisors about the potential effects of this legislation on the loan market and about its tax consequences of an investment in us.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Risks Related to Economic Conditions</w:t>
      </w:r>
    </w:p>
    <w:p>
      <w:pPr>
        <w:spacing w:after="0" w:line="117" w:lineRule="exact"/>
        <w:rPr>
          <w:sz w:val="20"/>
          <w:szCs w:val="20"/>
          <w:color w:val="auto"/>
        </w:rPr>
      </w:pPr>
    </w:p>
    <w:p>
      <w:pPr>
        <w:ind w:left="200"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current state of the economy and financial markets increases the likelihood of adverse effects on our financial position and results of operations.</w:t>
      </w:r>
    </w:p>
    <w:p>
      <w:pPr>
        <w:spacing w:after="0" w:line="51" w:lineRule="exact"/>
        <w:rPr>
          <w:sz w:val="20"/>
          <w:szCs w:val="20"/>
          <w:color w:val="auto"/>
        </w:rPr>
      </w:pPr>
    </w:p>
    <w:p>
      <w:pPr>
        <w:ind w:left="200" w:right="40" w:firstLine="441"/>
        <w:spacing w:after="0" w:line="254" w:lineRule="auto"/>
        <w:rPr>
          <w:sz w:val="20"/>
          <w:szCs w:val="20"/>
          <w:color w:val="auto"/>
        </w:rPr>
      </w:pPr>
      <w:r>
        <w:rPr>
          <w:rFonts w:ascii="Times New Roman" w:cs="Times New Roman" w:eastAsia="Times New Roman" w:hAnsi="Times New Roman"/>
          <w:sz w:val="18"/>
          <w:szCs w:val="18"/>
          <w:color w:val="auto"/>
        </w:rPr>
        <w:t>The U.S. capital markets experienced extreme volatility and disruption in recent years, leading to recessionary conditions and depressed levels of consumer and commercial spending. For instance, the referendum by British voters to exit the European Union (“Brexit”) in June 2016 and the United Kingdom’s subsequent invocation of Article 50 of the Treaty on the European Union in March 2017 have led to disruption and instability in the global markets. Disruptions in the capital markets increased the spread between the yields realized on risk-free and higher risk securities, resulting in illiquidity in parts of the capital markets. Although recent indicators suggest improvement in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189" w:lineRule="exact"/>
        <w:rPr>
          <w:sz w:val="20"/>
          <w:szCs w:val="20"/>
          <w:color w:val="auto"/>
        </w:rPr>
      </w:pPr>
    </w:p>
    <w:p>
      <w:pPr>
        <w:ind w:left="200" w:right="80" w:firstLine="441"/>
        <w:spacing w:after="0" w:line="258" w:lineRule="auto"/>
        <w:rPr>
          <w:sz w:val="20"/>
          <w:szCs w:val="20"/>
          <w:color w:val="auto"/>
        </w:rPr>
      </w:pPr>
      <w:r>
        <w:rPr>
          <w:rFonts w:ascii="Times New Roman" w:cs="Times New Roman" w:eastAsia="Times New Roman" w:hAnsi="Times New Roman"/>
          <w:sz w:val="18"/>
          <w:szCs w:val="18"/>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89" w:lineRule="exact"/>
        <w:rPr>
          <w:sz w:val="20"/>
          <w:szCs w:val="20"/>
          <w:color w:val="auto"/>
        </w:rPr>
      </w:pPr>
    </w:p>
    <w:p>
      <w:pPr>
        <w:ind w:left="1060" w:hanging="316"/>
        <w:spacing w:after="0"/>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a reduced level of interest income from our portfolio companies;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the value of collateral securing some of our loans and the value of our equity investments;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losses or charge-offs related to our investments.</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Uncertainty about financial stability could have a significant adverse effect on our business, results of operations and financial condition.</w:t>
      </w:r>
    </w:p>
    <w:p>
      <w:pPr>
        <w:spacing w:after="0" w:line="12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Due to federal budget deficit concerns, S&amp;P downgraded the federal government’s credit rating from AAA to AA+ for the first time in history on August 5, 2011. Further, Moody’s and Fitch warned that they may downgrade the federal government’s credit rating. Further downgrades or warnings by S&amp;P or other rating agencies, and the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credit rating could create broader financial turmoil and uncertainty, which may weigh heavily on our financial performance and the value of our common stock. Also, to the extent uncertainty regarding any economic recovery in Europe and Brexit continue to negatively impact consumer confidence and consumer credit factors, our business and results of operations could be significantly and adversely affected.</w:t>
      </w:r>
    </w:p>
    <w:p>
      <w:pPr>
        <w:spacing w:after="0" w:line="189" w:lineRule="exact"/>
        <w:rPr>
          <w:sz w:val="20"/>
          <w:szCs w:val="20"/>
          <w:color w:val="auto"/>
        </w:rPr>
      </w:pPr>
    </w:p>
    <w:p>
      <w:pPr>
        <w:ind w:left="200" w:right="100" w:firstLine="441"/>
        <w:spacing w:after="0" w:line="261" w:lineRule="auto"/>
        <w:rPr>
          <w:sz w:val="20"/>
          <w:szCs w:val="20"/>
          <w:color w:val="auto"/>
        </w:rPr>
      </w:pPr>
      <w:r>
        <w:rPr>
          <w:rFonts w:ascii="Times New Roman" w:cs="Times New Roman" w:eastAsia="Times New Roman" w:hAnsi="Times New Roman"/>
          <w:sz w:val="18"/>
          <w:szCs w:val="18"/>
          <w:color w:val="auto"/>
        </w:rPr>
        <w:t>In October 2014, the Federal Reserve announced that it was concluding its bond-buying program, or quantitative easing, which was designed to stimulate the economy and expand the Federal Reserve’s holdings of long-term securities, suggesting that key economic indicators, such as the unemployment rate, had showed signs of improvement since the inception of the program. It is unclear what effect, if any, the conclusion of the Federal Reserve’s bond-buying program will have on the value of our investments. However, it is possible that, without</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20"/>
          </w:cols>
          <w:pgMar w:left="240" w:top="455" w:right="4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7" w:lineRule="auto"/>
        <w:rPr>
          <w:sz w:val="20"/>
          <w:szCs w:val="20"/>
          <w:color w:val="auto"/>
        </w:rPr>
      </w:pPr>
      <w:r>
        <w:rPr>
          <w:rFonts w:ascii="Times New Roman" w:cs="Times New Roman" w:eastAsia="Times New Roman" w:hAnsi="Times New Roman"/>
          <w:sz w:val="17"/>
          <w:szCs w:val="17"/>
          <w:color w:val="auto"/>
        </w:rPr>
        <w:t>quantitative easing by the Federal Reserve, these developments, along with the United States government’s credit and deficit concerns and the European sovereign debt crisis, could cause interest rates and borrowing costs to rise, which may negatively impact our ability to access the debt markets on favorable terms. Additionally, in late 2016 and three times in 2017 the Federal Reserve raised the target range for the federal funds rate. If key economic indicators, such as the unemployment rate or inflation, continue to show signs of improvement, the target range for the federal funds rate may further increase and cause interest rates and borrowing costs to rise, which may negatively impact our ability to access the debt markets on favorable terms.</w:t>
      </w:r>
    </w:p>
    <w:p>
      <w:pPr>
        <w:spacing w:after="0" w:line="168" w:lineRule="exact"/>
        <w:rPr>
          <w:sz w:val="20"/>
          <w:szCs w:val="20"/>
          <w:color w:val="auto"/>
        </w:rPr>
      </w:pPr>
    </w:p>
    <w:p>
      <w:pPr>
        <w:ind w:left="200" w:right="40" w:firstLine="441"/>
        <w:spacing w:after="0" w:line="273" w:lineRule="auto"/>
        <w:rPr>
          <w:sz w:val="20"/>
          <w:szCs w:val="20"/>
          <w:color w:val="auto"/>
        </w:rPr>
      </w:pPr>
      <w:r>
        <w:rPr>
          <w:rFonts w:ascii="Times New Roman" w:cs="Times New Roman" w:eastAsia="Times New Roman" w:hAnsi="Times New Roman"/>
          <w:sz w:val="17"/>
          <w:szCs w:val="17"/>
          <w:color w:val="auto"/>
        </w:rPr>
        <w:t>As a result of the 2016 U.S. election, the Republican Party currently controls both the executive and legislative branches of government, which increases the likelihood that legislation may be adopted that could significantly affect the regulation of U.S. financial markets. Areas subject to potential change, amendment or repeal include the Dodd-Frank Act and the authority of the Federal Reserve and the Financial Stability Oversight Council. These or other regulatory changes could result in greater competition from banks and other lenders with which we compete for lending and other investment opportunities. The United States may also potentially withdraw from or renegotiate various trade agreements and take other actions that would change current trade policies of the United States. We cannot predict which, if any, of these actions will be taken or, if taken, their effect on the financial stability of the United States. Such actions could have a significant adverse effect on our business, financial condition and results of operations.</w:t>
      </w:r>
    </w:p>
    <w:p>
      <w:pPr>
        <w:spacing w:after="0" w:line="2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Economic recessions or downturns could impair our portfolio companies and harm our operating results.</w:t>
      </w:r>
    </w:p>
    <w:p>
      <w:pPr>
        <w:spacing w:after="0" w:line="12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Many of the portfolio companies in which we make investments may be susceptible to economic slowdowns or recessions and during these periods may be unable to repay the loans we made to them. Therefore, our non-performing assets may increase and the value of our portfolio may decrease during these periods as we are required to record our investments at their current fair value. Adverse economic conditions also may decrease the value of collateral securing some of our loans and the value of our equity investments. Economic slowdowns or recessions could lead to financial losses in our portfolio and a decrease in revenues, net income and assets. Unfavorable economic conditions also could increase our and our portfolio companies’ funding costs, limit our and our portfolio companies’ access to the capital markets or result in a decision by lenders not to extend credit to us or our portfolio companies. These events could prevent us from increasing investments and harm our operating results.</w:t>
      </w:r>
    </w:p>
    <w:p>
      <w:pPr>
        <w:spacing w:after="0" w:line="189" w:lineRule="exact"/>
        <w:rPr>
          <w:sz w:val="20"/>
          <w:szCs w:val="20"/>
          <w:color w:val="auto"/>
        </w:rPr>
      </w:pPr>
    </w:p>
    <w:p>
      <w:pPr>
        <w:ind w:left="200" w:right="100" w:firstLine="441"/>
        <w:spacing w:after="0" w:line="256" w:lineRule="auto"/>
        <w:rPr>
          <w:sz w:val="20"/>
          <w:szCs w:val="20"/>
          <w:color w:val="auto"/>
        </w:rPr>
      </w:pPr>
      <w:r>
        <w:rPr>
          <w:rFonts w:ascii="Times New Roman" w:cs="Times New Roman" w:eastAsia="Times New Roman" w:hAnsi="Times New Roman"/>
          <w:sz w:val="18"/>
          <w:szCs w:val="18"/>
          <w:color w:val="auto"/>
        </w:rPr>
        <w:t>A portfolio company’s failure to satisfy financial or operating covenants imposed by us or other lenders could lead to defaults and, potentially, acceleration of the time when the loans are due and foreclosure on its secured assets, which could trigger cross-defaults under other agreements and jeopardize the portfolio company’s ability to meet its obligations under the debt that we hold. We may incur additional expenses to the extent necessary to seek recovery upon default or to negotiate new terms with a defaulting portfolio company. In addition,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Risks Related to Our Portfolio Company Investments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are very risky and highly speculative.</w:t>
      </w:r>
    </w:p>
    <w:p>
      <w:pPr>
        <w:spacing w:after="0" w:line="121" w:lineRule="exact"/>
        <w:rPr>
          <w:sz w:val="20"/>
          <w:szCs w:val="20"/>
          <w:color w:val="auto"/>
        </w:rPr>
      </w:pPr>
    </w:p>
    <w:p>
      <w:pPr>
        <w:ind w:left="200" w:right="100" w:firstLine="441"/>
        <w:spacing w:after="0" w:line="258" w:lineRule="auto"/>
        <w:rPr>
          <w:sz w:val="20"/>
          <w:szCs w:val="20"/>
          <w:color w:val="auto"/>
        </w:rPr>
      </w:pPr>
      <w:r>
        <w:rPr>
          <w:rFonts w:ascii="Times New Roman" w:cs="Times New Roman" w:eastAsia="Times New Roman" w:hAnsi="Times New Roman"/>
          <w:sz w:val="18"/>
          <w:szCs w:val="18"/>
          <w:color w:val="auto"/>
        </w:rPr>
        <w:t>We primarily invest in first-lien debt, second-lien debt, mezzanine and unsecured debt or equity or other securities issued by middle-market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which is often referred to as “junk”). Exposure to below investment grade instruments involves certain risks, including speculation with respect to the borrower’s capacity to pay interest and repay principal.</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00"/>
          </w:cols>
          <w:pgMar w:left="240" w:top="455" w:right="4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First-Lien Debt</w:t>
      </w:r>
      <w:r>
        <w:rPr>
          <w:rFonts w:ascii="Times New Roman" w:cs="Times New Roman" w:eastAsia="Times New Roman" w:hAnsi="Times New Roman"/>
          <w:sz w:val="18"/>
          <w:szCs w:val="18"/>
          <w:color w:val="auto"/>
        </w:rPr>
        <w:t>. When we make a first-lien loan, we generally take a security interest in the available assets of the portfolio company,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equity 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189" w:lineRule="exact"/>
        <w:rPr>
          <w:sz w:val="20"/>
          <w:szCs w:val="20"/>
          <w:color w:val="auto"/>
        </w:rPr>
      </w:pPr>
    </w:p>
    <w:p>
      <w:pPr>
        <w:jc w:val="both"/>
        <w:ind w:left="200" w:right="18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Second-Lien and Mezzanine Debt</w:t>
      </w:r>
      <w:r>
        <w:rPr>
          <w:rFonts w:ascii="Times New Roman" w:cs="Times New Roman" w:eastAsia="Times New Roman" w:hAnsi="Times New Roman"/>
          <w:sz w:val="18"/>
          <w:szCs w:val="18"/>
          <w:color w:val="auto"/>
        </w:rPr>
        <w:t>. Our investments in second-lien and mezzanine debt generally are subordinated to senior loans and will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junior security interests or be unsecured. As such, other creditors may rank senior to us in the event of insolvency. This may result in greater risk and loss of principal.</w:t>
      </w:r>
    </w:p>
    <w:p>
      <w:pPr>
        <w:spacing w:after="0" w:line="174" w:lineRule="exact"/>
        <w:rPr>
          <w:sz w:val="20"/>
          <w:szCs w:val="20"/>
          <w:color w:val="auto"/>
        </w:rPr>
      </w:pPr>
    </w:p>
    <w:p>
      <w:pPr>
        <w:ind w:left="200" w:right="60"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Equity and Other Investments</w:t>
      </w:r>
      <w:r>
        <w:rPr>
          <w:rFonts w:ascii="Times New Roman" w:cs="Times New Roman" w:eastAsia="Times New Roman" w:hAnsi="Times New Roman"/>
          <w:sz w:val="18"/>
          <w:szCs w:val="18"/>
          <w:color w:val="auto"/>
        </w:rPr>
        <w:t>. When we invest in first-lien debt, second-lien debt or mezzanine debt, we may acquire equity securities,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options and convertible instruments.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To the extent we invest in preferred securities, we may incur particular risks, including:</w:t>
      </w:r>
    </w:p>
    <w:p>
      <w:pPr>
        <w:spacing w:after="0" w:line="133" w:lineRule="exact"/>
        <w:rPr>
          <w:sz w:val="20"/>
          <w:szCs w:val="20"/>
          <w:color w:val="auto"/>
        </w:rPr>
      </w:pPr>
    </w:p>
    <w:p>
      <w:pPr>
        <w:ind w:left="1060" w:right="40" w:hanging="316"/>
        <w:spacing w:after="0" w:line="266" w:lineRule="auto"/>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81" w:lineRule="exact"/>
        <w:rPr>
          <w:rFonts w:ascii="Times New Roman" w:cs="Times New Roman" w:eastAsia="Times New Roman" w:hAnsi="Times New Roman"/>
          <w:sz w:val="18"/>
          <w:szCs w:val="18"/>
          <w:color w:val="auto"/>
        </w:rPr>
      </w:pPr>
    </w:p>
    <w:p>
      <w:pPr>
        <w:ind w:left="1060" w:right="240" w:hanging="316"/>
        <w:spacing w:after="0" w:line="282" w:lineRule="auto"/>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67" w:lineRule="exact"/>
        <w:rPr>
          <w:rFonts w:ascii="Times New Roman" w:cs="Times New Roman" w:eastAsia="Times New Roman" w:hAnsi="Times New Roman"/>
          <w:sz w:val="18"/>
          <w:szCs w:val="18"/>
          <w:color w:val="auto"/>
        </w:rPr>
      </w:pPr>
    </w:p>
    <w:p>
      <w:pPr>
        <w:ind w:left="1060" w:right="100" w:hanging="316"/>
        <w:spacing w:after="0" w:line="266" w:lineRule="auto"/>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preferred security holders have no voting rights with respect to the issuing company unless preferred dividends have been in arrears for a specified number of periods, at which time the preferred security holders may elect a number of directors to the issuer’s board; generally, once all the arrearages have been paid, the preferred security holders no longer have voting rights.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addition, our investments generally involve a number of significant risks, including:</w:t>
      </w:r>
    </w:p>
    <w:p>
      <w:pPr>
        <w:spacing w:after="0" w:line="131" w:lineRule="exact"/>
        <w:rPr>
          <w:sz w:val="20"/>
          <w:szCs w:val="20"/>
          <w:color w:val="auto"/>
        </w:rPr>
      </w:pPr>
    </w:p>
    <w:p>
      <w:pPr>
        <w:ind w:left="1060" w:right="240" w:hanging="316"/>
        <w:spacing w:after="0" w:line="266" w:lineRule="auto"/>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81" w:lineRule="exact"/>
        <w:rPr>
          <w:rFonts w:ascii="Times New Roman" w:cs="Times New Roman" w:eastAsia="Times New Roman" w:hAnsi="Times New Roman"/>
          <w:sz w:val="18"/>
          <w:szCs w:val="18"/>
          <w:color w:val="auto"/>
        </w:rPr>
      </w:pPr>
    </w:p>
    <w:p>
      <w:pPr>
        <w:ind w:left="1060" w:right="260" w:hanging="316"/>
        <w:spacing w:after="0" w:line="266" w:lineRule="auto"/>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typically have shorter operating histories, narrower product lines and smaller market shares than larger businesses, which tend to render them more vulnerable to competitors’ actions and market conditions, as well as general economic downturns;</w:t>
      </w:r>
    </w:p>
    <w:p>
      <w:pPr>
        <w:spacing w:after="0" w:line="81" w:lineRule="exact"/>
        <w:rPr>
          <w:rFonts w:ascii="Times New Roman" w:cs="Times New Roman" w:eastAsia="Times New Roman" w:hAnsi="Times New Roman"/>
          <w:sz w:val="18"/>
          <w:szCs w:val="18"/>
          <w:color w:val="auto"/>
        </w:rPr>
      </w:pPr>
    </w:p>
    <w:p>
      <w:pPr>
        <w:ind w:left="1060" w:right="220" w:hanging="316"/>
        <w:spacing w:after="0" w:line="266" w:lineRule="auto"/>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00"/>
          </w:cols>
          <w:pgMar w:left="240" w:top="455" w:right="4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right="320" w:hanging="316"/>
        <w:spacing w:after="0" w:line="266" w:lineRule="auto"/>
        <w:tabs>
          <w:tab w:leader="none" w:pos="10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81" w:lineRule="exact"/>
        <w:rPr>
          <w:rFonts w:ascii="Times New Roman" w:cs="Times New Roman" w:eastAsia="Times New Roman" w:hAnsi="Times New Roman"/>
          <w:sz w:val="18"/>
          <w:szCs w:val="18"/>
          <w:color w:val="auto"/>
        </w:rPr>
      </w:pPr>
    </w:p>
    <w:p>
      <w:pPr>
        <w:ind w:left="1060" w:right="320" w:hanging="316"/>
        <w:spacing w:after="0" w:line="282" w:lineRule="auto"/>
        <w:tabs>
          <w:tab w:leader="none" w:pos="10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67" w:lineRule="exact"/>
        <w:rPr>
          <w:rFonts w:ascii="Times New Roman" w:cs="Times New Roman" w:eastAsia="Times New Roman" w:hAnsi="Times New Roman"/>
          <w:sz w:val="18"/>
          <w:szCs w:val="18"/>
          <w:color w:val="auto"/>
        </w:rPr>
      </w:pPr>
    </w:p>
    <w:p>
      <w:pPr>
        <w:ind w:left="1060" w:right="160" w:hanging="316"/>
        <w:spacing w:after="0" w:line="282" w:lineRule="auto"/>
        <w:tabs>
          <w:tab w:leader="none" w:pos="10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directors and Adviser may, in the ordinary course of business, be named as defendants in litigation arising from our investments in the portfolio companies;</w:t>
      </w:r>
    </w:p>
    <w:p>
      <w:pPr>
        <w:spacing w:after="0" w:line="67" w:lineRule="exact"/>
        <w:rPr>
          <w:rFonts w:ascii="Times New Roman" w:cs="Times New Roman" w:eastAsia="Times New Roman" w:hAnsi="Times New Roman"/>
          <w:sz w:val="18"/>
          <w:szCs w:val="18"/>
          <w:color w:val="auto"/>
        </w:rPr>
      </w:pPr>
    </w:p>
    <w:p>
      <w:pPr>
        <w:ind w:left="1060" w:right="240" w:hanging="316"/>
        <w:spacing w:after="0" w:line="266" w:lineRule="auto"/>
        <w:tabs>
          <w:tab w:leader="none" w:pos="10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81" w:lineRule="exact"/>
        <w:rPr>
          <w:rFonts w:ascii="Times New Roman" w:cs="Times New Roman" w:eastAsia="Times New Roman" w:hAnsi="Times New Roman"/>
          <w:sz w:val="18"/>
          <w:szCs w:val="18"/>
          <w:color w:val="auto"/>
        </w:rPr>
      </w:pPr>
    </w:p>
    <w:p>
      <w:pPr>
        <w:ind w:left="1060" w:right="420" w:hanging="316"/>
        <w:spacing w:after="0" w:line="282" w:lineRule="auto"/>
        <w:tabs>
          <w:tab w:leader="none" w:pos="10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may have difficulty accessing the capital markets to meet future capital needs, which may limit their ability to grow or to repay their outstanding indebtedness upon maturity.</w:t>
      </w:r>
    </w:p>
    <w:p>
      <w:pPr>
        <w:spacing w:after="0" w:line="266" w:lineRule="exact"/>
        <w:rPr>
          <w:sz w:val="20"/>
          <w:szCs w:val="20"/>
          <w:color w:val="auto"/>
        </w:rPr>
      </w:pPr>
    </w:p>
    <w:p>
      <w:pPr>
        <w:jc w:val="both"/>
        <w:ind w:left="20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67"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are determined in good faith by the Board, which is supported by the valuation committee of our Adviser and by the audit committee of our Board. The Board has retained independent third-party valuation firms to perform certain limited third-party valuation services that the Board identified and requested them to perform. In accordance with our valuation policy, our Investment Team prepares portfolio company valuations using sources or proprietary models depending on the availability of information on our investments and the type of asset being valued. The participation of the Adviser in our valuation process could result in a conflict of interest, since the Management Fee is based on the value of our gross assets.</w:t>
      </w:r>
    </w:p>
    <w:p>
      <w:pPr>
        <w:spacing w:after="0" w:line="189" w:lineRule="exact"/>
        <w:rPr>
          <w:sz w:val="20"/>
          <w:szCs w:val="20"/>
          <w:color w:val="auto"/>
        </w:rPr>
      </w:pPr>
    </w:p>
    <w:p>
      <w:pPr>
        <w:ind w:left="200" w:right="60" w:firstLine="441"/>
        <w:spacing w:after="0" w:line="255" w:lineRule="auto"/>
        <w:rPr>
          <w:sz w:val="20"/>
          <w:szCs w:val="20"/>
          <w:color w:val="auto"/>
        </w:rPr>
      </w:pPr>
      <w:r>
        <w:rPr>
          <w:rFonts w:ascii="Times New Roman" w:cs="Times New Roman" w:eastAsia="Times New Roman" w:hAnsi="Times New Roman"/>
          <w:sz w:val="18"/>
          <w:szCs w:val="18"/>
          <w:color w:val="auto"/>
        </w:rPr>
        <w:t>Factors that we may consider in determining the fair value of our investments include the nature and realizable value of any collateral, the portfolio company’s earnings and its ability to make payments on its 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stock. In addition, the valuation of these types of securities may result in substantial write-downs and earnings volatility.</w:t>
      </w:r>
    </w:p>
    <w:p>
      <w:pPr>
        <w:spacing w:after="0" w:line="185" w:lineRule="exact"/>
        <w:rPr>
          <w:sz w:val="20"/>
          <w:szCs w:val="20"/>
          <w:color w:val="auto"/>
        </w:rPr>
      </w:pPr>
    </w:p>
    <w:p>
      <w:pPr>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Decreases in the market values or fair values of our investments are recorded as unrealized depreciation. The effect of all of these factors on our portfolio can reduce our net asset value by increasing net unrealized depreciation in our portfolio. Depending on market conditions, we could incur substantial realized losses and may suffer unrealized losses, which could have a material adverse impact on our business, financial condition and results of operations.</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00"/>
          </w:cols>
          <w:pgMar w:left="240" w:top="455" w:right="4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 lack of liquidity in our investments may adversely affect our business.</w:t>
      </w:r>
    </w:p>
    <w:p>
      <w:pPr>
        <w:spacing w:after="0" w:line="121" w:lineRule="exact"/>
        <w:rPr>
          <w:sz w:val="20"/>
          <w:szCs w:val="20"/>
          <w:color w:val="auto"/>
        </w:rPr>
      </w:pPr>
    </w:p>
    <w:p>
      <w:pPr>
        <w:ind w:left="200" w:right="100" w:firstLine="441"/>
        <w:spacing w:after="0" w:line="258" w:lineRule="auto"/>
        <w:rPr>
          <w:sz w:val="20"/>
          <w:szCs w:val="20"/>
          <w:color w:val="auto"/>
        </w:rPr>
      </w:pPr>
      <w:r>
        <w:rPr>
          <w:rFonts w:ascii="Times New Roman" w:cs="Times New Roman" w:eastAsia="Times New Roman" w:hAnsi="Times New Roman"/>
          <w:sz w:val="18"/>
          <w:szCs w:val="18"/>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288" w:lineRule="exact"/>
        <w:rPr>
          <w:sz w:val="20"/>
          <w:szCs w:val="20"/>
          <w:color w:val="auto"/>
        </w:rPr>
      </w:pPr>
    </w:p>
    <w:p>
      <w:pPr>
        <w:ind w:left="20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5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are not targeting any specific industries, our investments may be focused on relatively few industries. For example, although we classify the industries of our portfolio companies by end-market (such as healthcare,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We may securitize certain of our investments, which may subject us to certain structured financing risks.</w:t>
      </w:r>
    </w:p>
    <w:p>
      <w:pPr>
        <w:spacing w:after="0" w:line="121" w:lineRule="exact"/>
        <w:rPr>
          <w:sz w:val="20"/>
          <w:szCs w:val="20"/>
          <w:color w:val="auto"/>
        </w:rPr>
      </w:pPr>
    </w:p>
    <w:p>
      <w:pPr>
        <w:ind w:left="200" w:right="40" w:firstLine="441"/>
        <w:spacing w:after="0" w:line="289" w:lineRule="auto"/>
        <w:rPr>
          <w:sz w:val="20"/>
          <w:szCs w:val="20"/>
          <w:color w:val="auto"/>
        </w:rPr>
      </w:pPr>
      <w:r>
        <w:rPr>
          <w:rFonts w:ascii="Times New Roman" w:cs="Times New Roman" w:eastAsia="Times New Roman" w:hAnsi="Times New Roman"/>
          <w:sz w:val="17"/>
          <w:szCs w:val="17"/>
          <w:color w:val="auto"/>
        </w:rPr>
        <w:t>Although we have not done so to date, 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w:t>
      </w:r>
    </w:p>
    <w:p>
      <w:pPr>
        <w:spacing w:after="0" w:line="158" w:lineRule="exact"/>
        <w:rPr>
          <w:sz w:val="20"/>
          <w:szCs w:val="20"/>
          <w:color w:val="auto"/>
        </w:rPr>
      </w:pPr>
    </w:p>
    <w:p>
      <w:pPr>
        <w:ind w:left="200" w:right="60" w:firstLine="441"/>
        <w:spacing w:after="0" w:line="254" w:lineRule="auto"/>
        <w:rPr>
          <w:sz w:val="20"/>
          <w:szCs w:val="20"/>
          <w:color w:val="auto"/>
        </w:rPr>
      </w:pPr>
      <w:r>
        <w:rPr>
          <w:rFonts w:ascii="Times New Roman" w:cs="Times New Roman" w:eastAsia="Times New Roman" w:hAnsi="Times New Roman"/>
          <w:sz w:val="18"/>
          <w:szCs w:val="18"/>
          <w:color w:val="auto"/>
        </w:rPr>
        <w:t>If we were to create a CLO or other securitization vehicle, we would depend on distributions from the vehicle to pay dividends to our stockholders.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you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189"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stockholders.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20"/>
          </w:cols>
          <w:pgMar w:left="240" w:top="455" w:right="4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82" w:lineRule="auto"/>
        <w:rPr>
          <w:sz w:val="20"/>
          <w:szCs w:val="20"/>
          <w:color w:val="auto"/>
        </w:rPr>
      </w:pPr>
      <w:r>
        <w:rPr>
          <w:rFonts w:ascii="Times New Roman" w:cs="Times New Roman" w:eastAsia="Times New Roman" w:hAnsi="Times New Roman"/>
          <w:sz w:val="18"/>
          <w:szCs w:val="18"/>
          <w:color w:val="auto"/>
        </w:rPr>
        <w:t>A CLO or other securitization vehicle, if created, also would likely be consolidated in our financial statements and consequently affect our asset coverage ratio, which may limit our ability to incur additional leverage. See “Regulation.”</w:t>
      </w:r>
    </w:p>
    <w:p>
      <w:pPr>
        <w:spacing w:after="0" w:line="266" w:lineRule="exact"/>
        <w:rPr>
          <w:sz w:val="20"/>
          <w:szCs w:val="20"/>
          <w:color w:val="auto"/>
        </w:rPr>
      </w:pPr>
    </w:p>
    <w:p>
      <w:pPr>
        <w:ind w:left="20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51"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We are a lender, and loans (and any equity investments we make) typically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 disagree, and the equityholders and 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changes in interest rates.</w:t>
      </w:r>
    </w:p>
    <w:p>
      <w:pPr>
        <w:spacing w:after="0" w:line="121" w:lineRule="exact"/>
        <w:rPr>
          <w:sz w:val="20"/>
          <w:szCs w:val="20"/>
          <w:color w:val="auto"/>
        </w:rPr>
      </w:pPr>
    </w:p>
    <w:p>
      <w:pPr>
        <w:ind w:left="200" w:right="100" w:firstLine="441"/>
        <w:spacing w:after="0" w:line="256" w:lineRule="auto"/>
        <w:rPr>
          <w:sz w:val="20"/>
          <w:szCs w:val="20"/>
          <w:color w:val="auto"/>
        </w:rPr>
      </w:pPr>
      <w:r>
        <w:rPr>
          <w:rFonts w:ascii="Times New Roman" w:cs="Times New Roman" w:eastAsia="Times New Roman" w:hAnsi="Times New Roman"/>
          <w:sz w:val="18"/>
          <w:szCs w:val="18"/>
          <w:color w:val="auto"/>
        </w:rPr>
        <w:t>The majority of our debt investments are based on floating rates, such as LIBOR, EURIBOR,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w:t>
      </w:r>
    </w:p>
    <w:p>
      <w:pPr>
        <w:spacing w:after="0" w:line="188"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 Federal Reserve policy, including with respect to certain interest rates and the decision to end its quantitative easing policy, may also adversely affect the value, volatility and liquidity of dividend- and interest-paying securities. Market volatility, rising interest rates and/or a return to unfavorable economic conditions could adversely affect our business. See “—Risks Related to Economic Conditions—Uncertainty about financial stability could have a significant adverse effect on our business, results of operations and financial condition.”</w:t>
      </w:r>
    </w:p>
    <w:p>
      <w:pPr>
        <w:spacing w:after="0" w:line="185" w:lineRule="exact"/>
        <w:rPr>
          <w:sz w:val="20"/>
          <w:szCs w:val="20"/>
          <w:color w:val="auto"/>
        </w:rPr>
      </w:pPr>
    </w:p>
    <w:p>
      <w:pPr>
        <w:ind w:left="200" w:right="200" w:firstLine="441"/>
        <w:spacing w:after="0" w:line="282" w:lineRule="auto"/>
        <w:rPr>
          <w:sz w:val="20"/>
          <w:szCs w:val="20"/>
          <w:color w:val="auto"/>
        </w:rPr>
      </w:pPr>
      <w:r>
        <w:rPr>
          <w:rFonts w:ascii="Times New Roman" w:cs="Times New Roman" w:eastAsia="Times New Roman" w:hAnsi="Times New Roman"/>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62" w:lineRule="exact"/>
        <w:rPr>
          <w:sz w:val="20"/>
          <w:szCs w:val="20"/>
          <w:color w:val="auto"/>
        </w:rPr>
      </w:pPr>
    </w:p>
    <w:p>
      <w:pPr>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We may use interest rate risk management techniques in an effort to limit our exposure to interest rate fluctuations. These techniques may include various interest rate hedging activities to the extent permitted by the 1940 Act. See “—Risks Related to Our Portfolio Company Investments—We expose ourselves to risks when we engage in hedging transactions.”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realize expected returns on our invested capital.</w:t>
      </w:r>
    </w:p>
    <w:p>
      <w:pPr>
        <w:spacing w:after="0" w:line="121"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We may not realize expected returns on our investment in a portfolio company due to changes in the portfolio company’s financial position or due to an acquisition of the portfolio company. If a portfolio company</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60"/>
          </w:cols>
          <w:pgMar w:left="240" w:top="455" w:right="49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66" w:lineRule="auto"/>
        <w:rPr>
          <w:sz w:val="20"/>
          <w:szCs w:val="20"/>
          <w:color w:val="auto"/>
        </w:rPr>
      </w:pPr>
      <w:r>
        <w:rPr>
          <w:rFonts w:ascii="Times New Roman" w:cs="Times New Roman" w:eastAsia="Times New Roman" w:hAnsi="Times New Roman"/>
          <w:sz w:val="18"/>
          <w:szCs w:val="18"/>
          <w:color w:val="auto"/>
        </w:rPr>
        <w:t>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76" w:lineRule="exact"/>
        <w:rPr>
          <w:sz w:val="20"/>
          <w:szCs w:val="20"/>
          <w:color w:val="auto"/>
        </w:rPr>
      </w:pPr>
    </w:p>
    <w:p>
      <w:pPr>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By originating loans to companies that are experiencing significant financial or business difficulties, we may be exposed to distressed lending risks.</w:t>
      </w:r>
    </w:p>
    <w:p>
      <w:pPr>
        <w:spacing w:after="0" w:line="12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293" w:lineRule="exact"/>
        <w:rPr>
          <w:sz w:val="20"/>
          <w:szCs w:val="20"/>
          <w:color w:val="auto"/>
        </w:rPr>
      </w:pPr>
    </w:p>
    <w:p>
      <w:pPr>
        <w:ind w:left="20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portfolio companies in some cases may incur debt or issue equity securities that rank equally with, or senior to, our investments in those companies.</w:t>
      </w:r>
    </w:p>
    <w:p>
      <w:pPr>
        <w:spacing w:after="0" w:line="51" w:lineRule="exact"/>
        <w:rPr>
          <w:sz w:val="20"/>
          <w:szCs w:val="20"/>
          <w:color w:val="auto"/>
        </w:rPr>
      </w:pPr>
    </w:p>
    <w:p>
      <w:pPr>
        <w:ind w:left="200" w:right="80" w:firstLine="441"/>
        <w:spacing w:after="0" w:line="254" w:lineRule="auto"/>
        <w:rPr>
          <w:sz w:val="20"/>
          <w:szCs w:val="20"/>
          <w:color w:val="auto"/>
        </w:rPr>
      </w:pPr>
      <w:r>
        <w:rPr>
          <w:rFonts w:ascii="Times New Roman" w:cs="Times New Roman" w:eastAsia="Times New Roman" w:hAnsi="Times New Roman"/>
          <w:sz w:val="18"/>
          <w:szCs w:val="18"/>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89"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special risks associated with bankruptcy cases.</w:t>
      </w:r>
    </w:p>
    <w:p>
      <w:pPr>
        <w:spacing w:after="0" w:line="121" w:lineRule="exact"/>
        <w:rPr>
          <w:sz w:val="20"/>
          <w:szCs w:val="20"/>
          <w:color w:val="auto"/>
        </w:rPr>
      </w:pPr>
    </w:p>
    <w:p>
      <w:pPr>
        <w:ind w:left="200" w:right="320" w:firstLine="441"/>
        <w:spacing w:after="0" w:line="282" w:lineRule="auto"/>
        <w:rPr>
          <w:sz w:val="20"/>
          <w:szCs w:val="20"/>
          <w:color w:val="auto"/>
        </w:rPr>
      </w:pPr>
      <w:r>
        <w:rPr>
          <w:rFonts w:ascii="Times New Roman" w:cs="Times New Roman" w:eastAsia="Times New Roman" w:hAnsi="Times New Roman"/>
          <w:sz w:val="18"/>
          <w:szCs w:val="18"/>
          <w:color w:val="auto"/>
        </w:rPr>
        <w:t>One or more of our portfolio companies may be involved in bankruptcy or other reorganization or liquidation proceedings. Many of the events within a bankruptcy case are adversarial and often beyond the</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20"/>
          </w:cols>
          <w:pgMar w:left="240" w:top="455" w:right="4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8" w:lineRule="auto"/>
        <w:rPr>
          <w:sz w:val="20"/>
          <w:szCs w:val="20"/>
          <w:color w:val="auto"/>
        </w:rPr>
      </w:pPr>
      <w:r>
        <w:rPr>
          <w:rFonts w:ascii="Times New Roman" w:cs="Times New Roman" w:eastAsia="Times New Roman" w:hAnsi="Times New Roman"/>
          <w:sz w:val="18"/>
          <w:szCs w:val="18"/>
          <w:color w:val="auto"/>
        </w:rPr>
        <w:t>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184"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84" w:lineRule="exact"/>
        <w:rPr>
          <w:sz w:val="20"/>
          <w:szCs w:val="20"/>
          <w:color w:val="auto"/>
        </w:rPr>
      </w:pPr>
    </w:p>
    <w:p>
      <w:pPr>
        <w:ind w:left="200" w:right="120" w:firstLine="441"/>
        <w:spacing w:after="0" w:line="261" w:lineRule="auto"/>
        <w:rPr>
          <w:sz w:val="20"/>
          <w:szCs w:val="20"/>
          <w:color w:val="auto"/>
        </w:rPr>
      </w:pPr>
      <w:r>
        <w:rPr>
          <w:rFonts w:ascii="Times New Roman" w:cs="Times New Roman" w:eastAsia="Times New Roman" w:hAnsi="Times New Roman"/>
          <w:sz w:val="18"/>
          <w:szCs w:val="18"/>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make follow-on investments in our portfolio companies could impair the value of our investments.</w:t>
      </w:r>
    </w:p>
    <w:p>
      <w:pPr>
        <w:spacing w:after="0" w:line="121" w:lineRule="exact"/>
        <w:rPr>
          <w:sz w:val="20"/>
          <w:szCs w:val="20"/>
          <w:color w:val="auto"/>
        </w:rPr>
      </w:pPr>
    </w:p>
    <w:p>
      <w:pPr>
        <w:ind w:left="200" w:right="900" w:firstLine="441"/>
        <w:spacing w:after="0" w:line="282" w:lineRule="auto"/>
        <w:rPr>
          <w:sz w:val="20"/>
          <w:szCs w:val="20"/>
          <w:color w:val="auto"/>
        </w:rPr>
      </w:pPr>
      <w:r>
        <w:rPr>
          <w:rFonts w:ascii="Times New Roman" w:cs="Times New Roman" w:eastAsia="Times New Roman" w:hAnsi="Times New Roman"/>
          <w:sz w:val="18"/>
          <w:szCs w:val="18"/>
          <w:color w:val="auto"/>
        </w:rPr>
        <w:t>Following an initial investment in a portfolio company, we may make additional investments in that portfolio company as “follow-on” investments to:</w:t>
      </w:r>
    </w:p>
    <w:p>
      <w:pPr>
        <w:spacing w:after="0" w:line="67" w:lineRule="exact"/>
        <w:rPr>
          <w:sz w:val="20"/>
          <w:szCs w:val="20"/>
          <w:color w:val="auto"/>
        </w:rPr>
      </w:pPr>
    </w:p>
    <w:p>
      <w:pPr>
        <w:ind w:left="1060" w:hanging="316"/>
        <w:spacing w:after="0"/>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maintain in whole or in part our equity ownership percentage;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warrants, options or convertible securities that were acquired in the original or subsequent financing; or</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preserve or enhance the value of our investment.</w:t>
      </w:r>
    </w:p>
    <w:p>
      <w:pPr>
        <w:spacing w:after="0" w:line="225" w:lineRule="exact"/>
        <w:rPr>
          <w:sz w:val="20"/>
          <w:szCs w:val="20"/>
          <w:color w:val="auto"/>
        </w:rPr>
      </w:pPr>
    </w:p>
    <w:p>
      <w:pPr>
        <w:jc w:val="both"/>
        <w:ind w:left="200" w:right="220" w:firstLine="441"/>
        <w:spacing w:after="0" w:line="266" w:lineRule="auto"/>
        <w:rPr>
          <w:sz w:val="20"/>
          <w:szCs w:val="20"/>
          <w:color w:val="auto"/>
        </w:rPr>
      </w:pPr>
      <w:r>
        <w:rPr>
          <w:rFonts w:ascii="Times New Roman" w:cs="Times New Roman" w:eastAsia="Times New Roman" w:hAnsi="Times New Roman"/>
          <w:sz w:val="18"/>
          <w:szCs w:val="18"/>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176" w:lineRule="exact"/>
        <w:rPr>
          <w:sz w:val="20"/>
          <w:szCs w:val="20"/>
          <w:color w:val="auto"/>
        </w:rPr>
      </w:pPr>
    </w:p>
    <w:p>
      <w:pPr>
        <w:ind w:left="200" w:right="120" w:firstLine="441"/>
        <w:spacing w:after="0" w:line="261" w:lineRule="auto"/>
        <w:rPr>
          <w:sz w:val="20"/>
          <w:szCs w:val="20"/>
          <w:color w:val="auto"/>
        </w:rPr>
      </w:pPr>
      <w:r>
        <w:rPr>
          <w:rFonts w:ascii="Times New Roman" w:cs="Times New Roman" w:eastAsia="Times New Roman" w:hAnsi="Times New Roman"/>
          <w:sz w:val="18"/>
          <w:szCs w:val="18"/>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enter into transactions with our affiliates is restricted.</w:t>
      </w:r>
    </w:p>
    <w:p>
      <w:pPr>
        <w:spacing w:after="0" w:line="121" w:lineRule="exact"/>
        <w:rPr>
          <w:sz w:val="20"/>
          <w:szCs w:val="20"/>
          <w:color w:val="auto"/>
        </w:rPr>
      </w:pPr>
    </w:p>
    <w:p>
      <w:pPr>
        <w:ind w:left="200" w:right="200" w:firstLine="441"/>
        <w:spacing w:after="0" w:line="261" w:lineRule="auto"/>
        <w:rPr>
          <w:sz w:val="20"/>
          <w:szCs w:val="20"/>
          <w:color w:val="auto"/>
        </w:rPr>
      </w:pPr>
      <w:r>
        <w:rPr>
          <w:rFonts w:ascii="Times New Roman" w:cs="Times New Roman" w:eastAsia="Times New Roman" w:hAnsi="Times New Roman"/>
          <w:sz w:val="18"/>
          <w:szCs w:val="18"/>
          <w:color w:val="auto"/>
        </w:rPr>
        <w:t>We are prohibited under the 1940 Act from participating in certain transactions with certain of our affiliates without the prior approval of our Independent Directors and, in some cases, exemptive relief from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20"/>
          </w:cols>
          <w:pgMar w:left="240" w:top="455" w:right="4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58" w:lineRule="auto"/>
        <w:rPr>
          <w:sz w:val="20"/>
          <w:szCs w:val="20"/>
          <w:color w:val="auto"/>
        </w:rPr>
      </w:pPr>
      <w:r>
        <w:rPr>
          <w:rFonts w:ascii="Times New Roman" w:cs="Times New Roman" w:eastAsia="Times New Roman" w:hAnsi="Times New Roman"/>
          <w:sz w:val="18"/>
          <w:szCs w:val="18"/>
          <w:color w:val="auto"/>
        </w:rPr>
        <w:t>transactions with certain of our affiliates, which could include investments in the same portfolio company (whether at the same or different times), without prior approval of our Independent Directors and, in some cases, exemptive relief from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84" w:lineRule="exact"/>
        <w:rPr>
          <w:sz w:val="20"/>
          <w:szCs w:val="20"/>
          <w:color w:val="auto"/>
        </w:rPr>
      </w:pPr>
    </w:p>
    <w:p>
      <w:pPr>
        <w:ind w:left="200" w:right="140" w:firstLine="441"/>
        <w:spacing w:after="0" w:line="258" w:lineRule="auto"/>
        <w:rPr>
          <w:sz w:val="20"/>
          <w:szCs w:val="20"/>
          <w:color w:val="auto"/>
        </w:rPr>
      </w:pPr>
      <w:r>
        <w:rPr>
          <w:rFonts w:ascii="Times New Roman" w:cs="Times New Roman" w:eastAsia="Times New Roman" w:hAnsi="Times New Roman"/>
          <w:sz w:val="18"/>
          <w:szCs w:val="18"/>
          <w:color w:val="auto"/>
        </w:rPr>
        <w:t>The decision by TSSP, TPG or our Adviser to allocate an opportunity to another entity could cause us to forgo an investment opportunity that we otherwise would have made. We also generally will be unable to invest in any issuer in which TSSP, TPG and its other affiliates or a fund managed by TSSP, TPG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184"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On December 16, 2014, we were granted an exemptive order from the SEC that allows us to co-invest, subject to certain conditions, with affiliates of TSSP and TPG in middle-market loan origination activities for companies domiciled in the United States and certain “follow-on” investments in companies in which we have already co-invested pursuant to the order and remain invested. We and our affiliates, including investment funds managed by our affiliates, are only permitted to co-invest in accordance with the terms of the exemptive order or in the limited circumstances otherwise currently permitted by regulatory guidance. See “Related-Party Transactions and Certain Relationships—Exemptive Order” for more information on the terms of the exemptive order.</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Any acquisitions or strategic investments that we pursue are subject to risks and uncertainties.</w:t>
      </w:r>
    </w:p>
    <w:p>
      <w:pPr>
        <w:spacing w:after="0" w:line="121"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We have pursued and may continue to pursue growth through acquisitions or strategic investments in new businesses. Completion and timing of any such acquisitions or strategic investments may be subject to a number of contingencies, including the uncertainty in reaching a commercial agreement with our counterparty, our ability to obtain required board, shareholder and regulatory approvals, as well as any required financing (or the risk that these are obtained subject to terms and conditions that are not anticipated). The announcement or consummation of any transaction also may adversely impact our business relationships or engender competitive responses.</w:t>
      </w:r>
    </w:p>
    <w:p>
      <w:pPr>
        <w:spacing w:after="0" w:line="184"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Acquisitions could involve numerous additional risks, such as unanticipated litigation, unexpected costs, liabilities, charges or expenses resulting from a transaction, the inability to generate sufficient revenue to offset acquisition costs and any changes in general economic or industry specific conditions. There can be no assurance that the integration of an acquired business will be successful or that an acquired business will prove to be profitable or sustainable. The failure to integrate successfully or to manage the challenges presented by an integration process may adversely impact our financial results. In addition, the proposal and negotiation of acquisitions or strategic investments, whether or not completed, as well as the integration of those businesses into our existing portfolio, could result in substantial expenses and the diversion of our Adviser’s time, attention and resources from our day-to-day operations.</w:t>
      </w:r>
    </w:p>
    <w:p>
      <w:pPr>
        <w:spacing w:after="0" w:line="189" w:lineRule="exact"/>
        <w:rPr>
          <w:sz w:val="20"/>
          <w:szCs w:val="20"/>
          <w:color w:val="auto"/>
        </w:rPr>
      </w:pPr>
    </w:p>
    <w:p>
      <w:pPr>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Our ability to manage our growth through acquisitions or strategic investments will depend, in part, on our success in addressing these risks. Any failure to effectively implement our acquisition or strategic investment strategies could have a material adverse effect on our business, financial condition or results of operations.</w:t>
      </w:r>
    </w:p>
    <w:p>
      <w:pPr>
        <w:spacing w:after="0" w:line="280" w:lineRule="exact"/>
        <w:rPr>
          <w:sz w:val="20"/>
          <w:szCs w:val="20"/>
          <w:color w:val="auto"/>
        </w:rPr>
      </w:pPr>
    </w:p>
    <w:p>
      <w:pPr>
        <w:ind w:left="20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we will be able to obtain various required licenses in U.S. states or in any other jurisdiction where they may be required in the future.</w:t>
      </w:r>
    </w:p>
    <w:p>
      <w:pPr>
        <w:spacing w:after="0" w:line="51" w:lineRule="exact"/>
        <w:rPr>
          <w:sz w:val="20"/>
          <w:szCs w:val="20"/>
          <w:color w:val="auto"/>
        </w:rPr>
      </w:pPr>
    </w:p>
    <w:p>
      <w:pPr>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We are required to have and may be required in the future to obtain various state licenses to, among other things, originate commercial loans, and may be required to obtain similar licenses from other authorities, including outside of the United States, in the future in connection with one or more investments. Applying for</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20"/>
          </w:cols>
          <w:pgMar w:left="240" w:top="455" w:right="4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61" w:lineRule="auto"/>
        <w:rPr>
          <w:sz w:val="20"/>
          <w:szCs w:val="20"/>
          <w:color w:val="auto"/>
        </w:rPr>
      </w:pPr>
      <w:r>
        <w:rPr>
          <w:rFonts w:ascii="Times New Roman" w:cs="Times New Roman" w:eastAsia="Times New Roman" w:hAnsi="Times New Roman"/>
          <w:sz w:val="18"/>
          <w:szCs w:val="18"/>
          <w:color w:val="auto"/>
        </w:rPr>
        <w:t>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in foreign companies may involve significant risks in addition to the risks inherent in U.S. investments.</w:t>
      </w:r>
    </w:p>
    <w:p>
      <w:pPr>
        <w:spacing w:after="0" w:line="12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Our investment strategy may include potential investments in foreign companies. Investing in foreign companies may expose us to additional risks not typically associated with investing in U.S. companies. These risks include changes in exchange control regulations, U.S. trade policy,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Uncertainty in the wake of Brexit could also have negative impacts on both the U.K. economy and the economies of other countries in Europe. In addition, interest income derived from loans to foreign companies is not eligible to be distributed to our non-U.S. stockholders free from withholding taxes.</w:t>
      </w:r>
    </w:p>
    <w:p>
      <w:pPr>
        <w:spacing w:after="0" w:line="185"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cannot assure you that such strategies will be effective or without risk to us.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We expose ourselves to risks when we engage in hedging transactions.</w:t>
      </w:r>
    </w:p>
    <w:p>
      <w:pPr>
        <w:spacing w:after="0" w:line="121" w:lineRule="exact"/>
        <w:rPr>
          <w:sz w:val="20"/>
          <w:szCs w:val="20"/>
          <w:color w:val="auto"/>
        </w:rPr>
      </w:pPr>
    </w:p>
    <w:p>
      <w:pPr>
        <w:ind w:left="200" w:right="140" w:firstLine="441"/>
        <w:spacing w:after="0" w:line="258" w:lineRule="auto"/>
        <w:rPr>
          <w:sz w:val="20"/>
          <w:szCs w:val="20"/>
          <w:color w:val="auto"/>
        </w:rPr>
      </w:pPr>
      <w:r>
        <w:rPr>
          <w:rFonts w:ascii="Times New Roman" w:cs="Times New Roman" w:eastAsia="Times New Roman" w:hAnsi="Times New Roman"/>
          <w:sz w:val="18"/>
          <w:szCs w:val="18"/>
          <w:color w:val="auto"/>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and the relative value of certain debt securities from changes in market interest rates. Use of these hedging instruments may include counter-party credit risk. To the extent we have non-U.S. investments, particularly investments denominated in non-U.S. currencies, our hedging costs will increase.</w:t>
      </w:r>
    </w:p>
    <w:p>
      <w:pPr>
        <w:spacing w:after="0" w:line="184" w:lineRule="exact"/>
        <w:rPr>
          <w:sz w:val="20"/>
          <w:szCs w:val="20"/>
          <w:color w:val="auto"/>
        </w:rPr>
      </w:pPr>
    </w:p>
    <w:p>
      <w:pPr>
        <w:ind w:left="200" w:right="60" w:firstLine="441"/>
        <w:spacing w:after="0" w:line="256" w:lineRule="auto"/>
        <w:rPr>
          <w:sz w:val="20"/>
          <w:szCs w:val="20"/>
          <w:color w:val="auto"/>
        </w:rPr>
      </w:pPr>
      <w:r>
        <w:rPr>
          <w:rFonts w:ascii="Times New Roman" w:cs="Times New Roman" w:eastAsia="Times New Roman" w:hAnsi="Times New Roman"/>
          <w:sz w:val="18"/>
          <w:szCs w:val="18"/>
          <w:color w:val="auto"/>
        </w:rPr>
        <w:t>We also have the ability to borrow in certain foreign currencies under the second amended and restated senior secured revolving credit agreement, as amended, with SunTrust Bank, as administrative agent, and certain lenders, which we refer to as the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188"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Hedging against a decline in the values of our portfolio positions would not eliminate the possibility of fluctuations in the values of such positions or prevent losses if the values of such positions were to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were to increase. It also may not be possible to hedge against an exchange rate or interest rate fluctuation that is so generally anticipated that we are not able to enter into a hedging transaction at an acceptable price.</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20"/>
          </w:cols>
          <w:pgMar w:left="240" w:top="455" w:right="4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5" w:lineRule="auto"/>
        <w:rPr>
          <w:sz w:val="20"/>
          <w:szCs w:val="20"/>
          <w:color w:val="auto"/>
        </w:rPr>
      </w:pPr>
      <w:r>
        <w:rPr>
          <w:rFonts w:ascii="Times New Roman" w:cs="Times New Roman" w:eastAsia="Times New Roman" w:hAnsi="Times New Roman"/>
          <w:sz w:val="18"/>
          <w:szCs w:val="18"/>
          <w:color w:val="auto"/>
        </w:rPr>
        <w:t>The success of our hedging strategy will depend on our ability to correctly identify appropriate exposures for hedging. To date, we have entered into hedging transactions to seek to reduce currency exchange rate risk and interest rate risk related to specific portfolio companies. In addition, in connection with our Convertible Senior Notes and 2023 Notes, which bear interest at fixed rates, we entered into fixed-to-floating interest rate swaps to continue to align the interest rates of our liabilities with our investment portfolio, which consists of predominately floating rate loans.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as may the time period in which the hedge is effective relative to the time period of the related exposure.</w:t>
      </w:r>
    </w:p>
    <w:p>
      <w:pPr>
        <w:spacing w:after="0" w:line="185"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For a variety of reasons, we may not seek to (or be able to) establish a perfect correlation between such hedging instruments and the positions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stockholders free from withholding taxes. See also “—Risks Related to Our Portfolio Company Investments—We are exposed to risks associated with changes in interest rates” and “Management’s Discussion and Analysis of Financial Condition and Results of Operations—Results of Operations—Hedging.”</w:t>
      </w:r>
    </w:p>
    <w:p>
      <w:pPr>
        <w:spacing w:after="0" w:line="189"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Recent and anticipated regulatory changes require that certain types of swaps, including interest rate and credit default swaps, be cleared and traded on regulated platforms, and these regulatory changes are expected to apply to foreign exchange transactions in the future. Cleared swaps, such as the interest rate swaps we entered into in connection with certain investments in portfolio companies and our Convertible Senior Notes and 2023 Notes, require us to post collateral. Any failure by us to fulfill any collateral requirement (e.g., a so-called “margin call”) may result in a default and could have a material adverse impact on our business, financial condition and results of operations. U.S. regulators have adopted rules imposing margin requirements for derivatives executed with registered swap dealers that are not cleared. These new requirements could significantly increase the cost of using non-cleared swaps to hedge our interest rate and foreign exchange risk.</w:t>
      </w:r>
    </w:p>
    <w:p>
      <w:pPr>
        <w:spacing w:after="0" w:line="189"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Finally, the SEC has issued a proposed rule, Rule 18f-4, that if adopted would potentially constrain our ability to use swaps and other derivatives. Among other requirements, the proposed rule could potentially force us to reduce our use of leverage if our aggregate exposure to swap or derivative positions, together with outstanding leverage and any financial commitments to our portfolio companies, exceeds 150 percent of our net asset value, absent an assessment that our use of derivatives reduces our actual portfolio risk. In addition, we may be required under the proposed rule to carry sufficient cash and cash equivalents to meet our actual, and in some cases, expected future, obligations under any swaps or derivatives we currently have in place, which could cause the returns on our overall portfolio to be lower as a result. We cannot assure you when or if the proposed rule will be adopted by the SEC, and if adopted, whether the final rule will similarly constrain our ability to utilize swaps and derivatives in the future.</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If we cease to be eligible for an exemption from regulation as a commodity pool operator, our compliance expenses could increase substantially.</w:t>
      </w:r>
    </w:p>
    <w:p>
      <w:pPr>
        <w:spacing w:after="0" w:line="121"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Our Adviser has been granted relief under a no-action letter, known as Letter 12-40, issued by the staff of the Commodity Futures Trading Commission, or CFTC. Letter 12-40 relieves our Adviser from registering with the CFTC as the commodity pool operator, or CPO, of us, so long as we:</w:t>
      </w:r>
    </w:p>
    <w:p>
      <w:pPr>
        <w:spacing w:after="0" w:line="67" w:lineRule="exact"/>
        <w:rPr>
          <w:sz w:val="20"/>
          <w:szCs w:val="20"/>
          <w:color w:val="auto"/>
        </w:rPr>
      </w:pPr>
    </w:p>
    <w:p>
      <w:pPr>
        <w:ind w:left="1060" w:hanging="316"/>
        <w:spacing w:after="0"/>
        <w:tabs>
          <w:tab w:leader="none" w:pos="10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be regulated by the SEC as a BDC;</w:t>
      </w:r>
    </w:p>
    <w:p>
      <w:pPr>
        <w:spacing w:after="0" w:line="130" w:lineRule="exact"/>
        <w:rPr>
          <w:rFonts w:ascii="Times New Roman" w:cs="Times New Roman" w:eastAsia="Times New Roman" w:hAnsi="Times New Roman"/>
          <w:sz w:val="18"/>
          <w:szCs w:val="18"/>
          <w:color w:val="auto"/>
        </w:rPr>
      </w:pPr>
    </w:p>
    <w:p>
      <w:pPr>
        <w:ind w:left="5620" w:right="4160" w:hanging="4876"/>
        <w:spacing w:after="0" w:line="454" w:lineRule="auto"/>
        <w:tabs>
          <w:tab w:leader="none" w:pos="10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confine our trading in CFTC-regulated derivatives within specified thresholds; and 44</w:t>
      </w:r>
    </w:p>
    <w:p>
      <w:pPr>
        <w:sectPr>
          <w:pgSz w:w="11900" w:h="16838" w:orient="portrait"/>
          <w:cols w:equalWidth="0" w:num="1">
            <w:col w:w="11200"/>
          </w:cols>
          <w:pgMar w:left="240" w:top="455" w:right="4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marketed to the public as a commodity pool or as a vehicle for trading in CFTC-regulated derivatives.</w:t>
      </w:r>
    </w:p>
    <w:p>
      <w:pPr>
        <w:spacing w:after="0" w:line="225" w:lineRule="exact"/>
        <w:rPr>
          <w:sz w:val="20"/>
          <w:szCs w:val="20"/>
          <w:color w:val="auto"/>
        </w:rPr>
      </w:pPr>
    </w:p>
    <w:p>
      <w:pPr>
        <w:ind w:left="200" w:right="140" w:firstLine="441"/>
        <w:spacing w:after="0" w:line="258" w:lineRule="auto"/>
        <w:rPr>
          <w:sz w:val="20"/>
          <w:szCs w:val="20"/>
          <w:color w:val="auto"/>
        </w:rPr>
      </w:pPr>
      <w:r>
        <w:rPr>
          <w:rFonts w:ascii="Times New Roman" w:cs="Times New Roman" w:eastAsia="Times New Roman" w:hAnsi="Times New Roman"/>
          <w:sz w:val="18"/>
          <w:szCs w:val="18"/>
          <w:color w:val="auto"/>
        </w:rPr>
        <w:t>If we were unable to satisfy the conditions of Letter 12-40 in the future, our Adviser may be subject to registration with the CFTC as a CPO. Registered CPOs must comply with numerous substantive regulations related to disclosure, reporting and recordkeeping, and are required to become members of the National Futures Association, or the NFA, and be subject to the NFA’s rules and bylaws. Compliance with these additional registration and regulatory requirements could increase our expenses and impact performance. The Adviser previously relied on the exemption from registration in CFTC Rule 4.13(a)(3), which is not available for advisers of companies whose stock is marketed to the public.</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portfolio investments may present special tax issues.</w:t>
      </w:r>
    </w:p>
    <w:p>
      <w:pPr>
        <w:spacing w:after="0" w:line="121"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Investments in below-investment grade debt instruments and certain equity securities may present special tax issues for us. U.S. federal income tax rules are not entirely clear about certain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 distributions to our stockholders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stockholders. These and other issues will be considered by us, to the extent determined necessary, so that we aim to minimize the level of any U.S. federal income or excise tax that we would otherwise incur. See “Material U.S. Federal Income Tax Considerations—Regulated Investment Company Classification.”</w:t>
      </w:r>
    </w:p>
    <w:p>
      <w:pPr>
        <w:spacing w:after="0" w:line="290" w:lineRule="exact"/>
        <w:rPr>
          <w:sz w:val="20"/>
          <w:szCs w:val="20"/>
          <w:color w:val="auto"/>
        </w:rPr>
      </w:pPr>
    </w:p>
    <w:p>
      <w:pPr>
        <w:ind w:lef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67" w:lineRule="exact"/>
        <w:rPr>
          <w:sz w:val="20"/>
          <w:szCs w:val="20"/>
          <w:color w:val="auto"/>
        </w:rPr>
      </w:pPr>
    </w:p>
    <w:p>
      <w:pPr>
        <w:ind w:left="200" w:right="20" w:firstLine="441"/>
        <w:spacing w:after="0" w:line="254" w:lineRule="auto"/>
        <w:rPr>
          <w:sz w:val="20"/>
          <w:szCs w:val="20"/>
          <w:color w:val="auto"/>
        </w:rPr>
      </w:pPr>
      <w:r>
        <w:rPr>
          <w:rFonts w:ascii="Times New Roman" w:cs="Times New Roman" w:eastAsia="Times New Roman" w:hAnsi="Times New Roman"/>
          <w:sz w:val="18"/>
          <w:szCs w:val="18"/>
          <w:color w:val="auto"/>
        </w:rPr>
        <w:t>We expect to be treated as a “publicly offered regulated investment company” as a result of shares of our common stock being treated as regularly traded on an established securities market. However, we cannot assure you that we will be treated as a publicly offered regulated investment company for all years. For example, if our shares are not treated as regularly traded and we are not held by more than 500 persons at all times during the taxable year, we might not be treated as a publicly offered regulated investment company. If we are not treated as a publicly offered regulated investment company for any calendar year, each U.S. stockholder that is an individual, trust or estate will be treated as having received a dividend from us in the amount of such U.S. stockholder’s allocable share of the Management Fees and Incentive Fees paid to our Adviser and certain of our other expenses for the calendar year, and these fees and expenses will be treated as miscellaneous itemized deductions of such U.S. stockholder. Miscellaneous itemized deductions generally are not deductible by individuals, trusts or estates for taxable years beginning after December 31, 2017 and before January 1, 2026. See “Material U.S. Federal Income Tax Considerations—Taxation of U.S. Stockholders—Potential Limitation with Respect to Certain U.S. Stockholders on Deductions for Certain Fees and Expenses.”</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There are certain risks associated with holding debt obligations that have original issue discount or payment-in-kind interest.</w:t>
      </w:r>
    </w:p>
    <w:p>
      <w:pPr>
        <w:spacing w:after="0" w:line="121" w:lineRule="exact"/>
        <w:rPr>
          <w:sz w:val="20"/>
          <w:szCs w:val="20"/>
          <w:color w:val="auto"/>
        </w:rPr>
      </w:pPr>
    </w:p>
    <w:p>
      <w:pPr>
        <w:ind w:left="200" w:right="160" w:firstLine="441"/>
        <w:spacing w:after="0" w:line="282" w:lineRule="auto"/>
        <w:rPr>
          <w:sz w:val="20"/>
          <w:szCs w:val="20"/>
          <w:color w:val="auto"/>
        </w:rPr>
      </w:pPr>
      <w:r>
        <w:rPr>
          <w:rFonts w:ascii="Times New Roman" w:cs="Times New Roman" w:eastAsia="Times New Roman" w:hAnsi="Times New Roman"/>
          <w:sz w:val="18"/>
          <w:szCs w:val="18"/>
          <w:color w:val="auto"/>
        </w:rPr>
        <w:t>Original issue discount, or OID, may arise if we hold securities issued at a discount, receive warrants in connection with the making of a loan, or in certain other circumstances. OID creates the risk that Incentive Fees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20"/>
          </w:cols>
          <w:pgMar w:left="240" w:top="455" w:right="4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2" w:lineRule="auto"/>
        <w:rPr>
          <w:sz w:val="20"/>
          <w:szCs w:val="20"/>
          <w:color w:val="auto"/>
        </w:rPr>
      </w:pPr>
      <w:r>
        <w:rPr>
          <w:rFonts w:ascii="Times New Roman" w:cs="Times New Roman" w:eastAsia="Times New Roman" w:hAnsi="Times New Roman"/>
          <w:sz w:val="18"/>
          <w:szCs w:val="18"/>
          <w:color w:val="auto"/>
        </w:rPr>
        <w:t>will be paid to the Adviser based on non-cash accruals that ultimately may not be realized, while the Adviser will be under no obligation to reimburse us for these fees.</w:t>
      </w:r>
    </w:p>
    <w:p>
      <w:pPr>
        <w:spacing w:after="0" w:line="162" w:lineRule="exact"/>
        <w:rPr>
          <w:sz w:val="20"/>
          <w:szCs w:val="20"/>
          <w:color w:val="auto"/>
        </w:rPr>
      </w:pPr>
    </w:p>
    <w:p>
      <w:pPr>
        <w:ind w:left="200" w:right="240" w:firstLine="441"/>
        <w:spacing w:after="0" w:line="266" w:lineRule="auto"/>
        <w:rPr>
          <w:sz w:val="20"/>
          <w:szCs w:val="20"/>
          <w:color w:val="auto"/>
        </w:rPr>
      </w:pPr>
      <w:r>
        <w:rPr>
          <w:rFonts w:ascii="Times New Roman" w:cs="Times New Roman" w:eastAsia="Times New Roman" w:hAnsi="Times New Roman"/>
          <w:sz w:val="18"/>
          <w:szCs w:val="18"/>
          <w:color w:val="auto"/>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176" w:lineRule="exact"/>
        <w:rPr>
          <w:sz w:val="20"/>
          <w:szCs w:val="20"/>
          <w:color w:val="auto"/>
        </w:rPr>
      </w:pPr>
    </w:p>
    <w:p>
      <w:pPr>
        <w:ind w:left="200" w:right="300" w:firstLine="441"/>
        <w:spacing w:after="0" w:line="282" w:lineRule="auto"/>
        <w:rPr>
          <w:sz w:val="20"/>
          <w:szCs w:val="20"/>
          <w:color w:val="auto"/>
        </w:rPr>
      </w:pPr>
      <w:r>
        <w:rPr>
          <w:rFonts w:ascii="Times New Roman" w:cs="Times New Roman" w:eastAsia="Times New Roman" w:hAnsi="Times New Roman"/>
          <w:sz w:val="18"/>
          <w:szCs w:val="18"/>
          <w:color w:val="auto"/>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dividends.</w:t>
      </w:r>
    </w:p>
    <w:p>
      <w:pPr>
        <w:spacing w:after="0" w:line="162" w:lineRule="exact"/>
        <w:rPr>
          <w:sz w:val="20"/>
          <w:szCs w:val="20"/>
          <w:color w:val="auto"/>
        </w:rPr>
      </w:pPr>
    </w:p>
    <w:p>
      <w:pPr>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For accounting purposes, any cash dividends to stockholders representing OID income are not treated as coming from paid-in capital, even if the cash to pay them comes from the proceeds of issuances of our common stock. As a result, despite the fact that a dividend representing OID income could be paid out of amounts invested by our stockholders, the 1940 Act does not require that stockholders be given notice of this fact by reporting it as a return of capital.</w:t>
      </w:r>
    </w:p>
    <w:p>
      <w:pPr>
        <w:spacing w:after="0" w:line="180" w:lineRule="exact"/>
        <w:rPr>
          <w:sz w:val="20"/>
          <w:szCs w:val="20"/>
          <w:color w:val="auto"/>
        </w:rPr>
      </w:pPr>
    </w:p>
    <w:p>
      <w:pPr>
        <w:ind w:left="200" w:right="160" w:firstLine="441"/>
        <w:spacing w:after="0" w:line="266" w:lineRule="auto"/>
        <w:rPr>
          <w:sz w:val="20"/>
          <w:szCs w:val="20"/>
          <w:color w:val="auto"/>
        </w:rPr>
      </w:pPr>
      <w:r>
        <w:rPr>
          <w:rFonts w:ascii="Times New Roman" w:cs="Times New Roman" w:eastAsia="Times New Roman" w:hAnsi="Times New Roman"/>
          <w:sz w:val="18"/>
          <w:szCs w:val="18"/>
          <w:color w:val="auto"/>
        </w:rPr>
        <w:t>Payment-in-kind, or PIK, interest has the effect of generating investment income at a compounding rate, thereby further increasing the Incentive Fees payable to the Adviser. Similarly, all things being equal, the deferral associated with PIK interest also increases the loan-to-value ratio at a compounding rate.</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Risks Related to Offerings Pursuant to This Prospectus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There is a risk that investors in our common stock may not receive dividends or that our dividends may not grow over time.</w:t>
      </w:r>
    </w:p>
    <w:p>
      <w:pPr>
        <w:spacing w:after="0" w:line="12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We intend to continue paying dividends on a quarterly basis to our stockholders out of assets legally available for distribution. We cannot assure you that we will achieve investment results or maintain a tax status that will allow or require any specified level of cash dividends or year-to-year increases in cash dividends. Our ability to pay dividends might be adversely affected by the impact of one or more of the risk factors described in this prospectus.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89" w:lineRule="exact"/>
        <w:rPr>
          <w:sz w:val="20"/>
          <w:szCs w:val="20"/>
          <w:color w:val="auto"/>
        </w:rPr>
      </w:pPr>
    </w:p>
    <w:p>
      <w:pPr>
        <w:ind w:left="200" w:right="120" w:firstLine="441"/>
        <w:spacing w:after="0" w:line="258" w:lineRule="auto"/>
        <w:rPr>
          <w:sz w:val="20"/>
          <w:szCs w:val="20"/>
          <w:color w:val="auto"/>
        </w:rPr>
      </w:pPr>
      <w:r>
        <w:rPr>
          <w:rFonts w:ascii="Times New Roman" w:cs="Times New Roman" w:eastAsia="Times New Roman" w:hAnsi="Times New Roman"/>
          <w:sz w:val="18"/>
          <w:szCs w:val="18"/>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“—Risks Related to Our Portfolio Company Investments—There are certain risks associated with holding debt obligations that have original issue discount or payment-in-kind interest.”</w:t>
      </w:r>
    </w:p>
    <w:p>
      <w:pPr>
        <w:spacing w:after="0" w:line="184"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w:t>
      </w:r>
    </w:p>
    <w:p>
      <w:pPr>
        <w:spacing w:after="0" w:line="184" w:lineRule="exact"/>
        <w:rPr>
          <w:sz w:val="20"/>
          <w:szCs w:val="20"/>
          <w:color w:val="auto"/>
        </w:rPr>
      </w:pPr>
    </w:p>
    <w:p>
      <w:pPr>
        <w:ind w:left="200" w:right="20" w:firstLine="441"/>
        <w:spacing w:after="0" w:line="282" w:lineRule="auto"/>
        <w:rPr>
          <w:sz w:val="20"/>
          <w:szCs w:val="20"/>
          <w:color w:val="auto"/>
        </w:rPr>
      </w:pPr>
      <w:r>
        <w:rPr>
          <w:rFonts w:ascii="Times New Roman" w:cs="Times New Roman" w:eastAsia="Times New Roman" w:hAnsi="Times New Roman"/>
          <w:sz w:val="18"/>
          <w:szCs w:val="18"/>
          <w:color w:val="auto"/>
        </w:rPr>
        <w:t>To the extent that the amounts distributed by us exceed our current and accumulated earnings and profits, these excess distributions will be treated first as a return of capital to the extent of a stockholder’s tax basis in his</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00"/>
          </w:cols>
          <w:pgMar w:left="240" w:top="455" w:right="4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560"/>
        <w:spacing w:after="0" w:line="282" w:lineRule="auto"/>
        <w:rPr>
          <w:sz w:val="20"/>
          <w:szCs w:val="20"/>
          <w:color w:val="auto"/>
        </w:rPr>
      </w:pPr>
      <w:r>
        <w:rPr>
          <w:rFonts w:ascii="Times New Roman" w:cs="Times New Roman" w:eastAsia="Times New Roman" w:hAnsi="Times New Roman"/>
          <w:sz w:val="18"/>
          <w:szCs w:val="18"/>
          <w:color w:val="auto"/>
        </w:rPr>
        <w:t>or her shares and then as capital gain. Reducing a stockholder’s tax basis will have the effect of increasing his or her gain (or reducing loss) on a subsequent sale of shares.</w:t>
      </w:r>
    </w:p>
    <w:p>
      <w:pPr>
        <w:spacing w:after="0" w:line="162"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84" w:lineRule="exact"/>
        <w:rPr>
          <w:sz w:val="20"/>
          <w:szCs w:val="20"/>
          <w:color w:val="auto"/>
        </w:rPr>
      </w:pPr>
    </w:p>
    <w:p>
      <w:pPr>
        <w:ind w:left="200" w:right="320" w:firstLine="441"/>
        <w:spacing w:after="0" w:line="266" w:lineRule="auto"/>
        <w:rPr>
          <w:sz w:val="20"/>
          <w:szCs w:val="20"/>
          <w:color w:val="auto"/>
        </w:rPr>
      </w:pPr>
      <w:r>
        <w:rPr>
          <w:rFonts w:ascii="Times New Roman" w:cs="Times New Roman" w:eastAsia="Times New Roman" w:hAnsi="Times New Roman"/>
          <w:sz w:val="18"/>
          <w:szCs w:val="18"/>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Investing in our securities may involve a high degree of risk.</w:t>
      </w:r>
    </w:p>
    <w:p>
      <w:pPr>
        <w:spacing w:after="0" w:line="121"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fluctuate significantly.</w:t>
      </w:r>
    </w:p>
    <w:p>
      <w:pPr>
        <w:spacing w:after="0" w:line="121" w:lineRule="exact"/>
        <w:rPr>
          <w:sz w:val="20"/>
          <w:szCs w:val="20"/>
          <w:color w:val="auto"/>
        </w:rPr>
      </w:pPr>
    </w:p>
    <w:p>
      <w:pPr>
        <w:ind w:left="200" w:right="200" w:firstLine="441"/>
        <w:spacing w:after="0" w:line="282" w:lineRule="auto"/>
        <w:rPr>
          <w:sz w:val="20"/>
          <w:szCs w:val="20"/>
          <w:color w:val="auto"/>
        </w:rPr>
      </w:pPr>
      <w:r>
        <w:rPr>
          <w:rFonts w:ascii="Times New Roman" w:cs="Times New Roman" w:eastAsia="Times New Roman" w:hAnsi="Times New Roman"/>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67" w:lineRule="exact"/>
        <w:rPr>
          <w:sz w:val="20"/>
          <w:szCs w:val="20"/>
          <w:color w:val="auto"/>
        </w:rPr>
      </w:pPr>
    </w:p>
    <w:p>
      <w:pPr>
        <w:ind w:left="1060" w:right="20" w:hanging="316"/>
        <w:spacing w:after="0" w:line="282" w:lineRule="auto"/>
        <w:tabs>
          <w:tab w:leader="none" w:pos="1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or tax guidelines, particularly with respect to RICs or BDCs;</w:t>
      </w:r>
    </w:p>
    <w:p>
      <w:pPr>
        <w:spacing w:after="0" w:line="130" w:lineRule="exact"/>
        <w:rPr>
          <w:rFonts w:ascii="Times New Roman" w:cs="Times New Roman" w:eastAsia="Times New Roman" w:hAnsi="Times New Roman"/>
          <w:sz w:val="18"/>
          <w:szCs w:val="18"/>
          <w:color w:val="auto"/>
        </w:rPr>
      </w:pPr>
    </w:p>
    <w:p>
      <w:pPr>
        <w:ind w:left="1060" w:right="300" w:hanging="316"/>
        <w:spacing w:after="0" w:line="282" w:lineRule="auto"/>
        <w:tabs>
          <w:tab w:leader="none" w:pos="1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exclusion of BDC common stock from certain market indices, which could reduce the ability of certain investment funds to own our common stock and put short term selling pressure on our common stock;</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RIC or BDC status;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perceived changes in earnings or variations in operating results;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portfolio of investments;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perceived changes in the value of our portfolio of investments;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guidelines governing valuation of our investments;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shortfall in revenue or net income or any increase in losses from levels expected by investors or securities analysts;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downgrades to our credit rating or placement on a negative watch status by a credit rating agency;</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 of the Adviser’s or any of its affiliates’ key personnel;</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performance of companies comparable to us;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short-selling pressure with respect to shares of our common stock or BDCs generally;</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60"/>
          </w:cols>
          <w:pgMar w:left="240" w:top="455" w:right="49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securities convertible into or exchangeable or exercisable for our common stock or the conversion of such securities;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surrounding the strength of the U.S. economic recovery;</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regarding European sovereign debt and Brexit;</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regarding volatility in the Chinese stock market and Chinese currency;</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base interest rates, such as LIBOR, EURIBOR, the Federal Funds Rate or the Prime Rate;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trends and other external factors;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major funding source.</w:t>
      </w:r>
    </w:p>
    <w:p>
      <w:pPr>
        <w:spacing w:after="0" w:line="225" w:lineRule="exact"/>
        <w:rPr>
          <w:sz w:val="20"/>
          <w:szCs w:val="20"/>
          <w:color w:val="auto"/>
        </w:rPr>
      </w:pPr>
    </w:p>
    <w:p>
      <w:pPr>
        <w:ind w:left="200" w:right="260" w:firstLine="441"/>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 action litigation has often been brought against that company. If our stock price fluctuates significantly, we may be the target of securities litigation in the future. Securities litigation could result in substantial costs and divert management’s attention and resources from our business.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We cannot assure you that the market price of shares of our common stock will not decline.</w:t>
      </w:r>
    </w:p>
    <w:p>
      <w:pPr>
        <w:spacing w:after="0" w:line="121" w:lineRule="exact"/>
        <w:rPr>
          <w:sz w:val="20"/>
          <w:szCs w:val="20"/>
          <w:color w:val="auto"/>
        </w:rPr>
      </w:pPr>
    </w:p>
    <w:p>
      <w:pPr>
        <w:ind w:left="200" w:right="100" w:firstLine="441"/>
        <w:spacing w:after="0" w:line="255" w:lineRule="auto"/>
        <w:rPr>
          <w:sz w:val="20"/>
          <w:szCs w:val="20"/>
          <w:color w:val="auto"/>
        </w:rPr>
      </w:pPr>
      <w:r>
        <w:rPr>
          <w:rFonts w:ascii="Times New Roman" w:cs="Times New Roman" w:eastAsia="Times New Roman" w:hAnsi="Times New Roman"/>
          <w:sz w:val="18"/>
          <w:szCs w:val="18"/>
          <w:color w:val="auto"/>
        </w:rPr>
        <w:t>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In the past, shares of BDCs, including at times shares of our common stock, have traded at prices per share below net asset value per share. We cannot predict whether our common stock will trade at a price per share above, at or below net asset value per share. In addition, if our common stock trades below its net asset value per share,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common stock in the public market may have an adverse effect on the market price of our common stock.</w:t>
      </w:r>
    </w:p>
    <w:p>
      <w:pPr>
        <w:spacing w:after="0" w:line="121"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Sales of substantial amounts of our common stock, the availability of such common stock for sale (including as a result of the conversion of our 2019 Convertible Senior Notes and our 2022 Convertible Senior Notes into common stock)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may experience dilution upon the conversion of the 2019 Convertible Senior Notes and the 2022 Convertible Senior Notes.</w:t>
      </w:r>
    </w:p>
    <w:p>
      <w:pPr>
        <w:spacing w:after="0" w:line="121" w:lineRule="exact"/>
        <w:rPr>
          <w:sz w:val="20"/>
          <w:szCs w:val="20"/>
          <w:color w:val="auto"/>
        </w:rPr>
      </w:pPr>
    </w:p>
    <w:p>
      <w:pPr>
        <w:ind w:left="200" w:right="220" w:firstLine="441"/>
        <w:spacing w:after="0" w:line="256" w:lineRule="auto"/>
        <w:rPr>
          <w:sz w:val="20"/>
          <w:szCs w:val="20"/>
          <w:color w:val="auto"/>
        </w:rPr>
      </w:pPr>
      <w:r>
        <w:rPr>
          <w:rFonts w:ascii="Times New Roman" w:cs="Times New Roman" w:eastAsia="Times New Roman" w:hAnsi="Times New Roman"/>
          <w:sz w:val="18"/>
          <w:szCs w:val="18"/>
          <w:color w:val="auto"/>
        </w:rPr>
        <w:t>Our 2019 Convertible Senior Notes and our 2022 Convertible Senior Notes are convertible into shares of our common stock beginning on June 15, 2019 and February 1, 2022, respectively, or earlier, under certain circumstances. Upon conversion of our 2019 Convertible Senior Notes and 2022 Convertible Senior Notes, we have the choice to pay or deliver, as the case may be, at our election, cash, shares of our common stock or a combination of cash and shares of our common stock. The initial conversion price of the 2019 Convertible Senior Notes is $25.83 per share and the initial conversion price of the 2022 Convertible Senior Notes is $21.34 per share, in each case taking into account certain de minimis adjustments that will be made on the conversion date and subject to further adjustment in certain circumstances. If we elect to deliver shares of common stock upon a</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20"/>
          </w:cols>
          <w:pgMar w:left="240" w:top="455" w:right="4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1" w:lineRule="auto"/>
        <w:rPr>
          <w:sz w:val="20"/>
          <w:szCs w:val="20"/>
          <w:color w:val="auto"/>
        </w:rPr>
      </w:pPr>
      <w:r>
        <w:rPr>
          <w:rFonts w:ascii="Times New Roman" w:cs="Times New Roman" w:eastAsia="Times New Roman" w:hAnsi="Times New Roman"/>
          <w:sz w:val="18"/>
          <w:szCs w:val="18"/>
          <w:color w:val="auto"/>
        </w:rPr>
        <w:t>conversion at the time our tangible book value per share exceeds the conversion price in effect at such time, our stockholders may incur dilution. In addition, our stockholders will experience dilution in their ownership percentage of common stock upon our issuance of common stock in connection with the conversion of the 2019 Convertible Senior Notes and the 2022 Convertible Senior Notes and any dividends paid on our common stock will also be paid on shares issued in connection with such conversion after such issuance.</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will experience dilution in their ownership percentage if they opt out of our dividend reinvestment plan.</w:t>
      </w:r>
    </w:p>
    <w:p>
      <w:pPr>
        <w:spacing w:after="0" w:line="121" w:lineRule="exact"/>
        <w:rPr>
          <w:sz w:val="20"/>
          <w:szCs w:val="20"/>
          <w:color w:val="auto"/>
        </w:rPr>
      </w:pPr>
    </w:p>
    <w:p>
      <w:pPr>
        <w:ind w:left="200" w:right="100" w:firstLine="441"/>
        <w:spacing w:after="0" w:line="258" w:lineRule="auto"/>
        <w:rPr>
          <w:sz w:val="20"/>
          <w:szCs w:val="20"/>
          <w:color w:val="auto"/>
        </w:rPr>
      </w:pPr>
      <w:r>
        <w:rPr>
          <w:rFonts w:ascii="Times New Roman" w:cs="Times New Roman" w:eastAsia="Times New Roman" w:hAnsi="Times New Roman"/>
          <w:sz w:val="18"/>
          <w:szCs w:val="18"/>
          <w:color w:val="auto"/>
        </w:rPr>
        <w:t>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“Price Range of Common Stock and Distributions” and “Dividend Reinvestment Plan” for a description of our dividend policy and obligations.</w:t>
      </w:r>
    </w:p>
    <w:p>
      <w:pPr>
        <w:spacing w:after="0" w:line="184" w:lineRule="exact"/>
        <w:rPr>
          <w:sz w:val="20"/>
          <w:szCs w:val="20"/>
          <w:color w:val="auto"/>
        </w:rPr>
      </w:pPr>
    </w:p>
    <w:p>
      <w:pPr>
        <w:ind w:left="200" w:right="100" w:firstLine="441"/>
        <w:spacing w:after="0" w:line="255" w:lineRule="auto"/>
        <w:rPr>
          <w:sz w:val="20"/>
          <w:szCs w:val="20"/>
          <w:color w:val="auto"/>
        </w:rPr>
      </w:pPr>
      <w:r>
        <w:rPr>
          <w:rFonts w:ascii="Times New Roman" w:cs="Times New Roman" w:eastAsia="Times New Roman" w:hAnsi="Times New Roman"/>
          <w:sz w:val="18"/>
          <w:szCs w:val="18"/>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293" w:lineRule="exact"/>
        <w:rPr>
          <w:sz w:val="20"/>
          <w:szCs w:val="20"/>
          <w:color w:val="auto"/>
        </w:rPr>
      </w:pPr>
    </w:p>
    <w:p>
      <w:pPr>
        <w:ind w:lef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Purchases of our common stock by us under the Company 10b5-1 Plan may result in the price of our common stock being higher than the price that otherwise might exist in the open market.</w:t>
      </w:r>
    </w:p>
    <w:p>
      <w:pPr>
        <w:spacing w:after="0" w:line="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have entered into an agreement with Goldman Sachs &amp; Co. LLC, which we refer to as the Company 10b5-1 Plan, in accordance with</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Rules 10b5-1 and 10b-18 under the Exchange Act, under which Goldman Sachs &amp; Co. LLC, as agent for us, will buy up to $50 million of our common</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stock in the aggregate during the period ending on the earlier of the date on which all the capital committed to the plan has been exhausted or August 31,</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2018.</w:t>
      </w:r>
    </w:p>
    <w:p>
      <w:pPr>
        <w:spacing w:after="0" w:line="207"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Whether purchases will be made under the Company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Purchases of our common stock by us under the Company 10b5-1 Plan may result in dilution to our net asset value per share.</w:t>
      </w:r>
    </w:p>
    <w:p>
      <w:pPr>
        <w:spacing w:after="0" w:line="121" w:lineRule="exact"/>
        <w:rPr>
          <w:sz w:val="20"/>
          <w:szCs w:val="20"/>
          <w:color w:val="auto"/>
        </w:rPr>
      </w:pPr>
    </w:p>
    <w:p>
      <w:pPr>
        <w:ind w:left="200" w:right="420" w:firstLine="441"/>
        <w:spacing w:after="0" w:line="261" w:lineRule="auto"/>
        <w:rPr>
          <w:sz w:val="20"/>
          <w:szCs w:val="20"/>
          <w:color w:val="auto"/>
        </w:rPr>
      </w:pPr>
      <w:r>
        <w:rPr>
          <w:rFonts w:ascii="Times New Roman" w:cs="Times New Roman" w:eastAsia="Times New Roman" w:hAnsi="Times New Roman"/>
          <w:sz w:val="18"/>
          <w:szCs w:val="18"/>
          <w:color w:val="auto"/>
        </w:rPr>
        <w:t>The Company 10b5-1 Plan requires Goldman Sachs &amp; Co. LLC,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w:t>
      </w:r>
    </w:p>
    <w:p>
      <w:pPr>
        <w:spacing w:after="0" w:line="180" w:lineRule="exact"/>
        <w:rPr>
          <w:sz w:val="20"/>
          <w:szCs w:val="20"/>
          <w:color w:val="auto"/>
        </w:rPr>
      </w:pPr>
    </w:p>
    <w:p>
      <w:pPr>
        <w:ind w:left="200" w:right="40" w:firstLine="441"/>
        <w:spacing w:after="0" w:line="282" w:lineRule="auto"/>
        <w:rPr>
          <w:sz w:val="20"/>
          <w:szCs w:val="20"/>
          <w:color w:val="auto"/>
        </w:rPr>
      </w:pPr>
      <w:r>
        <w:rPr>
          <w:rFonts w:ascii="Times New Roman" w:cs="Times New Roman" w:eastAsia="Times New Roman" w:hAnsi="Times New Roman"/>
          <w:sz w:val="18"/>
          <w:szCs w:val="18"/>
          <w:color w:val="auto"/>
        </w:rPr>
        <w:t>Because purchases under the Company 10b5-1 Plan are made beginning at any price below our most recently reported net asset value per share, if our net asset value per share as of the end of a quarter is lower than</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00"/>
          </w:cols>
          <w:pgMar w:left="240" w:top="455" w:right="4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5" w:lineRule="auto"/>
        <w:rPr>
          <w:sz w:val="20"/>
          <w:szCs w:val="20"/>
          <w:color w:val="auto"/>
        </w:rPr>
      </w:pPr>
      <w:r>
        <w:rPr>
          <w:rFonts w:ascii="Times New Roman" w:cs="Times New Roman" w:eastAsia="Times New Roman" w:hAnsi="Times New Roman"/>
          <w:sz w:val="18"/>
          <w:szCs w:val="18"/>
          <w:color w:val="auto"/>
        </w:rPr>
        <w:t>the net asset per share as of the end of the prior quarter, purchases under the Company 10b5-1 Plan during the period from the end of a quarter to the time of our earnings release announcing the new net asset value per share for that quarter may result in dilution to our net asset value per share. This dilution would occur because we would repurchase shares under the Company 10b5-1 Plan at a price above the net asset value per share as of the end of the most recent quarter end, which would cause a proportionately smaller increase in our stockholders’ interest in our earnings and assets and their voting interest in us than the decrease in our assets resulting from such repurchase. As a result of any such dilution, our market price per share may decline. The actual dilutive effect will depend on the number of shares of common stock that could be so repurchased, the price and the timing of any repurchases under the Company 10b5-1 Plan.</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over the use of proceeds of any offering made pursuant to this prospectus, to the extent it is successful.</w:t>
      </w:r>
    </w:p>
    <w:p>
      <w:pPr>
        <w:spacing w:after="0" w:line="121"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We will have significant flexibility in applying the proceeds of any offering made pursuant to this prospectus. For example, we may pay operating expenses from net proceeds, which could limit our ability to achieve our investment objective.</w:t>
      </w:r>
    </w:p>
    <w:p>
      <w:pPr>
        <w:spacing w:after="0" w:line="266" w:lineRule="exact"/>
        <w:rPr>
          <w:sz w:val="20"/>
          <w:szCs w:val="20"/>
          <w:color w:val="auto"/>
        </w:rPr>
      </w:pPr>
    </w:p>
    <w:p>
      <w:pPr>
        <w:ind w:left="20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net asset value per share of our common stock may be diluted if we sell or otherwise issue shares of our common stock at prices below the then-current net asset value per share of our common stock.</w:t>
      </w:r>
    </w:p>
    <w:p>
      <w:pPr>
        <w:spacing w:after="0" w:line="51"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Pursuant to approval granted at a special meeting of stockholders held on May 18, 2017, we are currently permitted to sell or otherwise issue shares of our common stock at a price below our then-current net asset value per share, subject to the approval of our Board and certain other conditions. Such stockholder approval expires on May 18, 2018. On March 16, 2018, we filed a preliminary proxy statement for a special meeting of stockholders, currently expected to take place on May 17, 2018. The preliminary proxy statement sets forth a proposal to be voted upon at the special meeting that, if approved by stockholders, would have the effect of extending this approval to the one-year anniversary of the date of the special meeting.</w:t>
      </w:r>
    </w:p>
    <w:p>
      <w:pPr>
        <w:spacing w:after="0" w:line="184" w:lineRule="exact"/>
        <w:rPr>
          <w:sz w:val="20"/>
          <w:szCs w:val="20"/>
          <w:color w:val="auto"/>
        </w:rPr>
      </w:pPr>
    </w:p>
    <w:p>
      <w:pPr>
        <w:ind w:left="200" w:right="520" w:firstLine="441"/>
        <w:spacing w:after="0" w:line="282" w:lineRule="auto"/>
        <w:rPr>
          <w:sz w:val="20"/>
          <w:szCs w:val="20"/>
          <w:color w:val="auto"/>
        </w:rPr>
      </w:pPr>
      <w:r>
        <w:rPr>
          <w:rFonts w:ascii="Times New Roman" w:cs="Times New Roman" w:eastAsia="Times New Roman" w:hAnsi="Times New Roman"/>
          <w:sz w:val="18"/>
          <w:szCs w:val="18"/>
          <w:color w:val="auto"/>
        </w:rPr>
        <w:t>Any decision to sell or otherwise issue shares of our common stock below our then-current net asset value per share would be subject to the determination by our board of directors that such issuance or sale is in our and our stockholders’ best interests.</w:t>
      </w:r>
    </w:p>
    <w:p>
      <w:pPr>
        <w:spacing w:after="0" w:line="162" w:lineRule="exact"/>
        <w:rPr>
          <w:sz w:val="20"/>
          <w:szCs w:val="20"/>
          <w:color w:val="auto"/>
        </w:rPr>
      </w:pPr>
    </w:p>
    <w:p>
      <w:pPr>
        <w:ind w:left="200" w:right="80" w:firstLine="441"/>
        <w:spacing w:after="0" w:line="258" w:lineRule="auto"/>
        <w:rPr>
          <w:sz w:val="20"/>
          <w:szCs w:val="20"/>
          <w:color w:val="auto"/>
        </w:rPr>
      </w:pPr>
      <w:r>
        <w:rPr>
          <w:rFonts w:ascii="Times New Roman" w:cs="Times New Roman" w:eastAsia="Times New Roman" w:hAnsi="Times New Roman"/>
          <w:sz w:val="18"/>
          <w:szCs w:val="18"/>
          <w:color w:val="auto"/>
        </w:rPr>
        <w:t>If we were to sell or otherwise issue shares of our common stock below our then-current net asset value per share, such issuances or sales would result in an immediate dilution to the net asset value per share of our common stock. This dilution would occur as a result of the issuance or sale of shares at a price below the then-current net asset value per share of our common stock and a proportionately greater decrease in the stockholders’ interest in our earnings and assets and their voting interest in us than the increase in our assets resulting from such issuance or sale. Because the number of shares of common stock that could be so issued and the timing of any issuance is not currently known, the actual dilutive effect cannot be predicted.</w:t>
      </w:r>
    </w:p>
    <w:p>
      <w:pPr>
        <w:spacing w:after="0" w:line="184" w:lineRule="exact"/>
        <w:rPr>
          <w:sz w:val="20"/>
          <w:szCs w:val="20"/>
          <w:color w:val="auto"/>
        </w:rPr>
      </w:pPr>
    </w:p>
    <w:p>
      <w:pPr>
        <w:ind w:left="200" w:right="160" w:firstLine="441"/>
        <w:spacing w:after="0" w:line="266" w:lineRule="auto"/>
        <w:rPr>
          <w:sz w:val="20"/>
          <w:szCs w:val="20"/>
          <w:color w:val="auto"/>
        </w:rPr>
      </w:pPr>
      <w:r>
        <w:rPr>
          <w:rFonts w:ascii="Times New Roman" w:cs="Times New Roman" w:eastAsia="Times New Roman" w:hAnsi="Times New Roman"/>
          <w:sz w:val="18"/>
          <w:szCs w:val="18"/>
          <w:color w:val="auto"/>
        </w:rPr>
        <w:t>Further, if our current stockholders do not purchase any shares to maintain their percentage interest, regardless of whether such offering is above or below the then-current net asset value per share, their voting power will be diluted. For additional information and hypothetical examples of these risks, see “Sales of Common Stock Below Net Asset Value” and the prospectus supplement pursuant to which such sale is made.</w:t>
      </w:r>
    </w:p>
    <w:p>
      <w:pPr>
        <w:spacing w:after="0" w:line="280" w:lineRule="exact"/>
        <w:rPr>
          <w:sz w:val="20"/>
          <w:szCs w:val="20"/>
          <w:color w:val="auto"/>
        </w:rPr>
      </w:pPr>
    </w:p>
    <w:p>
      <w:pPr>
        <w:ind w:left="20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51" w:lineRule="exact"/>
        <w:rPr>
          <w:sz w:val="20"/>
          <w:szCs w:val="20"/>
          <w:color w:val="auto"/>
        </w:rPr>
      </w:pPr>
    </w:p>
    <w:p>
      <w:pPr>
        <w:ind w:left="200" w:right="520" w:firstLine="441"/>
        <w:spacing w:after="0" w:line="261" w:lineRule="auto"/>
        <w:rPr>
          <w:sz w:val="20"/>
          <w:szCs w:val="20"/>
          <w:color w:val="auto"/>
        </w:rPr>
      </w:pPr>
      <w:r>
        <w:rPr>
          <w:rFonts w:ascii="Times New Roman" w:cs="Times New Roman" w:eastAsia="Times New Roman" w:hAnsi="Times New Roman"/>
          <w:sz w:val="18"/>
          <w:szCs w:val="18"/>
          <w:color w:val="auto"/>
        </w:rPr>
        <w:t>In the event we issue subscription rights, stockholders who do not fully exercise their subscription rights should expect that they will, at the completion of a rights offering pursuant to this prospectus,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such rights offering.</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20"/>
          </w:cols>
          <w:pgMar w:left="240" w:top="455" w:right="4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In addition, if the subscription price is less than the net asset value per share of our common stock, then our stockholders would experience an immediate dilution of the aggregate net asset value of their shares as a result of the offering. The amount of any decrease in net asset value is not predictable because it is not known at this time what the subscription price and net asset value per share will be on the expiration date of a rights offering or what proportion of the shares will be purchased as a result of such rights offering. Such dilution could be substantial.</w:t>
      </w:r>
    </w:p>
    <w:p>
      <w:pPr>
        <w:spacing w:after="0" w:line="284" w:lineRule="exact"/>
        <w:rPr>
          <w:sz w:val="20"/>
          <w:szCs w:val="20"/>
          <w:color w:val="auto"/>
        </w:rPr>
      </w:pPr>
    </w:p>
    <w:p>
      <w:pPr>
        <w:ind w:left="20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determine to issue preferred stock, which could adversely affect the market value of our common stock and cause the net asset value and market value of our common stock to be more volatile.</w:t>
      </w:r>
    </w:p>
    <w:p>
      <w:pPr>
        <w:spacing w:after="0" w:line="51" w:lineRule="exact"/>
        <w:rPr>
          <w:sz w:val="20"/>
          <w:szCs w:val="20"/>
          <w:color w:val="auto"/>
        </w:rPr>
      </w:pPr>
    </w:p>
    <w:p>
      <w:pPr>
        <w:ind w:left="200" w:right="40" w:firstLine="441"/>
        <w:spacing w:after="0" w:line="252" w:lineRule="auto"/>
        <w:rPr>
          <w:sz w:val="20"/>
          <w:szCs w:val="20"/>
          <w:color w:val="auto"/>
        </w:rPr>
      </w:pPr>
      <w:r>
        <w:rPr>
          <w:rFonts w:ascii="Times New Roman" w:cs="Times New Roman" w:eastAsia="Times New Roman" w:hAnsi="Times New Roman"/>
          <w:sz w:val="18"/>
          <w:szCs w:val="18"/>
          <w:color w:val="auto"/>
        </w:rPr>
        <w:t>The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and could make the net asset value and market value of our common stock more volatile. Payment of dividends and repayment of the liquidation preference of preferred stock would take preference over any dividends or other payments to our common stockholders, and holders of preferred stock would not be subject to any of our expenses or losses and would not be entitled to participate in any income or appreciation in excess of their stated preference (other than convertible preferred stock that converts into common stock).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under the 1940 Act, preferred stock constitutes a “senior security” for purposes of the asset coverage test.</w:t>
      </w:r>
    </w:p>
    <w:p>
      <w:pPr>
        <w:spacing w:after="0" w:line="301" w:lineRule="exact"/>
        <w:rPr>
          <w:sz w:val="20"/>
          <w:szCs w:val="20"/>
          <w:color w:val="auto"/>
        </w:rPr>
      </w:pPr>
    </w:p>
    <w:p>
      <w:pPr>
        <w:ind w:left="20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any preferred stock we might issue would have the right to elect members of the board of directors and class voting rights on certain matters.</w:t>
      </w:r>
    </w:p>
    <w:p>
      <w:pPr>
        <w:spacing w:after="0" w:line="51"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Holders of any preferred stock we might issue, voting separately as a single class, would have the right to elect two members of the Board at all times and in the event dividends become two full years in arrears would have the right to elect a majority of the directors until such arrearage is completely eliminated. In addition, preferred stockholders may have class voting rights on certain matters, including changes in fundamental investment restrictions and conversion to open-end status, and, accordingly, could veto any such changes. Restrictions imposed on the declarations and payment of dividends or other distributions to the holders of our common stock and preferred stock, both by the 1940 Act and by requirements imposed by rating agencies or the terms of our credit facilities, might impair our ability to maintain our qualification as a RIC for federal income 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11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20"/>
          </w:cols>
          <w:pgMar w:left="240" w:top="455" w:right="4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200" w:right="140" w:firstLine="441"/>
        <w:spacing w:after="0" w:line="256" w:lineRule="auto"/>
        <w:rPr>
          <w:sz w:val="20"/>
          <w:szCs w:val="20"/>
          <w:color w:val="auto"/>
        </w:rPr>
      </w:pPr>
      <w:r>
        <w:rPr>
          <w:rFonts w:ascii="Times New Roman" w:cs="Times New Roman" w:eastAsia="Times New Roman" w:hAnsi="Times New Roman"/>
          <w:sz w:val="18"/>
          <w:szCs w:val="18"/>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8" w:lineRule="exact"/>
        <w:rPr>
          <w:sz w:val="20"/>
          <w:szCs w:val="20"/>
          <w:color w:val="auto"/>
        </w:rPr>
      </w:pPr>
    </w:p>
    <w:p>
      <w:pPr>
        <w:ind w:left="200" w:right="280" w:firstLine="441"/>
        <w:spacing w:after="0" w:line="282" w:lineRule="auto"/>
        <w:rPr>
          <w:sz w:val="20"/>
          <w:szCs w:val="20"/>
          <w:color w:val="auto"/>
        </w:rPr>
      </w:pPr>
      <w:r>
        <w:rPr>
          <w:rFonts w:ascii="Times New Roman" w:cs="Times New Roman" w:eastAsia="Times New Roman" w:hAnsi="Times New Roman"/>
          <w:sz w:val="18"/>
          <w:szCs w:val="18"/>
          <w:color w:val="auto"/>
        </w:rPr>
        <w:t>In addition to factors identified elsewhere in this prospectus, the following factors, among others, could cause actual results to differ materially from forward-looking statements or historical performance:</w:t>
      </w:r>
    </w:p>
    <w:p>
      <w:pPr>
        <w:spacing w:after="0" w:line="67" w:lineRule="exact"/>
        <w:rPr>
          <w:sz w:val="20"/>
          <w:szCs w:val="20"/>
          <w:color w:val="auto"/>
        </w:rPr>
      </w:pPr>
    </w:p>
    <w:p>
      <w:pPr>
        <w:ind w:left="1060" w:right="160" w:hanging="316"/>
        <w:spacing w:after="0" w:line="282"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abilities to continue to operate, which could lead to the loss of some or all of our investments in those portfolio companies;</w:t>
      </w:r>
    </w:p>
    <w:p>
      <w:pPr>
        <w:spacing w:after="0" w:line="67" w:lineRule="exact"/>
        <w:rPr>
          <w:rFonts w:ascii="Times New Roman" w:cs="Times New Roman" w:eastAsia="Times New Roman" w:hAnsi="Times New Roman"/>
          <w:sz w:val="18"/>
          <w:szCs w:val="18"/>
          <w:color w:val="auto"/>
        </w:rPr>
      </w:pPr>
    </w:p>
    <w:p>
      <w:pPr>
        <w:ind w:left="1060" w:hanging="316"/>
        <w:spacing w:after="0" w:line="266"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1"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 and</w:t>
      </w:r>
    </w:p>
    <w:p>
      <w:pPr>
        <w:spacing w:after="0" w:line="130" w:lineRule="exact"/>
        <w:rPr>
          <w:rFonts w:ascii="Times New Roman" w:cs="Times New Roman" w:eastAsia="Times New Roman" w:hAnsi="Times New Roman"/>
          <w:sz w:val="18"/>
          <w:szCs w:val="18"/>
          <w:color w:val="auto"/>
        </w:rPr>
      </w:pPr>
    </w:p>
    <w:p>
      <w:pPr>
        <w:ind w:left="1060" w:right="60" w:hanging="316"/>
        <w:spacing w:after="0" w:line="282"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the section entitled “Risk Factors” and elsewhere in this prospectus and in our filings with the SEC.</w:t>
      </w:r>
    </w:p>
    <w:p>
      <w:pPr>
        <w:spacing w:after="0" w:line="162" w:lineRule="exact"/>
        <w:rPr>
          <w:sz w:val="20"/>
          <w:szCs w:val="20"/>
          <w:color w:val="auto"/>
        </w:rPr>
      </w:pPr>
    </w:p>
    <w:p>
      <w:pPr>
        <w:ind w:left="200" w:right="40" w:firstLine="441"/>
        <w:spacing w:after="0" w:line="254"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“Risk Factors” and elsewhere in this prospectus. You should not place undue reliance on these forward-looking statements, which apply only as of the date of this prospectus. We do not undertake any obligation to update or revise any forward-looking statements or any other information contained herein, except as required by applicable law. You should understand that, under Section 27A(b)(2)(B) of the Securities Act and Section 21E(b)(2)(B) of the Exchange Act, the “safe harbor” provisions of the Private Securities Litigation Reform Act of 1995, which preclude civil liability for certain forward-looking statements, do not apply to the forward-looking statements made in connection with any offering of securities pursuant to this prospectus.</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20"/>
          </w:cols>
          <w:pgMar w:left="240" w:top="455" w:right="4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Unless otherwise specified in a prospectus supplement, we intend to use the net proceeds from the sale of our securities pursuant to this prospectus for general corporate purposes, which may include investing in portfolio companies in accordance with our investment objective and strategies described in this prospectus and repaying indebtedness (which will be subject to reborrowing). The supplement to this prospectus relating to an offering will more fully identify the use of the proceeds from such offering.</w:t>
      </w:r>
    </w:p>
    <w:p>
      <w:pPr>
        <w:spacing w:after="0" w:line="180"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We estimate that it will take less than three months for us to substantially invest the net proceeds of any offering made pursuant to this prospectus, depending on the availability of attractive opportunities, market conditions and the amount raised.</w:t>
      </w:r>
    </w:p>
    <w:p>
      <w:pPr>
        <w:spacing w:after="0" w:line="162" w:lineRule="exact"/>
        <w:rPr>
          <w:sz w:val="20"/>
          <w:szCs w:val="20"/>
          <w:color w:val="auto"/>
        </w:rPr>
      </w:pPr>
    </w:p>
    <w:p>
      <w:pPr>
        <w:ind w:left="200" w:right="100" w:firstLine="441"/>
        <w:spacing w:after="0" w:line="261" w:lineRule="auto"/>
        <w:rPr>
          <w:sz w:val="20"/>
          <w:szCs w:val="20"/>
          <w:color w:val="auto"/>
        </w:rPr>
      </w:pPr>
      <w:r>
        <w:rPr>
          <w:rFonts w:ascii="Times New Roman" w:cs="Times New Roman" w:eastAsia="Times New Roman" w:hAnsi="Times New Roman"/>
          <w:sz w:val="18"/>
          <w:szCs w:val="18"/>
          <w:color w:val="auto"/>
        </w:rPr>
        <w:t>Proceeds not immediately used for new investments or the temporary repayment of debt will be invested primarily in cash, cash equivalents, U.S. government securities and other high-quality investments that mature in one year or less from the date of investment. These securities may have lower yields than the types of investments we would typically make in accordance with our investment objective and, accordingly, may result in lower dividends, if any, during such period.</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20"/>
          </w:cols>
          <w:pgMar w:left="240" w:top="455" w:right="4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PRICE RANGE OF COMMON STOCK AND DISTRIBUTIONS</w:t>
      </w:r>
    </w:p>
    <w:p>
      <w:pPr>
        <w:spacing w:after="0" w:line="229" w:lineRule="exact"/>
        <w:rPr>
          <w:sz w:val="20"/>
          <w:szCs w:val="20"/>
          <w:color w:val="auto"/>
        </w:rPr>
      </w:pPr>
    </w:p>
    <w:p>
      <w:pPr>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NYSE under the symbol “TSLX.” Our common stock has historically traded at prices both above and below our net asset value per share. It is not possible to predict whether our common stock will trade at a price per share at, above or below net asset value per share. See “Risk Factors—Risks Related to Offerings Pursuant to This Prospectus.”</w:t>
      </w:r>
    </w:p>
    <w:p>
      <w:pPr>
        <w:spacing w:after="0" w:line="176" w:lineRule="exact"/>
        <w:rPr>
          <w:sz w:val="20"/>
          <w:szCs w:val="20"/>
          <w:color w:val="auto"/>
        </w:rPr>
      </w:pPr>
    </w:p>
    <w:p>
      <w:pPr>
        <w:ind w:left="200" w:right="60" w:firstLine="441"/>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net asset value per share of our common stock, the range of high and low closing sales prices of our common stock reported on the NYSE, the closing sales price as a premium (discount) to net asset value and the dividends declared by us in each fiscal quarter for the year ending December 31, 2018 and for the years ended December 31, 2017 and 2016. On March 26, 2018, the last reported closing sales price of our common stock on the NYSE was $17.50 per share, which represented a premium of approximately 8.8% to the net asset value per share reported by us as of December 31, 2017, the last date prior to the date of this prospectus for which we reported net asset value.</w:t>
      </w:r>
    </w:p>
    <w:p>
      <w:pPr>
        <w:spacing w:after="0" w:line="19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34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High Sales</w:t>
            </w:r>
          </w:p>
        </w:tc>
        <w:tc>
          <w:tcPr>
            <w:tcW w:w="180" w:type="dxa"/>
            <w:vAlign w:val="bottom"/>
          </w:tcPr>
          <w:p>
            <w:pPr>
              <w:spacing w:after="0"/>
              <w:rPr>
                <w:sz w:val="13"/>
                <w:szCs w:val="13"/>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Low Sales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Borders>
              <w:bottom w:val="single" w:sz="8" w:color="auto"/>
            </w:tcBorders>
            <w:gridSpan w:val="3"/>
            <w:vMerge w:val="continue"/>
          </w:tcPr>
          <w:p>
            <w:pPr>
              <w:spacing w:after="0"/>
              <w:rPr>
                <w:sz w:val="13"/>
                <w:szCs w:val="13"/>
                <w:color w:val="auto"/>
              </w:rPr>
            </w:pPr>
          </w:p>
        </w:tc>
        <w:tc>
          <w:tcPr>
            <w:tcW w:w="138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Price to Net</w:t>
            </w:r>
          </w:p>
        </w:tc>
        <w:tc>
          <w:tcPr>
            <w:tcW w:w="1220" w:type="dxa"/>
            <w:vAlign w:val="bottom"/>
            <w:gridSpan w:val="3"/>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Price to Net</w:t>
            </w:r>
          </w:p>
        </w:tc>
        <w:tc>
          <w:tcPr>
            <w:tcW w:w="800" w:type="dxa"/>
            <w:vAlign w:val="bottom"/>
            <w:gridSpan w:val="4"/>
          </w:tcPr>
          <w:p>
            <w:pPr>
              <w:ind w:left="160"/>
              <w:spacing w:after="0" w:line="160"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660" w:type="dxa"/>
            <w:vAlign w:val="bottom"/>
            <w:gridSpan w:val="3"/>
          </w:tcPr>
          <w:p>
            <w:pPr>
              <w:ind w:left="1080"/>
              <w:spacing w:after="0" w:line="118" w:lineRule="exact"/>
              <w:rPr>
                <w:sz w:val="20"/>
                <w:szCs w:val="20"/>
                <w:color w:val="auto"/>
              </w:rPr>
            </w:pPr>
            <w:r>
              <w:rPr>
                <w:rFonts w:ascii="Times New Roman" w:cs="Times New Roman" w:eastAsia="Times New Roman" w:hAnsi="Times New Roman"/>
                <w:sz w:val="13"/>
                <w:szCs w:val="13"/>
                <w:b w:val="1"/>
                <w:bCs w:val="1"/>
                <w:color w:val="auto"/>
              </w:rPr>
              <w:t>Net Asset</w:t>
            </w:r>
          </w:p>
        </w:tc>
        <w:tc>
          <w:tcPr>
            <w:tcW w:w="34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High</w:t>
            </w:r>
          </w:p>
        </w:tc>
        <w:tc>
          <w:tcPr>
            <w:tcW w:w="34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Low</w:t>
            </w:r>
          </w:p>
        </w:tc>
        <w:tc>
          <w:tcPr>
            <w:tcW w:w="340" w:type="dxa"/>
            <w:vAlign w:val="bottom"/>
          </w:tcPr>
          <w:p>
            <w:pPr>
              <w:spacing w:after="0"/>
              <w:rPr>
                <w:sz w:val="10"/>
                <w:szCs w:val="10"/>
                <w:color w:val="auto"/>
              </w:rPr>
            </w:pPr>
          </w:p>
        </w:tc>
        <w:tc>
          <w:tcPr>
            <w:tcW w:w="104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Asset</w:t>
            </w:r>
          </w:p>
        </w:tc>
        <w:tc>
          <w:tcPr>
            <w:tcW w:w="180" w:type="dxa"/>
            <w:vAlign w:val="bottom"/>
          </w:tcPr>
          <w:p>
            <w:pPr>
              <w:spacing w:after="0"/>
              <w:rPr>
                <w:sz w:val="10"/>
                <w:szCs w:val="10"/>
                <w:color w:val="auto"/>
              </w:rPr>
            </w:pPr>
          </w:p>
        </w:tc>
        <w:tc>
          <w:tcPr>
            <w:tcW w:w="104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Asset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Per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2"/>
                <w:szCs w:val="12"/>
                <w:b w:val="1"/>
                <w:bCs w:val="1"/>
                <w:color w:val="auto"/>
              </w:rPr>
              <w:t>(1)</w:t>
            </w: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r>
              <w:rPr>
                <w:rFonts w:ascii="Times New Roman" w:cs="Times New Roman" w:eastAsia="Times New Roman" w:hAnsi="Times New Roman"/>
                <w:sz w:val="12"/>
                <w:szCs w:val="12"/>
                <w:b w:val="1"/>
                <w:bCs w:val="1"/>
                <w:color w:val="auto"/>
                <w:w w:val="97"/>
              </w:rPr>
              <w:t>(2)</w:t>
            </w:r>
          </w:p>
        </w:tc>
        <w:tc>
          <w:tcPr>
            <w:tcW w:w="18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2"/>
                <w:szCs w:val="12"/>
                <w:b w:val="1"/>
                <w:bCs w:val="1"/>
                <w:color w:val="auto"/>
              </w:rPr>
              <w:t>(2)</w:t>
            </w:r>
          </w:p>
        </w:tc>
        <w:tc>
          <w:tcPr>
            <w:tcW w:w="160" w:type="dxa"/>
            <w:vAlign w:val="bottom"/>
          </w:tcPr>
          <w:p>
            <w:pPr>
              <w:spacing w:after="0"/>
              <w:rPr>
                <w:sz w:val="15"/>
                <w:szCs w:val="15"/>
                <w:color w:val="auto"/>
              </w:rPr>
            </w:pPr>
          </w:p>
        </w:tc>
        <w:tc>
          <w:tcPr>
            <w:tcW w:w="6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2"/>
                <w:szCs w:val="12"/>
                <w:b w:val="1"/>
                <w:bCs w:val="1"/>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2016</w:t>
            </w:r>
          </w:p>
        </w:tc>
        <w:tc>
          <w:tcPr>
            <w:tcW w:w="10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First Quarter</w:t>
            </w:r>
          </w:p>
        </w:tc>
        <w:tc>
          <w:tcPr>
            <w:tcW w:w="12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8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$16.86</w:t>
            </w:r>
          </w:p>
        </w:tc>
        <w:tc>
          <w:tcPr>
            <w:tcW w:w="8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$15.15</w:t>
            </w: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Second Quarter</w:t>
            </w:r>
          </w:p>
        </w:tc>
        <w:tc>
          <w:tcPr>
            <w:tcW w:w="12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84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$16.74</w:t>
            </w:r>
          </w:p>
        </w:tc>
        <w:tc>
          <w:tcPr>
            <w:tcW w:w="84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$15.97</w:t>
            </w:r>
          </w:p>
        </w:tc>
        <w:tc>
          <w:tcPr>
            <w:tcW w:w="1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Third Quarter</w:t>
            </w:r>
          </w:p>
        </w:tc>
        <w:tc>
          <w:tcPr>
            <w:tcW w:w="12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8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$18.77</w:t>
            </w:r>
          </w:p>
        </w:tc>
        <w:tc>
          <w:tcPr>
            <w:tcW w:w="8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$16.61</w:t>
            </w: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18.9%</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Fourth Quarter</w:t>
            </w:r>
          </w:p>
        </w:tc>
        <w:tc>
          <w:tcPr>
            <w:tcW w:w="12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84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$19.05</w:t>
            </w:r>
          </w:p>
        </w:tc>
        <w:tc>
          <w:tcPr>
            <w:tcW w:w="84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$17.43</w:t>
            </w:r>
          </w:p>
        </w:tc>
        <w:tc>
          <w:tcPr>
            <w:tcW w:w="1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w:t>
            </w: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2017</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First Quarter</w:t>
            </w:r>
          </w:p>
        </w:tc>
        <w:tc>
          <w:tcPr>
            <w:tcW w:w="12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84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$20.39</w:t>
            </w:r>
          </w:p>
        </w:tc>
        <w:tc>
          <w:tcPr>
            <w:tcW w:w="84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$18.27</w:t>
            </w:r>
          </w:p>
        </w:tc>
        <w:tc>
          <w:tcPr>
            <w:tcW w:w="1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27.1%</w:t>
            </w: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Second Quarter</w:t>
            </w:r>
          </w:p>
        </w:tc>
        <w:tc>
          <w:tcPr>
            <w:tcW w:w="12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8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$20.99</w:t>
            </w:r>
          </w:p>
        </w:tc>
        <w:tc>
          <w:tcPr>
            <w:tcW w:w="8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$20.31</w:t>
            </w: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30.0%</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25.8%</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Third Quarter</w:t>
            </w:r>
          </w:p>
        </w:tc>
        <w:tc>
          <w:tcPr>
            <w:tcW w:w="12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84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$21.61</w:t>
            </w:r>
          </w:p>
        </w:tc>
        <w:tc>
          <w:tcPr>
            <w:tcW w:w="84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$19.94</w:t>
            </w:r>
          </w:p>
        </w:tc>
        <w:tc>
          <w:tcPr>
            <w:tcW w:w="1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34.3%</w:t>
            </w: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23.9%</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Fourth Quarter</w:t>
            </w:r>
          </w:p>
        </w:tc>
        <w:tc>
          <w:tcPr>
            <w:tcW w:w="12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8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$21.12</w:t>
            </w:r>
          </w:p>
        </w:tc>
        <w:tc>
          <w:tcPr>
            <w:tcW w:w="8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$19.80</w:t>
            </w: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31.3%</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23.1%</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 2018</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First Quarter (through March 26, 2018)</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$20.06</w:t>
            </w:r>
          </w:p>
        </w:tc>
        <w:tc>
          <w:tcPr>
            <w:tcW w:w="8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$17.50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640" w:right="220" w:hanging="436"/>
        <w:spacing w:after="0" w:line="282"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spacing w:after="0" w:line="188" w:lineRule="exact"/>
        <w:rPr>
          <w:rFonts w:ascii="Times New Roman" w:cs="Times New Roman" w:eastAsia="Times New Roman" w:hAnsi="Times New Roman"/>
          <w:sz w:val="18"/>
          <w:szCs w:val="18"/>
          <w:color w:val="auto"/>
        </w:rPr>
      </w:pPr>
    </w:p>
    <w:p>
      <w:pPr>
        <w:ind w:left="640" w:right="540" w:hanging="436"/>
        <w:spacing w:after="0" w:line="282"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respective high or low closing sales price less net asset value, divided by net asset value (in each case, as of the applicable quarter).</w:t>
      </w:r>
    </w:p>
    <w:p>
      <w:pPr>
        <w:spacing w:after="0" w:line="188"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dividends declared in the relevant quarter.</w:t>
      </w:r>
    </w:p>
    <w:p>
      <w:pPr>
        <w:spacing w:after="0" w:line="252" w:lineRule="exact"/>
        <w:rPr>
          <w:sz w:val="20"/>
          <w:szCs w:val="20"/>
          <w:color w:val="auto"/>
        </w:rPr>
      </w:pPr>
    </w:p>
    <w:p>
      <w:pPr>
        <w:ind w:left="640" w:hanging="43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has not yet been reported for this period.</w:t>
      </w:r>
    </w:p>
    <w:p>
      <w:pPr>
        <w:spacing w:after="0" w:line="225" w:lineRule="exact"/>
        <w:rPr>
          <w:sz w:val="20"/>
          <w:szCs w:val="20"/>
          <w:color w:val="auto"/>
        </w:rPr>
      </w:pPr>
    </w:p>
    <w:p>
      <w:pPr>
        <w:ind w:left="200" w:right="80" w:firstLine="441"/>
        <w:spacing w:after="0" w:line="313" w:lineRule="auto"/>
        <w:rPr>
          <w:sz w:val="20"/>
          <w:szCs w:val="20"/>
          <w:color w:val="auto"/>
        </w:rPr>
      </w:pPr>
      <w:r>
        <w:rPr>
          <w:rFonts w:ascii="Times New Roman" w:cs="Times New Roman" w:eastAsia="Times New Roman" w:hAnsi="Times New Roman"/>
          <w:sz w:val="17"/>
          <w:szCs w:val="17"/>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138" w:lineRule="exact"/>
        <w:rPr>
          <w:sz w:val="20"/>
          <w:szCs w:val="20"/>
          <w:color w:val="auto"/>
        </w:rPr>
      </w:pPr>
    </w:p>
    <w:p>
      <w:pPr>
        <w:jc w:val="both"/>
        <w:ind w:left="200" w:right="200" w:firstLine="441"/>
        <w:spacing w:after="0" w:line="261" w:lineRule="auto"/>
        <w:rPr>
          <w:sz w:val="20"/>
          <w:szCs w:val="20"/>
          <w:color w:val="auto"/>
        </w:rPr>
      </w:pPr>
      <w:r>
        <w:rPr>
          <w:rFonts w:ascii="Times New Roman" w:cs="Times New Roman" w:eastAsia="Times New Roman" w:hAnsi="Times New Roman"/>
          <w:sz w:val="18"/>
          <w:szCs w:val="18"/>
          <w:color w:val="auto"/>
        </w:rPr>
        <w:t>On February 21, 2018, our Board declared a first quarter 2018 base dividend of $0.39 per share for stockholders of record as of March 15, 2018, payable on April 13, 2018. Our Board also declared a fourth quarter variable supplemental dividend of $0.03 per share for stockholders of record as of February 28, 2018, payable on March 30, 2018. We anticipate that these dividends will be paid from income generated primarily by interest earned on our investment portfolio.</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240" w:top="455" w:right="41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tables summarize dividends declared during the years ended December 31, 2017 and 2016:</w:t>
      </w: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Year Ended December 31, 2017</w:t>
            </w: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4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Dividend</w:t>
            </w:r>
            <w:r>
              <w:rPr>
                <w:rFonts w:ascii="Times New Roman" w:cs="Times New Roman" w:eastAsia="Times New Roman" w:hAnsi="Times New Roman"/>
                <w:sz w:val="12"/>
                <w:szCs w:val="12"/>
                <w:b w:val="1"/>
                <w:bCs w:val="1"/>
                <w:color w:val="auto"/>
              </w:rPr>
              <w:t>(1)</w:t>
            </w:r>
          </w:p>
        </w:tc>
        <w:tc>
          <w:tcPr>
            <w:tcW w:w="20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320" w:type="dxa"/>
            <w:vAlign w:val="bottom"/>
          </w:tcPr>
          <w:p>
            <w:pPr>
              <w:spacing w:after="0"/>
              <w:rPr>
                <w:sz w:val="10"/>
                <w:szCs w:val="10"/>
                <w:color w:val="auto"/>
              </w:rPr>
            </w:pPr>
          </w:p>
        </w:tc>
        <w:tc>
          <w:tcPr>
            <w:tcW w:w="72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4740" w:type="dxa"/>
            <w:vAlign w:val="bottom"/>
            <w:gridSpan w:val="3"/>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1"/>
              </w:rPr>
              <w:t>February 22,</w:t>
            </w:r>
          </w:p>
        </w:tc>
        <w:tc>
          <w:tcPr>
            <w:tcW w:w="3860" w:type="dxa"/>
            <w:vAlign w:val="bottom"/>
            <w:tcBorders>
              <w:top w:val="single" w:sz="8" w:color="CCEEFF"/>
            </w:tcBorders>
            <w:shd w:val="clear" w:color="auto" w:fill="CCEEFF"/>
          </w:tcPr>
          <w:p>
            <w:pPr>
              <w:jc w:val="right"/>
              <w:ind w:right="3330"/>
              <w:spacing w:after="0" w:line="189" w:lineRule="exact"/>
              <w:rPr>
                <w:sz w:val="20"/>
                <w:szCs w:val="20"/>
                <w:color w:val="auto"/>
              </w:rPr>
            </w:pPr>
            <w:r>
              <w:rPr>
                <w:rFonts w:ascii="Times New Roman" w:cs="Times New Roman" w:eastAsia="Times New Roman" w:hAnsi="Times New Roman"/>
                <w:sz w:val="18"/>
                <w:szCs w:val="18"/>
                <w:color w:val="auto"/>
              </w:rPr>
              <w:t>2017</w:t>
            </w:r>
          </w:p>
        </w:tc>
        <w:tc>
          <w:tcPr>
            <w:tcW w:w="116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Base</w:t>
            </w:r>
          </w:p>
        </w:tc>
        <w:tc>
          <w:tcPr>
            <w:tcW w:w="32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April 7, 2017</w:t>
            </w:r>
            <w:r>
              <w:rPr>
                <w:rFonts w:ascii="Times New Roman" w:cs="Times New Roman" w:eastAsia="Times New Roman" w:hAnsi="Times New Roman"/>
                <w:sz w:val="15"/>
                <w:szCs w:val="15"/>
                <w:color w:val="auto"/>
              </w:rPr>
              <w:t>(2)</w:t>
            </w:r>
          </w:p>
        </w:tc>
        <w:tc>
          <w:tcPr>
            <w:tcW w:w="3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April 28, 2017</w:t>
            </w:r>
          </w:p>
        </w:tc>
        <w:tc>
          <w:tcPr>
            <w:tcW w:w="3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0.39</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3, 2017</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Supplemental</w:t>
            </w:r>
          </w:p>
        </w:tc>
        <w:tc>
          <w:tcPr>
            <w:tcW w:w="2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May 31, 2017</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2017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3, 2017</w:t>
            </w:r>
          </w:p>
        </w:tc>
        <w:tc>
          <w:tcPr>
            <w:tcW w:w="14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June 15, 2017</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14, 2017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 2017</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Supplemental</w:t>
            </w:r>
          </w:p>
        </w:tc>
        <w:tc>
          <w:tcPr>
            <w:tcW w:w="2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August 31, 2017</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29, 2017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 2017</w:t>
            </w:r>
          </w:p>
        </w:tc>
        <w:tc>
          <w:tcPr>
            <w:tcW w:w="14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September 15, 2017</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13, 2017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7, 2017</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Supplemental</w:t>
            </w:r>
          </w:p>
        </w:tc>
        <w:tc>
          <w:tcPr>
            <w:tcW w:w="2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November 30, 2017</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29, 2017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7, 2017</w:t>
            </w:r>
          </w:p>
        </w:tc>
        <w:tc>
          <w:tcPr>
            <w:tcW w:w="14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8"/>
              </w:rPr>
              <w:t>December 15, 2017</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12, 2018</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00" w:type="dxa"/>
            <w:vAlign w:val="bottom"/>
            <w:gridSpan w:val="3"/>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Year Ended December 31, 2016</w:t>
            </w: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3"/>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4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Dividend</w:t>
            </w:r>
            <w:r>
              <w:rPr>
                <w:rFonts w:ascii="Times New Roman" w:cs="Times New Roman" w:eastAsia="Times New Roman" w:hAnsi="Times New Roman"/>
                <w:sz w:val="12"/>
                <w:szCs w:val="12"/>
                <w:b w:val="1"/>
                <w:bCs w:val="1"/>
                <w:color w:val="auto"/>
              </w:rPr>
              <w:t>(1)</w:t>
            </w:r>
          </w:p>
        </w:tc>
        <w:tc>
          <w:tcPr>
            <w:tcW w:w="20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Record Date</w:t>
            </w:r>
            <w:r>
              <w:rPr>
                <w:rFonts w:ascii="Times New Roman" w:cs="Times New Roman" w:eastAsia="Times New Roman" w:hAnsi="Times New Roman"/>
                <w:sz w:val="12"/>
                <w:szCs w:val="12"/>
                <w:b w:val="1"/>
                <w:bCs w:val="1"/>
                <w:color w:val="auto"/>
              </w:rPr>
              <w:t>(2)</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320" w:type="dxa"/>
            <w:vAlign w:val="bottom"/>
          </w:tcPr>
          <w:p>
            <w:pPr>
              <w:spacing w:after="0"/>
              <w:rPr>
                <w:sz w:val="10"/>
                <w:szCs w:val="10"/>
                <w:color w:val="auto"/>
              </w:rPr>
            </w:pPr>
          </w:p>
        </w:tc>
        <w:tc>
          <w:tcPr>
            <w:tcW w:w="72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4740" w:type="dxa"/>
            <w:vAlign w:val="bottom"/>
            <w:gridSpan w:val="3"/>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1"/>
              </w:rPr>
              <w:t>February 24,</w:t>
            </w:r>
          </w:p>
        </w:tc>
        <w:tc>
          <w:tcPr>
            <w:tcW w:w="3860" w:type="dxa"/>
            <w:vAlign w:val="bottom"/>
            <w:tcBorders>
              <w:top w:val="single" w:sz="8" w:color="CCEEFF"/>
            </w:tcBorders>
            <w:shd w:val="clear" w:color="auto" w:fill="CCEEFF"/>
          </w:tcPr>
          <w:p>
            <w:pPr>
              <w:jc w:val="right"/>
              <w:ind w:right="3330"/>
              <w:spacing w:after="0" w:line="189" w:lineRule="exact"/>
              <w:rPr>
                <w:sz w:val="20"/>
                <w:szCs w:val="20"/>
                <w:color w:val="auto"/>
              </w:rPr>
            </w:pPr>
            <w:r>
              <w:rPr>
                <w:rFonts w:ascii="Times New Roman" w:cs="Times New Roman" w:eastAsia="Times New Roman" w:hAnsi="Times New Roman"/>
                <w:sz w:val="18"/>
                <w:szCs w:val="18"/>
                <w:color w:val="auto"/>
              </w:rPr>
              <w:t>2016</w:t>
            </w:r>
          </w:p>
        </w:tc>
        <w:tc>
          <w:tcPr>
            <w:tcW w:w="116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Base</w:t>
            </w:r>
          </w:p>
        </w:tc>
        <w:tc>
          <w:tcPr>
            <w:tcW w:w="32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March 31, 2016</w:t>
            </w:r>
          </w:p>
        </w:tc>
        <w:tc>
          <w:tcPr>
            <w:tcW w:w="3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April 29, 2016</w:t>
            </w:r>
          </w:p>
        </w:tc>
        <w:tc>
          <w:tcPr>
            <w:tcW w:w="3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0.39</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4, 2016</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June 30, 2016</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29, 2016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3, 2016</w:t>
            </w:r>
          </w:p>
        </w:tc>
        <w:tc>
          <w:tcPr>
            <w:tcW w:w="14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September 30, 2016</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31, 2016</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7, 2016</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December 31, 2016</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31, 2017</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40" w:right="220" w:hanging="436"/>
        <w:spacing w:after="0" w:line="282"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completion of the quarter ended March 31, 2017, we introduced a dividend framework that provides for a quarterly base dividend and a variable supplemental dividend, subject to satisfaction of certain measurement tests and the approval of the Board.</w:t>
      </w:r>
    </w:p>
    <w:p>
      <w:pPr>
        <w:spacing w:after="0" w:line="188" w:lineRule="exact"/>
        <w:rPr>
          <w:rFonts w:ascii="Times New Roman" w:cs="Times New Roman" w:eastAsia="Times New Roman" w:hAnsi="Times New Roman"/>
          <w:sz w:val="18"/>
          <w:szCs w:val="18"/>
          <w:color w:val="auto"/>
        </w:rPr>
      </w:pPr>
    </w:p>
    <w:p>
      <w:pPr>
        <w:ind w:left="640" w:right="140" w:hanging="436"/>
        <w:spacing w:after="0" w:line="261"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declaration date, the record date for the dividend declared on February 22, 2017 was moved from its original date of March 31, 2017 to a revised date of April 7, 2017 in order to ensure compliance with notification requirements promulgated by the NYSE. The dividend payable associated with this declaration was recognized in our consolidated balance sheet as of March 31, 2017. There was no change to the dividend amount or payment date.</w:t>
      </w:r>
    </w:p>
    <w:p>
      <w:pPr>
        <w:spacing w:after="0" w:line="180" w:lineRule="exact"/>
        <w:rPr>
          <w:sz w:val="20"/>
          <w:szCs w:val="20"/>
          <w:color w:val="auto"/>
        </w:rPr>
      </w:pPr>
    </w:p>
    <w:p>
      <w:pPr>
        <w:ind w:left="200" w:right="300" w:firstLine="441"/>
        <w:spacing w:after="0" w:line="282" w:lineRule="auto"/>
        <w:rPr>
          <w:sz w:val="20"/>
          <w:szCs w:val="20"/>
          <w:color w:val="auto"/>
        </w:rPr>
      </w:pPr>
      <w:r>
        <w:rPr>
          <w:rFonts w:ascii="Times New Roman" w:cs="Times New Roman" w:eastAsia="Times New Roman" w:hAnsi="Times New Roman"/>
          <w:sz w:val="18"/>
          <w:szCs w:val="18"/>
          <w:color w:val="auto"/>
        </w:rPr>
        <w:t>The dividends declared during the years ended December 31, 2017 and 2016 were derived from net investment income and net realized capital gains, determined on a tax basis.</w:t>
      </w:r>
    </w:p>
    <w:p>
      <w:pPr>
        <w:spacing w:after="0" w:line="162" w:lineRule="exact"/>
        <w:rPr>
          <w:sz w:val="20"/>
          <w:szCs w:val="20"/>
          <w:color w:val="auto"/>
        </w:rPr>
      </w:pPr>
    </w:p>
    <w:p>
      <w:pPr>
        <w:jc w:val="both"/>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80"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To be treated as a regulated investment company, or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89" w:lineRule="exact"/>
        <w:rPr>
          <w:sz w:val="20"/>
          <w:szCs w:val="20"/>
          <w:color w:val="auto"/>
        </w:rPr>
      </w:pPr>
    </w:p>
    <w:p>
      <w:pPr>
        <w:ind w:left="5620" w:right="1840" w:hanging="4876"/>
        <w:spacing w:after="0" w:line="454" w:lineRule="auto"/>
        <w:tabs>
          <w:tab w:leader="none" w:pos="106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such calendar year; 55</w:t>
      </w:r>
    </w:p>
    <w:p>
      <w:pPr>
        <w:sectPr>
          <w:pgSz w:w="11900" w:h="16838" w:orient="portrait"/>
          <w:cols w:equalWidth="0" w:num="1">
            <w:col w:w="11240"/>
          </w:cols>
          <w:pgMar w:left="240" w:top="455" w:right="41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right="420" w:hanging="316"/>
        <w:spacing w:after="0" w:line="282" w:lineRule="auto"/>
        <w:tabs>
          <w:tab w:leader="none" w:pos="10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income or gains recognized, but not distributed, in preceding years.</w:t>
      </w:r>
    </w:p>
    <w:p>
      <w:pPr>
        <w:spacing w:after="0" w:line="225"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portion of income and capital gains for the calendar years ended December 31, 2017 and 2016 for purposes of additional liquidity and we recorded a net expense of $2.8 million and $2.2 million,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w:t>
      </w:r>
    </w:p>
    <w:p>
      <w:pPr>
        <w:spacing w:after="0" w:line="189"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stockholders. If this happens, our stockholders will be treated for U.S. federal income tax purposes as if they had received an actual distribution of the net capital gains that we retain and they reinvested the net after-tax proceeds in us. In this situation, our stockholders would be eligible to claim a tax credit (or, in certain circumstances, a tax refund) equal to their allocable share of the tax we paid on the capital gains deemed distributed to them. See “Material U.S. Federal Income Tax Considerations.” We cannot assure you that we will achieve results that will permit us to pay any cash dividends or that we will not be limited in our ability to pay dividends under the asset coverage test applicable to us under the 1940 Act.</w:t>
      </w:r>
    </w:p>
    <w:p>
      <w:pPr>
        <w:spacing w:after="0" w:line="185" w:lineRule="exact"/>
        <w:rPr>
          <w:sz w:val="20"/>
          <w:szCs w:val="20"/>
          <w:color w:val="auto"/>
        </w:rPr>
      </w:pPr>
    </w:p>
    <w:p>
      <w:pPr>
        <w:ind w:left="200" w:right="20" w:firstLine="441"/>
        <w:spacing w:after="0" w:line="282" w:lineRule="auto"/>
        <w:rPr>
          <w:sz w:val="20"/>
          <w:szCs w:val="20"/>
          <w:color w:val="auto"/>
        </w:rPr>
      </w:pPr>
      <w:r>
        <w:rPr>
          <w:rFonts w:ascii="Times New Roman" w:cs="Times New Roman" w:eastAsia="Times New Roman" w:hAnsi="Times New Roman"/>
          <w:sz w:val="18"/>
          <w:szCs w:val="18"/>
          <w:color w:val="auto"/>
        </w:rPr>
        <w:t>Unless our common stockholders elect to receive their dividends in cash, we intend to make such distributions in additional shares of our common stock under our dividend reinvestment plan. See “Dividend Reinvestment Plan.”</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00"/>
          </w:cols>
          <w:pgMar w:left="240" w:top="455" w:right="4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p>
      <w:pPr>
        <w:spacing w:after="0" w:line="229" w:lineRule="exact"/>
        <w:rPr>
          <w:sz w:val="20"/>
          <w:szCs w:val="20"/>
          <w:color w:val="auto"/>
        </w:rPr>
      </w:pPr>
    </w:p>
    <w:p>
      <w:pPr>
        <w:ind w:left="200" w:right="160" w:firstLine="441"/>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2017, 2016, 2015, 2014 and 2013, the ratios of earnings to the fixed charges of the Company, computed as set forth below, were as follows:</w:t>
      </w: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the Year</w:t>
            </w:r>
          </w:p>
        </w:tc>
        <w:tc>
          <w:tcPr>
            <w:tcW w:w="7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the Year</w:t>
            </w:r>
          </w:p>
        </w:tc>
        <w:tc>
          <w:tcPr>
            <w:tcW w:w="7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7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the Year</w:t>
            </w:r>
          </w:p>
        </w:tc>
        <w:tc>
          <w:tcPr>
            <w:tcW w:w="780" w:type="dxa"/>
            <w:vAlign w:val="bottom"/>
          </w:tcPr>
          <w:p>
            <w:pPr>
              <w:spacing w:after="0"/>
              <w:rPr>
                <w:sz w:val="13"/>
                <w:szCs w:val="13"/>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Year</w:t>
            </w: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7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7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7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78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660" w:type="dxa"/>
            <w:vAlign w:val="bottom"/>
            <w:gridSpan w:val="2"/>
          </w:tcPr>
          <w:p>
            <w:pPr>
              <w:jc w:val="center"/>
              <w:ind w:left="74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0" w:type="dxa"/>
            <w:vAlign w:val="bottom"/>
            <w:gridSpan w:val="2"/>
          </w:tcPr>
          <w:p>
            <w:pPr>
              <w:jc w:val="center"/>
              <w:ind w:left="68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0" w:type="dxa"/>
            <w:vAlign w:val="bottom"/>
            <w:gridSpan w:val="2"/>
          </w:tcPr>
          <w:p>
            <w:pPr>
              <w:jc w:val="center"/>
              <w:ind w:left="66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580" w:type="dxa"/>
            <w:vAlign w:val="bottom"/>
            <w:gridSpan w:val="2"/>
          </w:tcPr>
          <w:p>
            <w:pPr>
              <w:jc w:val="center"/>
              <w:ind w:left="66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80" w:type="dxa"/>
            <w:vAlign w:val="bottom"/>
            <w:gridSpan w:val="3"/>
          </w:tcPr>
          <w:p>
            <w:pPr>
              <w:jc w:val="center"/>
              <w:ind w:left="62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660" w:type="dxa"/>
            <w:vAlign w:val="bottom"/>
            <w:gridSpan w:val="2"/>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600" w:type="dxa"/>
            <w:vAlign w:val="bottom"/>
            <w:gridSpan w:val="2"/>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600" w:type="dxa"/>
            <w:vAlign w:val="bottom"/>
            <w:gridSpan w:val="2"/>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580" w:type="dxa"/>
            <w:vAlign w:val="bottom"/>
            <w:gridSpan w:val="2"/>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620" w:type="dxa"/>
            <w:vAlign w:val="bottom"/>
            <w:gridSpan w:val="2"/>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to Fixed Charges</w:t>
            </w:r>
            <w:r>
              <w:rPr>
                <w:rFonts w:ascii="Times New Roman" w:cs="Times New Roman" w:eastAsia="Times New Roman" w:hAnsi="Times New Roman"/>
                <w:sz w:val="15"/>
                <w:szCs w:val="15"/>
                <w:color w:val="auto"/>
              </w:rPr>
              <w:t>(1)</w:t>
            </w:r>
          </w:p>
        </w:tc>
        <w:tc>
          <w:tcPr>
            <w:tcW w:w="8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7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7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7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7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left="200" w:right="440" w:firstLine="441"/>
        <w:spacing w:after="0" w:line="266" w:lineRule="auto"/>
        <w:rPr>
          <w:sz w:val="20"/>
          <w:szCs w:val="20"/>
          <w:color w:val="auto"/>
        </w:rPr>
      </w:pPr>
      <w:r>
        <w:rPr>
          <w:rFonts w:ascii="Times New Roman" w:cs="Times New Roman" w:eastAsia="Times New Roman" w:hAnsi="Times New Roman"/>
          <w:sz w:val="18"/>
          <w:szCs w:val="18"/>
          <w:color w:val="auto"/>
        </w:rPr>
        <w:t>For purposes of computing the ratios of earnings to fixed charges, earnings represent increase in net assets resulting from operations plus (or minus) income tax expense (benefit) including excise tax expense plus fixed charges. Fixed charges include interest expense, commitment fees and amortization of debt issuance costs.</w:t>
      </w:r>
    </w:p>
    <w:p>
      <w:pPr>
        <w:spacing w:after="0" w:line="203" w:lineRule="exact"/>
        <w:rPr>
          <w:sz w:val="20"/>
          <w:szCs w:val="20"/>
          <w:color w:val="auto"/>
        </w:rPr>
      </w:pPr>
    </w:p>
    <w:p>
      <w:pPr>
        <w:ind w:left="640" w:right="460" w:hanging="436"/>
        <w:spacing w:after="0" w:line="282" w:lineRule="auto"/>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include net realized and unrealized gains or losses. Net realized and unrealized gains or losses can vary substantially from period to period.</w:t>
      </w:r>
    </w:p>
    <w:p>
      <w:pPr>
        <w:spacing w:after="0" w:line="67" w:lineRule="exact"/>
        <w:rPr>
          <w:rFonts w:ascii="Times New Roman" w:cs="Times New Roman" w:eastAsia="Times New Roman" w:hAnsi="Times New Roman"/>
          <w:sz w:val="18"/>
          <w:szCs w:val="18"/>
          <w:color w:val="auto"/>
        </w:rPr>
      </w:pPr>
    </w:p>
    <w:p>
      <w:pPr>
        <w:jc w:val="both"/>
        <w:ind w:left="1060" w:right="140" w:hanging="424"/>
        <w:spacing w:after="0" w:line="266" w:lineRule="auto"/>
        <w:tabs>
          <w:tab w:leader="none" w:pos="10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the net realized and unrealized gains or losses, the earnings to fixed charges ratio would be 5.5 for the year ended December 31, 2017, 5.7 for the year ended December 31, 2016, 5.4 for the year ended December 31, 2015, 8.0 for the year ended December 31, 2014 and 6.5 for the year ended December 31, 2013.</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240" w:top="455" w:right="41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“Selected Financial Data and Other Information” and our consolidated financial statements and related notes appearing elsewhere in this prospectus. The information in this section contains forward-looking statements that involve risks and uncertainties. Please see “Risk Factors” and “Special Note Regarding Forward-Looking Statements” in this prospectus for a discussion of the uncertainties, risks and assumptions associated with these statements.</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that were previously used to support our asset-backed credit facility, and TSL MR, LLC, a Delaware limited liability company, in which we hold certain investments.</w:t>
      </w:r>
    </w:p>
    <w:p>
      <w:pPr>
        <w:spacing w:after="0" w:line="180" w:lineRule="exact"/>
        <w:rPr>
          <w:sz w:val="20"/>
          <w:szCs w:val="20"/>
          <w:color w:val="auto"/>
        </w:rPr>
      </w:pPr>
    </w:p>
    <w:p>
      <w:pPr>
        <w:ind w:left="200" w:right="180" w:firstLine="441"/>
        <w:spacing w:after="0" w:line="282" w:lineRule="auto"/>
        <w:rPr>
          <w:sz w:val="20"/>
          <w:szCs w:val="20"/>
          <w:color w:val="auto"/>
        </w:rPr>
      </w:pPr>
      <w:r>
        <w:rPr>
          <w:rFonts w:ascii="Times New Roman" w:cs="Times New Roman" w:eastAsia="Times New Roman" w:hAnsi="Times New Roman"/>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67" w:lineRule="exact"/>
        <w:rPr>
          <w:sz w:val="20"/>
          <w:szCs w:val="20"/>
          <w:color w:val="auto"/>
        </w:rPr>
      </w:pPr>
    </w:p>
    <w:p>
      <w:pPr>
        <w:ind w:left="1060" w:hanging="316"/>
        <w:spacing w:after="0"/>
        <w:tabs>
          <w:tab w:leader="none" w:pos="10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invest at least 70% of our assets in “qualifying assets”;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income limitations;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diversification requirements; and</w:t>
      </w:r>
    </w:p>
    <w:p>
      <w:pPr>
        <w:spacing w:after="0" w:line="130" w:lineRule="exact"/>
        <w:rPr>
          <w:rFonts w:ascii="Times New Roman" w:cs="Times New Roman" w:eastAsia="Times New Roman" w:hAnsi="Times New Roman"/>
          <w:sz w:val="18"/>
          <w:szCs w:val="18"/>
          <w:color w:val="auto"/>
        </w:rPr>
      </w:pPr>
    </w:p>
    <w:p>
      <w:pPr>
        <w:ind w:left="1060" w:right="80" w:hanging="316"/>
        <w:spacing w:after="0" w:line="282" w:lineRule="auto"/>
        <w:tabs>
          <w:tab w:leader="none" w:pos="10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distribute (or be treated as distributing) in each taxable year at least 90% of our investment company taxable income and tax-exempt interest for that taxable year.</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shares are currently listed on the NYSE under the symbol “TSLX.”</w:t>
      </w:r>
    </w:p>
    <w:p>
      <w:pPr>
        <w:spacing w:after="0" w:line="225"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We have in place a stock repurchase plan, the Company 10b5-1 Plan, to acquire up to $50 million in the aggregate of our common stock at prices below our net asset value per share over a specified period, in accordance with the guidelines specified in Rule 10b-18 and Rule 10b5-1 of the Exchange Act. We put the Company 10b5-1 Plan in place because we believe that, in the current market conditions, if our common stock is trading below our then-current net asset value, it is in the best interest of our stockholders for us to reinvest in our portfolio and increase our leverage ratio through share repurchases.</w:t>
      </w:r>
    </w:p>
    <w:p>
      <w:pPr>
        <w:spacing w:after="0" w:line="184"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The Company 10b5-1 Plan is designed to allow us to repurchase our common stock at times when we otherwise might be prevented from doing so under insider trading laws. The Company 10b5-1 Plan requires Goldman Sachs &amp; Co. LLC,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jc w:val="both"/>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On August 4, 2015, our Board authorized us to enter into a new stock repurchase plan, the Company 10b5-1 Plan, to acquire up to $50 million in the aggregate of our common stock at prices just below our net asset value per share over an initial six-month period, in accordance with the guidelines specified in Rule 10b-18 and Rule 10b5-1 of the Exchange Act, and has continued to authorize extensions of the plan termination date prior to</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00"/>
          </w:cols>
          <w:pgMar w:left="240" w:top="455" w:right="4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its expiration since that time. On February 21, 2018, our Board authorized the extension of the termination date of the Company 10b5-1 Plan to</w:t>
      </w:r>
    </w:p>
    <w:p>
      <w:pPr>
        <w:spacing w:after="0" w:line="27" w:lineRule="exact"/>
        <w:rPr>
          <w:sz w:val="20"/>
          <w:szCs w:val="20"/>
          <w:color w:val="auto"/>
        </w:rPr>
      </w:pPr>
    </w:p>
    <w:p>
      <w:pPr>
        <w:ind w:left="200"/>
        <w:spacing w:after="0" w:line="261" w:lineRule="auto"/>
        <w:rPr>
          <w:sz w:val="20"/>
          <w:szCs w:val="20"/>
          <w:color w:val="auto"/>
        </w:rPr>
      </w:pPr>
      <w:r>
        <w:rPr>
          <w:rFonts w:ascii="Times New Roman" w:cs="Times New Roman" w:eastAsia="Times New Roman" w:hAnsi="Times New Roman"/>
          <w:sz w:val="18"/>
          <w:szCs w:val="18"/>
          <w:color w:val="auto"/>
        </w:rPr>
        <w:t>August 31, 2018. Unless extended or terminated by the Board, the Company 10b5-1 Plan will be in effect through the earlier of August 31, 2018 or such time as the current approved repurchase amount of up to $50 million has been fully utilized, subject to certain conditions.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Investment Framework</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through December 31, 2017, we have originated more than $7.3 billion aggregate principal amount of investments and retained approximately</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$4.4 billion aggregate principal amount of these investments on our balance sheet prior to any subsequent exits and repayments. We seek to generate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current income primarily in U.S.-domiciled middle-market companies through direct originations of senior secured loans and, to a lesser extent,</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originations of mezzanine and unsecured loans and investments in corporate bonds and equity securities.</w:t>
      </w:r>
    </w:p>
    <w:p>
      <w:pPr>
        <w:spacing w:after="0" w:line="207"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By “middle-market companies,” we mean companies that have annual EBITDA, which we believe is a useful proxy for cash flow, of $10 million to $250 million, although we may invest in larger or smaller companies on occasion. As of December 31, 2017, our core portfolio companies, which excludes certain investments that fall outside of our typical borrower profile and represent 83.2% of our total investments based on fair value, had weighted average annual revenue of $130.3 million and weighted average annual EBITDA of $25.1 million.</w:t>
      </w:r>
    </w:p>
    <w:p>
      <w:pPr>
        <w:spacing w:after="0" w:line="180" w:lineRule="exact"/>
        <w:rPr>
          <w:sz w:val="20"/>
          <w:szCs w:val="20"/>
          <w:color w:val="auto"/>
        </w:rPr>
      </w:pPr>
    </w:p>
    <w:p>
      <w:pPr>
        <w:ind w:left="200" w:right="260" w:firstLine="441"/>
        <w:spacing w:after="0" w:line="258" w:lineRule="auto"/>
        <w:rPr>
          <w:sz w:val="20"/>
          <w:szCs w:val="20"/>
          <w:color w:val="auto"/>
        </w:rPr>
      </w:pPr>
      <w:r>
        <w:rPr>
          <w:rFonts w:ascii="Times New Roman" w:cs="Times New Roman" w:eastAsia="Times New Roman" w:hAnsi="Times New Roman"/>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4" w:lineRule="exact"/>
        <w:rPr>
          <w:sz w:val="20"/>
          <w:szCs w:val="20"/>
          <w:color w:val="auto"/>
        </w:rPr>
      </w:pPr>
    </w:p>
    <w:p>
      <w:pPr>
        <w:ind w:left="200" w:right="180" w:firstLine="441"/>
        <w:spacing w:after="0" w:line="282" w:lineRule="auto"/>
        <w:rPr>
          <w:sz w:val="20"/>
          <w:szCs w:val="20"/>
          <w:color w:val="auto"/>
        </w:rPr>
      </w:pPr>
      <w:r>
        <w:rPr>
          <w:rFonts w:ascii="Times New Roman" w:cs="Times New Roman" w:eastAsia="Times New Roman" w:hAnsi="Times New Roman"/>
          <w:sz w:val="18"/>
          <w:szCs w:val="18"/>
          <w:color w:val="auto"/>
        </w:rPr>
        <w:t>The debt in which we invest typically is not rated by any rating agency, but if these instruments were rated, they would likely receive a rating of below investment grade (that is, below BBB- or Baa3), which is often referred to as “junk.”</w:t>
      </w:r>
    </w:p>
    <w:p>
      <w:pPr>
        <w:spacing w:after="0" w:line="162" w:lineRule="exact"/>
        <w:rPr>
          <w:sz w:val="20"/>
          <w:szCs w:val="20"/>
          <w:color w:val="auto"/>
        </w:rPr>
      </w:pPr>
    </w:p>
    <w:p>
      <w:pPr>
        <w:ind w:left="200" w:right="400" w:firstLine="441"/>
        <w:spacing w:after="0" w:line="266"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(including restructurings). As of December 31, 2017, the largest single investment based on fair value represented 6.7% of our total investment portfolio.</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December 31, 2017, the average investment size in each of our portfolio companies was approximately $37.6 million based on fair value.</w:t>
      </w:r>
    </w:p>
    <w:p>
      <w:pPr>
        <w:spacing w:after="0" w:line="225" w:lineRule="exact"/>
        <w:rPr>
          <w:sz w:val="20"/>
          <w:szCs w:val="20"/>
          <w:color w:val="auto"/>
        </w:rPr>
      </w:pPr>
    </w:p>
    <w:p>
      <w:pPr>
        <w:ind w:left="200" w:right="480" w:firstLine="441"/>
        <w:spacing w:after="0" w:line="282" w:lineRule="auto"/>
        <w:rPr>
          <w:sz w:val="20"/>
          <w:szCs w:val="20"/>
          <w:color w:val="auto"/>
        </w:rPr>
      </w:pPr>
      <w:r>
        <w:rPr>
          <w:rFonts w:ascii="Times New Roman" w:cs="Times New Roman" w:eastAsia="Times New Roman" w:hAnsi="Times New Roman"/>
          <w:sz w:val="18"/>
          <w:szCs w:val="18"/>
          <w:color w:val="auto"/>
        </w:rPr>
        <w:t>Through our Adviser, we consider potential investments utilizing a four-tiered investment framework and against our existing portfolio as a whole:</w:t>
      </w:r>
    </w:p>
    <w:p>
      <w:pPr>
        <w:spacing w:after="0" w:line="160" w:lineRule="exact"/>
        <w:rPr>
          <w:sz w:val="20"/>
          <w:szCs w:val="20"/>
          <w:color w:val="auto"/>
        </w:rPr>
      </w:pPr>
    </w:p>
    <w:p>
      <w:pPr>
        <w:ind w:left="200" w:right="120"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Business and sector selection. </w:t>
      </w:r>
      <w:r>
        <w:rPr>
          <w:rFonts w:ascii="Times New Roman" w:cs="Times New Roman" w:eastAsia="Times New Roman" w:hAnsi="Times New Roman"/>
          <w:sz w:val="18"/>
          <w:szCs w:val="18"/>
          <w:color w:val="auto"/>
        </w:rPr>
        <w:t>We focus on companies with enterprise value between $50 million and $1 billion. When reviewing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2" w:lineRule="exact"/>
        <w:rPr>
          <w:sz w:val="20"/>
          <w:szCs w:val="20"/>
          <w:color w:val="auto"/>
        </w:rPr>
      </w:pPr>
    </w:p>
    <w:p>
      <w:pPr>
        <w:ind w:left="200" w:right="200" w:firstLine="441"/>
        <w:spacing w:after="0" w:line="266" w:lineRule="auto"/>
        <w:rPr>
          <w:sz w:val="20"/>
          <w:szCs w:val="20"/>
          <w:color w:val="auto"/>
        </w:rPr>
      </w:pPr>
      <w:r>
        <w:rPr>
          <w:rFonts w:ascii="Times New Roman" w:cs="Times New Roman" w:eastAsia="Times New Roman" w:hAnsi="Times New Roman"/>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80"/>
          </w:cols>
          <w:pgMar w:left="240" w:top="455" w:right="47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December 31, 2017, the largest industry represented 14.0% of our total investment portfolio based on fair value.</w:t>
      </w:r>
    </w:p>
    <w:p>
      <w:pPr>
        <w:spacing w:after="0" w:line="223" w:lineRule="exact"/>
        <w:rPr>
          <w:sz w:val="20"/>
          <w:szCs w:val="20"/>
          <w:color w:val="auto"/>
        </w:rPr>
      </w:pPr>
    </w:p>
    <w:p>
      <w:pPr>
        <w:ind w:left="200" w:right="100"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Investment Structuring. </w:t>
      </w:r>
      <w:r>
        <w:rPr>
          <w:rFonts w:ascii="Times New Roman" w:cs="Times New Roman" w:eastAsia="Times New Roman" w:hAnsi="Times New Roman"/>
          <w:sz w:val="18"/>
          <w:szCs w:val="18"/>
          <w:color w:val="auto"/>
        </w:rPr>
        <w:t>We focus on investing at the top of the capital structure and protecting that position. As of December 31, 2017,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97.0% of our portfolio was invested in secured debt, including 93.4%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year ended December 31, 2017, the weighted average term on new investment commitments in new portfolio companies was 4.8 years.</w:t>
      </w:r>
    </w:p>
    <w:p>
      <w:pPr>
        <w:spacing w:after="0" w:line="183" w:lineRule="exact"/>
        <w:rPr>
          <w:sz w:val="20"/>
          <w:szCs w:val="20"/>
          <w:color w:val="auto"/>
        </w:rPr>
      </w:pPr>
    </w:p>
    <w:p>
      <w:pPr>
        <w:ind w:left="200" w:right="800"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Deal Dynamics. </w:t>
      </w:r>
      <w:r>
        <w:rPr>
          <w:rFonts w:ascii="Times New Roman" w:cs="Times New Roman" w:eastAsia="Times New Roman" w:hAnsi="Times New Roman"/>
          <w:sz w:val="18"/>
          <w:szCs w:val="18"/>
          <w:color w:val="auto"/>
        </w:rPr>
        <w:t>We focus on, among other deal dynamics, direct origination of investments, where we identify and lead the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A substantial majority of our portfolio investments are sourced through our direct or proprietary relationships.</w:t>
      </w:r>
    </w:p>
    <w:p>
      <w:pPr>
        <w:spacing w:after="0" w:line="158" w:lineRule="exact"/>
        <w:rPr>
          <w:sz w:val="20"/>
          <w:szCs w:val="20"/>
          <w:color w:val="auto"/>
        </w:rPr>
      </w:pPr>
    </w:p>
    <w:p>
      <w:pPr>
        <w:ind w:left="200"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Risk Mitigation. </w:t>
      </w:r>
      <w:r>
        <w:rPr>
          <w:rFonts w:ascii="Times New Roman" w:cs="Times New Roman" w:eastAsia="Times New Roman" w:hAnsi="Times New Roman"/>
          <w:sz w:val="18"/>
          <w:szCs w:val="18"/>
          <w:color w:val="auto"/>
        </w:rPr>
        <w:t>We seek to mitigate non-credit-related risk on our returns in several ways, including call protection provisions to protect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income. As of December 31, 2017, we had call protection on 91.2% of our debt investments based on fair value, with weighted average call prices of 106.2% for the first year, 103.2% for the second year and 101.4% for the third year, in each case from the date of the initial investment. As of December 31, 2017, 100.0% of our debt investments based on fair value bore interest at floating rates (when including investment specific hedges), with 93.3% of these subject to interest rate floors, which we believe helps act as a portfolio-wide hedge against inflation.</w:t>
      </w: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our Adviser, TSSP and TPG</w:t>
      </w:r>
    </w:p>
    <w:p>
      <w:pPr>
        <w:spacing w:after="0" w:line="121" w:lineRule="exact"/>
        <w:rPr>
          <w:sz w:val="20"/>
          <w:szCs w:val="20"/>
          <w:color w:val="auto"/>
        </w:rPr>
      </w:pPr>
    </w:p>
    <w:p>
      <w:pPr>
        <w:ind w:left="200" w:right="40" w:firstLine="441"/>
        <w:spacing w:after="0" w:line="256"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TSSP.</w:t>
      </w:r>
    </w:p>
    <w:p>
      <w:pPr>
        <w:spacing w:after="0" w:line="188" w:lineRule="exact"/>
        <w:rPr>
          <w:sz w:val="20"/>
          <w:szCs w:val="20"/>
          <w:color w:val="auto"/>
        </w:rPr>
      </w:pPr>
    </w:p>
    <w:p>
      <w:pPr>
        <w:ind w:left="200" w:right="160" w:firstLine="441"/>
        <w:spacing w:after="0" w:line="255" w:lineRule="auto"/>
        <w:rPr>
          <w:sz w:val="20"/>
          <w:szCs w:val="20"/>
          <w:color w:val="auto"/>
        </w:rPr>
      </w:pPr>
      <w:r>
        <w:rPr>
          <w:rFonts w:ascii="Times New Roman" w:cs="Times New Roman" w:eastAsia="Times New Roman" w:hAnsi="Times New Roman"/>
          <w:sz w:val="18"/>
          <w:szCs w:val="18"/>
          <w:color w:val="auto"/>
        </w:rPr>
        <w:t>TSSP, with approximately $20 billion of assets under management as of September 30, 2017, is TPG’s special situations and credit platform and encompasses TPG Specialty Lending, TPG Opportunities Partners and TSSP Adjacent Opportunities Partners, which invest in special situations and distressed investments across the credit cycle, TSL Europe, which is aimed at European middle-market loan originations, and TPG Institutional Credit Partners, which is a “public-side” credit investment platform focused on investment opportunities in broadly syndicated leveraged loan markets. TSSP has extensive experience with highly complex, global public and private investments executed through primary originations, secondary market purchases and restructurings, and has a team of over 180 investment and operating professionals. As of December 31, 2017, thirty one (31) of these personnel are dedicated to our business, including twenty four (24) investment professionals.</w:t>
      </w:r>
    </w:p>
    <w:p>
      <w:pPr>
        <w:spacing w:after="0" w:line="189" w:lineRule="exact"/>
        <w:rPr>
          <w:sz w:val="20"/>
          <w:szCs w:val="20"/>
          <w:color w:val="auto"/>
        </w:rPr>
      </w:pPr>
    </w:p>
    <w:p>
      <w:pPr>
        <w:ind w:left="200" w:right="60" w:firstLine="441"/>
        <w:spacing w:after="0" w:line="256" w:lineRule="auto"/>
        <w:rPr>
          <w:sz w:val="20"/>
          <w:szCs w:val="20"/>
          <w:color w:val="auto"/>
        </w:rPr>
      </w:pPr>
      <w:r>
        <w:rPr>
          <w:rFonts w:ascii="Times New Roman" w:cs="Times New Roman" w:eastAsia="Times New Roman" w:hAnsi="Times New Roman"/>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00"/>
          </w:cols>
          <w:pgMar w:left="240" w:top="455" w:right="4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300" w:firstLine="441"/>
        <w:spacing w:after="0" w:line="261" w:lineRule="auto"/>
        <w:rPr>
          <w:sz w:val="20"/>
          <w:szCs w:val="20"/>
          <w:color w:val="auto"/>
        </w:rPr>
      </w:pPr>
      <w:r>
        <w:rPr>
          <w:rFonts w:ascii="Times New Roman" w:cs="Times New Roman" w:eastAsia="Times New Roman" w:hAnsi="Times New Roman"/>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0" w:lineRule="exact"/>
        <w:rPr>
          <w:sz w:val="20"/>
          <w:szCs w:val="20"/>
          <w:color w:val="auto"/>
        </w:rPr>
      </w:pPr>
    </w:p>
    <w:p>
      <w:pPr>
        <w:ind w:left="200" w:right="140" w:firstLine="441"/>
        <w:spacing w:after="0" w:line="261" w:lineRule="auto"/>
        <w:rPr>
          <w:sz w:val="20"/>
          <w:szCs w:val="20"/>
          <w:color w:val="auto"/>
        </w:rPr>
      </w:pPr>
      <w:r>
        <w:rPr>
          <w:rFonts w:ascii="Times New Roman" w:cs="Times New Roman" w:eastAsia="Times New Roman" w:hAnsi="Times New Roman"/>
          <w:sz w:val="18"/>
          <w:szCs w:val="18"/>
          <w:color w:val="auto"/>
        </w:rPr>
        <w:t>We believe our ability to co-invest with TSSP and TPG affiliates is particularly useful where we identify larger capital commitments than otherwise would be appropriate for us. We expect that with the ability to co-invest with TSSP and TPG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0" w:lineRule="exact"/>
        <w:rPr>
          <w:sz w:val="20"/>
          <w:szCs w:val="20"/>
          <w:color w:val="auto"/>
        </w:rPr>
      </w:pPr>
    </w:p>
    <w:p>
      <w:pPr>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76"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jc w:val="both"/>
        <w:ind w:left="200" w:right="80" w:firstLine="441"/>
        <w:spacing w:after="0" w:line="289" w:lineRule="auto"/>
        <w:rPr>
          <w:sz w:val="20"/>
          <w:szCs w:val="20"/>
          <w:color w:val="auto"/>
        </w:rPr>
      </w:pPr>
      <w:r>
        <w:rPr>
          <w:rFonts w:ascii="Times New Roman" w:cs="Times New Roman" w:eastAsia="Times New Roman" w:hAnsi="Times New Roman"/>
          <w:sz w:val="17"/>
          <w:szCs w:val="17"/>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58" w:lineRule="exact"/>
        <w:rPr>
          <w:sz w:val="20"/>
          <w:szCs w:val="20"/>
          <w:color w:val="auto"/>
        </w:rPr>
      </w:pPr>
    </w:p>
    <w:p>
      <w:pPr>
        <w:ind w:left="200" w:right="620" w:firstLine="441"/>
        <w:spacing w:after="0" w:line="282" w:lineRule="auto"/>
        <w:rPr>
          <w:sz w:val="20"/>
          <w:szCs w:val="20"/>
          <w:color w:val="auto"/>
        </w:rPr>
      </w:pPr>
      <w:r>
        <w:rPr>
          <w:rFonts w:ascii="Times New Roman" w:cs="Times New Roman" w:eastAsia="Times New Roman" w:hAnsi="Times New Roman"/>
          <w:sz w:val="18"/>
          <w:szCs w:val="18"/>
          <w:color w:val="auto"/>
        </w:rPr>
        <w:t>In addition, as part of our risk strategy on investments, we may reduce certain levels of investments through partial sales or syndication to additional investors.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six years, and, as of December 31, 2017, 100.0% of these investments based on fair value bore interest at a floating rate (when including investment specific hedges), with 93.3% of these subject to interest rate floors. Interest on debt investments is generally payable quarterly or semiannually. Some of our investments provide for deferred interest payments or PIK interest. For the year ended December 31, 2017, 2.8% of our total investment income was comprised of PIK interest.</w:t>
      </w:r>
    </w:p>
    <w:p>
      <w:pPr>
        <w:spacing w:after="0" w:line="188" w:lineRule="exact"/>
        <w:rPr>
          <w:sz w:val="20"/>
          <w:szCs w:val="20"/>
          <w:color w:val="auto"/>
        </w:rPr>
      </w:pPr>
    </w:p>
    <w:p>
      <w:pPr>
        <w:ind w:left="200" w:right="100" w:firstLine="441"/>
        <w:spacing w:after="0" w:line="282" w:lineRule="auto"/>
        <w:rPr>
          <w:sz w:val="20"/>
          <w:szCs w:val="20"/>
          <w:color w:val="auto"/>
        </w:rPr>
      </w:pPr>
      <w:r>
        <w:rPr>
          <w:rFonts w:ascii="Times New Roman" w:cs="Times New Roman" w:eastAsia="Times New Roman" w:hAnsi="Times New Roman"/>
          <w:sz w:val="18"/>
          <w:szCs w:val="18"/>
          <w:color w:val="auto"/>
        </w:rPr>
        <w:t>Changes in our net investment income are primarily driven by the spread between the payments we receive from our investments in our portfolio companies against our cost of funding, rather than by changes in interest</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00"/>
          </w:cols>
          <w:pgMar w:left="240" w:top="455" w:right="4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Times New Roman" w:cs="Times New Roman" w:eastAsia="Times New Roman" w:hAnsi="Times New Roman"/>
          <w:sz w:val="18"/>
          <w:szCs w:val="18"/>
          <w:color w:val="auto"/>
        </w:rPr>
        <w:t>rates. Our investment portfolio primarily consists of floating rate loans, and our credit facilities, 2023 Notes and Convertible Senior Notes, after taking into account the effect of the interest rate swaps we have entered into in connection with the 2023 Notes and Convertible Senior Notes, all bear interest at floating rates. Macro trends in base interest rates like LIBOR may affect our net investment income over the long term. However, because we generally originate loans to a small number of portfolio companies each quarter, and those investments also vary in size, our results in any given period —including the interest rate on investments that were sold or repaid in a period compared to the interest rate of new investments made during that period —often are idiosyncratic, and reflect the characteristics of the particular portfolio companies that we invested in or exited during the period and not necessarily any trends in our business.</w:t>
      </w:r>
    </w:p>
    <w:p>
      <w:pPr>
        <w:spacing w:after="0" w:line="189" w:lineRule="exact"/>
        <w:rPr>
          <w:sz w:val="20"/>
          <w:szCs w:val="20"/>
          <w:color w:val="auto"/>
        </w:rPr>
      </w:pPr>
    </w:p>
    <w:p>
      <w:pPr>
        <w:ind w:left="200" w:right="60" w:firstLine="441"/>
        <w:spacing w:after="0" w:line="277" w:lineRule="auto"/>
        <w:rPr>
          <w:sz w:val="20"/>
          <w:szCs w:val="20"/>
          <w:color w:val="auto"/>
        </w:rPr>
      </w:pPr>
      <w:r>
        <w:rPr>
          <w:rFonts w:ascii="Times New Roman" w:cs="Times New Roman" w:eastAsia="Times New Roman" w:hAnsi="Times New Roman"/>
          <w:sz w:val="17"/>
          <w:szCs w:val="17"/>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68"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repayments may fluctuate significantly.</w:t>
      </w:r>
    </w:p>
    <w:p>
      <w:pPr>
        <w:spacing w:after="0" w:line="184" w:lineRule="exact"/>
        <w:rPr>
          <w:sz w:val="20"/>
          <w:szCs w:val="20"/>
          <w:color w:val="auto"/>
        </w:rPr>
      </w:pPr>
    </w:p>
    <w:p>
      <w:pPr>
        <w:ind w:left="200" w:right="380" w:firstLine="441"/>
        <w:spacing w:after="0" w:line="282" w:lineRule="auto"/>
        <w:rPr>
          <w:sz w:val="20"/>
          <w:szCs w:val="20"/>
          <w:color w:val="auto"/>
        </w:rPr>
      </w:pPr>
      <w:r>
        <w:rPr>
          <w:rFonts w:ascii="Times New Roman" w:cs="Times New Roman" w:eastAsia="Times New Roman" w:hAnsi="Times New Roman"/>
          <w:sz w:val="18"/>
          <w:szCs w:val="18"/>
          <w:color w:val="auto"/>
        </w:rPr>
        <w:t>Dividend income on common equity investments is recorded on the record date for private portfolio companies or on the ex-dividend date for publicly traded portfolio companies.</w:t>
      </w:r>
    </w:p>
    <w:p>
      <w:pPr>
        <w:spacing w:after="0" w:line="162" w:lineRule="exact"/>
        <w:rPr>
          <w:sz w:val="20"/>
          <w:szCs w:val="20"/>
          <w:color w:val="auto"/>
        </w:rPr>
      </w:pPr>
    </w:p>
    <w:p>
      <w:pPr>
        <w:ind w:left="200" w:right="40" w:firstLine="441"/>
        <w:spacing w:after="0" w:line="261" w:lineRule="auto"/>
        <w:rPr>
          <w:sz w:val="20"/>
          <w:szCs w:val="20"/>
          <w:color w:val="auto"/>
        </w:rPr>
      </w:pPr>
      <w:r>
        <w:rPr>
          <w:rFonts w:ascii="Times New Roman" w:cs="Times New Roman" w:eastAsia="Times New Roman" w:hAnsi="Times New Roman"/>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82" w:lineRule="exact"/>
        <w:rPr>
          <w:sz w:val="20"/>
          <w:szCs w:val="20"/>
          <w:color w:val="auto"/>
        </w:rPr>
      </w:pPr>
    </w:p>
    <w:p>
      <w:pPr>
        <w:ind w:left="1060" w:hanging="316"/>
        <w:spacing w:after="0"/>
        <w:tabs>
          <w:tab w:leader="none" w:pos="10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individual asset values and our net asset value (including the cost and expenses of any independent valuation firms);</w:t>
      </w:r>
    </w:p>
    <w:p>
      <w:pPr>
        <w:spacing w:after="0" w:line="130" w:lineRule="exact"/>
        <w:rPr>
          <w:rFonts w:ascii="Times New Roman" w:cs="Times New Roman" w:eastAsia="Times New Roman" w:hAnsi="Times New Roman"/>
          <w:sz w:val="18"/>
          <w:szCs w:val="18"/>
          <w:color w:val="auto"/>
        </w:rPr>
      </w:pPr>
    </w:p>
    <w:p>
      <w:pPr>
        <w:ind w:left="1060" w:right="100" w:hanging="316"/>
        <w:spacing w:after="0" w:line="266" w:lineRule="auto"/>
        <w:tabs>
          <w:tab w:leader="none" w:pos="10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1"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public offerings of our common stock and other securities, including registration and listing fees;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and any Incentive Fee;</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20"/>
          </w:cols>
          <w:pgMar w:left="240" w:top="455" w:right="4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and expenses relating to distributions paid on our shares;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our Administration Agreement;</w:t>
      </w:r>
    </w:p>
    <w:p>
      <w:pPr>
        <w:spacing w:after="0" w:line="130" w:lineRule="exact"/>
        <w:rPr>
          <w:rFonts w:ascii="Times New Roman" w:cs="Times New Roman" w:eastAsia="Times New Roman" w:hAnsi="Times New Roman"/>
          <w:sz w:val="18"/>
          <w:szCs w:val="18"/>
          <w:color w:val="auto"/>
        </w:rPr>
      </w:pPr>
    </w:p>
    <w:p>
      <w:pPr>
        <w:ind w:left="1060" w:hanging="316"/>
        <w:spacing w:after="0" w:line="258" w:lineRule="auto"/>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spend time on those related activities (based on the percentage of time those individuals devote, on an estimated basis, to our business and affairs);</w:t>
      </w:r>
    </w:p>
    <w:p>
      <w:pPr>
        <w:spacing w:after="0" w:line="89"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allocable share of costs incurred in providing significant managerial assistance to those portfolio companies that request it;</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to third parties relating to, or associated with, making or holding investments;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hedging;</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and other compensation payable to brokers or dealers;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fees and expenses;</w:t>
      </w:r>
    </w:p>
    <w:p>
      <w:pPr>
        <w:spacing w:after="0" w:line="130" w:lineRule="exact"/>
        <w:rPr>
          <w:rFonts w:ascii="Times New Roman" w:cs="Times New Roman" w:eastAsia="Times New Roman" w:hAnsi="Times New Roman"/>
          <w:sz w:val="18"/>
          <w:szCs w:val="18"/>
          <w:color w:val="auto"/>
        </w:rPr>
      </w:pPr>
    </w:p>
    <w:p>
      <w:pPr>
        <w:ind w:left="1060" w:right="240" w:hanging="316"/>
        <w:spacing w:after="0" w:line="266" w:lineRule="auto"/>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81"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fidelity bond;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officers/errors and omissions liability insurance, and any other insurance premiums;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audit, accounting, consulting and legal costs;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left="200" w:right="40" w:firstLine="441"/>
        <w:spacing w:after="0" w:line="282" w:lineRule="auto"/>
        <w:rPr>
          <w:sz w:val="20"/>
          <w:szCs w:val="20"/>
          <w:color w:val="auto"/>
        </w:rPr>
      </w:pPr>
      <w:r>
        <w:rPr>
          <w:rFonts w:ascii="Times New Roman" w:cs="Times New Roman" w:eastAsia="Times New Roman" w:hAnsi="Times New Roman"/>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Leverage</w:t>
      </w:r>
    </w:p>
    <w:p>
      <w:pPr>
        <w:spacing w:after="0" w:line="121" w:lineRule="exact"/>
        <w:rPr>
          <w:sz w:val="20"/>
          <w:szCs w:val="20"/>
          <w:color w:val="auto"/>
        </w:rPr>
      </w:pPr>
    </w:p>
    <w:p>
      <w:pPr>
        <w:ind w:left="200" w:right="160" w:firstLine="441"/>
        <w:spacing w:after="0" w:line="256" w:lineRule="auto"/>
        <w:rPr>
          <w:sz w:val="20"/>
          <w:szCs w:val="20"/>
          <w:color w:val="auto"/>
        </w:rPr>
      </w:pPr>
      <w:r>
        <w:rPr>
          <w:rFonts w:ascii="Times New Roman" w:cs="Times New Roman" w:eastAsia="Times New Roman" w:hAnsi="Times New Roman"/>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our total borrowings are limited so that our asset coverage ratio cannot fall below 200% immediately after any borrowing (or 150% if certain requirements are met),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Market Trends</w:t>
      </w:r>
    </w:p>
    <w:p>
      <w:pPr>
        <w:spacing w:after="0" w:line="121" w:lineRule="exact"/>
        <w:rPr>
          <w:sz w:val="20"/>
          <w:szCs w:val="20"/>
          <w:color w:val="auto"/>
        </w:rPr>
      </w:pPr>
    </w:p>
    <w:p>
      <w:pPr>
        <w:ind w:left="200" w:right="340" w:firstLine="441"/>
        <w:spacing w:after="0" w:line="282" w:lineRule="auto"/>
        <w:rPr>
          <w:sz w:val="20"/>
          <w:szCs w:val="20"/>
          <w:color w:val="auto"/>
        </w:rPr>
      </w:pPr>
      <w:r>
        <w:rPr>
          <w:rFonts w:ascii="Times New Roman" w:cs="Times New Roman" w:eastAsia="Times New Roman" w:hAnsi="Times New Roman"/>
          <w:sz w:val="18"/>
          <w:szCs w:val="18"/>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240" w:top="455" w:right="5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The limited number of dedicated providers of capital to middle-market companies, combined with increases in required capital levels for regulated financial institutions, reduces the capacity of traditional lenders to serve middle-market companies. We believe that the limited availability of capital creates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80" w:lineRule="exact"/>
        <w:rPr>
          <w:sz w:val="20"/>
          <w:szCs w:val="20"/>
          <w:color w:val="auto"/>
        </w:rPr>
      </w:pPr>
    </w:p>
    <w:p>
      <w:pPr>
        <w:ind w:left="200" w:right="420" w:firstLine="441"/>
        <w:spacing w:after="0" w:line="266" w:lineRule="auto"/>
        <w:rPr>
          <w:sz w:val="20"/>
          <w:szCs w:val="20"/>
          <w:color w:val="auto"/>
        </w:rPr>
      </w:pPr>
      <w:r>
        <w:rPr>
          <w:rFonts w:ascii="Times New Roman" w:cs="Times New Roman" w:eastAsia="Times New Roman" w:hAnsi="Times New Roman"/>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76"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Portfolio and Investment Activity</w:t>
      </w:r>
    </w:p>
    <w:p>
      <w:pPr>
        <w:spacing w:after="0" w:line="121" w:lineRule="exact"/>
        <w:rPr>
          <w:sz w:val="20"/>
          <w:szCs w:val="20"/>
          <w:color w:val="auto"/>
        </w:rPr>
      </w:pPr>
    </w:p>
    <w:p>
      <w:pPr>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As of December 31, 2017, our portfolio based on fair value consisted of 93.4% first-lien debt investments, 3.6% second-lien debt investments, and 3.0% equity and other investments. As of December 31, 2016, our portfolio based on fair value consisted of 96.5% first-lien debt investments, 1.2% second-lien debt investments, 0.6% mezzanine and unsecured debt investments, and 1.7% equity and other investments.</w:t>
      </w:r>
    </w:p>
    <w:p>
      <w:pPr>
        <w:spacing w:after="0" w:line="176" w:lineRule="exact"/>
        <w:rPr>
          <w:sz w:val="20"/>
          <w:szCs w:val="20"/>
          <w:color w:val="auto"/>
        </w:rPr>
      </w:pPr>
    </w:p>
    <w:p>
      <w:pPr>
        <w:ind w:left="200" w:right="160" w:firstLine="441"/>
        <w:spacing w:after="0" w:line="261" w:lineRule="auto"/>
        <w:rPr>
          <w:sz w:val="20"/>
          <w:szCs w:val="20"/>
          <w:color w:val="auto"/>
        </w:rPr>
      </w:pPr>
      <w:r>
        <w:rPr>
          <w:rFonts w:ascii="Times New Roman" w:cs="Times New Roman" w:eastAsia="Times New Roman" w:hAnsi="Times New Roman"/>
          <w:sz w:val="18"/>
          <w:szCs w:val="18"/>
          <w:color w:val="auto"/>
        </w:rPr>
        <w:t>As of December 31, 2017 and December 31, 2016, our weighted average total yield of debt and income producing securities at fair value (which includes interest income and amortization of fees and discounts) was 10.7% and 10.4%, respectively, and our weighted average total yield of debt and income-producing securities at amortized cost (which includes interest income and amortization of fees and discounts) was 10.8% and 10.4%, respectively.</w:t>
      </w:r>
    </w:p>
    <w:p>
      <w:pPr>
        <w:spacing w:after="0" w:line="180" w:lineRule="exact"/>
        <w:rPr>
          <w:sz w:val="20"/>
          <w:szCs w:val="20"/>
          <w:color w:val="auto"/>
        </w:rPr>
      </w:pPr>
    </w:p>
    <w:p>
      <w:pPr>
        <w:ind w:left="200" w:right="400" w:firstLine="441"/>
        <w:spacing w:after="0" w:line="282" w:lineRule="auto"/>
        <w:rPr>
          <w:sz w:val="20"/>
          <w:szCs w:val="20"/>
          <w:color w:val="auto"/>
        </w:rPr>
      </w:pPr>
      <w:r>
        <w:rPr>
          <w:rFonts w:ascii="Times New Roman" w:cs="Times New Roman" w:eastAsia="Times New Roman" w:hAnsi="Times New Roman"/>
          <w:sz w:val="18"/>
          <w:szCs w:val="18"/>
          <w:color w:val="auto"/>
        </w:rPr>
        <w:t>As of December 31, 2017 and December 31, 2016, we had investments in 45 and 52 portfolio companies, respectively, with an aggregate fair value of $1,693.7 million and $1,657.4 million, respectively.</w:t>
      </w:r>
    </w:p>
    <w:p>
      <w:pPr>
        <w:spacing w:after="0" w:line="162"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2017, we made new investment commitments of $1,072.6 million in 22 new portfolio companies and 12 existing portfolio companies. For this period, we had $951.5 million aggregate principal amount in exits and repayments.</w:t>
      </w:r>
    </w:p>
    <w:p>
      <w:pPr>
        <w:spacing w:after="0" w:line="162" w:lineRule="exact"/>
        <w:rPr>
          <w:sz w:val="20"/>
          <w:szCs w:val="20"/>
          <w:color w:val="auto"/>
        </w:rPr>
      </w:pPr>
    </w:p>
    <w:p>
      <w:pPr>
        <w:ind w:left="200" w:right="240" w:firstLine="441"/>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2016, we made new investment commitments of $562.7 million in 14 new portfolio companies and 9 existing portfolio companies. For this period, we had $416.5 million aggregate principal amount in exits and repayments.</w:t>
      </w:r>
    </w:p>
    <w:p>
      <w:pPr>
        <w:spacing w:after="0" w:line="162" w:lineRule="exact"/>
        <w:rPr>
          <w:sz w:val="20"/>
          <w:szCs w:val="20"/>
          <w:color w:val="auto"/>
        </w:rPr>
      </w:pPr>
    </w:p>
    <w:p>
      <w:pPr>
        <w:ind w:left="200" w:right="140" w:firstLine="441"/>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2015, we made new investment commitments of $718.7 million in 20 new portfolio companies and 14 existing portfolio companies. For this period, we had $385.2 million aggregate principal amount in exits and repayments.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20"/>
          </w:cols>
          <w:pgMar w:left="240" w:top="455" w:right="4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441"/>
        <w:spacing w:after="0" w:line="282" w:lineRule="auto"/>
        <w:rPr>
          <w:sz w:val="20"/>
          <w:szCs w:val="20"/>
          <w:color w:val="auto"/>
        </w:rPr>
      </w:pPr>
      <w:r>
        <w:rPr>
          <w:rFonts w:ascii="Times New Roman" w:cs="Times New Roman" w:eastAsia="Times New Roman" w:hAnsi="Times New Roman"/>
          <w:sz w:val="18"/>
          <w:szCs w:val="18"/>
          <w:color w:val="auto"/>
        </w:rPr>
        <w:t>Our investment activity for the years ended December 31, 2017, 2016 and 2015 is presented below (information presented herein is at par value unless otherwise indicated).</w:t>
      </w: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4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New investment commitments:</w:t>
            </w: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originations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2,251.5</w:t>
            </w:r>
          </w:p>
        </w:tc>
        <w:tc>
          <w:tcPr>
            <w:tcW w:w="2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761.5</w:t>
            </w:r>
          </w:p>
        </w:tc>
        <w:tc>
          <w:tcPr>
            <w:tcW w:w="4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964.2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Syndications/sell downs</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1,178.9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198.8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245.5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new investment commitments</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1,072.6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562.7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718.7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funded:</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First-lien</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958.9</w:t>
            </w:r>
          </w:p>
        </w:tc>
        <w:tc>
          <w:tcPr>
            <w:tcW w:w="2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518.0</w:t>
            </w:r>
          </w:p>
        </w:tc>
        <w:tc>
          <w:tcPr>
            <w:tcW w:w="4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581.3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Second-lien</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Mezzanine and unsecured</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and other</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520.1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664.0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sold or repaid:</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First-lien</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2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316.2</w:t>
            </w:r>
          </w:p>
        </w:tc>
        <w:tc>
          <w:tcPr>
            <w:tcW w:w="4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353.3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Second-lien</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Mezzanine and unsecured</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and other</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r>
              <w:rPr>
                <w:rFonts w:ascii="Times New Roman" w:cs="Times New Roman" w:eastAsia="Times New Roman" w:hAnsi="Times New Roman"/>
                <w:sz w:val="18"/>
                <w:szCs w:val="18"/>
                <w:u w:val="single" w:color="auto"/>
                <w:color w:val="auto"/>
              </w:rPr>
              <w:t>5</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416.5</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385.2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Number of new investment commitments in new portfolio companies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new investment commitment amount in new portfolio companies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4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term for new investment commitments in new portfolio companies (in years)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Percentage of new debt investment commitments at floating rates</w:t>
            </w:r>
            <w:r>
              <w:rPr>
                <w:rFonts w:ascii="Times New Roman" w:cs="Times New Roman" w:eastAsia="Times New Roman" w:hAnsi="Times New Roman"/>
                <w:sz w:val="15"/>
                <w:szCs w:val="15"/>
                <w:b w:val="1"/>
                <w:bCs w:val="1"/>
                <w:color w:val="auto"/>
              </w:rPr>
              <w:t>(1)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Percentage of new debt investment commitments at fixed rates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interest rate of new investment commitments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spread over LIBOR of new floating rate investment commitments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interest rate on investments sold or paid down</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right="180" w:hanging="436"/>
        <w:spacing w:after="0" w:line="282"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two fixed rate investments for the year ended December 31, 2017 and one fixed rate investment for the years ended December 31, 2016 and December 31, 2015 for which we entered into interest rate swap agreements to swap to floating rates.</w:t>
      </w:r>
    </w:p>
    <w:p>
      <w:pPr>
        <w:spacing w:after="0" w:line="161"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2017 and 2016, our investments consisted of the following:</w:t>
      </w:r>
    </w:p>
    <w:p>
      <w:pPr>
        <w:spacing w:after="0" w:line="246"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960" w:type="dxa"/>
            <w:vAlign w:val="bottom"/>
          </w:tcPr>
          <w:p>
            <w:pPr>
              <w:spacing w:after="0"/>
              <w:rPr>
                <w:sz w:val="15"/>
                <w:szCs w:val="15"/>
                <w:color w:val="auto"/>
              </w:rPr>
            </w:pPr>
          </w:p>
        </w:tc>
        <w:tc>
          <w:tcPr>
            <w:tcW w:w="2240" w:type="dxa"/>
            <w:vAlign w:val="bottom"/>
            <w:gridSpan w:val="4"/>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600" w:type="dxa"/>
            <w:vAlign w:val="bottom"/>
          </w:tcPr>
          <w:p>
            <w:pPr>
              <w:spacing w:after="0"/>
              <w:rPr>
                <w:sz w:val="15"/>
                <w:szCs w:val="15"/>
                <w:color w:val="auto"/>
              </w:rPr>
            </w:pPr>
          </w:p>
        </w:tc>
        <w:tc>
          <w:tcPr>
            <w:tcW w:w="22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142"/>
        </w:trPr>
        <w:tc>
          <w:tcPr>
            <w:tcW w:w="406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1580" w:type="dxa"/>
            <w:vAlign w:val="bottom"/>
            <w:tcBorders>
              <w:top w:val="single" w:sz="8" w:color="auto"/>
            </w:tcBorders>
            <w:gridSpan w:val="3"/>
          </w:tcPr>
          <w:p>
            <w:pPr>
              <w:ind w:left="600"/>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60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158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9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$1,581.3</w:t>
            </w:r>
          </w:p>
        </w:tc>
        <w:tc>
          <w:tcPr>
            <w:tcW w:w="6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1,561.3</w:t>
            </w:r>
          </w:p>
        </w:tc>
        <w:tc>
          <w:tcPr>
            <w:tcW w:w="6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$1,599.6</w:t>
            </w:r>
          </w:p>
        </w:tc>
        <w:tc>
          <w:tcPr>
            <w:tcW w:w="6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and unsecured debt investments</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9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6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6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6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1,693.7</w:t>
            </w: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1,657.4</w:t>
            </w:r>
          </w:p>
        </w:tc>
        <w:tc>
          <w:tcPr>
            <w:tcW w:w="86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620" w:type="dxa"/>
            <w:vAlign w:val="bottom"/>
            <w:gridSpan w:val="2"/>
          </w:tcPr>
          <w:p>
            <w:pPr>
              <w:jc w:val="right"/>
              <w:ind w:right="436"/>
              <w:spacing w:after="0"/>
              <w:rPr>
                <w:sz w:val="20"/>
                <w:szCs w:val="20"/>
                <w:color w:val="auto"/>
              </w:rPr>
            </w:pPr>
            <w:r>
              <w:rPr>
                <w:rFonts w:ascii="Times New Roman" w:cs="Times New Roman" w:eastAsia="Times New Roman" w:hAnsi="Times New Roman"/>
                <w:sz w:val="18"/>
                <w:szCs w:val="18"/>
                <w:color w:val="auto"/>
              </w:rPr>
              <w:t>65</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5" w:right="41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tables show the fair value and amortized cost of our performing and non-accrual investments as of December 31, 2017 and 2016:</w:t>
      </w:r>
    </w:p>
    <w:p>
      <w:pPr>
        <w:spacing w:after="0" w:line="246"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2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gridSpan w:val="4"/>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142"/>
        </w:trPr>
        <w:tc>
          <w:tcPr>
            <w:tcW w:w="2780" w:type="dxa"/>
            <w:vAlign w:val="bottom"/>
            <w:gridSpan w:val="2"/>
            <w:vMerge w:val="continue"/>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3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3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Performing</w:t>
            </w:r>
          </w:p>
        </w:tc>
        <w:tc>
          <w:tcPr>
            <w:tcW w:w="17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vMerge w:val="continue"/>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1,693.7</w:t>
            </w:r>
          </w:p>
        </w:tc>
        <w:tc>
          <w:tcPr>
            <w:tcW w:w="680" w:type="dxa"/>
            <w:vAlign w:val="bottom"/>
            <w:vMerge w:val="continue"/>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1,657.4</w:t>
            </w:r>
          </w:p>
        </w:tc>
        <w:tc>
          <w:tcPr>
            <w:tcW w:w="7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Non-accrual</w:t>
            </w:r>
            <w:r>
              <w:rPr>
                <w:rFonts w:ascii="Times New Roman" w:cs="Times New Roman" w:eastAsia="Times New Roman" w:hAnsi="Times New Roman"/>
                <w:sz w:val="15"/>
                <w:szCs w:val="15"/>
                <w:color w:val="auto"/>
              </w:rPr>
              <w:t>(1)</w:t>
            </w:r>
          </w:p>
        </w:tc>
        <w:tc>
          <w:tcPr>
            <w:tcW w:w="1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2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1,693.7</w:t>
            </w:r>
          </w:p>
        </w:tc>
        <w:tc>
          <w:tcPr>
            <w:tcW w:w="18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100.0%</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1,657.4</w:t>
            </w:r>
          </w:p>
        </w:tc>
        <w:tc>
          <w:tcPr>
            <w:tcW w:w="1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4"/>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142"/>
        </w:trPr>
        <w:tc>
          <w:tcPr>
            <w:tcW w:w="2780" w:type="dxa"/>
            <w:vAlign w:val="bottom"/>
            <w:gridSpan w:val="2"/>
            <w:vMerge w:val="continue"/>
          </w:tcPr>
          <w:p>
            <w:pPr>
              <w:spacing w:after="0"/>
              <w:rPr>
                <w:sz w:val="12"/>
                <w:szCs w:val="12"/>
                <w:color w:val="auto"/>
              </w:rPr>
            </w:pPr>
          </w:p>
        </w:tc>
        <w:tc>
          <w:tcPr>
            <w:tcW w:w="1700" w:type="dxa"/>
            <w:vAlign w:val="bottom"/>
          </w:tcPr>
          <w:p>
            <w:pPr>
              <w:spacing w:after="0"/>
              <w:rPr>
                <w:sz w:val="12"/>
                <w:szCs w:val="12"/>
                <w:color w:val="auto"/>
              </w:rPr>
            </w:pPr>
          </w:p>
        </w:tc>
        <w:tc>
          <w:tcPr>
            <w:tcW w:w="9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13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Amortized Cost</w:t>
            </w:r>
          </w:p>
        </w:tc>
        <w:tc>
          <w:tcPr>
            <w:tcW w:w="13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Performing</w:t>
            </w:r>
          </w:p>
        </w:tc>
        <w:tc>
          <w:tcPr>
            <w:tcW w:w="17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vMerge w:val="continue"/>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1,686.3</w:t>
            </w:r>
          </w:p>
        </w:tc>
        <w:tc>
          <w:tcPr>
            <w:tcW w:w="680" w:type="dxa"/>
            <w:vAlign w:val="bottom"/>
            <w:vMerge w:val="continue"/>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1,667.7</w:t>
            </w:r>
          </w:p>
        </w:tc>
        <w:tc>
          <w:tcPr>
            <w:tcW w:w="7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Non-accrual</w:t>
            </w:r>
            <w:r>
              <w:rPr>
                <w:rFonts w:ascii="Times New Roman" w:cs="Times New Roman" w:eastAsia="Times New Roman" w:hAnsi="Times New Roman"/>
                <w:sz w:val="15"/>
                <w:szCs w:val="15"/>
                <w:color w:val="auto"/>
              </w:rPr>
              <w:t>(1)</w:t>
            </w:r>
          </w:p>
        </w:tc>
        <w:tc>
          <w:tcPr>
            <w:tcW w:w="1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2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1,686.3</w:t>
            </w:r>
          </w:p>
        </w:tc>
        <w:tc>
          <w:tcPr>
            <w:tcW w:w="18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100.0%</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1,667.7</w:t>
            </w:r>
          </w:p>
        </w:tc>
        <w:tc>
          <w:tcPr>
            <w:tcW w:w="1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40" w:hanging="436"/>
        <w:spacing w:after="0" w:line="256"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See “—Critical Accounting Policies—Interest and Dividend Income Recognition.”</w:t>
      </w:r>
    </w:p>
    <w:p>
      <w:pPr>
        <w:spacing w:after="0" w:line="188" w:lineRule="exact"/>
        <w:rPr>
          <w:sz w:val="20"/>
          <w:szCs w:val="20"/>
          <w:color w:val="auto"/>
        </w:rPr>
      </w:pPr>
    </w:p>
    <w:p>
      <w:pPr>
        <w:ind w:left="200" w:right="560" w:firstLine="441"/>
        <w:spacing w:after="0" w:line="282" w:lineRule="auto"/>
        <w:rPr>
          <w:sz w:val="20"/>
          <w:szCs w:val="20"/>
          <w:color w:val="auto"/>
        </w:rPr>
      </w:pPr>
      <w:r>
        <w:rPr>
          <w:rFonts w:ascii="Times New Roman" w:cs="Times New Roman" w:eastAsia="Times New Roman" w:hAnsi="Times New Roman"/>
          <w:sz w:val="18"/>
          <w:szCs w:val="18"/>
          <w:color w:val="auto"/>
        </w:rPr>
        <w:t>The weighted average yields and interest rates of our performing debt investments at fair value as of December 31, 2017 and 2016 were as follows:</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2480" w:type="dxa"/>
            <w:vAlign w:val="bottom"/>
            <w:gridSpan w:val="3"/>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40" w:type="dxa"/>
            <w:vAlign w:val="bottom"/>
            <w:gridSpan w:val="3"/>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610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2017</w:t>
            </w:r>
          </w:p>
        </w:tc>
        <w:tc>
          <w:tcPr>
            <w:tcW w:w="6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total yield of debt and income producing securities</w:t>
            </w:r>
          </w:p>
        </w:tc>
        <w:tc>
          <w:tcPr>
            <w:tcW w:w="10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10.7%</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 of debt and income producing securities</w:t>
            </w:r>
          </w:p>
        </w:tc>
        <w:tc>
          <w:tcPr>
            <w:tcW w:w="24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10.2%</w:t>
            </w:r>
          </w:p>
        </w:tc>
        <w:tc>
          <w:tcPr>
            <w:tcW w:w="1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r>
      <w:tr>
        <w:trPr>
          <w:trHeight w:val="198"/>
        </w:trPr>
        <w:tc>
          <w:tcPr>
            <w:tcW w:w="20" w:type="dxa"/>
            <w:vAlign w:val="bottom"/>
          </w:tcPr>
          <w:p>
            <w:pPr>
              <w:spacing w:after="0"/>
              <w:rPr>
                <w:sz w:val="17"/>
                <w:szCs w:val="17"/>
                <w:color w:val="auto"/>
              </w:rPr>
            </w:pPr>
          </w:p>
        </w:tc>
        <w:tc>
          <w:tcPr>
            <w:tcW w:w="6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spread over LIBOR of all floating rate</w:t>
            </w:r>
          </w:p>
        </w:tc>
        <w:tc>
          <w:tcPr>
            <w:tcW w:w="10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investments</w:t>
            </w:r>
            <w:r>
              <w:rPr>
                <w:rFonts w:ascii="Times New Roman" w:cs="Times New Roman" w:eastAsia="Times New Roman" w:hAnsi="Times New Roman"/>
                <w:sz w:val="15"/>
                <w:szCs w:val="15"/>
                <w:color w:val="auto"/>
              </w:rPr>
              <w:t>(1)</w:t>
            </w:r>
          </w:p>
        </w:tc>
        <w:tc>
          <w:tcPr>
            <w:tcW w:w="24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8.8%</w:t>
            </w:r>
          </w:p>
        </w:tc>
        <w:tc>
          <w:tcPr>
            <w:tcW w:w="1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r>
    </w:tbl>
    <w:p>
      <w:pPr>
        <w:spacing w:after="0" w:line="225" w:lineRule="exact"/>
        <w:rPr>
          <w:sz w:val="20"/>
          <w:szCs w:val="20"/>
          <w:color w:val="auto"/>
        </w:rPr>
      </w:pPr>
    </w:p>
    <w:p>
      <w:pPr>
        <w:ind w:left="640" w:hanging="43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fixed rate investments for which we entered into interest rate swap agreements to swap to floating rates.</w:t>
      </w:r>
    </w:p>
    <w:p>
      <w:pPr>
        <w:spacing w:after="0" w:line="225" w:lineRule="exact"/>
        <w:rPr>
          <w:sz w:val="20"/>
          <w:szCs w:val="20"/>
          <w:color w:val="auto"/>
        </w:rPr>
      </w:pPr>
    </w:p>
    <w:p>
      <w:pPr>
        <w:ind w:left="200" w:right="220" w:firstLine="441"/>
        <w:spacing w:after="0" w:line="266" w:lineRule="auto"/>
        <w:rPr>
          <w:sz w:val="20"/>
          <w:szCs w:val="20"/>
          <w:color w:val="auto"/>
        </w:rPr>
      </w:pPr>
      <w:r>
        <w:rPr>
          <w:rFonts w:ascii="Times New Roman" w:cs="Times New Roman" w:eastAsia="Times New Roman" w:hAnsi="Times New Roman"/>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82" w:lineRule="exact"/>
        <w:rPr>
          <w:sz w:val="20"/>
          <w:szCs w:val="20"/>
          <w:color w:val="auto"/>
        </w:rPr>
      </w:pPr>
    </w:p>
    <w:p>
      <w:pPr>
        <w:ind w:left="1060" w:hanging="316"/>
        <w:spacing w:after="0"/>
        <w:tabs>
          <w:tab w:leader="none" w:pos="10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success of the portfolio company in adhering to its business plan and compliance with covenants;</w:t>
      </w:r>
    </w:p>
    <w:p>
      <w:pPr>
        <w:spacing w:after="0" w:line="130" w:lineRule="exact"/>
        <w:rPr>
          <w:rFonts w:ascii="Times New Roman" w:cs="Times New Roman" w:eastAsia="Times New Roman" w:hAnsi="Times New Roman"/>
          <w:sz w:val="18"/>
          <w:szCs w:val="18"/>
          <w:color w:val="auto"/>
        </w:rPr>
      </w:pPr>
    </w:p>
    <w:p>
      <w:pPr>
        <w:ind w:left="1060" w:right="120" w:hanging="316"/>
        <w:spacing w:after="0" w:line="282" w:lineRule="auto"/>
        <w:tabs>
          <w:tab w:leader="none" w:pos="10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and regular contact with portfolio company management and, if appropriate, the financial or strategic sponsor, to discuss financial position, requirements and accomplishments;</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comparisons to other companies in the industry;</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attendance at, and participation in, board meetings;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monthly and quarterly financial statements and financial projections for portfolio companies.</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80"/>
          </w:cols>
          <w:pgMar w:left="240" w:top="455" w:right="47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82" w:lineRule="exact"/>
        <w:rPr>
          <w:sz w:val="20"/>
          <w:szCs w:val="20"/>
          <w:color w:val="auto"/>
        </w:rPr>
      </w:pPr>
    </w:p>
    <w:p>
      <w:pPr>
        <w:jc w:val="both"/>
        <w:ind w:left="1060" w:hanging="316"/>
        <w:spacing w:after="0" w:line="266" w:lineRule="auto"/>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81" w:lineRule="exact"/>
        <w:rPr>
          <w:rFonts w:ascii="Times New Roman" w:cs="Times New Roman" w:eastAsia="Times New Roman" w:hAnsi="Times New Roman"/>
          <w:sz w:val="18"/>
          <w:szCs w:val="18"/>
          <w:color w:val="auto"/>
        </w:rPr>
      </w:pPr>
    </w:p>
    <w:p>
      <w:pPr>
        <w:ind w:left="1060" w:right="500" w:hanging="316"/>
        <w:spacing w:after="0" w:line="266" w:lineRule="auto"/>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81" w:lineRule="exact"/>
        <w:rPr>
          <w:rFonts w:ascii="Times New Roman" w:cs="Times New Roman" w:eastAsia="Times New Roman" w:hAnsi="Times New Roman"/>
          <w:sz w:val="18"/>
          <w:szCs w:val="18"/>
          <w:color w:val="auto"/>
        </w:rPr>
      </w:pPr>
    </w:p>
    <w:p>
      <w:pPr>
        <w:jc w:val="both"/>
        <w:ind w:left="1060" w:right="40" w:hanging="316"/>
        <w:spacing w:after="0" w:line="266" w:lineRule="auto"/>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3 if it is paying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81" w:lineRule="exact"/>
        <w:rPr>
          <w:rFonts w:ascii="Times New Roman" w:cs="Times New Roman" w:eastAsia="Times New Roman" w:hAnsi="Times New Roman"/>
          <w:sz w:val="18"/>
          <w:szCs w:val="18"/>
          <w:color w:val="auto"/>
        </w:rPr>
      </w:pPr>
    </w:p>
    <w:p>
      <w:pPr>
        <w:ind w:left="1060" w:right="100" w:hanging="316"/>
        <w:spacing w:after="0" w:line="256" w:lineRule="auto"/>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93" w:lineRule="exact"/>
        <w:rPr>
          <w:rFonts w:ascii="Times New Roman" w:cs="Times New Roman" w:eastAsia="Times New Roman" w:hAnsi="Times New Roman"/>
          <w:sz w:val="18"/>
          <w:szCs w:val="18"/>
          <w:color w:val="auto"/>
        </w:rPr>
      </w:pPr>
    </w:p>
    <w:p>
      <w:pPr>
        <w:ind w:left="1060" w:right="20" w:hanging="316"/>
        <w:spacing w:after="0" w:line="261" w:lineRule="auto"/>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rating of 5 indicates an investment is in default on its interest or principal payments. For these investments, our Adviser reviews the investments on a bi-monthly basis and, where possible, pursues workouts that achieve an early resolution to avoid further deterioration.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shows the distribution of our investments on the 1 to 5 investment performance rating scale at fair value as of December 31,</w:t>
      </w:r>
    </w:p>
    <w:p>
      <w:pPr>
        <w:spacing w:after="0" w:line="27" w:lineRule="exact"/>
        <w:rPr>
          <w:sz w:val="20"/>
          <w:szCs w:val="20"/>
          <w:color w:val="auto"/>
        </w:rPr>
      </w:pPr>
    </w:p>
    <w:p>
      <w:pPr>
        <w:ind w:left="200" w:right="500"/>
        <w:spacing w:after="0" w:line="261" w:lineRule="auto"/>
        <w:rPr>
          <w:sz w:val="20"/>
          <w:szCs w:val="20"/>
          <w:color w:val="auto"/>
        </w:rPr>
      </w:pPr>
      <w:r>
        <w:rPr>
          <w:rFonts w:ascii="Times New Roman" w:cs="Times New Roman" w:eastAsia="Times New Roman" w:hAnsi="Times New Roman"/>
          <w:sz w:val="18"/>
          <w:szCs w:val="18"/>
          <w:color w:val="auto"/>
        </w:rPr>
        <w:t>2017 and 2016. Investment performance ratings are accurate only as of those dates and may change due to subsequent developments relating to a portfolio company’s business or financial condition, market conditions or developments, and other factors.</w:t>
      </w:r>
    </w:p>
    <w:p>
      <w:pPr>
        <w:spacing w:after="0" w:line="200"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6"/>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7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6"/>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104"/>
        </w:trPr>
        <w:tc>
          <w:tcPr>
            <w:tcW w:w="20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820" w:type="dxa"/>
            <w:vAlign w:val="bottom"/>
          </w:tcPr>
          <w:p>
            <w:pPr>
              <w:spacing w:after="0"/>
              <w:rPr>
                <w:sz w:val="13"/>
                <w:szCs w:val="13"/>
                <w:color w:val="auto"/>
              </w:rPr>
            </w:pPr>
          </w:p>
        </w:tc>
        <w:tc>
          <w:tcPr>
            <w:tcW w:w="124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Investments at Fair</w:t>
            </w:r>
          </w:p>
        </w:tc>
        <w:tc>
          <w:tcPr>
            <w:tcW w:w="2020" w:type="dxa"/>
            <w:vAlign w:val="bottom"/>
            <w:gridSpan w:val="4"/>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Percentage of Total</w:t>
            </w:r>
          </w:p>
        </w:tc>
        <w:tc>
          <w:tcPr>
            <w:tcW w:w="780" w:type="dxa"/>
            <w:vAlign w:val="bottom"/>
          </w:tcPr>
          <w:p>
            <w:pPr>
              <w:spacing w:after="0"/>
              <w:rPr>
                <w:sz w:val="13"/>
                <w:szCs w:val="13"/>
                <w:color w:val="auto"/>
              </w:rPr>
            </w:pPr>
          </w:p>
        </w:tc>
        <w:tc>
          <w:tcPr>
            <w:tcW w:w="124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Investments at Fair</w:t>
            </w:r>
          </w:p>
        </w:tc>
        <w:tc>
          <w:tcPr>
            <w:tcW w:w="2020" w:type="dxa"/>
            <w:vAlign w:val="bottom"/>
            <w:gridSpan w:val="4"/>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Percentage of Total</w:t>
            </w:r>
          </w:p>
        </w:tc>
        <w:tc>
          <w:tcPr>
            <w:tcW w:w="0" w:type="dxa"/>
            <w:vAlign w:val="bottom"/>
          </w:tcPr>
          <w:p>
            <w:pPr>
              <w:spacing w:after="0"/>
              <w:rPr>
                <w:sz w:val="1"/>
                <w:szCs w:val="1"/>
                <w:color w:val="auto"/>
              </w:rPr>
            </w:pPr>
          </w:p>
        </w:tc>
      </w:tr>
      <w:tr>
        <w:trPr>
          <w:trHeight w:val="176"/>
        </w:trPr>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Rating</w:t>
            </w:r>
          </w:p>
        </w:tc>
        <w:tc>
          <w:tcPr>
            <w:tcW w:w="206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840" w:type="dxa"/>
            <w:vAlign w:val="bottom"/>
          </w:tcPr>
          <w:p>
            <w:pPr>
              <w:spacing w:after="0"/>
              <w:rPr>
                <w:sz w:val="15"/>
                <w:szCs w:val="15"/>
                <w:color w:val="auto"/>
              </w:rPr>
            </w:pPr>
          </w:p>
        </w:tc>
        <w:tc>
          <w:tcPr>
            <w:tcW w:w="11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202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840" w:type="dxa"/>
            <w:vAlign w:val="bottom"/>
          </w:tcPr>
          <w:p>
            <w:pPr>
              <w:spacing w:after="0"/>
              <w:rPr>
                <w:sz w:val="15"/>
                <w:szCs w:val="15"/>
                <w:color w:val="auto"/>
              </w:rPr>
            </w:pPr>
          </w:p>
        </w:tc>
        <w:tc>
          <w:tcPr>
            <w:tcW w:w="11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0" w:type="dxa"/>
            <w:vAlign w:val="bottom"/>
          </w:tcPr>
          <w:p>
            <w:pPr>
              <w:spacing w:after="0"/>
              <w:rPr>
                <w:sz w:val="1"/>
                <w:szCs w:val="1"/>
                <w:color w:val="auto"/>
              </w:rPr>
            </w:pPr>
          </w:p>
        </w:tc>
      </w:tr>
      <w:tr>
        <w:trPr>
          <w:trHeight w:val="210"/>
        </w:trPr>
        <w:tc>
          <w:tcPr>
            <w:tcW w:w="2000" w:type="dxa"/>
            <w:vAlign w:val="bottom"/>
            <w:tcBorders>
              <w:top w:val="single" w:sz="8" w:color="auto"/>
            </w:tcBorders>
            <w:shd w:val="clear" w:color="auto" w:fill="CCEEFF"/>
          </w:tcPr>
          <w:p>
            <w:pPr>
              <w:jc w:val="right"/>
              <w:ind w:right="1116"/>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$1,382.7</w:t>
            </w: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81.6%</w:t>
            </w:r>
          </w:p>
        </w:tc>
        <w:tc>
          <w:tcPr>
            <w:tcW w:w="7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$1,099.1</w:t>
            </w: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16"/>
        </w:trPr>
        <w:tc>
          <w:tcPr>
            <w:tcW w:w="2000" w:type="dxa"/>
            <w:vAlign w:val="bottom"/>
          </w:tcPr>
          <w:p>
            <w:pPr>
              <w:jc w:val="right"/>
              <w:ind w:right="1116"/>
              <w:spacing w:after="0"/>
              <w:rPr>
                <w:sz w:val="20"/>
                <w:szCs w:val="20"/>
                <w:color w:val="auto"/>
              </w:rPr>
            </w:pPr>
            <w:r>
              <w:rPr>
                <w:rFonts w:ascii="Times New Roman" w:cs="Times New Roman" w:eastAsia="Times New Roman" w:hAnsi="Times New Roman"/>
                <w:sz w:val="18"/>
                <w:szCs w:val="18"/>
                <w:color w:val="auto"/>
              </w:rPr>
              <w:t>2</w:t>
            </w: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2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6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2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8"/>
                <w:szCs w:val="18"/>
                <w:color w:val="auto"/>
              </w:rPr>
              <w:t>3</w:t>
            </w:r>
          </w:p>
        </w:tc>
        <w:tc>
          <w:tcPr>
            <w:tcW w:w="1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2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jc w:val="right"/>
              <w:ind w:right="1116"/>
              <w:spacing w:after="0"/>
              <w:rPr>
                <w:sz w:val="20"/>
                <w:szCs w:val="20"/>
                <w:color w:val="auto"/>
              </w:rPr>
            </w:pPr>
            <w:r>
              <w:rPr>
                <w:rFonts w:ascii="Times New Roman" w:cs="Times New Roman" w:eastAsia="Times New Roman" w:hAnsi="Times New Roman"/>
                <w:sz w:val="18"/>
                <w:szCs w:val="18"/>
                <w:color w:val="auto"/>
              </w:rPr>
              <w:t>4</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8"/>
                <w:szCs w:val="18"/>
                <w:color w:val="auto"/>
              </w:rPr>
              <w:t>5</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0" w:type="dxa"/>
            <w:vAlign w:val="bottom"/>
          </w:tcPr>
          <w:p>
            <w:pPr>
              <w:jc w:val="right"/>
              <w:ind w:right="1016"/>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1,693.7</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1,657.4</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8"/>
                <w:szCs w:val="18"/>
                <w:color w:val="auto"/>
              </w:rPr>
              <w:t>67</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5" w:right="49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2017, 2016 and 2015</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Operating results for the years ended December 31, 2017, 2016 and 2015 were as follows:</w:t>
      </w: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63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60" w:type="dxa"/>
            <w:vAlign w:val="bottom"/>
            <w:gridSpan w:val="11"/>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340" w:type="dxa"/>
            <w:vAlign w:val="bottom"/>
            <w:gridSpan w:val="2"/>
            <w:vMerge w:val="continue"/>
          </w:tcPr>
          <w:p>
            <w:pPr>
              <w:spacing w:after="0"/>
              <w:rPr>
                <w:sz w:val="12"/>
                <w:szCs w:val="12"/>
                <w:color w:val="auto"/>
              </w:rPr>
            </w:pPr>
          </w:p>
        </w:tc>
        <w:tc>
          <w:tcPr>
            <w:tcW w:w="1620" w:type="dxa"/>
            <w:vAlign w:val="bottom"/>
          </w:tcPr>
          <w:p>
            <w:pPr>
              <w:spacing w:after="0"/>
              <w:rPr>
                <w:sz w:val="12"/>
                <w:szCs w:val="12"/>
                <w:color w:val="auto"/>
              </w:rPr>
            </w:pPr>
          </w:p>
        </w:tc>
        <w:tc>
          <w:tcPr>
            <w:tcW w:w="500" w:type="dxa"/>
            <w:vAlign w:val="bottom"/>
            <w:tcBorders>
              <w:top w:val="single" w:sz="8" w:color="auto"/>
            </w:tcBorders>
            <w:gridSpan w:val="3"/>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3"/>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16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$210.9</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$192.4</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$173.4</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Less: Net expenses</w:t>
            </w:r>
          </w:p>
        </w:tc>
        <w:tc>
          <w:tcPr>
            <w:tcW w:w="1620" w:type="dxa"/>
            <w:vAlign w:val="bottom"/>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investment income before income taxes</w:t>
            </w:r>
          </w:p>
        </w:tc>
        <w:tc>
          <w:tcPr>
            <w:tcW w:w="2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Income taxes, including excise taxes</w:t>
            </w:r>
          </w:p>
        </w:tc>
        <w:tc>
          <w:tcPr>
            <w:tcW w:w="1620" w:type="dxa"/>
            <w:vAlign w:val="bottom"/>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investment income</w:t>
            </w:r>
          </w:p>
        </w:tc>
        <w:tc>
          <w:tcPr>
            <w:tcW w:w="2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losses</w:t>
            </w:r>
            <w:r>
              <w:rPr>
                <w:rFonts w:ascii="Times New Roman" w:cs="Times New Roman" w:eastAsia="Times New Roman" w:hAnsi="Times New Roman"/>
                <w:sz w:val="15"/>
                <w:szCs w:val="15"/>
                <w:color w:val="auto"/>
              </w:rPr>
              <w:t>(1)</w:t>
            </w:r>
          </w:p>
        </w:tc>
        <w:tc>
          <w:tcPr>
            <w:tcW w:w="2280" w:type="dxa"/>
            <w:vAlign w:val="bottom"/>
            <w:gridSpan w:val="5"/>
          </w:tcPr>
          <w:p>
            <w:pPr>
              <w:jc w:val="right"/>
              <w:ind w:right="28"/>
              <w:spacing w:after="0"/>
              <w:rPr>
                <w:sz w:val="20"/>
                <w:szCs w:val="20"/>
                <w:color w:val="auto"/>
              </w:rPr>
            </w:pPr>
            <w:r>
              <w:rPr>
                <w:rFonts w:ascii="Times New Roman" w:cs="Times New Roman" w:eastAsia="Times New Roman" w:hAnsi="Times New Roman"/>
                <w:sz w:val="18"/>
                <w:szCs w:val="18"/>
                <w:color w:val="auto"/>
              </w:rPr>
              <w:t>(14.0)</w:t>
            </w:r>
          </w:p>
        </w:tc>
        <w:tc>
          <w:tcPr>
            <w:tcW w:w="9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unrealized gains (losses)</w:t>
            </w:r>
            <w:r>
              <w:rPr>
                <w:rFonts w:ascii="Times New Roman" w:cs="Times New Roman" w:eastAsia="Times New Roman" w:hAnsi="Times New Roman"/>
                <w:sz w:val="15"/>
                <w:szCs w:val="15"/>
                <w:color w:val="auto"/>
              </w:rPr>
              <w:t>(1)</w:t>
            </w:r>
          </w:p>
        </w:tc>
        <w:tc>
          <w:tcPr>
            <w:tcW w:w="2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8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increase in net assets resulting from operations</w:t>
            </w:r>
          </w:p>
        </w:tc>
        <w:tc>
          <w:tcPr>
            <w:tcW w:w="1620" w:type="dxa"/>
            <w:vAlign w:val="bottom"/>
          </w:tcPr>
          <w:p>
            <w:pPr>
              <w:spacing w:after="0"/>
              <w:rPr>
                <w:sz w:val="19"/>
                <w:szCs w:val="19"/>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111.6</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137.0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$ 63.6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   Includes foreign exchange hedging activity.</w:t>
            </w: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6340" w:type="dxa"/>
            <w:vAlign w:val="bottom"/>
            <w:gridSpan w:val="2"/>
            <w:vMerge w:val="continue"/>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3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gridSpan w:val="10"/>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340" w:type="dxa"/>
            <w:vAlign w:val="bottom"/>
            <w:gridSpan w:val="2"/>
            <w:vMerge w:val="continue"/>
          </w:tcPr>
          <w:p>
            <w:pPr>
              <w:spacing w:after="0"/>
              <w:rPr>
                <w:sz w:val="12"/>
                <w:szCs w:val="12"/>
                <w:color w:val="auto"/>
              </w:rPr>
            </w:pPr>
          </w:p>
        </w:tc>
        <w:tc>
          <w:tcPr>
            <w:tcW w:w="1780" w:type="dxa"/>
            <w:vAlign w:val="bottom"/>
            <w:gridSpan w:val="3"/>
          </w:tcPr>
          <w:p>
            <w:pPr>
              <w:spacing w:after="0"/>
              <w:rPr>
                <w:sz w:val="12"/>
                <w:szCs w:val="12"/>
                <w:color w:val="auto"/>
              </w:rPr>
            </w:pPr>
          </w:p>
        </w:tc>
        <w:tc>
          <w:tcPr>
            <w:tcW w:w="500" w:type="dxa"/>
            <w:vAlign w:val="bottom"/>
            <w:tcBorders>
              <w:top w:val="single" w:sz="8" w:color="auto"/>
            </w:tcBorders>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84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from investments</w:t>
            </w:r>
          </w:p>
        </w:tc>
        <w:tc>
          <w:tcPr>
            <w:tcW w:w="1780" w:type="dxa"/>
            <w:vAlign w:val="bottom"/>
            <w:tcBorders>
              <w:top w:val="single" w:sz="8" w:color="CCEEFF"/>
            </w:tcBorders>
            <w:gridSpan w:val="3"/>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$200.7</w:t>
            </w:r>
          </w:p>
        </w:tc>
        <w:tc>
          <w:tcPr>
            <w:tcW w:w="460" w:type="dxa"/>
            <w:vAlign w:val="bottom"/>
            <w:tcBorders>
              <w:top w:val="single" w:sz="8" w:color="CCEEFF"/>
            </w:tcBorders>
            <w:gridSpan w:val="2"/>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$177.8</w:t>
            </w:r>
          </w:p>
        </w:tc>
        <w:tc>
          <w:tcPr>
            <w:tcW w:w="460" w:type="dxa"/>
            <w:vAlign w:val="bottom"/>
            <w:tcBorders>
              <w:top w:val="single" w:sz="8" w:color="CCEEFF"/>
            </w:tcBorders>
            <w:gridSpan w:val="2"/>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$164.6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2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2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8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176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210.9</w:t>
            </w:r>
          </w:p>
        </w:tc>
        <w:tc>
          <w:tcPr>
            <w:tcW w:w="460" w:type="dxa"/>
            <w:vAlign w:val="bottom"/>
            <w:gridSpan w:val="2"/>
          </w:tcPr>
          <w:p>
            <w:pPr>
              <w:spacing w:after="0"/>
              <w:rPr>
                <w:sz w:val="19"/>
                <w:szCs w:val="19"/>
                <w:color w:val="auto"/>
              </w:rPr>
            </w:pPr>
          </w:p>
        </w:tc>
        <w:tc>
          <w:tcPr>
            <w:tcW w:w="5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192.4</w:t>
            </w:r>
          </w:p>
        </w:tc>
        <w:tc>
          <w:tcPr>
            <w:tcW w:w="460" w:type="dxa"/>
            <w:vAlign w:val="bottom"/>
            <w:gridSpan w:val="2"/>
          </w:tcPr>
          <w:p>
            <w:pPr>
              <w:spacing w:after="0"/>
              <w:rPr>
                <w:sz w:val="19"/>
                <w:szCs w:val="19"/>
                <w:color w:val="auto"/>
              </w:rPr>
            </w:pPr>
          </w:p>
        </w:tc>
        <w:tc>
          <w:tcPr>
            <w:tcW w:w="5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173.4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firstLine="441"/>
        <w:spacing w:after="0" w:line="253" w:lineRule="auto"/>
        <w:rPr>
          <w:sz w:val="20"/>
          <w:szCs w:val="20"/>
          <w:color w:val="auto"/>
        </w:rPr>
      </w:pPr>
      <w:r>
        <w:rPr>
          <w:rFonts w:ascii="Times New Roman" w:cs="Times New Roman" w:eastAsia="Times New Roman" w:hAnsi="Times New Roman"/>
          <w:sz w:val="18"/>
          <w:szCs w:val="18"/>
          <w:color w:val="auto"/>
        </w:rPr>
        <w:t>Interest from investments, which includes amortization of upfront fees and prepayment fees, increased from $177.8 million for the year ended December 31, 2016 to $200.7 million for the year ended December 31, 2017, primarily due to an increase in accelerated amortization of upfront fees and prepayment fees. Accelerated amortization of upfront fees, primarily from unscheduled paydowns, increased from $5.4 million for the year ended December 31, 2016 to $21.5 million for the year ended December 31, 2017, and prepayment fees increased from $2.6 million for the year ended December 31, 2016 to $12.8 million for the year ended December 31, 2017. The accelerated amortization and prepayment fees primarily resulted from full paydowns on seven portfolio investments, a partial paydown on one portfolio investment and prepayment fees on four portfolio investments during the year ended December 31, 2016, and full paydowns on 22 portfolio investments, partial paydowns on seven portfolio investments and prepayment fees on 12 portfolio investments during the year ended December 31, 2017. Dividend income decreased from $1.7 million for the year ended December 31, 2016 to $0.4 million for the year ended December 31, 2017 due to a partial realization of dividend yielding investments in 2017. Other income decreased from $12.9 million for the year ended December 31, 2016 to $9.8 million for the year ended December 31, 2017, primarily due to lower syndication, amendment and agency fees earned during 2017.</w:t>
      </w:r>
    </w:p>
    <w:p>
      <w:pPr>
        <w:spacing w:after="0" w:line="193" w:lineRule="exact"/>
        <w:rPr>
          <w:sz w:val="20"/>
          <w:szCs w:val="20"/>
          <w:color w:val="auto"/>
        </w:rPr>
      </w:pPr>
    </w:p>
    <w:p>
      <w:pPr>
        <w:ind w:left="200" w:right="220" w:firstLine="441"/>
        <w:spacing w:after="0" w:line="255" w:lineRule="auto"/>
        <w:rPr>
          <w:sz w:val="20"/>
          <w:szCs w:val="20"/>
          <w:color w:val="auto"/>
        </w:rPr>
      </w:pPr>
      <w:r>
        <w:rPr>
          <w:rFonts w:ascii="Times New Roman" w:cs="Times New Roman" w:eastAsia="Times New Roman" w:hAnsi="Times New Roman"/>
          <w:sz w:val="18"/>
          <w:szCs w:val="18"/>
          <w:color w:val="auto"/>
        </w:rPr>
        <w:t>Interest from investments, which includes amortization of upfront fees and prepayment fees, increased from $164.6 million for the year ended December 31, 2015 to $177.8 million for the year ended December 31, 2016, primarily due to the increase in the size of our investment portfolio. The average size of our investment portfolio increased from $1.4 billion during the year ended December 31, 2015 to $1.6 billion during the year ended December 31, 2016. Accelerated amortization of upfront fees, primarily from unscheduled paydowns, decreased from $6.9 million for the year ended December 31, 2015 to $5.4 million for the year ended December 31, 2016, and prepayment fees decreased from $15.4 million for the year ended December 31, 2015 to $2.6 million for the year ended December 31, 2016. The accelerated amortization and prepayment fees primarily resulted from full</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20"/>
          </w:cols>
          <w:pgMar w:left="240" w:top="455" w:right="4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56" w:lineRule="auto"/>
        <w:rPr>
          <w:sz w:val="20"/>
          <w:szCs w:val="20"/>
          <w:color w:val="auto"/>
        </w:rPr>
      </w:pPr>
      <w:r>
        <w:rPr>
          <w:rFonts w:ascii="Times New Roman" w:cs="Times New Roman" w:eastAsia="Times New Roman" w:hAnsi="Times New Roman"/>
          <w:sz w:val="18"/>
          <w:szCs w:val="18"/>
          <w:color w:val="auto"/>
        </w:rPr>
        <w:t>paydowns on 11 portfolio investments, a partial paydown on one portfolio investment and prepayment fees on 13 portfolio investments during the year ended December 31, 2015, and full paydowns on seven portfolio investments, a partial paydown on one portfolio investment and prepayment fees on four portfolio investments during the year ended December 31, 2016. Dividend income increased from $0.9 million for the year ended December 31, 2015 to $1.7 million for the year ended December 31, 2016 due to owning our dividend yielding investments for a full calendar year. Other income increased from $7.9 million for the year ended December 31, 2015 to $12.9 million for the year ended December 31, 2016, primarily due to higher syndication, amendment and agency fees earned during 2016.</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Operating expenses for the years ended December 31, 2017, 2016 and 2015 were as follows:</w:t>
      </w:r>
    </w:p>
    <w:p>
      <w:pPr>
        <w:spacing w:after="0" w:line="246"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7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0" w:type="dxa"/>
            <w:vAlign w:val="bottom"/>
          </w:tcPr>
          <w:p>
            <w:pPr>
              <w:spacing w:after="0"/>
              <w:rPr>
                <w:sz w:val="15"/>
                <w:szCs w:val="15"/>
                <w:color w:val="auto"/>
              </w:rPr>
            </w:pPr>
          </w:p>
        </w:tc>
        <w:tc>
          <w:tcPr>
            <w:tcW w:w="220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8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8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$27.4</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$23.1</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$22.0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 (net of waivers)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fees related to pre-incentive fee net investment income (net of waivers)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Incentive fees related to realized/unrealized capital gains</w:t>
            </w:r>
          </w:p>
        </w:tc>
        <w:tc>
          <w:tcPr>
            <w:tcW w:w="20" w:type="dxa"/>
            <w:vAlign w:val="bottom"/>
          </w:tcPr>
          <w:p>
            <w:pPr>
              <w:spacing w:after="0"/>
              <w:rPr>
                <w:sz w:val="18"/>
                <w:szCs w:val="18"/>
                <w:color w:val="auto"/>
              </w:rPr>
            </w:pPr>
          </w:p>
        </w:tc>
        <w:tc>
          <w:tcPr>
            <w:tcW w:w="4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Directors fees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Expenses</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87.8</w:t>
            </w:r>
          </w:p>
        </w:tc>
        <w:tc>
          <w:tcPr>
            <w:tcW w:w="4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82.9</w:t>
            </w:r>
          </w:p>
        </w:tc>
        <w:tc>
          <w:tcPr>
            <w:tcW w:w="4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76.6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Interest</w:t>
      </w:r>
    </w:p>
    <w:p>
      <w:pPr>
        <w:spacing w:after="0" w:line="119"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Interest expense, including other debt financing expenses, increased from $23.1 million for the year ended December 31, 2016 to $27.4 million for the year ended December 31, 2017. This increase was primarily due to an increase in the average 1-month LIBOR rate for the year ended December 31, 2016 from 0.5% to 1.1% for the year ended December 31, 2017 and an increase in our average interest rate on debt outstanding due to a change in the mix of our debt financing sources. The average interest rate on our debt outstanding increased from 2.7% for the year ended December 31, 2016 to 3.3% for the year ended December 31, 2017 due to the increase in LIBOR and a change in the mix of our debt financing sources.</w:t>
      </w:r>
    </w:p>
    <w:p>
      <w:pPr>
        <w:spacing w:after="0" w:line="184" w:lineRule="exact"/>
        <w:rPr>
          <w:sz w:val="20"/>
          <w:szCs w:val="20"/>
          <w:color w:val="auto"/>
        </w:rPr>
      </w:pPr>
    </w:p>
    <w:p>
      <w:pPr>
        <w:jc w:val="both"/>
        <w:ind w:left="200" w:firstLine="441"/>
        <w:spacing w:after="0" w:line="258" w:lineRule="auto"/>
        <w:rPr>
          <w:sz w:val="20"/>
          <w:szCs w:val="20"/>
          <w:color w:val="auto"/>
        </w:rPr>
      </w:pPr>
      <w:r>
        <w:rPr>
          <w:rFonts w:ascii="Times New Roman" w:cs="Times New Roman" w:eastAsia="Times New Roman" w:hAnsi="Times New Roman"/>
          <w:sz w:val="18"/>
          <w:szCs w:val="18"/>
          <w:color w:val="auto"/>
        </w:rPr>
        <w:t>Interest expense, including other debt financing expenses, increased from $22.0 million for the year ended December 31, 2015 to $23.1 million for the year ended December 31, 2016. This increase was primarily due to an increase in the weighted average debt outstanding from $540.8 million for the year ended December 31, 2015 to $725.9 million for the year ended December 31, 2016, as well an increase in the average 1-month LIBOR rate for the year ended December 31, 2015 from 0.20% to 0.50% for the year ended December 31, 2016. The average interest rate on our debt outstanding increased from 2.6% for the year ended December 31, 2015 to 2.7% for the year ended December 31, 2016 due to the increase in LIBOR.</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Management Fees</w:t>
      </w:r>
    </w:p>
    <w:p>
      <w:pPr>
        <w:spacing w:after="0" w:line="119"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Management Fees (net of waivers) increased from $24.1 million for the year ended December 31, 2016 to $24.3 million for the year ended December 31, 2017. Management Fees (gross of waivers) remained flat at $24.3 million for the years ended December 31, 2016 and December 31, 2017 due to total average assets remaining $1.6 billion for the years ended December 31, 2016 and December 31, 2017. Management Fees waived decreased from $0.1 million for the year ended December 31, 2016 to less than $0.1 million for the year ended December 31, 2017 due to owning investments subject to fee waivers for a shorter period in 2017 than</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20"/>
          </w:cols>
          <w:pgMar w:left="240" w:top="455" w:right="4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2" w:lineRule="auto"/>
        <w:rPr>
          <w:sz w:val="20"/>
          <w:szCs w:val="20"/>
          <w:color w:val="auto"/>
        </w:rPr>
      </w:pPr>
      <w:r>
        <w:rPr>
          <w:rFonts w:ascii="Times New Roman" w:cs="Times New Roman" w:eastAsia="Times New Roman" w:hAnsi="Times New Roman"/>
          <w:sz w:val="18"/>
          <w:szCs w:val="18"/>
          <w:color w:val="auto"/>
        </w:rPr>
        <w:t>2016. Management Fees waived during the year ended December 31, 2016 were solely attributable to our ownership of TICC Shares. Management Fees waived during the year ended December 31, 2017 were solely attributable to our ownership of TCAP Shares.</w:t>
      </w:r>
    </w:p>
    <w:p>
      <w:pPr>
        <w:spacing w:after="0" w:line="162"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Management Fees (net of waivers) increased from $21.2 million for the year ended December 31, 2015 to $24.1 million for the year ended December 31, 2016. Management Fees (gross of waivers) increased from $21.3 million for the year ended December 31, 2015 to $24.3 million for the year ended December 31, 2016 due to the increase in total assets, which increased from an average of $1.4 billion for the year ended December 31, 2015 to an average of $1.6 billion for the year ended December 31, 2016. Management Fees waived for both the year ended December 31, 2015 and the year ended December 31, 2016 were $0.1 million. Management Fees waived during the year ended December 31, 2015 and the year ended December 31, 2016 were solely attributable to our ownership of shares of common stock in the TICC Shares.</w:t>
      </w:r>
    </w:p>
    <w:p>
      <w:pPr>
        <w:spacing w:after="0" w:line="188" w:lineRule="exact"/>
        <w:rPr>
          <w:sz w:val="20"/>
          <w:szCs w:val="20"/>
          <w:color w:val="auto"/>
        </w:rPr>
      </w:pPr>
    </w:p>
    <w:p>
      <w:pPr>
        <w:jc w:val="both"/>
        <w:ind w:left="200" w:right="60" w:firstLine="441"/>
        <w:spacing w:after="0" w:line="277" w:lineRule="auto"/>
        <w:rPr>
          <w:sz w:val="20"/>
          <w:szCs w:val="20"/>
          <w:color w:val="auto"/>
        </w:rPr>
      </w:pPr>
      <w:r>
        <w:rPr>
          <w:rFonts w:ascii="Times New Roman" w:cs="Times New Roman" w:eastAsia="Times New Roman" w:hAnsi="Times New Roman"/>
          <w:sz w:val="17"/>
          <w:szCs w:val="17"/>
          <w:color w:val="auto"/>
        </w:rPr>
        <w:t>The Adviser has voluntarily waived the Management Fee on our ownership of the TCAP Shares for any period in which Triangle Capital Corp. remains our portfolio company. Any waived Management Fees are not subject to recoupment by the Adviser. For the period ended December 31, 2016 and prior, the Adviser voluntarily waived the Management Fee on our ownership of the TICC Shares. Any waived Management Fees are not subject to recoupment by the Adviser. Following our IPO, with the exception of its waiver of Management Fees attributable to our ownership of the TCAP Shares and TICC Shares, the Adviser has not waived its right to receive the full Management Fee payable pursuant to the Investment Advisory Agreement.</w:t>
      </w:r>
    </w:p>
    <w:p>
      <w:pPr>
        <w:spacing w:after="0" w:line="2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Incentive Fees</w:t>
      </w:r>
    </w:p>
    <w:p>
      <w:pPr>
        <w:spacing w:after="0" w:line="119" w:lineRule="exact"/>
        <w:rPr>
          <w:sz w:val="20"/>
          <w:szCs w:val="20"/>
          <w:color w:val="auto"/>
        </w:rPr>
      </w:pPr>
    </w:p>
    <w:p>
      <w:pPr>
        <w:ind w:left="200" w:right="80" w:firstLine="441"/>
        <w:spacing w:after="0" w:line="255" w:lineRule="auto"/>
        <w:rPr>
          <w:sz w:val="20"/>
          <w:szCs w:val="20"/>
          <w:color w:val="auto"/>
        </w:rPr>
      </w:pPr>
      <w:r>
        <w:rPr>
          <w:rFonts w:ascii="Times New Roman" w:cs="Times New Roman" w:eastAsia="Times New Roman" w:hAnsi="Times New Roman"/>
          <w:sz w:val="18"/>
          <w:szCs w:val="18"/>
          <w:color w:val="auto"/>
        </w:rPr>
        <w:t>Incentive Fees (net of waivers) related to pre-Incentive Fee net investment income increased from $22.4 million for the year ended December 31, 2016 to $25.5 million for the year ended December 31, 2017. This increase resulted from an increase in interest from investments received during the year ended December 31, 2017 and the related increase in net investment income. Incentive Fees waived related to pre-Incentive Fee net investment income decreased from $0.3 million for the year ended December 31, 2016 to less than $0.1 million for the year ended December 31, 2017, consisting solely of Incentive Fees attributable to our ownership of the TICC Shares for the year ended December 31, 2016 and to our ownership of the TCAP Shares for the year ended December 31, 2017. There were no Incentive Fees related to capital gains and losses for the year ended December 31, 2016 and the year ended December 31, 2017 due to realized and unrealized losses on our investments.</w:t>
      </w:r>
    </w:p>
    <w:p>
      <w:pPr>
        <w:spacing w:after="0" w:line="189" w:lineRule="exact"/>
        <w:rPr>
          <w:sz w:val="20"/>
          <w:szCs w:val="20"/>
          <w:color w:val="auto"/>
        </w:rPr>
      </w:pPr>
    </w:p>
    <w:p>
      <w:pPr>
        <w:ind w:left="200" w:right="40" w:firstLine="441"/>
        <w:spacing w:after="0" w:line="256" w:lineRule="auto"/>
        <w:rPr>
          <w:sz w:val="20"/>
          <w:szCs w:val="20"/>
          <w:color w:val="auto"/>
        </w:rPr>
      </w:pPr>
      <w:r>
        <w:rPr>
          <w:rFonts w:ascii="Times New Roman" w:cs="Times New Roman" w:eastAsia="Times New Roman" w:hAnsi="Times New Roman"/>
          <w:sz w:val="18"/>
          <w:szCs w:val="18"/>
          <w:color w:val="auto"/>
        </w:rPr>
        <w:t>Incentive Fees (net of waivers) related to pre-Incentive Fee net investment income increased from $20.0 million for the year ended December 31, 2015 to $22.4 million for the year ended December 31, 2016. This increase resulted from the increase in the size of the portfolio and related increase in net investment income. Incentive Fees waived related to pre-Incentive Fee net investment income increased from $0.2 million for the year ended December 31, 2015 to $0.3 million for the year ended December 31, 2016, consisting solely of Incentive Fees attributable to our ownership of the TICC Shares. There were no Incentive Fees related to capital gains and losses for the year ended December 31, 2015 and the year ended December 31, 2016 due to realized and unrealized losses on our investments.</w:t>
      </w:r>
    </w:p>
    <w:p>
      <w:pPr>
        <w:spacing w:after="0" w:line="188"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For the periods December 31, 2016 and prior, the Adviser voluntarily waived the Incentive Fees attributable to pre-Incentive Fee net investment income accrued by us as a result of our ownership of the TICC Shares. The Adviser has not waived any part of the Incentive Fee related to capital gains and losses attributable to our ownership of the TICC Shares and, accordingly, any realized capital gains or losses and unrealized capital appreciation and depreciation with respect to the TICC Shares applies towards our cumulative realized capital gains on which the Incentive Fee related to capital gains and losses is calculated.</w:t>
      </w:r>
    </w:p>
    <w:p>
      <w:pPr>
        <w:spacing w:after="0" w:line="184"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In addition, the Adviser voluntarily waived the Incentive Fees attributable to pre-Incentive Fee net investment income accrued by us as a result of our ownership of the TCAP Shares. The Adviser has not waived</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00"/>
          </w:cols>
          <w:pgMar w:left="240" w:top="455" w:right="4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61" w:lineRule="auto"/>
        <w:rPr>
          <w:sz w:val="20"/>
          <w:szCs w:val="20"/>
          <w:color w:val="auto"/>
        </w:rPr>
      </w:pPr>
      <w:r>
        <w:rPr>
          <w:rFonts w:ascii="Times New Roman" w:cs="Times New Roman" w:eastAsia="Times New Roman" w:hAnsi="Times New Roman"/>
          <w:sz w:val="18"/>
          <w:szCs w:val="18"/>
          <w:color w:val="auto"/>
        </w:rPr>
        <w:t>any part of the Incentive Fee related to capital gains and losses attributable to our ownership of the TCAP Shares and, accordingly, any realized capital gains or losses and unrealized capital appreciation and depreciation with respect to the TCAP Shares applies towards our cumulative realized capital gains on which the Incentive Fee related to capital gains and losses is calculated. Any waived Incentive Fees are not subject to recoupment by the Adviser.</w:t>
      </w: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Professional Fees and Other General and Administrative Expenses</w:t>
      </w:r>
    </w:p>
    <w:p>
      <w:pPr>
        <w:spacing w:after="0" w:line="119" w:lineRule="exact"/>
        <w:rPr>
          <w:sz w:val="20"/>
          <w:szCs w:val="20"/>
          <w:color w:val="auto"/>
        </w:rPr>
      </w:pPr>
    </w:p>
    <w:p>
      <w:pPr>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Professional fees decreased from $8.5 million for the year ended December 31, 2016 to $5.4 million for the year ended December 31, 2017 due to additional professional fees incurred relating to our investment in the TICC Shares and related activity for the year ended December 31, 2016. Other general and administrative fees increased from $4.4 million for the year ended December 31, 2016 to $4.8 million for the year ended December 31, 2017.</w:t>
      </w:r>
    </w:p>
    <w:p>
      <w:pPr>
        <w:spacing w:after="0" w:line="180"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Professional fees increased from $8.2 million for the year ended December 31, 2015 to $8.5 million for the year ended December 31, 2016 due to an increase in costs associated with servicing our investment portfolio, as well as additional professional fees incurred relating to our investment in the TICC Shares and related activity. Other general and administrative fees decreased from $4.8 million for the year ended December 31, 2015 to $4.4 million for the year ended December 31, 2016.</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Taxes, Including Excise Taxes</w:t>
      </w:r>
    </w:p>
    <w:p>
      <w:pPr>
        <w:spacing w:after="0" w:line="121" w:lineRule="exact"/>
        <w:rPr>
          <w:sz w:val="20"/>
          <w:szCs w:val="20"/>
          <w:color w:val="auto"/>
        </w:rPr>
      </w:pPr>
    </w:p>
    <w:p>
      <w:pPr>
        <w:ind w:left="200" w:right="80" w:firstLine="441"/>
        <w:spacing w:after="0" w:line="258" w:lineRule="auto"/>
        <w:rPr>
          <w:sz w:val="20"/>
          <w:szCs w:val="20"/>
          <w:color w:val="auto"/>
        </w:rPr>
      </w:pPr>
      <w:r>
        <w:rPr>
          <w:rFonts w:ascii="Times New Roman" w:cs="Times New Roman" w:eastAsia="Times New Roman" w:hAnsi="Times New Roman"/>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4"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80" w:lineRule="exact"/>
        <w:rPr>
          <w:sz w:val="20"/>
          <w:szCs w:val="20"/>
          <w:color w:val="auto"/>
        </w:rPr>
      </w:pPr>
    </w:p>
    <w:p>
      <w:pPr>
        <w:ind w:left="200" w:right="540" w:firstLine="441"/>
        <w:spacing w:after="0" w:line="282" w:lineRule="auto"/>
        <w:rPr>
          <w:sz w:val="20"/>
          <w:szCs w:val="20"/>
          <w:color w:val="auto"/>
        </w:rPr>
      </w:pPr>
      <w:r>
        <w:rPr>
          <w:rFonts w:ascii="Times New Roman" w:cs="Times New Roman" w:eastAsia="Times New Roman" w:hAnsi="Times New Roman"/>
          <w:sz w:val="18"/>
          <w:szCs w:val="18"/>
          <w:color w:val="auto"/>
        </w:rPr>
        <w:t>For the calendar years ended December 31, 2017, 2016 and 2015, we recorded a net expense of $2.8 million, $2.2 million and $1.5 million, respectively, for U.S. federal excise tax.</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20"/>
          </w:cols>
          <w:pgMar w:left="240" w:top="455" w:right="4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Net Realized and Unrealized Gains and Losses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our net realized and unrealized gains (losses) for the years ended December 31, 2017, 2016 and 2015:</w:t>
      </w: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8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20" w:type="dxa"/>
            <w:vAlign w:val="bottom"/>
            <w:gridSpan w:val="10"/>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6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losses on investments</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(14.3)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gains on interest rate swaps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gains (losses) on foreign currency transactions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losses on foreign currency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gains on foreign currency borrowings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realized losses</w:t>
            </w:r>
          </w:p>
        </w:tc>
        <w:tc>
          <w:tcPr>
            <w:tcW w:w="20" w:type="dxa"/>
            <w:vAlign w:val="bottom"/>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(14.0</w:t>
            </w:r>
          </w:p>
        </w:tc>
        <w:tc>
          <w:tcPr>
            <w:tcW w:w="240" w:type="dxa"/>
            <w:vAlign w:val="bottom"/>
          </w:tcPr>
          <w:p>
            <w:pPr>
              <w:jc w:val="right"/>
              <w:ind w:right="16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unrealized gains on investments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Change in unrealized losses on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(48.9)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(43.3)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Unrealized Gains (Losses) on Investments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Unrealized appreciation (depreciation) on foreign currency borrowings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(11.5)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appreciation (depreciation) on foreign currency cash and forward contracts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Unrealized depreciation on interest rate swaps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Unrealized Gains (Losses) on Foreign Currency Transactions and Interest Rate Swaps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(12.5)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Change in Unrealized Gains (Losses)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(28.5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2017, 2016 and 2015, we had net realized losses on investments of $14.3 million, $0.8 million and $5.0 million, respectively. For the year ended December 31, 2015, we had net realized gains on interest rate swaps of $1.8 million. We did not have realized gains or losses on interest rate swaps for the years ended December 31, 2017 or 2016. For both the years ended December 31, 2017, and 2015, we had net realized gains on foreign currency transactions of less than $0.1 million, respectively, and net realized losses on foreign currency transactions of</w:t>
      </w:r>
    </w:p>
    <w:p>
      <w:pPr>
        <w:spacing w:after="0" w:line="3" w:lineRule="exact"/>
        <w:rPr>
          <w:sz w:val="20"/>
          <w:szCs w:val="20"/>
          <w:color w:val="auto"/>
        </w:rPr>
      </w:pPr>
    </w:p>
    <w:p>
      <w:pPr>
        <w:ind w:left="200" w:right="560"/>
        <w:spacing w:after="0" w:line="254" w:lineRule="auto"/>
        <w:rPr>
          <w:sz w:val="20"/>
          <w:szCs w:val="20"/>
          <w:color w:val="auto"/>
        </w:rPr>
      </w:pPr>
      <w:r>
        <w:rPr>
          <w:rFonts w:ascii="Times New Roman" w:cs="Times New Roman" w:eastAsia="Times New Roman" w:hAnsi="Times New Roman"/>
          <w:sz w:val="18"/>
          <w:szCs w:val="18"/>
          <w:color w:val="auto"/>
        </w:rPr>
        <w:t>$0.2 million for the year ended December 31, 2016, primarily as a result of translating foreign currency related to our non-USD denominated investments. For the years ended December 31, 2017, 2016 and 2015, we had net realized losses on foreign currency investments of $4.9 million, $10.9 million, $0.4 million, respectively. For the years ended December 31, 2017, 2016, and 2015 we had net realized gains on foreign currency borrowings of $5.2 million, $11.8 million and $0.4 million, respectively.</w:t>
      </w:r>
    </w:p>
    <w:p>
      <w:pPr>
        <w:spacing w:after="0" w:line="186" w:lineRule="exact"/>
        <w:rPr>
          <w:sz w:val="20"/>
          <w:szCs w:val="20"/>
          <w:color w:val="auto"/>
        </w:rPr>
      </w:pPr>
    </w:p>
    <w:p>
      <w:pPr>
        <w:ind w:left="200" w:right="40" w:firstLine="441"/>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2017 we had $66.7 million in unrealized appreciation on 43 portfolio company investments, which was offset by $48.9 million in unrealized depreciation on 32 portfolio company investments. Unrealized appreciation for the year ended December 31, 2017 resulted from an increase in fair value, primarily due to reversal of prior period unrealized depreciation, positive valuation adjustments and tightening credit spreads. Unrealized depreciation for the year ended December 31, 2017 resulted from the reversal of prior period unrealized appreciation on realized investments and in some instances negative credit-related adjustments.</w:t>
      </w:r>
    </w:p>
    <w:p>
      <w:pPr>
        <w:spacing w:after="0" w:line="184" w:lineRule="exact"/>
        <w:rPr>
          <w:sz w:val="20"/>
          <w:szCs w:val="20"/>
          <w:color w:val="auto"/>
        </w:rPr>
      </w:pPr>
    </w:p>
    <w:p>
      <w:pPr>
        <w:ind w:left="200" w:right="40" w:firstLine="441"/>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2016 we had $56.7 million in unrealized appreciation on 48 portfolio company investments, which was offset by $23.0 million in unrealized depreciation on 10 portfolio company investments. Unrealized appreciation for the year ended December 31, 2016 resulted from an increase in fair value, primarily due to positive valuation adjustments and tightening credit spreads. Unrealized depreciation for the year ended December 31, 2016 resulted from the reversal of prior period unrealized appreciation on realized investments and in some instances negative credit-related adjustments.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240" w:top="455" w:right="41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2015 we had $9.0 million in unrealized appreciation on 15 portfolio company investments, which was offset by $43.3 million in unrealized depreciation on 40 portfolio company investments. Unrealized appreciation for the year ended December 31, 2015 resulted from an increase in fair value, primarily due to positive valuation adjustments. Unrealized depreciation for the year ended December 31, 2015 resulted from widening in credit spreads, the reversal of prior period unrealized appreciation and in some instances negative credit-related adjustments.</w:t>
      </w:r>
    </w:p>
    <w:p>
      <w:pPr>
        <w:spacing w:after="0" w:line="18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For the years ended December 31, 2017 and 2016, we had unrealized depreciation on foreign currency borrowings of $11.5 million and</w:t>
      </w:r>
    </w:p>
    <w:p>
      <w:pPr>
        <w:spacing w:after="0" w:line="27" w:lineRule="exact"/>
        <w:rPr>
          <w:sz w:val="20"/>
          <w:szCs w:val="20"/>
          <w:color w:val="auto"/>
        </w:rPr>
      </w:pPr>
    </w:p>
    <w:p>
      <w:pPr>
        <w:ind w:left="200" w:right="20"/>
        <w:spacing w:after="0" w:line="252" w:lineRule="auto"/>
        <w:rPr>
          <w:sz w:val="20"/>
          <w:szCs w:val="20"/>
          <w:color w:val="auto"/>
        </w:rPr>
      </w:pPr>
      <w:r>
        <w:rPr>
          <w:rFonts w:ascii="Times New Roman" w:cs="Times New Roman" w:eastAsia="Times New Roman" w:hAnsi="Times New Roman"/>
          <w:sz w:val="18"/>
          <w:szCs w:val="18"/>
          <w:color w:val="auto"/>
        </w:rPr>
        <w:t>$3.6 million, respectively, primarily as a result of fluctuations in the GBP and EUR exchange rates for the year ended December 31, 2017 and GBP, SEK and EUR exchange rates for the year ended December 31, 2016. For the year ended December 31, 2015, we had unrealized appreciation on foreign currency borrowings of $6.3 million, primarily as a result of fluctuations in the GBP, SEK and EUR exchange rates. For both the years ended December 31, 2017 and 2016, we had unrealized appreciation on foreign currency cash and forward contracts of less than $0.1 million, primarily as a result of settling our foreign currency forward contracts. For the year ended December 31, 2015, we had unrealized depreciation on foreign currency cash and forward contracts of less than $0.1 million, primarily as a result of settling our foreign currency forward contracts. For the years ended December 31, 2017, 2016 and 2015, we had unrealized depreciation on interest rate swaps of $1.0 million, $0.3 million, and $0.5 million, respectively, due to fluctuations in interest rates.</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Realized Gross Internal Rate of Return</w:t>
      </w:r>
    </w:p>
    <w:p>
      <w:pPr>
        <w:spacing w:after="0" w:line="121" w:lineRule="exact"/>
        <w:rPr>
          <w:sz w:val="20"/>
          <w:szCs w:val="20"/>
          <w:color w:val="auto"/>
        </w:rPr>
      </w:pPr>
    </w:p>
    <w:p>
      <w:pPr>
        <w:jc w:val="both"/>
        <w:ind w:left="200" w:right="240" w:firstLine="441"/>
        <w:spacing w:after="0" w:line="266" w:lineRule="auto"/>
        <w:rPr>
          <w:sz w:val="20"/>
          <w:szCs w:val="20"/>
          <w:color w:val="auto"/>
        </w:rPr>
      </w:pPr>
      <w:r>
        <w:rPr>
          <w:rFonts w:ascii="Times New Roman" w:cs="Times New Roman" w:eastAsia="Times New Roman" w:hAnsi="Times New Roman"/>
          <w:sz w:val="18"/>
          <w:szCs w:val="18"/>
          <w:color w:val="auto"/>
        </w:rPr>
        <w:t>Since we began investing in 2011 through December 31, 2017, weighted by capital invested, our exited investments have generated an average realized gross internal rate of return to us of 18.8% (based on total capital invested of $2.6 billion and total proceeds from these exited investments of $3.2 billion). Eighty eight percent of these exited investments resulted in a realized gross internal rate of return to us of 10% or greater.</w:t>
      </w:r>
    </w:p>
    <w:p>
      <w:pPr>
        <w:spacing w:after="0" w:line="176" w:lineRule="exact"/>
        <w:rPr>
          <w:sz w:val="20"/>
          <w:szCs w:val="20"/>
          <w:color w:val="auto"/>
        </w:rPr>
      </w:pPr>
    </w:p>
    <w:p>
      <w:pPr>
        <w:jc w:val="both"/>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76" w:lineRule="exact"/>
        <w:rPr>
          <w:sz w:val="20"/>
          <w:szCs w:val="20"/>
          <w:color w:val="auto"/>
        </w:rPr>
      </w:pPr>
    </w:p>
    <w:p>
      <w:pPr>
        <w:jc w:val="both"/>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76" w:lineRule="exact"/>
        <w:rPr>
          <w:sz w:val="20"/>
          <w:szCs w:val="20"/>
          <w:color w:val="auto"/>
        </w:rPr>
      </w:pPr>
    </w:p>
    <w:p>
      <w:pPr>
        <w:ind w:left="200" w:right="140" w:firstLine="441"/>
        <w:spacing w:after="0" w:line="282" w:lineRule="auto"/>
        <w:rPr>
          <w:sz w:val="20"/>
          <w:szCs w:val="20"/>
          <w:color w:val="auto"/>
        </w:rPr>
      </w:pPr>
      <w:r>
        <w:rPr>
          <w:rFonts w:ascii="Times New Roman" w:cs="Times New Roman" w:eastAsia="Times New Roman" w:hAnsi="Times New Roman"/>
          <w:sz w:val="18"/>
          <w:szCs w:val="18"/>
          <w:color w:val="auto"/>
        </w:rPr>
        <w:t>Average gross IRR is the average of the gross IRR for each of our exited investments (each calculated as described above), weighted by the total capital invested for each of those investments.</w:t>
      </w:r>
    </w:p>
    <w:p>
      <w:pPr>
        <w:spacing w:after="0" w:line="162" w:lineRule="exact"/>
        <w:rPr>
          <w:sz w:val="20"/>
          <w:szCs w:val="20"/>
          <w:color w:val="auto"/>
        </w:rPr>
      </w:pPr>
    </w:p>
    <w:p>
      <w:pPr>
        <w:ind w:left="200" w:right="560" w:firstLine="441"/>
        <w:spacing w:after="0" w:line="282" w:lineRule="auto"/>
        <w:rPr>
          <w:sz w:val="20"/>
          <w:szCs w:val="20"/>
          <w:color w:val="auto"/>
        </w:rPr>
      </w:pPr>
      <w:r>
        <w:rPr>
          <w:rFonts w:ascii="Times New Roman" w:cs="Times New Roman" w:eastAsia="Times New Roman" w:hAnsi="Times New Roman"/>
          <w:sz w:val="18"/>
          <w:szCs w:val="18"/>
          <w:color w:val="auto"/>
        </w:rPr>
        <w:t>Average gross IRR on our exited investments reflects only invested and realized cash amounts as described above, and does not reflect any unrealized gains or losses in our portfolio.</w:t>
      </w:r>
    </w:p>
    <w:p>
      <w:pPr>
        <w:spacing w:after="0" w:line="162"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176" w:lineRule="exact"/>
        <w:rPr>
          <w:sz w:val="20"/>
          <w:szCs w:val="20"/>
          <w:color w:val="auto"/>
        </w:rPr>
      </w:pPr>
    </w:p>
    <w:p>
      <w:pPr>
        <w:ind w:left="200" w:right="100" w:firstLine="441"/>
        <w:spacing w:after="0" w:line="261" w:lineRule="auto"/>
        <w:rPr>
          <w:sz w:val="20"/>
          <w:szCs w:val="20"/>
          <w:color w:val="auto"/>
        </w:rPr>
      </w:pPr>
      <w:r>
        <w:rPr>
          <w:rFonts w:ascii="Times New Roman" w:cs="Times New Roman" w:eastAsia="Times New Roman" w:hAnsi="Times New Roman"/>
          <w:sz w:val="18"/>
          <w:szCs w:val="18"/>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00"/>
          </w:cols>
          <w:pgMar w:left="240" w:top="455" w:right="4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258" w:lineRule="auto"/>
        <w:rPr>
          <w:sz w:val="20"/>
          <w:szCs w:val="20"/>
          <w:color w:val="auto"/>
        </w:rPr>
      </w:pPr>
      <w:r>
        <w:rPr>
          <w:rFonts w:ascii="Times New Roman" w:cs="Times New Roman" w:eastAsia="Times New Roman" w:hAnsi="Times New Roman"/>
          <w:sz w:val="18"/>
          <w:szCs w:val="18"/>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Hedging</w:t>
      </w:r>
    </w:p>
    <w:p>
      <w:pPr>
        <w:spacing w:after="0" w:line="121" w:lineRule="exact"/>
        <w:rPr>
          <w:sz w:val="20"/>
          <w:szCs w:val="20"/>
          <w:color w:val="auto"/>
        </w:rPr>
      </w:pPr>
    </w:p>
    <w:p>
      <w:pPr>
        <w:ind w:left="200" w:right="140" w:firstLine="441"/>
        <w:spacing w:after="0" w:line="254" w:lineRule="auto"/>
        <w:rPr>
          <w:sz w:val="20"/>
          <w:szCs w:val="20"/>
          <w:color w:val="auto"/>
        </w:rPr>
      </w:pPr>
      <w:r>
        <w:rPr>
          <w:rFonts w:ascii="Times New Roman" w:cs="Times New Roman" w:eastAsia="Times New Roman" w:hAnsi="Times New Roman"/>
          <w:sz w:val="18"/>
          <w:szCs w:val="18"/>
          <w:color w:val="auto"/>
        </w:rPr>
        <w:t>Our current approach to hedging the foreign currency exposure in our non-U.S. dollar denominated investments is primarily to borrow the par amount in local currency under our Revolving Credit Facility to fund these investments. For the years ended December 31, 2017, 2016 and 2015, we had $11.5 million and $3.6 million of realized losses and $6.3 million of unrealized gains, respectively, on the translation of our non-U.S. dollar denominated debt into U.S. dollars; such amounts approximate the corresponding unrealized gains and losses on the translation of our non-U.S. dollar denominated investments into U.S. dollars for the years ended December 31, 2017, 2016 and 2015. See Note 2 to our consolidated financial statements included in this prospectus for additional disclosure regarding our accounting for foreign currency. See Note 7 to our consolidated financial statements included in this prospectus for additional disclosure regarding the amounts of outstanding debt denominated in each foreign currency at December 31, 2017. See our consolidated schedule of investments for additional disclosure regarding the foreign currency amounts (in both par and fair value) of our non-U.S. dollar denominated investments.</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21" w:lineRule="exact"/>
        <w:rPr>
          <w:sz w:val="20"/>
          <w:szCs w:val="20"/>
          <w:color w:val="auto"/>
        </w:rPr>
      </w:pPr>
    </w:p>
    <w:p>
      <w:pPr>
        <w:ind w:left="200" w:right="120" w:firstLine="441"/>
        <w:spacing w:after="0" w:line="282" w:lineRule="auto"/>
        <w:rPr>
          <w:sz w:val="20"/>
          <w:szCs w:val="20"/>
          <w:color w:val="auto"/>
        </w:rPr>
      </w:pPr>
      <w:r>
        <w:rPr>
          <w:rFonts w:ascii="Times New Roman" w:cs="Times New Roman" w:eastAsia="Times New Roman" w:hAnsi="Times New Roman"/>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67" w:lineRule="exact"/>
        <w:rPr>
          <w:sz w:val="20"/>
          <w:szCs w:val="20"/>
          <w:color w:val="auto"/>
        </w:rPr>
      </w:pPr>
    </w:p>
    <w:p>
      <w:pPr>
        <w:ind w:left="1060" w:hanging="316"/>
        <w:spacing w:after="0"/>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portfolio companies and other investments and to comply with certain portfolio diversification requirements;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operations (including paying our Adviser);</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repayment, and other financing costs;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dividends to the holders of our shares.</w:t>
      </w:r>
    </w:p>
    <w:p>
      <w:pPr>
        <w:spacing w:after="0" w:line="225" w:lineRule="exact"/>
        <w:rPr>
          <w:sz w:val="20"/>
          <w:szCs w:val="20"/>
          <w:color w:val="auto"/>
        </w:rPr>
      </w:pPr>
    </w:p>
    <w:p>
      <w:pPr>
        <w:ind w:left="200" w:right="40" w:firstLine="441"/>
        <w:spacing w:after="0" w:line="254" w:lineRule="auto"/>
        <w:rPr>
          <w:sz w:val="20"/>
          <w:szCs w:val="20"/>
          <w:color w:val="auto"/>
        </w:rPr>
      </w:pPr>
      <w:r>
        <w:rPr>
          <w:rFonts w:ascii="Times New Roman" w:cs="Times New Roman" w:eastAsia="Times New Roman" w:hAnsi="Times New Roman"/>
          <w:sz w:val="18"/>
          <w:szCs w:val="18"/>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200% (or 150% if certain requirements are met). As of December 31, 2017, 2016 and 2015, our asset coverage ratio was 235.5%, 237.7% and 225.7%, respectively. We carefully consider our unfunded commitments for the purpose of planning our capital resources and ongoing liquidity including our financial leverage. Further, we maintain sufficient borrowing capacity within the asset coverage limitation under the 1940 Act to cover any outstanding unfunded commitments we are required to fund.</w:t>
      </w:r>
    </w:p>
    <w:p>
      <w:pPr>
        <w:spacing w:after="0" w:line="189"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Cash and cash equivalents as of December 31, 2017, taken together with cash available under our credit facilities, is expected to be sufficient for our investing activities and to conduct our operations in the near term. As of December 31, 2017, we had approximately $488.2 million of availability on our Revolving Credit Facility, subject to asset coverage limitations.</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20"/>
          </w:cols>
          <w:pgMar w:left="240" w:top="455" w:right="4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As of December 31, 2017, we had $6.7 million in cash and cash equivalents, and restricted cash. During the year ended December 31, 2017, we provided $82.4 million in cash for operating activities, primarily as a result of proceeds from investments of $103.6 million, repayments on investments of $922.5 million, and an increase in net assets resulting from operations of $111.6 million, which was partially offset by funding portfolio investments of $1,028.0 million and other operating activity of $27.3 million. Lastly, cash used in financing activities was $81.7 million during the period, primarily due to paydowns on our Revolving Credit Facility of $1,171.6 million, dividends paid of $94.7 million, and deferred financing costs of $3.9 million, which were partially offset by borrowings of $1,188.5 million (including the issuance of $115.0 million principal amount of our 2022 Convertible Senior Notes).</w:t>
      </w:r>
    </w:p>
    <w:p>
      <w:pPr>
        <w:spacing w:after="0" w:line="189"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As of December 31, 2016, we had $6.0 million in cash and cash equivalents, and restricted cash. During the year ended December 31, 2016, we used $41.8 million in cash for operating activities, primarily as a result of funding portfolio investments of $720.7 million and other operating activity of $53.7 million, which was partially offset by proceeds from investments of $71.4 million, repayments on investments of $524.2 million, and an increase in net assets resulting from operations of $137.0 million. Lastly, cash provided by financing activities was $40.3 million during the period, primarily due to borrowings of $580.4 million and proceeds from issuance of common stock (net of purchases of treasury stock and offering and underwriting costs) of $76.9 million, partially offset by repayments on debt of $533.8 million, debt issuance costs of $2.9 million and dividends paid of $80.3 million.</w:t>
      </w:r>
    </w:p>
    <w:p>
      <w:pPr>
        <w:spacing w:after="0" w:line="188" w:lineRule="exact"/>
        <w:rPr>
          <w:sz w:val="20"/>
          <w:szCs w:val="20"/>
          <w:color w:val="auto"/>
        </w:rPr>
      </w:pPr>
    </w:p>
    <w:p>
      <w:pPr>
        <w:ind w:left="200" w:right="500" w:firstLine="441"/>
        <w:spacing w:after="0" w:line="282" w:lineRule="auto"/>
        <w:rPr>
          <w:sz w:val="20"/>
          <w:szCs w:val="20"/>
          <w:color w:val="auto"/>
        </w:rPr>
      </w:pPr>
      <w:r>
        <w:rPr>
          <w:rFonts w:ascii="Times New Roman" w:cs="Times New Roman" w:eastAsia="Times New Roman" w:hAnsi="Times New Roman"/>
          <w:sz w:val="18"/>
          <w:szCs w:val="18"/>
          <w:color w:val="auto"/>
        </w:rPr>
        <w:t>As of December 31, 2017, we had $3.2 million of restricted cash pledged as collateral under our interest rate swap agreements, compared to $1.1 million as of December 31, 2016.</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Equity</w:t>
      </w:r>
    </w:p>
    <w:p>
      <w:pPr>
        <w:spacing w:after="0" w:line="121" w:lineRule="exact"/>
        <w:rPr>
          <w:sz w:val="20"/>
          <w:szCs w:val="20"/>
          <w:color w:val="auto"/>
        </w:rPr>
      </w:pPr>
    </w:p>
    <w:p>
      <w:pPr>
        <w:ind w:left="200" w:right="360" w:firstLine="441"/>
        <w:spacing w:after="0" w:line="282" w:lineRule="auto"/>
        <w:rPr>
          <w:sz w:val="20"/>
          <w:szCs w:val="20"/>
          <w:color w:val="auto"/>
        </w:rPr>
      </w:pPr>
      <w:r>
        <w:rPr>
          <w:rFonts w:ascii="Times New Roman" w:cs="Times New Roman" w:eastAsia="Times New Roman" w:hAnsi="Times New Roman"/>
          <w:sz w:val="18"/>
          <w:szCs w:val="18"/>
          <w:color w:val="auto"/>
        </w:rPr>
        <w:t>On March 3, 2016, we issued 5,000,000 shares of common stock at $16.42 per share. Net of underwriting fees and offering costs, we received total cash proceeds of $78.3 million.</w:t>
      </w:r>
    </w:p>
    <w:p>
      <w:pPr>
        <w:spacing w:after="0" w:line="162" w:lineRule="exact"/>
        <w:rPr>
          <w:sz w:val="20"/>
          <w:szCs w:val="20"/>
          <w:color w:val="auto"/>
        </w:rPr>
      </w:pPr>
    </w:p>
    <w:p>
      <w:pPr>
        <w:jc w:val="both"/>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2017 and 2016, we also issued 530,996 and 638,326 shares of our common stock, respectively, to investors who have not opted out of our dividend reinvestment plan for proceeds of $10.2 million and $10.3 million, respectively. On January 12, 2018, we issued 153,295 shares of our common stock through our dividend reinvestment plan for proceeds of $2.9 million, which is not reflected in the number of shares issued for the year ended December 31, 2017 in this section or the consolidated financial statements for the year ended December 31, 2017.</w:t>
      </w:r>
    </w:p>
    <w:p>
      <w:pPr>
        <w:spacing w:after="0" w:line="180" w:lineRule="exact"/>
        <w:rPr>
          <w:sz w:val="20"/>
          <w:szCs w:val="20"/>
          <w:color w:val="auto"/>
        </w:rPr>
      </w:pPr>
    </w:p>
    <w:p>
      <w:pPr>
        <w:jc w:val="both"/>
        <w:ind w:left="200" w:right="60" w:firstLine="441"/>
        <w:spacing w:after="0" w:line="281" w:lineRule="auto"/>
        <w:rPr>
          <w:sz w:val="20"/>
          <w:szCs w:val="20"/>
          <w:color w:val="auto"/>
        </w:rPr>
      </w:pPr>
      <w:r>
        <w:rPr>
          <w:rFonts w:ascii="Times New Roman" w:cs="Times New Roman" w:eastAsia="Times New Roman" w:hAnsi="Times New Roman"/>
          <w:sz w:val="17"/>
          <w:szCs w:val="17"/>
          <w:color w:val="auto"/>
        </w:rPr>
        <w:t>On November 3, 2014, the Board approved the Company 10b5-1 Plan to acquire up to $50 million in the aggregate of our common stock at prices just below our net asset value over a specified period, in accordance with the guidelines specified in Rule 10b-18 and Rule 10b5-1 of the Exchange Act. We put the Company 10b5-1 Plan in place because we believe that, in current market conditions, if our common stock is trading below our then-current net asset value, it is in the best interest of our stockholders for us to reinvest in our portfolio and increase our leverage ratio through share repurchases.</w:t>
      </w:r>
    </w:p>
    <w:p>
      <w:pPr>
        <w:spacing w:after="0" w:line="165"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The Company 10b5-1 Plan is designed to allow us to repurchase our common stock at times when we otherwise might be prevented from doing so under insider trading laws. The Company 10b5-1 Plan requires Goldman Sachs &amp; Co. LLC,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20"/>
          </w:cols>
          <w:pgMar w:left="240" w:top="455" w:right="4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380" w:firstLine="441"/>
        <w:spacing w:after="0" w:line="313" w:lineRule="auto"/>
        <w:rPr>
          <w:sz w:val="20"/>
          <w:szCs w:val="20"/>
          <w:color w:val="auto"/>
        </w:rPr>
      </w:pPr>
      <w:r>
        <w:rPr>
          <w:rFonts w:ascii="Times New Roman" w:cs="Times New Roman" w:eastAsia="Times New Roman" w:hAnsi="Times New Roman"/>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38"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The Company 10b5-1 Plan expired in accordance with its terms on June 30, 2015. On August 4, 2015, the Board authorized us to enter into a new stock repurchase plan, on substantially the same terms as the prior stock repurchase plan, over an initial six month period, and has continued to authorize extensions of the plan termination date prior to its expiration since that time. On February 21, 2018, the Board authorized the extension of the termination date of the Company 10b5-1 Plan to August 31, 2018. Unless extended or terminated by the Board, the Company 10b5-1 Plan will be in effect through the earlier of August 31, 2018 or such time as the current approved repurchase amount of up to $50 million has been fully utilized, subject to certain conditions.</w:t>
      </w:r>
    </w:p>
    <w:p>
      <w:pPr>
        <w:spacing w:after="0" w:line="188" w:lineRule="exact"/>
        <w:rPr>
          <w:sz w:val="20"/>
          <w:szCs w:val="20"/>
          <w:color w:val="auto"/>
        </w:rPr>
      </w:pPr>
    </w:p>
    <w:p>
      <w:pPr>
        <w:jc w:val="both"/>
        <w:ind w:left="200" w:right="120" w:firstLine="441"/>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2017, no shares were repurchased under the Company 10b5-1 Plan. During the year ended December 31, 2016, 86,081 shares were repurchased under the Company 10b5-1 Plan at a weighted average price per share of $15.44, inclusive of commissions, for a total cost of $1.3 million. During the year ended December 31, 2015, 2,000 shares were repurchased under the Company 10b5-1 Plan at a weighted average price per share of $14.44, inclusive of commissions, for a total cost of $28.9.</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Debt obligations consisted of the following as of December 31, 2017 and 2016:</w:t>
      </w:r>
    </w:p>
    <w:p>
      <w:pPr>
        <w:spacing w:after="0" w:line="246"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40" w:type="dxa"/>
            <w:vAlign w:val="bottom"/>
            <w:gridSpan w:val="4"/>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38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00" w:type="dxa"/>
            <w:vAlign w:val="bottom"/>
            <w:gridSpan w:val="2"/>
            <w:vMerge w:val="continue"/>
          </w:tcPr>
          <w:p>
            <w:pPr>
              <w:spacing w:after="0"/>
              <w:rPr>
                <w:sz w:val="15"/>
                <w:szCs w:val="15"/>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Committed</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32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w w:val="98"/>
              </w:rPr>
              <w:t>Available</w:t>
            </w:r>
            <w:r>
              <w:rPr>
                <w:rFonts w:ascii="Times New Roman" w:cs="Times New Roman" w:eastAsia="Times New Roman" w:hAnsi="Times New Roman"/>
                <w:sz w:val="12"/>
                <w:szCs w:val="12"/>
                <w:b w:val="1"/>
                <w:bCs w:val="1"/>
                <w:color w:val="auto"/>
                <w:w w:val="98"/>
              </w:rPr>
              <w:t>(1)</w:t>
            </w:r>
          </w:p>
        </w:tc>
        <w:tc>
          <w:tcPr>
            <w:tcW w:w="6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2019 Convertible Senior Notes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Convertible Senior Notes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1,205.0</w:t>
            </w:r>
          </w:p>
        </w:tc>
        <w:tc>
          <w:tcPr>
            <w:tcW w:w="6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r>
              <w:rPr>
                <w:rFonts w:ascii="Times New Roman" w:cs="Times New Roman" w:eastAsia="Times New Roman" w:hAnsi="Times New Roman"/>
                <w:sz w:val="18"/>
                <w:szCs w:val="18"/>
                <w:u w:val="single" w:color="auto"/>
                <w:color w:val="auto"/>
              </w:rPr>
              <w:t>8</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40" w:hanging="43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reflects any limitations related to the respective debt facilities’ borrowing bases.</w:t>
      </w:r>
    </w:p>
    <w:p>
      <w:pPr>
        <w:spacing w:after="0" w:line="27" w:lineRule="exact"/>
        <w:rPr>
          <w:rFonts w:ascii="Times New Roman" w:cs="Times New Roman" w:eastAsia="Times New Roman" w:hAnsi="Times New Roman"/>
          <w:sz w:val="18"/>
          <w:szCs w:val="18"/>
          <w:color w:val="auto"/>
        </w:rPr>
      </w:pPr>
    </w:p>
    <w:p>
      <w:pPr>
        <w:ind w:left="640" w:right="80" w:hanging="436"/>
        <w:spacing w:after="0" w:line="261" w:lineRule="auto"/>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Revolving Credit Facility and 2019 and 2022 Convertible Senior Notes are presented net of deferred financing costs of $7.1 million, $1.5 million and $3.2 million, respectively.</w:t>
      </w:r>
    </w:p>
    <w:p>
      <w:pPr>
        <w:spacing w:after="0" w:line="200"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4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38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60" w:type="dxa"/>
            <w:vAlign w:val="bottom"/>
            <w:gridSpan w:val="2"/>
            <w:vMerge w:val="continue"/>
          </w:tcPr>
          <w:p>
            <w:pPr>
              <w:spacing w:after="0"/>
              <w:rPr>
                <w:sz w:val="15"/>
                <w:szCs w:val="15"/>
                <w:color w:val="auto"/>
              </w:rPr>
            </w:pPr>
          </w:p>
        </w:tc>
        <w:tc>
          <w:tcPr>
            <w:tcW w:w="2340" w:type="dxa"/>
            <w:vAlign w:val="bottom"/>
            <w:gridSpan w:val="3"/>
          </w:tcPr>
          <w:p>
            <w:pPr>
              <w:jc w:val="center"/>
              <w:ind w:left="1559"/>
              <w:spacing w:after="0"/>
              <w:rPr>
                <w:sz w:val="20"/>
                <w:szCs w:val="20"/>
                <w:color w:val="auto"/>
              </w:rPr>
            </w:pPr>
            <w:r>
              <w:rPr>
                <w:rFonts w:ascii="Times New Roman" w:cs="Times New Roman" w:eastAsia="Times New Roman" w:hAnsi="Times New Roman"/>
                <w:sz w:val="14"/>
                <w:szCs w:val="14"/>
                <w:b w:val="1"/>
                <w:bCs w:val="1"/>
                <w:color w:val="auto"/>
              </w:rPr>
              <w:t>Committed</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32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w w:val="98"/>
              </w:rPr>
              <w:t>Available</w:t>
            </w:r>
            <w:r>
              <w:rPr>
                <w:rFonts w:ascii="Times New Roman" w:cs="Times New Roman" w:eastAsia="Times New Roman" w:hAnsi="Times New Roman"/>
                <w:sz w:val="12"/>
                <w:szCs w:val="12"/>
                <w:b w:val="1"/>
                <w:bCs w:val="1"/>
                <w:color w:val="auto"/>
                <w:w w:val="98"/>
              </w:rPr>
              <w:t>(1)</w:t>
            </w:r>
          </w:p>
        </w:tc>
        <w:tc>
          <w:tcPr>
            <w:tcW w:w="6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2019 Convertible Senior Notes</w:t>
            </w:r>
          </w:p>
        </w:tc>
        <w:tc>
          <w:tcPr>
            <w:tcW w:w="1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w:t>
            </w:r>
          </w:p>
        </w:tc>
        <w:tc>
          <w:tcPr>
            <w:tcW w:w="7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40" w:hanging="436"/>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reflects any limitations related to the respective debt facilities’ borrowing bases.</w:t>
      </w:r>
    </w:p>
    <w:p>
      <w:pPr>
        <w:spacing w:after="0" w:line="27" w:lineRule="exact"/>
        <w:rPr>
          <w:rFonts w:ascii="Times New Roman" w:cs="Times New Roman" w:eastAsia="Times New Roman" w:hAnsi="Times New Roman"/>
          <w:sz w:val="18"/>
          <w:szCs w:val="18"/>
          <w:color w:val="auto"/>
        </w:rPr>
      </w:pPr>
    </w:p>
    <w:p>
      <w:pPr>
        <w:ind w:left="640" w:right="800" w:hanging="436"/>
        <w:spacing w:after="0" w:line="261" w:lineRule="auto"/>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Revolving Credit Facility and 2019 Convertible Senior Notes are presented net of deferred financing costs of $8.7 million and $2.3 million, respectively.</w:t>
      </w:r>
    </w:p>
    <w:p>
      <w:pPr>
        <w:spacing w:after="0" w:line="180" w:lineRule="exact"/>
        <w:rPr>
          <w:sz w:val="20"/>
          <w:szCs w:val="20"/>
          <w:color w:val="auto"/>
        </w:rPr>
      </w:pPr>
    </w:p>
    <w:p>
      <w:pPr>
        <w:ind w:left="200" w:right="420" w:firstLine="441"/>
        <w:spacing w:after="0" w:line="282" w:lineRule="auto"/>
        <w:rPr>
          <w:sz w:val="20"/>
          <w:szCs w:val="20"/>
          <w:color w:val="auto"/>
        </w:rPr>
      </w:pPr>
      <w:r>
        <w:rPr>
          <w:rFonts w:ascii="Times New Roman" w:cs="Times New Roman" w:eastAsia="Times New Roman" w:hAnsi="Times New Roman"/>
          <w:sz w:val="18"/>
          <w:szCs w:val="18"/>
          <w:color w:val="auto"/>
        </w:rPr>
        <w:t>As of December 31, 2017 and December 31, 2016, we were in compliance with the terms of our debt arrangements. We intend to continue to utilize our credit facilities to fund investments and for other general corporate purposes.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20"/>
          </w:cols>
          <w:pgMar w:left="240" w:top="455" w:right="4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left="200" w:right="200" w:firstLine="441"/>
        <w:spacing w:after="0" w:line="282" w:lineRule="auto"/>
        <w:rPr>
          <w:sz w:val="20"/>
          <w:szCs w:val="20"/>
          <w:color w:val="auto"/>
        </w:rPr>
      </w:pPr>
      <w:r>
        <w:rPr>
          <w:rFonts w:ascii="Times New Roman" w:cs="Times New Roman" w:eastAsia="Times New Roman" w:hAnsi="Times New Roman"/>
          <w:sz w:val="18"/>
          <w:szCs w:val="18"/>
          <w:color w:val="auto"/>
        </w:rPr>
        <w:t>On August 23, 2012, we entered into a senior secured revolving credit agreement with SunTrust Bank, as administrative agent, and J.P. Morgan Chase Bank, N.A., as syndication agent, and certain other lenders (as amended, the “Revolving Credit Facility”).</w:t>
      </w:r>
    </w:p>
    <w:p>
      <w:pPr>
        <w:spacing w:after="0" w:line="162" w:lineRule="exact"/>
        <w:rPr>
          <w:sz w:val="20"/>
          <w:szCs w:val="20"/>
          <w:color w:val="auto"/>
        </w:rPr>
      </w:pPr>
    </w:p>
    <w:p>
      <w:pPr>
        <w:ind w:left="200" w:right="140" w:firstLine="441"/>
        <w:spacing w:after="0" w:line="282" w:lineRule="auto"/>
        <w:rPr>
          <w:sz w:val="20"/>
          <w:szCs w:val="20"/>
          <w:color w:val="auto"/>
        </w:rPr>
      </w:pPr>
      <w:r>
        <w:rPr>
          <w:rFonts w:ascii="Times New Roman" w:cs="Times New Roman" w:eastAsia="Times New Roman" w:hAnsi="Times New Roman"/>
          <w:sz w:val="18"/>
          <w:szCs w:val="18"/>
          <w:color w:val="auto"/>
        </w:rPr>
        <w:t>As of December 31, 2017, aggregate commitments under the facility were $975 million. The facility includes an uncommitted accordion feature that allows us, under certain circumstances, to increase the size of the facility to up to $1.25 billion.</w:t>
      </w:r>
    </w:p>
    <w:p>
      <w:pPr>
        <w:spacing w:after="0" w:line="162" w:lineRule="exact"/>
        <w:rPr>
          <w:sz w:val="20"/>
          <w:szCs w:val="20"/>
          <w:color w:val="auto"/>
        </w:rPr>
      </w:pPr>
    </w:p>
    <w:p>
      <w:pPr>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As of December 31, 2017, with respect to $915 million in commitments, the revolving period, during which period we, subject to certain conditions, may make borrowings under the facility, ended December 22, 2020 and the stated maturity date was December 22, 2021. For the remaining $60 million of commitments, the revolving period ended October 2, 2019 and the stated maturity date was October 2, 2020.</w:t>
      </w:r>
    </w:p>
    <w:p>
      <w:pPr>
        <w:spacing w:after="0" w:line="176" w:lineRule="exact"/>
        <w:rPr>
          <w:sz w:val="20"/>
          <w:szCs w:val="20"/>
          <w:color w:val="auto"/>
        </w:rPr>
      </w:pPr>
    </w:p>
    <w:p>
      <w:pPr>
        <w:ind w:left="200" w:right="20" w:firstLine="441"/>
        <w:spacing w:after="0" w:line="282" w:lineRule="auto"/>
        <w:rPr>
          <w:sz w:val="20"/>
          <w:szCs w:val="20"/>
          <w:color w:val="auto"/>
        </w:rPr>
      </w:pPr>
      <w:r>
        <w:rPr>
          <w:rFonts w:ascii="Times New Roman" w:cs="Times New Roman" w:eastAsia="Times New Roman" w:hAnsi="Times New Roman"/>
          <w:sz w:val="18"/>
          <w:szCs w:val="18"/>
          <w:color w:val="auto"/>
        </w:rPr>
        <w:t>We may borrow amounts in U.S. dollars or certain other permitted currencies. As of December 31, 2017, we had outstanding debt denominated in Euro (EUR) of 59.4 million on our Revolving Credit Facility, included in the Outstanding Principal amount in the table above.</w:t>
      </w:r>
    </w:p>
    <w:p>
      <w:pPr>
        <w:spacing w:after="0" w:line="162" w:lineRule="exact"/>
        <w:rPr>
          <w:sz w:val="20"/>
          <w:szCs w:val="20"/>
          <w:color w:val="auto"/>
        </w:rPr>
      </w:pPr>
    </w:p>
    <w:p>
      <w:pPr>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The Revolving Credit Facility also provides for the issuance of letters of credit up to an aggregate amount of $75 million. As of December 31, 2017 and December 31, 2016, we had no outstanding letters of credit issued through the Revolving Credit Facility. The amount available for borrowing under the Revolving Credit Facility is reduced by any letters of credit issued through the Revolving Credit Facility.</w:t>
      </w:r>
    </w:p>
    <w:p>
      <w:pPr>
        <w:spacing w:after="0" w:line="176"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As of December 31, 2017, amounts drawn under the Revolving Credit Facility, including amounts drawn in respect of letters of credit, bore interest at either LIBOR plus a margin of either 1.75% or 2.00%, or the prime rate plus a margin of either 0.75% or 1.00%, in each case, based on the total amount of the borrowing base relative to the sum of the total commitments (or, if greater, the total exposure) under the Revolving Credit Facility plus certain other designated secured debt. We may elect either the LIBOR or prime rate at the time of drawdown, and loans may be converted from one rate to another at any time, subject to certain conditions. We also pay a fee of 0.375% on undrawn amounts and, in respect of each undrawn letter of credit, a fee and interest rate equal to the then-applicable margin while the letter of credit is outstanding.</w:t>
      </w:r>
    </w:p>
    <w:p>
      <w:pPr>
        <w:spacing w:after="0" w:line="188"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80" w:lineRule="exact"/>
        <w:rPr>
          <w:sz w:val="20"/>
          <w:szCs w:val="20"/>
          <w:color w:val="auto"/>
        </w:rPr>
      </w:pPr>
    </w:p>
    <w:p>
      <w:pPr>
        <w:ind w:left="200" w:right="20" w:firstLine="441"/>
        <w:spacing w:after="0" w:line="282" w:lineRule="auto"/>
        <w:rPr>
          <w:sz w:val="20"/>
          <w:szCs w:val="20"/>
          <w:color w:val="auto"/>
        </w:rPr>
      </w:pPr>
      <w:r>
        <w:rPr>
          <w:rFonts w:ascii="Times New Roman" w:cs="Times New Roman" w:eastAsia="Times New Roman" w:hAnsi="Times New Roman"/>
          <w:sz w:val="18"/>
          <w:szCs w:val="18"/>
          <w:color w:val="auto"/>
        </w:rPr>
        <w:t>The Revolving Credit Facility includes customary events of default, as well as customary covenants, including restrictions on certain distributions and financial covenants requiring:</w:t>
      </w:r>
    </w:p>
    <w:p>
      <w:pPr>
        <w:spacing w:after="0" w:line="67" w:lineRule="exact"/>
        <w:rPr>
          <w:sz w:val="20"/>
          <w:szCs w:val="20"/>
          <w:color w:val="auto"/>
        </w:rPr>
      </w:pPr>
    </w:p>
    <w:p>
      <w:pPr>
        <w:ind w:left="1060" w:hanging="316"/>
        <w:spacing w:after="0"/>
        <w:tabs>
          <w:tab w:leader="none" w:pos="10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coverage ratio of no less than 2 to 1 on the last day of any fiscal quarter;</w:t>
      </w:r>
    </w:p>
    <w:p>
      <w:pPr>
        <w:spacing w:after="0" w:line="130" w:lineRule="exact"/>
        <w:rPr>
          <w:rFonts w:ascii="Times New Roman" w:cs="Times New Roman" w:eastAsia="Times New Roman" w:hAnsi="Times New Roman"/>
          <w:sz w:val="18"/>
          <w:szCs w:val="18"/>
          <w:color w:val="auto"/>
        </w:rPr>
      </w:pPr>
    </w:p>
    <w:p>
      <w:pPr>
        <w:jc w:val="both"/>
        <w:ind w:left="1060" w:hanging="316"/>
        <w:spacing w:after="0" w:line="266" w:lineRule="auto"/>
        <w:tabs>
          <w:tab w:leader="none" w:pos="10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liquidity test under which we must not maintain cash and liquid investments of less than 10% of the covered debt amount for more than 30 consecutive business days under circumstances where our adjusted covered debt balance is greater than 90% of our adjusted borrowing base under the facility; and</w:t>
      </w:r>
    </w:p>
    <w:p>
      <w:pPr>
        <w:spacing w:after="0" w:line="81"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equity of at least $500 million plus 25% of the net proceeds of the sale of equity interests after December 22, 2016.</w:t>
      </w:r>
    </w:p>
    <w:p>
      <w:pPr>
        <w:spacing w:after="0" w:line="225" w:lineRule="exact"/>
        <w:rPr>
          <w:sz w:val="20"/>
          <w:szCs w:val="20"/>
          <w:color w:val="auto"/>
        </w:rPr>
      </w:pPr>
    </w:p>
    <w:p>
      <w:pPr>
        <w:ind w:left="200" w:right="360" w:firstLine="441"/>
        <w:spacing w:after="0" w:line="282" w:lineRule="auto"/>
        <w:rPr>
          <w:sz w:val="20"/>
          <w:szCs w:val="20"/>
          <w:color w:val="auto"/>
        </w:rPr>
      </w:pPr>
      <w:r>
        <w:rPr>
          <w:rFonts w:ascii="Times New Roman" w:cs="Times New Roman" w:eastAsia="Times New Roman" w:hAnsi="Times New Roman"/>
          <w:sz w:val="18"/>
          <w:szCs w:val="18"/>
          <w:color w:val="auto"/>
        </w:rPr>
        <w:t>Net proceeds received from our common stock issuance in March 2016, and net proceeds received from the issuance of the 2022 Convertible Senior Notes and the 2023 Notes were used to pay down borrowings on the Revolving Credit Facility.</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80"/>
          </w:cols>
          <w:pgMar w:left="240" w:top="455" w:right="47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On February 20, 2018, we entered into an amendment to the Revolving Credit Facility. Under the terms of the amendment, aggregate commitments under the facility were increased to $990 million. In addition, with respect to $895 million in commitments, amounts drawn under the facility bore interest at a rate of LIBOR plus a margin of either 1.75% or 1.875%, or the prime rate plus a margin of either 0.75% or 0.875%. With respect to $95 million in commitments, amounts drawn under the facility bore interest at a rate of LIBOR plus a margin of either 1.75% or 2.00%, or the prime rate plus a margin of either 0.75% or 1.00%.</w:t>
      </w:r>
    </w:p>
    <w:p>
      <w:pPr>
        <w:spacing w:after="0" w:line="184"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The maturity of the facility was also extended. With respect to $895 million in commitments, the revolving period ended in February 2022 and the stated maturity date was February 2023. For the remaining $95 million of commitments, the revolving period ended in either October 2019 or December 2020, and the stated maturity date was either October 2020 or December 2021. Under the terms of the Revolving Credit Facility, we subsequently cancelled the $95 million of commitments that were not extended, and as of March 16, 2018, we had aggregate commitments of $895 million under the facility.</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2019 Convertible Senior Notes</w:t>
      </w:r>
    </w:p>
    <w:p>
      <w:pPr>
        <w:spacing w:after="0" w:line="119" w:lineRule="exact"/>
        <w:rPr>
          <w:sz w:val="20"/>
          <w:szCs w:val="20"/>
          <w:color w:val="auto"/>
        </w:rPr>
      </w:pPr>
    </w:p>
    <w:p>
      <w:pPr>
        <w:ind w:left="200" w:right="40" w:firstLine="441"/>
        <w:spacing w:after="0" w:line="253" w:lineRule="auto"/>
        <w:rPr>
          <w:sz w:val="20"/>
          <w:szCs w:val="20"/>
          <w:color w:val="auto"/>
        </w:rPr>
      </w:pPr>
      <w:r>
        <w:rPr>
          <w:rFonts w:ascii="Times New Roman" w:cs="Times New Roman" w:eastAsia="Times New Roman" w:hAnsi="Times New Roman"/>
          <w:sz w:val="18"/>
          <w:szCs w:val="18"/>
          <w:color w:val="auto"/>
        </w:rPr>
        <w:t>In June 2014, we issued in a private offering $115 million aggregate principal amount convertible senior notes due December 2019, or the 2019 Convertible Senior Notes. The 2019 Convertible Senior Notes were issued in a private placement only to qualified institutional buyers pursuant to Rule 144A under the Securities Act. The 2019 Convertible Senior Notes are unsecured and bear interest at a rate of 4.50% per year, payable semiannually. The 2019 Convertible Senior Notes will mature on December 15, 2019. In certain circumstances, the 2019 Convertible Senior Notes will be convertible into cash, shares of our common stock or a combination of cash and shares of our common stock, at our election, at an initial conversion rate of 38.7162 shares of common stock per $1,000 principal amount of 2019 Convertible Senior Notes, which is equivalent to an initial conversion price of approximately $25.83 per share of our common stock, subject to customary anti-dilution adjustments. As of December 31, 2017, the estimated adjusted conversion price was approximately $25.41 per share of our common stock. The sale of the 2019 Convertible Senior Notes generated net proceeds of approximately $110.8 million. We used the net proceeds of the offering to pay down debt under the Revolving Credit Facility. In connection with the offering of 2019 Convertible Senior Notes, we have entered into interest rate swaps to continue to align the interest rates of our liabilities with our investment portfolio, which consists of predominately floating rate loans. As a result of the swaps, our effective interest rate on the 2019 Convertible Senior Notes is three-month LIBOR plus 286 basis points.</w:t>
      </w:r>
    </w:p>
    <w:p>
      <w:pPr>
        <w:spacing w:after="0" w:line="191" w:lineRule="exact"/>
        <w:rPr>
          <w:sz w:val="20"/>
          <w:szCs w:val="20"/>
          <w:color w:val="auto"/>
        </w:rPr>
      </w:pPr>
    </w:p>
    <w:p>
      <w:pPr>
        <w:ind w:left="200" w:right="40" w:firstLine="441"/>
        <w:spacing w:after="0" w:line="254" w:lineRule="auto"/>
        <w:rPr>
          <w:sz w:val="20"/>
          <w:szCs w:val="20"/>
          <w:color w:val="auto"/>
        </w:rPr>
      </w:pPr>
      <w:r>
        <w:rPr>
          <w:rFonts w:ascii="Times New Roman" w:cs="Times New Roman" w:eastAsia="Times New Roman" w:hAnsi="Times New Roman"/>
          <w:sz w:val="18"/>
          <w:szCs w:val="18"/>
          <w:color w:val="auto"/>
        </w:rPr>
        <w:t>Holders may convert their 2019 Convertible Senior Notes at their option at any time prior to June 15, 2019 only under the following circumstances: (1) 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or the measurement period, in which the trading price (as defined in the indenture governing the 2019 Convertible Senior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2022 Convertible Senior Notes</w:t>
      </w:r>
    </w:p>
    <w:p>
      <w:pPr>
        <w:spacing w:after="0" w:line="119" w:lineRule="exact"/>
        <w:rPr>
          <w:sz w:val="20"/>
          <w:szCs w:val="20"/>
          <w:color w:val="auto"/>
        </w:rPr>
      </w:pPr>
    </w:p>
    <w:p>
      <w:pPr>
        <w:jc w:val="both"/>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In February 2017, we issued in a private offering $115 million aggregate principal amount convertible senior notes due August 2022, or the 2022 Convertible Senior Notes. We refer to the 2019 Convertible Senior Notes and the 2022 Convertible Senior Notes collectively as the Convertible Senior Notes. The 2022 Convertible</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00"/>
          </w:cols>
          <w:pgMar w:left="240" w:top="455" w:right="4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3" w:lineRule="auto"/>
        <w:rPr>
          <w:sz w:val="20"/>
          <w:szCs w:val="20"/>
          <w:color w:val="auto"/>
        </w:rPr>
      </w:pPr>
      <w:r>
        <w:rPr>
          <w:rFonts w:ascii="Times New Roman" w:cs="Times New Roman" w:eastAsia="Times New Roman" w:hAnsi="Times New Roman"/>
          <w:sz w:val="18"/>
          <w:szCs w:val="18"/>
          <w:color w:val="auto"/>
        </w:rPr>
        <w:t>Senior Notes were issued in a private placement only to qualified institutional buyers pursuant to Rule 144A under the Securities Act. The 2022 Convertible Senior Notes are unsecured, and bear interest at a rate of 4.50% per year, payable semiannually. The 2022 Convertible Senior Notes will mature on August 1, 2022. In certain circumstances, the 2022 Convertible Senior Notes will be convertible into cash, shares of our common stock or a combination of cash and shares of our common stock, at our election, at an initial conversion rate of 46.8516 shares of common stock per $1,000 principal amount of 2022 Convertible Senior Notes, which is equivalent to an initial conversion price of approximately $21.34 per share of our common stock, subject to customary anti-dilution adjustments. As of December 31, 2017, the estimated adjusted conversion price was approximately $21.15 per share of our common stock. The sale of the 2022 Convertible Senior Notes generated net proceeds of approximately $111.2 million. We used the net proceeds of the offering to pay down debt under the Revolving Credit Facility. In connection with the offering of 2022 Convertible Senior Notes, we have entered into an interest rate swap to continue to align the interest rates of our liabilities with our investment portfolio, which consists of predominately floating rate loans. As a result of the swaps, our effective interest rate on the 2022 Convertible Senior Notes is three-month LIBOR plus 237.2 basis points.</w:t>
      </w:r>
    </w:p>
    <w:p>
      <w:pPr>
        <w:spacing w:after="0" w:line="193" w:lineRule="exact"/>
        <w:rPr>
          <w:sz w:val="20"/>
          <w:szCs w:val="20"/>
          <w:color w:val="auto"/>
        </w:rPr>
      </w:pPr>
    </w:p>
    <w:p>
      <w:pPr>
        <w:ind w:left="200" w:right="40" w:firstLine="441"/>
        <w:spacing w:after="0" w:line="254" w:lineRule="auto"/>
        <w:rPr>
          <w:sz w:val="20"/>
          <w:szCs w:val="20"/>
          <w:color w:val="auto"/>
        </w:rPr>
      </w:pPr>
      <w:r>
        <w:rPr>
          <w:rFonts w:ascii="Times New Roman" w:cs="Times New Roman" w:eastAsia="Times New Roman" w:hAnsi="Times New Roman"/>
          <w:sz w:val="18"/>
          <w:szCs w:val="18"/>
          <w:color w:val="auto"/>
        </w:rPr>
        <w:t>Holders may convert their 2022 Convertible Senior Notes at their option at any time prior to February 1, 2022 only under the following circumstances: (1) 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or the measurement period, in which the trading price (as defined in the indenture governing the 2022 Convertible Senior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86" w:lineRule="exact"/>
        <w:rPr>
          <w:sz w:val="20"/>
          <w:szCs w:val="20"/>
          <w:color w:val="auto"/>
        </w:rPr>
      </w:pPr>
    </w:p>
    <w:p>
      <w:pPr>
        <w:ind w:left="200" w:right="40" w:firstLine="441"/>
        <w:spacing w:after="0" w:line="258" w:lineRule="auto"/>
        <w:rPr>
          <w:sz w:val="20"/>
          <w:szCs w:val="20"/>
          <w:color w:val="auto"/>
        </w:rPr>
      </w:pPr>
      <w:r>
        <w:rPr>
          <w:rFonts w:ascii="Times New Roman" w:cs="Times New Roman" w:eastAsia="Times New Roman" w:hAnsi="Times New Roman"/>
          <w:sz w:val="18"/>
          <w:szCs w:val="18"/>
          <w:color w:val="auto"/>
        </w:rPr>
        <w:t>The Convertible Senior Notes are our senior unsecured obligations and rank senior in right of payment to our future indebtedness that is expressly subordinated in right of payment to the Convertible Senior Notes; equal in right of payment to our existing and future indebtedness that is not so subordinated; effectively junior in right of payment to any of our secured indebtedness (including unsecured indebtedness that we later secure) to the extent of the value of the assets securing such indebtedness; and structurally junior to all existing and future indebtedness (including trade payables) incurred by our subsidiaries, financing vehicles or similar facilities.</w:t>
      </w:r>
    </w:p>
    <w:p>
      <w:pPr>
        <w:spacing w:after="0" w:line="184" w:lineRule="exact"/>
        <w:rPr>
          <w:sz w:val="20"/>
          <w:szCs w:val="20"/>
          <w:color w:val="auto"/>
        </w:rPr>
      </w:pPr>
    </w:p>
    <w:p>
      <w:pPr>
        <w:ind w:left="200" w:right="480" w:firstLine="441"/>
        <w:spacing w:after="0" w:line="282" w:lineRule="auto"/>
        <w:rPr>
          <w:sz w:val="20"/>
          <w:szCs w:val="20"/>
          <w:color w:val="auto"/>
        </w:rPr>
      </w:pPr>
      <w:r>
        <w:rPr>
          <w:rFonts w:ascii="Times New Roman" w:cs="Times New Roman" w:eastAsia="Times New Roman" w:hAnsi="Times New Roman"/>
          <w:sz w:val="18"/>
          <w:szCs w:val="18"/>
          <w:color w:val="auto"/>
        </w:rPr>
        <w:t>As of December 31, 2017, the principal amount of the 2019 and 2022 Convertible Senior Notes exceeded the value of the underlying shares multiplied by the per share closing price of our common stock.</w:t>
      </w:r>
    </w:p>
    <w:p>
      <w:pPr>
        <w:spacing w:after="0" w:line="162"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The indentures governing the 2019 and 2022 Convertible Senior Notes contain certain covenants, including covenants requiring us to comply with the requirement under the 1940 Act that our asset coverage ratio, as defined in the 1940 Act, equal at least 200% and to provide financial information to the holders of the 2019 and 2022 Convertible Senior Notes under certain circumstances. These covenants are subject to important limitations and exceptions that are described in the indentures governing the 2019 and 2022 Convertible Senior Notes. As of December 31, 2017, we were in compliance with the terms of the indentures governing the 2019 and 2022 Convertible Senior Notes.</w:t>
      </w:r>
    </w:p>
    <w:p>
      <w:pPr>
        <w:spacing w:after="0" w:line="184" w:lineRule="exact"/>
        <w:rPr>
          <w:sz w:val="20"/>
          <w:szCs w:val="20"/>
          <w:color w:val="auto"/>
        </w:rPr>
      </w:pPr>
    </w:p>
    <w:p>
      <w:pPr>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The Convertible Senior Notes are accounted for in accordance with Accounting Standards Codification (“ASC”) 470-20. Upon conversion of any of the Convertible Senior Notes, we intend to pay the outstanding principal amount in cash and, to the extent that the conversion value exceeds the principal amount, we have the option to pay in cash or shares of our common stock (or a combination of cash and shares) in respect of the excess amount, subject to the requirements of the indentures governing the 2019 and 2022 Convertible Senior</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00"/>
          </w:cols>
          <w:pgMar w:left="240" w:top="455" w:right="45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6" w:lineRule="auto"/>
        <w:rPr>
          <w:sz w:val="20"/>
          <w:szCs w:val="20"/>
          <w:color w:val="auto"/>
        </w:rPr>
      </w:pPr>
      <w:r>
        <w:rPr>
          <w:rFonts w:ascii="Times New Roman" w:cs="Times New Roman" w:eastAsia="Times New Roman" w:hAnsi="Times New Roman"/>
          <w:sz w:val="18"/>
          <w:szCs w:val="18"/>
          <w:color w:val="auto"/>
        </w:rPr>
        <w:t>Notes. We have determined that the embedded conversion options in the 2019 and 2022 Convertible Senior Notes are not required to be separately accounted for as a derivative under U.S. GAAP. In accounting for the 2019 and 2022 Convertible Senior Notes, we estimated at the time of issuance separate debt and equity components of the 2019 and 2022 Convertible Senior Notes. An original issue discount equal to the equity components of the 2019 and 2022 Convertible Senior Notes was recorded in “additional paid-in capital” in the accompanying consolidated balance sheet. Additionally, the issuance costs associated with the 2019 and 2022 Convertible Senior Notes were allocated to the debt and equity components in proportion to the allocation of the proceeds and accounted for as deferred financing costs and equity issuance costs, respectively.</w:t>
      </w: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2023 Notes</w:t>
      </w:r>
    </w:p>
    <w:p>
      <w:pPr>
        <w:spacing w:after="0" w:line="119" w:lineRule="exact"/>
        <w:rPr>
          <w:sz w:val="20"/>
          <w:szCs w:val="20"/>
          <w:color w:val="auto"/>
        </w:rPr>
      </w:pPr>
    </w:p>
    <w:p>
      <w:pPr>
        <w:ind w:left="200" w:right="140" w:firstLine="441"/>
        <w:spacing w:after="0" w:line="258" w:lineRule="auto"/>
        <w:rPr>
          <w:sz w:val="20"/>
          <w:szCs w:val="20"/>
          <w:color w:val="auto"/>
        </w:rPr>
      </w:pPr>
      <w:r>
        <w:rPr>
          <w:rFonts w:ascii="Times New Roman" w:cs="Times New Roman" w:eastAsia="Times New Roman" w:hAnsi="Times New Roman"/>
          <w:sz w:val="18"/>
          <w:szCs w:val="18"/>
          <w:color w:val="auto"/>
        </w:rPr>
        <w:t>In January 2018, we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our option at any time at par plus a “make whole” premium. Total proceeds from the issuance of the 2023 Notes, net of underwriting discounts and estimated offering costs, were approximately $147.1 million. We used the net proceeds of the 2023 Notes to repay outstanding indebtedness under the Revolving Credit Facility.</w:t>
      </w:r>
    </w:p>
    <w:p>
      <w:pPr>
        <w:spacing w:after="0" w:line="184" w:lineRule="exact"/>
        <w:rPr>
          <w:sz w:val="20"/>
          <w:szCs w:val="20"/>
          <w:color w:val="auto"/>
        </w:rPr>
      </w:pPr>
    </w:p>
    <w:p>
      <w:pPr>
        <w:ind w:left="200" w:right="22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notes offering, we entered into an interest rate swap to better align the interest rates of our liabilities with our investment portfolio, which consists of predominately floating rate loans. As a result of the swap, our effective interest rate on the 2023 Notes is three-month LIBOR plus 199 basis points. The swap transaction matures on January 22, 2023.</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Portfolio Company Commitments</w:t>
      </w:r>
    </w:p>
    <w:p>
      <w:pPr>
        <w:spacing w:after="0" w:line="121"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00"/>
          </w:cols>
          <w:pgMar w:left="240" w:top="455" w:right="45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82" w:lineRule="auto"/>
        <w:rPr>
          <w:sz w:val="20"/>
          <w:szCs w:val="20"/>
          <w:color w:val="auto"/>
        </w:rPr>
      </w:pPr>
      <w:r>
        <w:rPr>
          <w:rFonts w:ascii="Times New Roman" w:cs="Times New Roman" w:eastAsia="Times New Roman" w:hAnsi="Times New Roman"/>
          <w:sz w:val="18"/>
          <w:szCs w:val="18"/>
          <w:color w:val="auto"/>
        </w:rPr>
        <w:t>commitments generally have a shorter availability period than the term of the associated loan agreement. As of December 31, 2017 and 2016, we had the following commitments to fund investments in current portfolio companies:</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7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40" w:type="dxa"/>
            <w:vAlign w:val="bottom"/>
            <w:gridSpan w:val="4"/>
          </w:tcPr>
          <w:p>
            <w:pPr>
              <w:ind w:left="9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4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2017</w:t>
            </w: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AppStar Financial, LLC—Revolver</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9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Clarabridge, Inc.—Revolver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CrunchTime Information Systems, Inc.—Delayed Draw</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CrunchTime Information Systems, Inc.—Revolver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Ecommerce Industries, Inc. - Revolver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Frontline Technologies Group LLC—Delayed Draw</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Heartland Automotive Holdings, LLC—Revolver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Helix Health Ltd.—Revolver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Illuminate Education, Inc.—Revolver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Industrial Physics LLC—Revolver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IRGSE Holding Corp.—Revolver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Lithium Technologies LLC—Revolver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Leaf US Holdings, Inc.—Revolver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Marketo, Inc.—Revolver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Northern Oil &amp; Gas—Delayed Draw</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My Alarm Center, LLC—Delayed Draw</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Network Merchants, Inc.—Revolver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PayLease, LLC—Revolver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PaySimple—Revolver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Rex Energy Corporation—Delayed Draw</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Riskonnect, Inc.—Revolver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Sailpoint Technologies, Inc.—Revolver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ScentAir Technologies, Inc.—Revolver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Sovos Compliance, LLC—Delayed Draw</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Sovos Compliance, LLC—Revolver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9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Portfolio Company Commitments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96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121" w:lineRule="exact"/>
        <w:rPr>
          <w:sz w:val="20"/>
          <w:szCs w:val="20"/>
          <w:color w:val="auto"/>
        </w:rPr>
      </w:pPr>
    </w:p>
    <w:p>
      <w:pPr>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As of December 31, 2017, we did not have any unfunded commitments to fund investments to new borrowers that were not current portfolio companies as of such date. As of December 31, 2016, we had additional unfunded commitments of $50.0 million to fund investments to new borrowers that were not current portfolio companies as of such date.</w:t>
      </w:r>
    </w:p>
    <w:p>
      <w:pPr>
        <w:spacing w:after="0" w:line="176" w:lineRule="exact"/>
        <w:rPr>
          <w:sz w:val="20"/>
          <w:szCs w:val="20"/>
          <w:color w:val="auto"/>
        </w:rPr>
      </w:pPr>
    </w:p>
    <w:p>
      <w:pPr>
        <w:ind w:left="200" w:right="200" w:firstLine="441"/>
        <w:spacing w:after="0" w:line="282" w:lineRule="auto"/>
        <w:rPr>
          <w:sz w:val="20"/>
          <w:szCs w:val="20"/>
          <w:color w:val="auto"/>
        </w:rPr>
      </w:pPr>
      <w:r>
        <w:rPr>
          <w:rFonts w:ascii="Times New Roman" w:cs="Times New Roman" w:eastAsia="Times New Roman" w:hAnsi="Times New Roman"/>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62"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the fees and expenses associated with performing compliance functions and our allocable portion of the compensation of our Chief Compliance Officer, Chief Financial Officer and other professionals who spend time on those related activities (based on a percentage of time those</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20"/>
          </w:cols>
          <w:pgMar w:left="240" w:top="455" w:right="4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82" w:lineRule="auto"/>
        <w:rPr>
          <w:sz w:val="20"/>
          <w:szCs w:val="20"/>
          <w:color w:val="auto"/>
        </w:rPr>
      </w:pPr>
      <w:r>
        <w:rPr>
          <w:rFonts w:ascii="Times New Roman" w:cs="Times New Roman" w:eastAsia="Times New Roman" w:hAnsi="Times New Roman"/>
          <w:sz w:val="18"/>
          <w:szCs w:val="18"/>
          <w:color w:val="auto"/>
        </w:rPr>
        <w:t>individuals devote, on an estimated basis, to our business and affairs). Our Adviser also offers on our behalf significant managerial assistance to those portfolio companies to which we are required to offer to provide such assistance.</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summary of our contractual payment obligations as of December 31, 2017 is as follows:</w:t>
      </w: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0" w:type="dxa"/>
            <w:vAlign w:val="bottom"/>
          </w:tcPr>
          <w:p>
            <w:pPr>
              <w:spacing w:after="0"/>
              <w:rPr>
                <w:sz w:val="10"/>
                <w:szCs w:val="10"/>
                <w:color w:val="auto"/>
              </w:rPr>
            </w:pPr>
          </w:p>
        </w:tc>
        <w:tc>
          <w:tcPr>
            <w:tcW w:w="48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gridSpan w:val="3"/>
          </w:tcPr>
          <w:p>
            <w:pPr>
              <w:ind w:left="44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440" w:type="dxa"/>
            <w:vAlign w:val="bottom"/>
            <w:gridSpan w:val="4"/>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460" w:type="dxa"/>
            <w:vAlign w:val="bottom"/>
          </w:tcPr>
          <w:p>
            <w:pPr>
              <w:spacing w:after="0"/>
              <w:rPr>
                <w:sz w:val="10"/>
                <w:szCs w:val="10"/>
                <w:color w:val="auto"/>
              </w:rPr>
            </w:pPr>
          </w:p>
        </w:tc>
        <w:tc>
          <w:tcPr>
            <w:tcW w:w="4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After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5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440" w:type="dxa"/>
            <w:vAlign w:val="bottom"/>
            <w:gridSpan w:val="4"/>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96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$486.8</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$ 456.8</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2019 Convertible Senior Notes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Convertible Senior Notes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716.8</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$ 571.8</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right="440" w:firstLine="441"/>
        <w:spacing w:after="0" w:line="282" w:lineRule="auto"/>
        <w:rPr>
          <w:sz w:val="20"/>
          <w:szCs w:val="20"/>
          <w:color w:val="auto"/>
        </w:rPr>
      </w:pPr>
      <w:r>
        <w:rPr>
          <w:rFonts w:ascii="Times New Roman" w:cs="Times New Roman" w:eastAsia="Times New Roman" w:hAnsi="Times New Roman"/>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119" w:lineRule="exact"/>
        <w:rPr>
          <w:sz w:val="20"/>
          <w:szCs w:val="20"/>
          <w:color w:val="auto"/>
        </w:rPr>
      </w:pPr>
    </w:p>
    <w:p>
      <w:pPr>
        <w:ind w:left="200" w:right="200" w:firstLine="441"/>
        <w:spacing w:after="0" w:line="313" w:lineRule="auto"/>
        <w:rPr>
          <w:sz w:val="20"/>
          <w:szCs w:val="20"/>
          <w:color w:val="auto"/>
        </w:rPr>
      </w:pPr>
      <w:r>
        <w:rPr>
          <w:rFonts w:ascii="Times New Roman" w:cs="Times New Roman" w:eastAsia="Times New Roman" w:hAnsi="Times New Roman"/>
          <w:sz w:val="17"/>
          <w:szCs w:val="17"/>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44" w:lineRule="exact"/>
        <w:rPr>
          <w:sz w:val="20"/>
          <w:szCs w:val="20"/>
          <w:color w:val="auto"/>
        </w:rPr>
      </w:pPr>
    </w:p>
    <w:p>
      <w:pPr>
        <w:ind w:left="1060" w:right="300" w:hanging="316"/>
        <w:spacing w:after="0" w:line="282" w:lineRule="auto"/>
        <w:tabs>
          <w:tab w:leader="none" w:pos="10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67" w:lineRule="exact"/>
        <w:rPr>
          <w:rFonts w:ascii="Times New Roman" w:cs="Times New Roman" w:eastAsia="Times New Roman" w:hAnsi="Times New Roman"/>
          <w:sz w:val="18"/>
          <w:szCs w:val="18"/>
          <w:color w:val="auto"/>
        </w:rPr>
      </w:pPr>
    </w:p>
    <w:p>
      <w:pPr>
        <w:ind w:left="1060" w:right="320" w:hanging="316"/>
        <w:spacing w:after="0" w:line="282" w:lineRule="auto"/>
        <w:tabs>
          <w:tab w:leader="none" w:pos="10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tax-exempt interest income (which is the excess of our gross tax-exempt interest income over certain disallowed deductions) for such taxable year.</w:t>
      </w:r>
    </w:p>
    <w:p>
      <w:pPr>
        <w:spacing w:after="0" w:line="162" w:lineRule="exact"/>
        <w:rPr>
          <w:sz w:val="20"/>
          <w:szCs w:val="20"/>
          <w:color w:val="auto"/>
        </w:rPr>
      </w:pPr>
    </w:p>
    <w:p>
      <w:pPr>
        <w:ind w:left="200" w:right="220" w:firstLine="441"/>
        <w:spacing w:after="0" w:line="282" w:lineRule="auto"/>
        <w:rPr>
          <w:sz w:val="20"/>
          <w:szCs w:val="20"/>
          <w:color w:val="auto"/>
        </w:rPr>
      </w:pPr>
      <w:r>
        <w:rPr>
          <w:rFonts w:ascii="Times New Roman" w:cs="Times New Roman" w:eastAsia="Times New Roman" w:hAnsi="Times New Roman"/>
          <w:sz w:val="18"/>
          <w:szCs w:val="18"/>
          <w:color w:val="auto"/>
        </w:rPr>
        <w:t>As a RIC, we (but not our stockholders) generally will not be subject to U.S. federal income tax on investment company taxable income and net capital gains that we distribute to our stockholders.</w:t>
      </w:r>
    </w:p>
    <w:p>
      <w:pPr>
        <w:spacing w:after="0" w:line="162" w:lineRule="exact"/>
        <w:rPr>
          <w:sz w:val="20"/>
          <w:szCs w:val="20"/>
          <w:color w:val="auto"/>
        </w:rPr>
      </w:pPr>
    </w:p>
    <w:p>
      <w:pPr>
        <w:ind w:left="200" w:right="200" w:firstLine="441"/>
        <w:spacing w:after="0" w:line="266" w:lineRule="auto"/>
        <w:rPr>
          <w:sz w:val="20"/>
          <w:szCs w:val="20"/>
          <w:color w:val="auto"/>
        </w:rPr>
      </w:pPr>
      <w:r>
        <w:rPr>
          <w:rFonts w:ascii="Times New Roman" w:cs="Times New Roman" w:eastAsia="Times New Roman" w:hAnsi="Times New Roman"/>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76" w:lineRule="exact"/>
        <w:rPr>
          <w:sz w:val="20"/>
          <w:szCs w:val="20"/>
          <w:color w:val="auto"/>
        </w:rPr>
      </w:pPr>
    </w:p>
    <w:p>
      <w:pPr>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82" w:lineRule="exact"/>
        <w:rPr>
          <w:sz w:val="20"/>
          <w:szCs w:val="20"/>
          <w:color w:val="auto"/>
        </w:rPr>
      </w:pPr>
    </w:p>
    <w:p>
      <w:pPr>
        <w:ind w:left="1060" w:hanging="316"/>
        <w:spacing w:after="0"/>
        <w:tabs>
          <w:tab w:leader="none" w:pos="10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or losses for that calendar year;</w:t>
      </w:r>
    </w:p>
    <w:p>
      <w:pPr>
        <w:spacing w:after="0" w:line="130" w:lineRule="exact"/>
        <w:rPr>
          <w:rFonts w:ascii="Times New Roman" w:cs="Times New Roman" w:eastAsia="Times New Roman" w:hAnsi="Times New Roman"/>
          <w:sz w:val="18"/>
          <w:szCs w:val="18"/>
          <w:color w:val="auto"/>
        </w:rPr>
      </w:pPr>
    </w:p>
    <w:p>
      <w:pPr>
        <w:ind w:left="1060" w:right="460" w:hanging="316"/>
        <w:spacing w:after="0" w:line="282" w:lineRule="auto"/>
        <w:tabs>
          <w:tab w:leader="none" w:pos="10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that calendar year; and</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ind w:left="200" w:right="280" w:firstLine="441"/>
        <w:spacing w:after="0" w:line="266" w:lineRule="auto"/>
        <w:rPr>
          <w:sz w:val="20"/>
          <w:szCs w:val="20"/>
          <w:color w:val="auto"/>
        </w:rPr>
      </w:pPr>
      <w:r>
        <w:rPr>
          <w:rFonts w:ascii="Times New Roman" w:cs="Times New Roman" w:eastAsia="Times New Roman" w:hAnsi="Times New Roman"/>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240" w:top="455" w:right="41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441"/>
        <w:spacing w:after="0" w:line="266" w:lineRule="auto"/>
        <w:rPr>
          <w:sz w:val="20"/>
          <w:szCs w:val="20"/>
          <w:color w:val="auto"/>
        </w:rPr>
      </w:pPr>
      <w:r>
        <w:rPr>
          <w:rFonts w:ascii="Times New Roman" w:cs="Times New Roman" w:eastAsia="Times New Roman" w:hAnsi="Times New Roman"/>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76"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80" w:lineRule="exact"/>
        <w:rPr>
          <w:sz w:val="20"/>
          <w:szCs w:val="20"/>
          <w:color w:val="auto"/>
        </w:rPr>
      </w:pPr>
    </w:p>
    <w:p>
      <w:pPr>
        <w:ind w:left="200" w:right="180" w:firstLine="441"/>
        <w:spacing w:after="0" w:line="261" w:lineRule="auto"/>
        <w:rPr>
          <w:sz w:val="20"/>
          <w:szCs w:val="20"/>
          <w:color w:val="auto"/>
        </w:rPr>
      </w:pPr>
      <w:r>
        <w:rPr>
          <w:rFonts w:ascii="Times New Roman" w:cs="Times New Roman" w:eastAsia="Times New Roman" w:hAnsi="Times New Roman"/>
          <w:sz w:val="18"/>
          <w:szCs w:val="18"/>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Related-Party Transactions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have entered into a number of business relationships with affiliated or related parties, including the following:</w:t>
      </w:r>
    </w:p>
    <w:p>
      <w:pPr>
        <w:spacing w:after="0" w:line="131" w:lineRule="exact"/>
        <w:rPr>
          <w:sz w:val="20"/>
          <w:szCs w:val="20"/>
          <w:color w:val="auto"/>
        </w:rPr>
      </w:pPr>
    </w:p>
    <w:p>
      <w:pPr>
        <w:ind w:left="1060" w:hanging="316"/>
        <w:spacing w:after="0"/>
        <w:tabs>
          <w:tab w:leader="none" w:pos="10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Advisory Agreement;</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Administration Agreement; and</w:t>
      </w:r>
    </w:p>
    <w:p>
      <w:pPr>
        <w:spacing w:after="0" w:line="130" w:lineRule="exact"/>
        <w:rPr>
          <w:rFonts w:ascii="Times New Roman" w:cs="Times New Roman" w:eastAsia="Times New Roman" w:hAnsi="Times New Roman"/>
          <w:sz w:val="18"/>
          <w:szCs w:val="18"/>
          <w:color w:val="auto"/>
        </w:rPr>
      </w:pPr>
    </w:p>
    <w:p>
      <w:pPr>
        <w:ind w:left="1060" w:hanging="316"/>
        <w:spacing w:after="0" w:line="266" w:lineRule="auto"/>
        <w:tabs>
          <w:tab w:leader="none" w:pos="10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are subject to financial market risks, including valuation risk, interest rate risk and currency risk.</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Valuation Risk</w:t>
      </w:r>
    </w:p>
    <w:p>
      <w:pPr>
        <w:spacing w:after="0" w:line="121" w:lineRule="exact"/>
        <w:rPr>
          <w:sz w:val="20"/>
          <w:szCs w:val="20"/>
          <w:color w:val="auto"/>
        </w:rPr>
      </w:pPr>
    </w:p>
    <w:p>
      <w:pPr>
        <w:ind w:left="200" w:right="80" w:firstLine="441"/>
        <w:spacing w:after="0" w:line="256" w:lineRule="auto"/>
        <w:rPr>
          <w:sz w:val="20"/>
          <w:szCs w:val="20"/>
          <w:color w:val="auto"/>
        </w:rPr>
      </w:pPr>
      <w:r>
        <w:rPr>
          <w:rFonts w:ascii="Times New Roman" w:cs="Times New Roman" w:eastAsia="Times New Roman" w:hAnsi="Times New Roman"/>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20"/>
          </w:cols>
          <w:pgMar w:left="240" w:top="455" w:right="4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66" w:lineRule="auto"/>
        <w:rPr>
          <w:sz w:val="20"/>
          <w:szCs w:val="20"/>
          <w:color w:val="auto"/>
        </w:rPr>
      </w:pPr>
      <w:r>
        <w:rPr>
          <w:rFonts w:ascii="Times New Roman" w:cs="Times New Roman" w:eastAsia="Times New Roman" w:hAnsi="Times New Roman"/>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76"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As of December 31, 2017, all of our debt investments based on fair value in our portfolio bore interest at floating rates (when including investment specific hedges), with 93.3% of these subject to interest rate floors. Our credit facilities also bear interest at floating rates, and in connection with our Convertible Senior Notes, which bear interest at fixed rates; we entered into fixed-to-floating interest rate swaps in order to continue to align the interest rates of our liabilities with our investment portfolio.</w:t>
      </w:r>
    </w:p>
    <w:p>
      <w:pPr>
        <w:spacing w:after="0" w:line="180" w:lineRule="exact"/>
        <w:rPr>
          <w:sz w:val="20"/>
          <w:szCs w:val="20"/>
          <w:color w:val="auto"/>
        </w:rPr>
      </w:pPr>
    </w:p>
    <w:p>
      <w:pPr>
        <w:ind w:left="200" w:right="200" w:firstLine="441"/>
        <w:spacing w:after="0" w:line="266" w:lineRule="auto"/>
        <w:rPr>
          <w:sz w:val="20"/>
          <w:szCs w:val="20"/>
          <w:color w:val="auto"/>
        </w:rPr>
      </w:pPr>
      <w:r>
        <w:rPr>
          <w:rFonts w:ascii="Times New Roman" w:cs="Times New Roman" w:eastAsia="Times New Roman" w:hAnsi="Times New Roman"/>
          <w:sz w:val="18"/>
          <w:szCs w:val="18"/>
          <w:color w:val="auto"/>
        </w:rPr>
        <w:t>Assuming that our consolidated balance sheet as of December 31, 2017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84"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3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700" w:type="dxa"/>
            <w:vAlign w:val="bottom"/>
            <w:vMerge w:val="restart"/>
          </w:tcPr>
          <w:p>
            <w:pPr>
              <w:spacing w:after="0"/>
              <w:rPr>
                <w:sz w:val="13"/>
                <w:szCs w:val="13"/>
                <w:color w:val="auto"/>
              </w:rPr>
            </w:pPr>
          </w:p>
        </w:tc>
        <w:tc>
          <w:tcPr>
            <w:tcW w:w="142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700" w:type="dxa"/>
            <w:vAlign w:val="bottom"/>
            <w:vMerge w:val="restart"/>
          </w:tcPr>
          <w:p>
            <w:pPr>
              <w:spacing w:after="0"/>
              <w:rPr>
                <w:sz w:val="13"/>
                <w:szCs w:val="13"/>
                <w:color w:val="auto"/>
              </w:rPr>
            </w:pPr>
          </w:p>
        </w:tc>
        <w:tc>
          <w:tcPr>
            <w:tcW w:w="110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193"/>
        </w:trPr>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Basis Point Change</w:t>
            </w:r>
          </w:p>
        </w:tc>
        <w:tc>
          <w:tcPr>
            <w:tcW w:w="28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70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Up 300 basis points</w:t>
            </w:r>
          </w:p>
        </w:tc>
        <w:tc>
          <w:tcPr>
            <w:tcW w:w="1340" w:type="dxa"/>
            <w:vAlign w:val="bottom"/>
            <w:shd w:val="clear" w:color="auto" w:fill="CCEEFF"/>
          </w:tcPr>
          <w:p>
            <w:pPr>
              <w:ind w:left="460"/>
              <w:spacing w:after="0" w:line="189" w:lineRule="exact"/>
              <w:rPr>
                <w:sz w:val="20"/>
                <w:szCs w:val="20"/>
                <w:color w:val="auto"/>
              </w:rPr>
            </w:pPr>
            <w:r>
              <w:rPr>
                <w:rFonts w:ascii="Times New Roman" w:cs="Times New Roman" w:eastAsia="Times New Roman" w:hAnsi="Times New Roman"/>
                <w:sz w:val="18"/>
                <w:szCs w:val="18"/>
                <w:color w:val="auto"/>
              </w:rPr>
              <w:t>$49.4</w:t>
            </w:r>
          </w:p>
        </w:tc>
        <w:tc>
          <w:tcPr>
            <w:tcW w:w="7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410"/>
              <w:spacing w:after="0" w:line="189" w:lineRule="exact"/>
              <w:rPr>
                <w:sz w:val="20"/>
                <w:szCs w:val="20"/>
                <w:color w:val="auto"/>
              </w:rPr>
            </w:pPr>
            <w:r>
              <w:rPr>
                <w:rFonts w:ascii="Times New Roman" w:cs="Times New Roman" w:eastAsia="Times New Roman" w:hAnsi="Times New Roman"/>
                <w:sz w:val="18"/>
                <w:szCs w:val="18"/>
                <w:color w:val="auto"/>
                <w:w w:val="95"/>
              </w:rPr>
              <w:t>21.5</w:t>
            </w:r>
          </w:p>
        </w:tc>
        <w:tc>
          <w:tcPr>
            <w:tcW w:w="7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250"/>
              <w:spacing w:after="0" w:line="189" w:lineRule="exact"/>
              <w:rPr>
                <w:sz w:val="20"/>
                <w:szCs w:val="20"/>
                <w:color w:val="auto"/>
              </w:rPr>
            </w:pPr>
            <w:r>
              <w:rPr>
                <w:rFonts w:ascii="Times New Roman" w:cs="Times New Roman" w:eastAsia="Times New Roman" w:hAnsi="Times New Roman"/>
                <w:sz w:val="18"/>
                <w:szCs w:val="18"/>
                <w:color w:val="auto"/>
                <w:w w:val="95"/>
              </w:rPr>
              <w:t>27.9</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 200 basis points</w:t>
            </w:r>
          </w:p>
        </w:tc>
        <w:tc>
          <w:tcPr>
            <w:tcW w:w="1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$32.9</w:t>
            </w:r>
          </w:p>
        </w:tc>
        <w:tc>
          <w:tcPr>
            <w:tcW w:w="7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5"/>
              </w:rPr>
              <w:t>14.3</w:t>
            </w:r>
          </w:p>
        </w:tc>
        <w:tc>
          <w:tcPr>
            <w:tcW w:w="7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5"/>
              </w:rPr>
              <w:t>18.6</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Up 100 basis points</w:t>
            </w:r>
          </w:p>
        </w:tc>
        <w:tc>
          <w:tcPr>
            <w:tcW w:w="1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$16.5</w:t>
            </w: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7.2</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4"/>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Down 25 basis points</w:t>
            </w:r>
          </w:p>
        </w:tc>
        <w:tc>
          <w:tcPr>
            <w:tcW w:w="1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(4.1)</w:t>
            </w:r>
          </w:p>
        </w:tc>
        <w:tc>
          <w:tcPr>
            <w:tcW w:w="7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(1.6)</w:t>
            </w:r>
          </w:p>
        </w:tc>
        <w:tc>
          <w:tcPr>
            <w:tcW w:w="7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00" w:right="240" w:firstLine="441"/>
        <w:spacing w:after="0" w:line="266" w:lineRule="auto"/>
        <w:rPr>
          <w:sz w:val="20"/>
          <w:szCs w:val="20"/>
          <w:color w:val="auto"/>
        </w:rPr>
      </w:pPr>
      <w:r>
        <w:rPr>
          <w:rFonts w:ascii="Times New Roman" w:cs="Times New Roman" w:eastAsia="Times New Roman" w:hAnsi="Times New Roman"/>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76" w:lineRule="exact"/>
        <w:rPr>
          <w:sz w:val="20"/>
          <w:szCs w:val="20"/>
          <w:color w:val="auto"/>
        </w:rPr>
      </w:pPr>
    </w:p>
    <w:p>
      <w:pPr>
        <w:ind w:left="200" w:right="120" w:firstLine="441"/>
        <w:spacing w:after="0" w:line="261" w:lineRule="auto"/>
        <w:rPr>
          <w:sz w:val="20"/>
          <w:szCs w:val="20"/>
          <w:color w:val="auto"/>
        </w:rPr>
      </w:pPr>
      <w:r>
        <w:rPr>
          <w:rFonts w:ascii="Times New Roman" w:cs="Times New Roman" w:eastAsia="Times New Roman" w:hAnsi="Times New Roman"/>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lower interest rates with respect to our portfolio investments.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121"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20"/>
          </w:cols>
          <w:pgMar w:left="240" w:top="455" w:right="4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82" w:lineRule="auto"/>
        <w:rPr>
          <w:sz w:val="20"/>
          <w:szCs w:val="20"/>
          <w:color w:val="auto"/>
        </w:rPr>
      </w:pPr>
      <w:r>
        <w:rPr>
          <w:rFonts w:ascii="Times New Roman" w:cs="Times New Roman" w:eastAsia="Times New Roman" w:hAnsi="Times New Roman"/>
          <w:sz w:val="18"/>
          <w:szCs w:val="18"/>
          <w:color w:val="auto"/>
        </w:rPr>
        <w:t>differ. Our critical accounting policies, including those relating to the valuation of our investment portfolio, are described below. The critical accounting policies should be read in connection with our risk factors as disclosed in “Risk Factors” in this prospectus.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Investments at Fair Value</w:t>
      </w:r>
    </w:p>
    <w:p>
      <w:pPr>
        <w:spacing w:after="0" w:line="121" w:lineRule="exact"/>
        <w:rPr>
          <w:sz w:val="20"/>
          <w:szCs w:val="20"/>
          <w:color w:val="auto"/>
        </w:rPr>
      </w:pPr>
    </w:p>
    <w:p>
      <w:pPr>
        <w:ind w:left="200" w:right="80" w:firstLine="441"/>
        <w:spacing w:after="0" w:line="277" w:lineRule="auto"/>
        <w:rPr>
          <w:sz w:val="20"/>
          <w:szCs w:val="20"/>
          <w:color w:val="auto"/>
        </w:rPr>
      </w:pPr>
      <w:r>
        <w:rPr>
          <w:rFonts w:ascii="Times New Roman" w:cs="Times New Roman" w:eastAsia="Times New Roman" w:hAnsi="Times New Roman"/>
          <w:sz w:val="17"/>
          <w:szCs w:val="17"/>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68" w:lineRule="exact"/>
        <w:rPr>
          <w:sz w:val="20"/>
          <w:szCs w:val="20"/>
          <w:color w:val="auto"/>
        </w:rPr>
      </w:pPr>
    </w:p>
    <w:p>
      <w:pPr>
        <w:ind w:left="200" w:right="180" w:firstLine="441"/>
        <w:spacing w:after="0" w:line="258" w:lineRule="auto"/>
        <w:rPr>
          <w:sz w:val="20"/>
          <w:szCs w:val="20"/>
          <w:color w:val="auto"/>
        </w:rPr>
      </w:pPr>
      <w:r>
        <w:rPr>
          <w:rFonts w:ascii="Times New Roman" w:cs="Times New Roman" w:eastAsia="Times New Roman" w:hAnsi="Times New Roman"/>
          <w:sz w:val="18"/>
          <w:szCs w:val="18"/>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18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As part of the valuation process, the Board takes into account relevant factors in determining the fair value of our investments, including:</w:t>
      </w:r>
    </w:p>
    <w:p>
      <w:pPr>
        <w:spacing w:after="0" w:line="131" w:lineRule="exact"/>
        <w:rPr>
          <w:sz w:val="20"/>
          <w:szCs w:val="20"/>
          <w:color w:val="auto"/>
        </w:rPr>
      </w:pPr>
    </w:p>
    <w:p>
      <w:pPr>
        <w:ind w:left="1060" w:hanging="316"/>
        <w:spacing w:after="0"/>
        <w:tabs>
          <w:tab w:leader="none" w:pos="10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enterprise value of a portfolio company (that is, the total fair value of the portfolio company’s debt and equity);</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realizable value of any collateral;</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portfolio company’s ability to make payments based on its earnings and cash flow;</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the portfolio company does business;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comparison of the portfolio company’s securities to any similar publicly traded securities; and</w:t>
      </w:r>
    </w:p>
    <w:p>
      <w:pPr>
        <w:spacing w:after="0" w:line="130" w:lineRule="exact"/>
        <w:rPr>
          <w:rFonts w:ascii="Times New Roman" w:cs="Times New Roman" w:eastAsia="Times New Roman" w:hAnsi="Times New Roman"/>
          <w:sz w:val="18"/>
          <w:szCs w:val="18"/>
          <w:color w:val="auto"/>
        </w:rPr>
      </w:pPr>
    </w:p>
    <w:p>
      <w:pPr>
        <w:ind w:left="1060" w:hanging="316"/>
        <w:spacing w:after="0" w:line="282" w:lineRule="auto"/>
        <w:tabs>
          <w:tab w:leader="none" w:pos="10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changes in the interest rate environment and the credit markets that may affect the price at which similar investments may be made in the future.</w:t>
      </w:r>
    </w:p>
    <w:p>
      <w:pPr>
        <w:spacing w:after="0" w:line="162" w:lineRule="exact"/>
        <w:rPr>
          <w:sz w:val="20"/>
          <w:szCs w:val="20"/>
          <w:color w:val="auto"/>
        </w:rPr>
      </w:pPr>
    </w:p>
    <w:p>
      <w:pPr>
        <w:ind w:left="200" w:right="120" w:firstLine="441"/>
        <w:spacing w:after="0" w:line="282" w:lineRule="auto"/>
        <w:rPr>
          <w:sz w:val="20"/>
          <w:szCs w:val="20"/>
          <w:color w:val="auto"/>
        </w:rPr>
      </w:pPr>
      <w:r>
        <w:rPr>
          <w:rFonts w:ascii="Times New Roman" w:cs="Times New Roman" w:eastAsia="Times New Roman" w:hAnsi="Times New Roman"/>
          <w:sz w:val="18"/>
          <w:szCs w:val="18"/>
          <w:color w:val="auto"/>
        </w:rPr>
        <w:t>When an external event, such as a purchase transaction, public offering or subsequent equity sale occurs, the Board considers whether the pricing indicated by the external event corroborates our valuation.</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1060" w:right="520" w:hanging="316"/>
        <w:spacing w:after="0" w:line="282" w:lineRule="auto"/>
        <w:tabs>
          <w:tab w:leader="none" w:pos="10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7" w:lineRule="exact"/>
        <w:rPr>
          <w:rFonts w:ascii="Times New Roman" w:cs="Times New Roman" w:eastAsia="Times New Roman" w:hAnsi="Times New Roman"/>
          <w:sz w:val="18"/>
          <w:szCs w:val="18"/>
          <w:color w:val="auto"/>
        </w:rPr>
      </w:pPr>
    </w:p>
    <w:p>
      <w:pPr>
        <w:ind w:left="1060" w:right="80" w:hanging="316"/>
        <w:spacing w:after="0" w:line="282" w:lineRule="auto"/>
        <w:tabs>
          <w:tab w:leader="none" w:pos="10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management reviews the preliminary valuations with the investment professionals. Agreed-upon valuation recommendations are presented to the Audit Committee.</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reviews the valuations presented and recommends values for each investment to the Board.</w:t>
      </w:r>
    </w:p>
    <w:p>
      <w:pPr>
        <w:spacing w:after="0" w:line="130" w:lineRule="exact"/>
        <w:rPr>
          <w:rFonts w:ascii="Times New Roman" w:cs="Times New Roman" w:eastAsia="Times New Roman" w:hAnsi="Times New Roman"/>
          <w:sz w:val="18"/>
          <w:szCs w:val="18"/>
          <w:color w:val="auto"/>
        </w:rPr>
      </w:pPr>
    </w:p>
    <w:p>
      <w:pPr>
        <w:jc w:val="both"/>
        <w:ind w:left="1060" w:right="220" w:hanging="316"/>
        <w:spacing w:after="0" w:line="266" w:lineRule="auto"/>
        <w:tabs>
          <w:tab w:leader="none" w:pos="10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20"/>
          </w:cols>
          <w:pgMar w:left="240" w:top="455" w:right="4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conduct this valuation process on a quarterly basis.</w:t>
      </w:r>
    </w:p>
    <w:p>
      <w:pPr>
        <w:spacing w:after="0" w:line="225" w:lineRule="exact"/>
        <w:rPr>
          <w:sz w:val="20"/>
          <w:szCs w:val="20"/>
          <w:color w:val="auto"/>
        </w:rPr>
      </w:pPr>
    </w:p>
    <w:p>
      <w:pPr>
        <w:ind w:left="200" w:right="740" w:firstLine="441"/>
        <w:spacing w:after="0" w:line="282" w:lineRule="auto"/>
        <w:rPr>
          <w:sz w:val="20"/>
          <w:szCs w:val="20"/>
          <w:color w:val="auto"/>
        </w:rPr>
      </w:pPr>
      <w:r>
        <w:rPr>
          <w:rFonts w:ascii="Times New Roman" w:cs="Times New Roman" w:eastAsia="Times New Roman" w:hAnsi="Times New Roman"/>
          <w:sz w:val="18"/>
          <w:szCs w:val="18"/>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w:t>
      </w:r>
    </w:p>
    <w:p>
      <w:pPr>
        <w:spacing w:after="0" w:line="160" w:lineRule="exact"/>
        <w:rPr>
          <w:sz w:val="20"/>
          <w:szCs w:val="20"/>
          <w:color w:val="auto"/>
        </w:rPr>
      </w:pPr>
    </w:p>
    <w:p>
      <w:pPr>
        <w:ind w:left="200" w:right="60" w:firstLine="441"/>
        <w:spacing w:after="0" w:line="256" w:lineRule="auto"/>
        <w:rPr>
          <w:sz w:val="20"/>
          <w:szCs w:val="20"/>
          <w:color w:val="auto"/>
        </w:rPr>
      </w:pPr>
      <w:r>
        <w:rPr>
          <w:rFonts w:ascii="Times New Roman" w:cs="Times New Roman" w:eastAsia="Times New Roman" w:hAnsi="Times New Roman"/>
          <w:sz w:val="18"/>
          <w:szCs w:val="18"/>
          <w:color w:val="auto"/>
        </w:rPr>
        <w:t xml:space="preserve">We apply Financial Accounting Standards Board Accounting Standards Codification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our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91" w:lineRule="exact"/>
        <w:rPr>
          <w:sz w:val="20"/>
          <w:szCs w:val="20"/>
          <w:color w:val="auto"/>
        </w:rPr>
      </w:pPr>
    </w:p>
    <w:p>
      <w:pPr>
        <w:ind w:left="1060" w:hanging="316"/>
        <w:spacing w:after="0"/>
        <w:tabs>
          <w:tab w:leader="none" w:pos="10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quoted prices in active markets for identical assets or liabilities that we have the ability to access.</w:t>
      </w:r>
    </w:p>
    <w:p>
      <w:pPr>
        <w:spacing w:after="0" w:line="130" w:lineRule="exact"/>
        <w:rPr>
          <w:rFonts w:ascii="Times New Roman" w:cs="Times New Roman" w:eastAsia="Times New Roman" w:hAnsi="Times New Roman"/>
          <w:sz w:val="18"/>
          <w:szCs w:val="18"/>
          <w:color w:val="auto"/>
        </w:rPr>
      </w:pPr>
    </w:p>
    <w:p>
      <w:pPr>
        <w:ind w:left="1060" w:right="20" w:hanging="316"/>
        <w:spacing w:after="0" w:line="282" w:lineRule="auto"/>
        <w:tabs>
          <w:tab w:leader="none" w:pos="10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in markets that are not active or for which all significant inputs are observable, either directly or indirectly.</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 In addition to using the above inputs in investment valuations, we apply the valuation policy approved by our Board that is consistent with ASC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85" w:lineRule="exact"/>
        <w:rPr>
          <w:sz w:val="20"/>
          <w:szCs w:val="20"/>
          <w:color w:val="auto"/>
        </w:rPr>
      </w:pPr>
    </w:p>
    <w:p>
      <w:pPr>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See Note 6 to our consolidated financial statements included in this prospectus for more information on the fair value of our investments.</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Interest and Dividend Income Recognition</w:t>
      </w:r>
    </w:p>
    <w:p>
      <w:pPr>
        <w:spacing w:after="0" w:line="121" w:lineRule="exact"/>
        <w:rPr>
          <w:sz w:val="20"/>
          <w:szCs w:val="20"/>
          <w:color w:val="auto"/>
        </w:rPr>
      </w:pPr>
    </w:p>
    <w:p>
      <w:pPr>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76" w:lineRule="exact"/>
        <w:rPr>
          <w:sz w:val="20"/>
          <w:szCs w:val="20"/>
          <w:color w:val="auto"/>
        </w:rPr>
      </w:pPr>
    </w:p>
    <w:p>
      <w:pPr>
        <w:ind w:left="200" w:right="320" w:firstLine="441"/>
        <w:spacing w:after="0" w:line="282" w:lineRule="auto"/>
        <w:rPr>
          <w:sz w:val="20"/>
          <w:szCs w:val="20"/>
          <w:color w:val="auto"/>
        </w:rPr>
      </w:pPr>
      <w:r>
        <w:rPr>
          <w:rFonts w:ascii="Times New Roman" w:cs="Times New Roman" w:eastAsia="Times New Roman" w:hAnsi="Times New Roman"/>
          <w:sz w:val="18"/>
          <w:szCs w:val="18"/>
          <w:color w:val="auto"/>
        </w:rPr>
        <w:t>Loans are generally placed on non-accrual status when principal or interest payments are past due 30 days or more or when there is reasonable doubt that principal or interest will be collected in full. Accrued and unpaid</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20"/>
          </w:cols>
          <w:pgMar w:left="240" w:top="455" w:right="4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1" w:lineRule="auto"/>
        <w:rPr>
          <w:sz w:val="20"/>
          <w:szCs w:val="20"/>
          <w:color w:val="auto"/>
        </w:rPr>
      </w:pPr>
      <w:r>
        <w:rPr>
          <w:rFonts w:ascii="Times New Roman" w:cs="Times New Roman" w:eastAsia="Times New Roman" w:hAnsi="Times New Roman"/>
          <w:sz w:val="18"/>
          <w:szCs w:val="18"/>
          <w:color w:val="auto"/>
        </w:rPr>
        <w:t>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80" w:lineRule="exact"/>
        <w:rPr>
          <w:sz w:val="20"/>
          <w:szCs w:val="20"/>
          <w:color w:val="auto"/>
        </w:rPr>
      </w:pPr>
    </w:p>
    <w:p>
      <w:pPr>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76" w:lineRule="exact"/>
        <w:rPr>
          <w:sz w:val="20"/>
          <w:szCs w:val="20"/>
          <w:color w:val="auto"/>
        </w:rPr>
      </w:pPr>
    </w:p>
    <w:p>
      <w:pPr>
        <w:ind w:left="200" w:right="780" w:firstLine="441"/>
        <w:spacing w:after="0" w:line="282" w:lineRule="auto"/>
        <w:rPr>
          <w:sz w:val="20"/>
          <w:szCs w:val="20"/>
          <w:color w:val="auto"/>
        </w:rPr>
      </w:pPr>
      <w:r>
        <w:rPr>
          <w:rFonts w:ascii="Times New Roman" w:cs="Times New Roman" w:eastAsia="Times New Roman" w:hAnsi="Times New Roman"/>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Taxes</w:t>
      </w:r>
    </w:p>
    <w:p>
      <w:pPr>
        <w:spacing w:after="0" w:line="121" w:lineRule="exact"/>
        <w:rPr>
          <w:sz w:val="20"/>
          <w:szCs w:val="20"/>
          <w:color w:val="auto"/>
        </w:rPr>
      </w:pPr>
    </w:p>
    <w:p>
      <w:pPr>
        <w:ind w:left="200" w:right="140" w:firstLine="441"/>
        <w:spacing w:after="0" w:line="261" w:lineRule="auto"/>
        <w:rPr>
          <w:sz w:val="20"/>
          <w:szCs w:val="20"/>
          <w:color w:val="auto"/>
        </w:rPr>
      </w:pPr>
      <w:r>
        <w:rPr>
          <w:rFonts w:ascii="Times New Roman" w:cs="Times New Roman" w:eastAsia="Times New Roman" w:hAnsi="Times New Roman"/>
          <w:sz w:val="18"/>
          <w:szCs w:val="18"/>
          <w:color w:val="auto"/>
        </w:rPr>
        <w:t>We have elected to be treated as a BDC under the 1940 Act. We also have elected to be treated as a RIC under the Code. So long as we maintain our status as a RIC, we will generally not pay corporate-level U.S. federal income or excise taxes on any ordinary income or capital gains that we distribute at least annually to our stockholders as dividends. As a result, any tax liability related to income earned and distributed by us represents obligations of our stockholders and will not be reflected in our consolidated financial statements.</w:t>
      </w:r>
    </w:p>
    <w:p>
      <w:pPr>
        <w:spacing w:after="0" w:line="180" w:lineRule="exact"/>
        <w:rPr>
          <w:sz w:val="20"/>
          <w:szCs w:val="20"/>
          <w:color w:val="auto"/>
        </w:rPr>
      </w:pPr>
    </w:p>
    <w:p>
      <w:pPr>
        <w:ind w:left="200" w:right="80" w:firstLine="441"/>
        <w:spacing w:after="0" w:line="255" w:lineRule="auto"/>
        <w:rPr>
          <w:sz w:val="20"/>
          <w:szCs w:val="20"/>
          <w:color w:val="auto"/>
        </w:rPr>
      </w:pPr>
      <w:r>
        <w:rPr>
          <w:rFonts w:ascii="Times New Roman" w:cs="Times New Roman" w:eastAsia="Times New Roman" w:hAnsi="Times New Roman"/>
          <w:sz w:val="18"/>
          <w:szCs w:val="18"/>
          <w:color w:val="auto"/>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As of December 31, 2017, we did not have any uncertain tax positions that met the recognition or measurement criteria, nor did we have any unrecognized tax benefits. Conclusions regarding tax positions are subject to review and may be adjusted at a later date based on factors including on-going analyses of tax laws, regulations and interpretations thereof. Our 2016, 2015 and 2014 tax year returns remain subject to examination by the relevant federal, state, and local tax authorities.</w:t>
      </w:r>
    </w:p>
    <w:p>
      <w:pPr>
        <w:spacing w:after="0" w:line="189" w:lineRule="exact"/>
        <w:rPr>
          <w:sz w:val="20"/>
          <w:szCs w:val="20"/>
          <w:color w:val="auto"/>
        </w:rPr>
      </w:pPr>
    </w:p>
    <w:p>
      <w:pPr>
        <w:ind w:left="200" w:right="460" w:firstLine="441"/>
        <w:spacing w:after="0" w:line="282" w:lineRule="auto"/>
        <w:rPr>
          <w:sz w:val="20"/>
          <w:szCs w:val="20"/>
          <w:color w:val="auto"/>
        </w:rPr>
      </w:pPr>
      <w:r>
        <w:rPr>
          <w:rFonts w:ascii="Times New Roman" w:cs="Times New Roman" w:eastAsia="Times New Roman" w:hAnsi="Times New Roman"/>
          <w:sz w:val="18"/>
          <w:szCs w:val="18"/>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80"/>
          </w:cols>
          <w:pgMar w:left="240" w:top="455" w:right="47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SENIOR SECURITIES</w:t>
      </w:r>
    </w:p>
    <w:p>
      <w:pPr>
        <w:spacing w:after="0" w:line="229" w:lineRule="exact"/>
        <w:rPr>
          <w:sz w:val="20"/>
          <w:szCs w:val="20"/>
          <w:color w:val="auto"/>
        </w:rPr>
      </w:pPr>
    </w:p>
    <w:p>
      <w:pPr>
        <w:ind w:left="200" w:right="140" w:firstLine="441"/>
        <w:spacing w:after="0" w:line="266" w:lineRule="auto"/>
        <w:rPr>
          <w:sz w:val="20"/>
          <w:szCs w:val="20"/>
          <w:color w:val="auto"/>
        </w:rPr>
      </w:pPr>
      <w:r>
        <w:rPr>
          <w:rFonts w:ascii="Times New Roman" w:cs="Times New Roman" w:eastAsia="Times New Roman" w:hAnsi="Times New Roman"/>
          <w:sz w:val="18"/>
          <w:szCs w:val="18"/>
          <w:color w:val="auto"/>
        </w:rPr>
        <w:t>Information about our senior securities is shown in the following table as of the end of each fiscal year ended December 31 since we commenced operations. The report of our independent registered public accounting firm, KPMG LLP, on the senior securities table as of December 31, 2017 is attached as an exhibit to the registration statement of which this prospectus is a part.</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140" w:type="dxa"/>
            <w:vAlign w:val="bottom"/>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w w:val="99"/>
              </w:rPr>
              <w:t>Total Amount</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60" w:type="dxa"/>
            <w:vAlign w:val="bottom"/>
            <w:gridSpan w:val="2"/>
            <w:vMerge w:val="restart"/>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Exclusive of</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51"/>
              <w:spacing w:after="0" w:line="14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660" w:type="dxa"/>
            <w:vAlign w:val="bottom"/>
            <w:gridSpan w:val="3"/>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Asset Coverage</w:t>
            </w:r>
          </w:p>
        </w:tc>
        <w:tc>
          <w:tcPr>
            <w:tcW w:w="7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Liquidating</w:t>
            </w:r>
          </w:p>
        </w:tc>
        <w:tc>
          <w:tcPr>
            <w:tcW w:w="720" w:type="dxa"/>
            <w:vAlign w:val="bottom"/>
          </w:tcPr>
          <w:p>
            <w:pPr>
              <w:spacing w:after="0"/>
              <w:rPr>
                <w:sz w:val="12"/>
                <w:szCs w:val="12"/>
                <w:color w:val="auto"/>
              </w:rPr>
            </w:pP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Average Market</w:t>
            </w:r>
          </w:p>
        </w:tc>
        <w:tc>
          <w:tcPr>
            <w:tcW w:w="0" w:type="dxa"/>
            <w:vAlign w:val="bottom"/>
          </w:tcPr>
          <w:p>
            <w:pPr>
              <w:spacing w:after="0"/>
              <w:rPr>
                <w:sz w:val="1"/>
                <w:szCs w:val="1"/>
                <w:color w:val="auto"/>
              </w:rPr>
            </w:pPr>
          </w:p>
        </w:tc>
      </w:tr>
      <w:tr>
        <w:trPr>
          <w:trHeight w:val="149"/>
        </w:trPr>
        <w:tc>
          <w:tcPr>
            <w:tcW w:w="3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and Year/Period</w:t>
            </w:r>
          </w:p>
        </w:tc>
        <w:tc>
          <w:tcPr>
            <w:tcW w:w="128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r>
              <w:rPr>
                <w:rFonts w:ascii="Times New Roman" w:cs="Times New Roman" w:eastAsia="Times New Roman" w:hAnsi="Times New Roman"/>
                <w:sz w:val="12"/>
                <w:szCs w:val="12"/>
                <w:b w:val="1"/>
                <w:bCs w:val="1"/>
                <w:color w:val="auto"/>
              </w:rPr>
              <w:t>(1)</w:t>
            </w:r>
          </w:p>
        </w:tc>
        <w:tc>
          <w:tcPr>
            <w:tcW w:w="166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Preference</w:t>
            </w:r>
          </w:p>
        </w:tc>
        <w:tc>
          <w:tcPr>
            <w:tcW w:w="7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40" w:type="dxa"/>
            <w:vAlign w:val="bottom"/>
            <w:gridSpan w:val="2"/>
            <w:vMerge w:val="continue"/>
          </w:tcPr>
          <w:p>
            <w:pPr>
              <w:spacing w:after="0"/>
              <w:rPr>
                <w:sz w:val="15"/>
                <w:szCs w:val="15"/>
                <w:color w:val="auto"/>
              </w:rPr>
            </w:pPr>
          </w:p>
        </w:tc>
        <w:tc>
          <w:tcPr>
            <w:tcW w:w="2140" w:type="dxa"/>
            <w:vAlign w:val="bottom"/>
            <w:gridSpan w:val="3"/>
          </w:tcPr>
          <w:p>
            <w:pPr>
              <w:ind w:left="128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Per Unit</w:t>
            </w:r>
            <w:r>
              <w:rPr>
                <w:rFonts w:ascii="Times New Roman" w:cs="Times New Roman" w:eastAsia="Times New Roman" w:hAnsi="Times New Roman"/>
                <w:sz w:val="12"/>
                <w:szCs w:val="12"/>
                <w:b w:val="1"/>
                <w:bCs w:val="1"/>
                <w:color w:val="auto"/>
              </w:rPr>
              <w:t>(2)</w:t>
            </w:r>
          </w:p>
        </w:tc>
        <w:tc>
          <w:tcPr>
            <w:tcW w:w="7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 Unit</w:t>
            </w:r>
            <w:r>
              <w:rPr>
                <w:rFonts w:ascii="Times New Roman" w:cs="Times New Roman" w:eastAsia="Times New Roman" w:hAnsi="Times New Roman"/>
                <w:sz w:val="12"/>
                <w:szCs w:val="12"/>
                <w:b w:val="1"/>
                <w:bCs w:val="1"/>
                <w:color w:val="auto"/>
              </w:rPr>
              <w:t>(3)</w:t>
            </w:r>
          </w:p>
        </w:tc>
        <w:tc>
          <w:tcPr>
            <w:tcW w:w="18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Value Per Unit</w:t>
            </w:r>
            <w:r>
              <w:rPr>
                <w:rFonts w:ascii="Times New Roman" w:cs="Times New Roman" w:eastAsia="Times New Roman" w:hAnsi="Times New Roman"/>
                <w:sz w:val="12"/>
                <w:szCs w:val="12"/>
                <w:b w:val="1"/>
                <w:bCs w:val="1"/>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Credit Facilities</w:t>
            </w:r>
          </w:p>
        </w:tc>
        <w:tc>
          <w:tcPr>
            <w:tcW w:w="1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14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8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2,355.3</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140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8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2,376.6</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14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8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2,257.3</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140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8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3,110.3</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2013</w:t>
            </w:r>
          </w:p>
        </w:tc>
        <w:tc>
          <w:tcPr>
            <w:tcW w:w="14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8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2,329.5</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2012</w:t>
            </w:r>
          </w:p>
        </w:tc>
        <w:tc>
          <w:tcPr>
            <w:tcW w:w="140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8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2,445.9</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2011</w:t>
            </w:r>
          </w:p>
        </w:tc>
        <w:tc>
          <w:tcPr>
            <w:tcW w:w="14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8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2,116.7</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Convertible Senior Notes due 2019</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14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8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2,355.3</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140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8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2,376.6</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14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8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2,257.3</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140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8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3,110.3</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Convertible Senior Notes due 2022</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140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8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2,355.3</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40" w:right="320" w:hanging="436"/>
        <w:spacing w:after="0" w:line="282"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amount of each class of senior securities outstanding at carrying value, excluding the impact of deferred financing costs, at the end of the period presented</w:t>
      </w:r>
    </w:p>
    <w:p>
      <w:pPr>
        <w:spacing w:after="0" w:line="188" w:lineRule="exact"/>
        <w:rPr>
          <w:rFonts w:ascii="Times New Roman" w:cs="Times New Roman" w:eastAsia="Times New Roman" w:hAnsi="Times New Roman"/>
          <w:sz w:val="18"/>
          <w:szCs w:val="18"/>
          <w:color w:val="auto"/>
        </w:rPr>
      </w:pPr>
    </w:p>
    <w:p>
      <w:pPr>
        <w:ind w:left="640" w:right="380" w:hanging="436"/>
        <w:spacing w:after="0" w:line="266"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203" w:lineRule="exact"/>
        <w:rPr>
          <w:rFonts w:ascii="Times New Roman" w:cs="Times New Roman" w:eastAsia="Times New Roman" w:hAnsi="Times New Roman"/>
          <w:sz w:val="18"/>
          <w:szCs w:val="18"/>
          <w:color w:val="auto"/>
        </w:rPr>
      </w:pPr>
    </w:p>
    <w:p>
      <w:pPr>
        <w:ind w:left="640" w:right="60" w:hanging="436"/>
        <w:spacing w:after="0" w:line="282"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spacing w:after="0" w:line="188"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 because the senior securities are not registered for public trading.</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240" w:top="455" w:right="41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through December 31, 2017, we have originated more than $7.3 billion aggregate principal amount of investments and retained approximately</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$4.4 billion aggregate principal amount of these investments on our balance sheet prior to any subsequent exits and repayments. We seek to generate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current income primarily in U.S.-domiciled middle-market companies through direct originations of senior secured loans and, to a lesser extent,</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originations of mezzanine and unsecured loans and investments in corporate bonds and equity securities. By “middle-market companies,” we mean</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companies that have annual earnings before interest, income taxes, depreciation and amortization, or EBITDA, which we believe is a useful proxy for</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cash flow, of $10 million to $250 million, although we may invest in larger or smaller companies on occasion. As of December 31, 2017, our core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portfolio companies, which excludes certain investments that fall outside of our typical borrower profile and represent 83.2% of our total investments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based on fair value, had weighted average annual revenue of $130.3 million and weighted average annual EBITDA of $25.1 million.</w:t>
      </w:r>
    </w:p>
    <w:p>
      <w:pPr>
        <w:spacing w:after="0" w:line="207" w:lineRule="exact"/>
        <w:rPr>
          <w:sz w:val="20"/>
          <w:szCs w:val="20"/>
          <w:color w:val="auto"/>
        </w:rPr>
      </w:pPr>
    </w:p>
    <w:p>
      <w:pPr>
        <w:ind w:left="200" w:right="20" w:firstLine="441"/>
        <w:spacing w:after="0" w:line="282"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w:t>
      </w:r>
    </w:p>
    <w:p>
      <w:pPr>
        <w:spacing w:after="0" w:line="162" w:lineRule="exact"/>
        <w:rPr>
          <w:sz w:val="20"/>
          <w:szCs w:val="20"/>
          <w:color w:val="auto"/>
        </w:rPr>
      </w:pPr>
    </w:p>
    <w:p>
      <w:pPr>
        <w:ind w:left="200" w:right="40" w:firstLine="441"/>
        <w:spacing w:after="0" w:line="282" w:lineRule="auto"/>
        <w:rPr>
          <w:sz w:val="20"/>
          <w:szCs w:val="20"/>
          <w:color w:val="auto"/>
        </w:rPr>
      </w:pPr>
      <w:r>
        <w:rPr>
          <w:rFonts w:ascii="Times New Roman" w:cs="Times New Roman" w:eastAsia="Times New Roman" w:hAnsi="Times New Roman"/>
          <w:sz w:val="18"/>
          <w:szCs w:val="18"/>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162" w:lineRule="exact"/>
        <w:rPr>
          <w:sz w:val="20"/>
          <w:szCs w:val="20"/>
          <w:color w:val="auto"/>
        </w:rPr>
      </w:pPr>
    </w:p>
    <w:p>
      <w:pPr>
        <w:ind w:left="200" w:right="60" w:firstLine="441"/>
        <w:spacing w:after="0" w:line="256"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(including restructurings).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As of December 31, 2017, based on fair value our portfolio consisted of 93.4% first-lien debt investments, 3.6% second-lien debt investments, and 3.0% equity and other investments. All of our debt investments based on fair value as of December 31, 2017 bore interest at floating rates (when including investment specific hedges), with 93.3% of these subject to interest rate floors, which we believe helps act as a portfolio-wide hedge against inflation.</w:t>
      </w:r>
    </w:p>
    <w:p>
      <w:pPr>
        <w:spacing w:after="0" w:line="180"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As of December 31, 2017, we had investments in 45 portfolio companies, with an aggregate fair value of $1,693.7 million. For the year ended December 31, 2017, we made new investment commitments of $1,072.6 million in 22 new portfolio companies and 12 existing portfolio companies. For this period, we had $951.5 million aggregate principal amount in exits and repayments.</w:t>
      </w:r>
    </w:p>
    <w:p>
      <w:pPr>
        <w:spacing w:after="0" w:line="176" w:lineRule="exact"/>
        <w:rPr>
          <w:sz w:val="20"/>
          <w:szCs w:val="20"/>
          <w:color w:val="auto"/>
        </w:rPr>
      </w:pPr>
    </w:p>
    <w:p>
      <w:pPr>
        <w:ind w:left="200" w:right="240" w:firstLine="441"/>
        <w:spacing w:after="0" w:line="266" w:lineRule="auto"/>
        <w:rPr>
          <w:sz w:val="20"/>
          <w:szCs w:val="20"/>
          <w:color w:val="auto"/>
        </w:rPr>
      </w:pPr>
      <w:r>
        <w:rPr>
          <w:rFonts w:ascii="Times New Roman" w:cs="Times New Roman" w:eastAsia="Times New Roman" w:hAnsi="Times New Roman"/>
          <w:sz w:val="18"/>
          <w:szCs w:val="18"/>
          <w:color w:val="auto"/>
        </w:rPr>
        <w:t>As of December 31, 2016, we had investments in 52 portfolio companies with an aggregate fair value of $1,657.4 million. For the year ended December 31, 2016, we made new investment commitments of $562.7 million in 14 new portfolio companies and 9 existing portfolio companies. For this period, we had $416.5 million aggregate principal amount in exits and repayments.</w:t>
      </w:r>
    </w:p>
    <w:p>
      <w:pPr>
        <w:spacing w:after="0" w:line="176" w:lineRule="exact"/>
        <w:rPr>
          <w:sz w:val="20"/>
          <w:szCs w:val="20"/>
          <w:color w:val="auto"/>
        </w:rPr>
      </w:pPr>
    </w:p>
    <w:p>
      <w:pPr>
        <w:ind w:left="200" w:right="680" w:firstLine="441"/>
        <w:spacing w:after="0" w:line="266" w:lineRule="auto"/>
        <w:rPr>
          <w:sz w:val="20"/>
          <w:szCs w:val="20"/>
          <w:color w:val="auto"/>
        </w:rPr>
      </w:pPr>
      <w:r>
        <w:rPr>
          <w:rFonts w:ascii="Times New Roman" w:cs="Times New Roman" w:eastAsia="Times New Roman" w:hAnsi="Times New Roman"/>
          <w:sz w:val="18"/>
          <w:szCs w:val="18"/>
          <w:color w:val="auto"/>
        </w:rPr>
        <w:t>As of December 31, 2017, the largest single investment based on fair value represented 6.7% of our total investment portfolio. As of December 31, 2017, the average investment size in each of our portfolio companies was approximately $37.6 million based on fair value. As of December 31, 2017, the largest industry represented 14.0% of our total portfolio based on fair value.</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20"/>
          </w:cols>
          <w:pgMar w:left="240" w:top="455" w:right="4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61" w:lineRule="auto"/>
        <w:rPr>
          <w:sz w:val="20"/>
          <w:szCs w:val="20"/>
          <w:color w:val="auto"/>
        </w:rPr>
      </w:pPr>
      <w:r>
        <w:rPr>
          <w:rFonts w:ascii="Times New Roman" w:cs="Times New Roman" w:eastAsia="Times New Roman" w:hAnsi="Times New Roman"/>
          <w:sz w:val="18"/>
          <w:szCs w:val="18"/>
          <w:color w:val="auto"/>
        </w:rPr>
        <w:t>Our Board has ultimate authority over our business, but delegates authority to our investment adviser who actively sources, manages, and monitors our investment portfolio and other business activities, subject to the supervision of the Board. See “—About TSLX—Our Investment Adviser” below. Pursuant to our certificate of incorporation, the Board consists of five members divided into three classes with staggered three-year terms. As a BDC, a majority of our Board consists of Independent Directors.</w:t>
      </w:r>
    </w:p>
    <w:p>
      <w:pPr>
        <w:spacing w:after="0" w:line="180" w:lineRule="exact"/>
        <w:rPr>
          <w:sz w:val="20"/>
          <w:szCs w:val="20"/>
          <w:color w:val="auto"/>
        </w:rPr>
      </w:pPr>
    </w:p>
    <w:p>
      <w:pPr>
        <w:ind w:left="200" w:right="80" w:firstLine="441"/>
        <w:spacing w:after="0" w:line="255" w:lineRule="auto"/>
        <w:rPr>
          <w:sz w:val="20"/>
          <w:szCs w:val="20"/>
          <w:color w:val="auto"/>
        </w:rPr>
      </w:pPr>
      <w:r>
        <w:rPr>
          <w:rFonts w:ascii="Times New Roman" w:cs="Times New Roman" w:eastAsia="Times New Roman" w:hAnsi="Times New Roman"/>
          <w:sz w:val="18"/>
          <w:szCs w:val="18"/>
          <w:color w:val="auto"/>
        </w:rPr>
        <w:t>We borrow money from time to time within the levels permitted by the 1940 Act to fund investments and for general corporate purposes. Under the 1940 Act, we can incur borrowings, issue debt securities or issue preferred stock if immediately after the borrowing or issuance the ratio of total assets (less total liabilities other than indebtedness) to total indebtedness plus preferred stock is at least 200% (or 150% if certain requirements are met). In determining whether to borrow money, we analyze the maturity, covenant package and rate structure of the proposed borrowings, as well as the risks of those borrowings compared to our investment outlook. The use of borrowed funds or the proceeds of preferred stock offerings to make investments has its own specific set of benefits and risks, and all of the costs of borrowing funds or issuing preferred stock are borne by us, and ultimately the holders of our common stock. See “Risk Factors—Risks Related to Our Business and Structure—We borrow money, which magnifies the potential for gain or loss and increases the risk of investing in us.”</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About TSLX</w:t>
      </w:r>
    </w:p>
    <w:p>
      <w:pPr>
        <w:spacing w:after="0" w:line="121"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that were used to support our asset-backed credit facility, and TSL MR, LLC, a Delaware limited liability company, in which we hold certain investments. Our results reflect our ramp-up of initial investments, which is now complete, as well as the ongoing measured growth of our portfolio of investments.</w:t>
      </w:r>
    </w:p>
    <w:p>
      <w:pPr>
        <w:spacing w:after="0" w:line="184" w:lineRule="exact"/>
        <w:rPr>
          <w:sz w:val="20"/>
          <w:szCs w:val="20"/>
          <w:color w:val="auto"/>
        </w:rPr>
      </w:pPr>
    </w:p>
    <w:p>
      <w:pPr>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for more information on these requirements.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Investment Adviser</w:t>
      </w:r>
    </w:p>
    <w:p>
      <w:pPr>
        <w:spacing w:after="0" w:line="121" w:lineRule="exact"/>
        <w:rPr>
          <w:sz w:val="20"/>
          <w:szCs w:val="20"/>
          <w:color w:val="auto"/>
        </w:rPr>
      </w:pPr>
    </w:p>
    <w:p>
      <w:pPr>
        <w:ind w:left="200" w:right="120" w:firstLine="441"/>
        <w:spacing w:after="0" w:line="282"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Advisers Act.</w:t>
      </w:r>
    </w:p>
    <w:p>
      <w:pPr>
        <w:spacing w:after="0" w:line="162" w:lineRule="exact"/>
        <w:rPr>
          <w:sz w:val="20"/>
          <w:szCs w:val="20"/>
          <w:color w:val="auto"/>
        </w:rPr>
      </w:pPr>
    </w:p>
    <w:p>
      <w:pPr>
        <w:ind w:left="200" w:right="180" w:firstLine="441"/>
        <w:spacing w:after="0" w:line="258" w:lineRule="auto"/>
        <w:rPr>
          <w:sz w:val="20"/>
          <w:szCs w:val="20"/>
          <w:color w:val="auto"/>
        </w:rPr>
      </w:pPr>
      <w:r>
        <w:rPr>
          <w:rFonts w:ascii="Times New Roman" w:cs="Times New Roman" w:eastAsia="Times New Roman" w:hAnsi="Times New Roman"/>
          <w:sz w:val="18"/>
          <w:szCs w:val="18"/>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TSSP. The members of our Investment Review Committee are Joshua Easterly, Michael Fishman, Alan Waxman and David Stiepleman.</w:t>
      </w:r>
    </w:p>
    <w:p>
      <w:pPr>
        <w:spacing w:after="0" w:line="184" w:lineRule="exact"/>
        <w:rPr>
          <w:sz w:val="20"/>
          <w:szCs w:val="20"/>
          <w:color w:val="auto"/>
        </w:rPr>
      </w:pPr>
    </w:p>
    <w:p>
      <w:pPr>
        <w:ind w:left="200" w:right="180" w:firstLine="441"/>
        <w:spacing w:after="0" w:line="256" w:lineRule="auto"/>
        <w:rPr>
          <w:sz w:val="20"/>
          <w:szCs w:val="20"/>
          <w:color w:val="auto"/>
        </w:rPr>
      </w:pPr>
      <w:r>
        <w:rPr>
          <w:rFonts w:ascii="Times New Roman" w:cs="Times New Roman" w:eastAsia="Times New Roman" w:hAnsi="Times New Roman"/>
          <w:sz w:val="18"/>
          <w:szCs w:val="18"/>
          <w:color w:val="auto"/>
        </w:rPr>
        <w:t>TSSP, with approximately $20 billion of assets under management as of September 30, 2017, is TPG’s special situations and credit platform and encompasses TPG Specialty Lending, TPG Opportunities Partners and TSSP Adjacent Opportunities Partners, which invest in special situations and distressed investments across the credit cycle, TSL Europe, which is aimed at European middle-market loan originations, and TPG Institutional Credit Partners, which is a “public-side” credit investment platform focused on investment opportunities in broadly syndicated leveraged loan markets. TSSP has extensive experience with highly complex, global public and private investments executed through primary originations, secondary market purchases and restructurings,</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20"/>
          </w:cols>
          <w:pgMar w:left="240" w:top="455" w:right="4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320"/>
        <w:spacing w:after="0" w:line="282" w:lineRule="auto"/>
        <w:rPr>
          <w:sz w:val="20"/>
          <w:szCs w:val="20"/>
          <w:color w:val="auto"/>
        </w:rPr>
      </w:pPr>
      <w:r>
        <w:rPr>
          <w:rFonts w:ascii="Times New Roman" w:cs="Times New Roman" w:eastAsia="Times New Roman" w:hAnsi="Times New Roman"/>
          <w:sz w:val="18"/>
          <w:szCs w:val="18"/>
          <w:color w:val="auto"/>
        </w:rPr>
        <w:t>and has a team of over 180 investment and operating professionals. As of December 31, 2017, thirty one (31) of these personnel are dedicated to our business, including twenty four (24) investment professionals.</w:t>
      </w:r>
    </w:p>
    <w:p>
      <w:pPr>
        <w:spacing w:after="0" w:line="162"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TPG is a leading global private investment firm founded in 1992 with over $79 billion of assets under management as of September 30, 2017, and offices in San Francisco, Fort Worth,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350 deal professionals.</w:t>
      </w:r>
    </w:p>
    <w:p>
      <w:pPr>
        <w:spacing w:after="0" w:line="185" w:lineRule="exact"/>
        <w:rPr>
          <w:sz w:val="20"/>
          <w:szCs w:val="20"/>
          <w:color w:val="auto"/>
        </w:rPr>
      </w:pPr>
    </w:p>
    <w:p>
      <w:pPr>
        <w:jc w:val="both"/>
        <w:ind w:left="200" w:right="160" w:firstLine="441"/>
        <w:spacing w:after="0" w:line="261" w:lineRule="auto"/>
        <w:rPr>
          <w:sz w:val="20"/>
          <w:szCs w:val="20"/>
          <w:color w:val="auto"/>
        </w:rPr>
      </w:pPr>
      <w:r>
        <w:rPr>
          <w:rFonts w:ascii="Times New Roman" w:cs="Times New Roman" w:eastAsia="Times New Roman" w:hAnsi="Times New Roman"/>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0"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Under the terms of the Investment Advisory Agreement, the Adviser’s services are not exclusive, and the Adviser is free to furnish similar or other services to others, so long as its services to us are not impaired. Under the terms of the Investment Advisory Agreement, we will pay the Adviser the Management Fee and may also pay Incentive Fees.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Our Administrator</w:t>
      </w:r>
    </w:p>
    <w:p>
      <w:pPr>
        <w:spacing w:after="0" w:line="121"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On March 15, 2011, we entered into the Administration Agreement with our Adviser. Under the terms of the Administration Agreement, the Adviser acts as our administrator and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“Management and Other Agreements—Payment of Our Expenses.” In addition, the Adviser is permitted to delegate its duties under the Administration Agreement to affiliates or third parties and we pay or reimburse the Adviser expenses incurred by any such affiliates or third parties for work done on our behalf. For the years ended December 31, 2017 and 2016, we incurred expenses of $3.5 million and $3.1 million, respectively, for administrative services payable under the terms of the Administration Agreement.</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w:t>
      </w:r>
    </w:p>
    <w:p>
      <w:pPr>
        <w:spacing w:after="0" w:line="121" w:lineRule="exact"/>
        <w:rPr>
          <w:sz w:val="20"/>
          <w:szCs w:val="20"/>
          <w:color w:val="auto"/>
        </w:rPr>
      </w:pPr>
    </w:p>
    <w:p>
      <w:pPr>
        <w:ind w:left="200" w:right="880" w:firstLine="441"/>
        <w:spacing w:after="0" w:line="282" w:lineRule="auto"/>
        <w:rPr>
          <w:sz w:val="20"/>
          <w:szCs w:val="20"/>
          <w:color w:val="auto"/>
        </w:rPr>
      </w:pPr>
      <w:r>
        <w:rPr>
          <w:rFonts w:ascii="Times New Roman" w:cs="Times New Roman" w:eastAsia="Times New Roman" w:hAnsi="Times New Roman"/>
          <w:sz w:val="18"/>
          <w:szCs w:val="18"/>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60" w:lineRule="exact"/>
        <w:rPr>
          <w:sz w:val="20"/>
          <w:szCs w:val="20"/>
          <w:color w:val="auto"/>
        </w:rPr>
      </w:pPr>
    </w:p>
    <w:p>
      <w:pPr>
        <w:ind w:left="200" w:right="140"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Limited availability of capital for middle-market companies</w:t>
      </w:r>
      <w:r>
        <w:rPr>
          <w:rFonts w:ascii="Times New Roman" w:cs="Times New Roman" w:eastAsia="Times New Roman" w:hAnsi="Times New Roman"/>
          <w:sz w:val="18"/>
          <w:szCs w:val="18"/>
          <w:color w:val="auto"/>
        </w:rPr>
        <w:t>. We believe that certain structural changes in the market have reduced the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20"/>
          </w:cols>
          <w:pgMar w:left="240" w:top="455" w:right="4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1" w:lineRule="auto"/>
        <w:rPr>
          <w:sz w:val="20"/>
          <w:szCs w:val="20"/>
          <w:color w:val="auto"/>
        </w:rPr>
      </w:pPr>
      <w:r>
        <w:rPr>
          <w:rFonts w:ascii="Times New Roman" w:cs="Times New Roman" w:eastAsia="Times New Roman" w:hAnsi="Times New Roman"/>
          <w:sz w:val="18"/>
          <w:szCs w:val="18"/>
          <w:color w:val="auto"/>
        </w:rPr>
        <w:t>through public capital markets. We believe the Basel III Accord and regulations imposed by the Federal Reserve, the Office of the Comptroller of the Currency and the FDIC significantly increase capital and liquidity requirements for banks, decreasing their capacity to hold non-investment grade leveraged loans on their balance sheets. We believe these factors reduce the capacity of traditional lenders to serve this market segment and, as a result, increase the cost of borrowing for middle-market companies.</w:t>
      </w:r>
    </w:p>
    <w:p>
      <w:pPr>
        <w:spacing w:after="0" w:line="178" w:lineRule="exact"/>
        <w:rPr>
          <w:sz w:val="20"/>
          <w:szCs w:val="20"/>
          <w:color w:val="auto"/>
        </w:rPr>
      </w:pPr>
    </w:p>
    <w:p>
      <w:pPr>
        <w:ind w:left="200" w:right="20"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Strong demand for debt capital</w:t>
      </w:r>
      <w:r>
        <w:rPr>
          <w:rFonts w:ascii="Times New Roman" w:cs="Times New Roman" w:eastAsia="Times New Roman" w:hAnsi="Times New Roman"/>
          <w:sz w:val="18"/>
          <w:szCs w:val="18"/>
          <w:color w:val="auto"/>
        </w:rPr>
        <w:t>. We believe middle-market companies will continue to require access to debt capital to refinance existing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growth and finance acquisitions. In addition, we believe the large amount of uninvested capital held by funds of private equity firms, estimated by Preqin Ltd., an alternative assets industry data and research company, at $1.75 trillion as of March 2018, will continue to drive deal activity. We expect that private equity firms will continue to pursue acquisitions and to seek to leverage their equity investments with secured loans provided by companies such as ours.</w:t>
      </w:r>
    </w:p>
    <w:p>
      <w:pPr>
        <w:spacing w:after="0" w:line="180" w:lineRule="exact"/>
        <w:rPr>
          <w:sz w:val="20"/>
          <w:szCs w:val="20"/>
          <w:color w:val="auto"/>
        </w:rPr>
      </w:pPr>
    </w:p>
    <w:p>
      <w:pPr>
        <w:ind w:left="200" w:right="100"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Attractive investment dynamics</w:t>
      </w:r>
      <w:r>
        <w:rPr>
          <w:rFonts w:ascii="Times New Roman" w:cs="Times New Roman" w:eastAsia="Times New Roman" w:hAnsi="Times New Roman"/>
          <w:sz w:val="18"/>
          <w:szCs w:val="18"/>
          <w:color w:val="auto"/>
        </w:rPr>
        <w:t>. An imbalance between the supply of, and demand for, middle-market debt capital creates attractive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dynamics. 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83" w:lineRule="exact"/>
        <w:rPr>
          <w:sz w:val="20"/>
          <w:szCs w:val="20"/>
          <w:color w:val="auto"/>
        </w:rPr>
      </w:pPr>
    </w:p>
    <w:p>
      <w:pPr>
        <w:ind w:left="200" w:right="60"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Conservative capital structures</w:t>
      </w:r>
      <w:r>
        <w:rPr>
          <w:rFonts w:ascii="Times New Roman" w:cs="Times New Roman" w:eastAsia="Times New Roman" w:hAnsi="Times New Roman"/>
          <w:sz w:val="18"/>
          <w:szCs w:val="18"/>
          <w:color w:val="auto"/>
        </w:rPr>
        <w:t>. Following the credit crisis, which we define broadly as occurring between mid-2007 and mid-2009, borrowers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80"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Specialized lending requirements</w:t>
      </w:r>
      <w:r>
        <w:rPr>
          <w:rFonts w:ascii="Times New Roman" w:cs="Times New Roman" w:eastAsia="Times New Roman" w:hAnsi="Times New Roman"/>
          <w:sz w:val="18"/>
          <w:szCs w:val="18"/>
          <w:color w:val="auto"/>
        </w:rPr>
        <w:t>. Lending to middle-market companies requires specialized due diligence and underwriting capabilities, as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80" w:lineRule="exact"/>
        <w:rPr>
          <w:sz w:val="20"/>
          <w:szCs w:val="20"/>
          <w:color w:val="auto"/>
        </w:rPr>
      </w:pPr>
    </w:p>
    <w:p>
      <w:pPr>
        <w:ind w:left="200" w:right="20" w:firstLine="441"/>
        <w:spacing w:after="0" w:line="290" w:lineRule="auto"/>
        <w:rPr>
          <w:sz w:val="20"/>
          <w:szCs w:val="20"/>
          <w:color w:val="auto"/>
        </w:rPr>
      </w:pPr>
      <w:r>
        <w:rPr>
          <w:rFonts w:ascii="Times New Roman" w:cs="Times New Roman" w:eastAsia="Times New Roman" w:hAnsi="Times New Roman"/>
          <w:sz w:val="17"/>
          <w:szCs w:val="17"/>
          <w:i w:val="1"/>
          <w:iCs w:val="1"/>
          <w:color w:val="auto"/>
        </w:rPr>
        <w:t>Desirability of partnering with BDCs</w:t>
      </w:r>
      <w:r>
        <w:rPr>
          <w:rFonts w:ascii="Times New Roman" w:cs="Times New Roman" w:eastAsia="Times New Roman" w:hAnsi="Times New Roman"/>
          <w:sz w:val="17"/>
          <w:szCs w:val="17"/>
          <w:color w:val="auto"/>
        </w:rPr>
        <w:t>. We believe middle-market companies see advantages in raising capital from BDCs. BDCs have the ability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9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00"/>
          </w:cols>
          <w:pgMar w:left="240" w:top="455" w:right="55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82" w:lineRule="auto"/>
        <w:rPr>
          <w:sz w:val="20"/>
          <w:szCs w:val="20"/>
          <w:color w:val="auto"/>
        </w:rPr>
      </w:pPr>
      <w:r>
        <w:rPr>
          <w:rFonts w:ascii="Times New Roman" w:cs="Times New Roman" w:eastAsia="Times New Roman" w:hAnsi="Times New Roman"/>
          <w:sz w:val="18"/>
          <w:szCs w:val="18"/>
          <w:color w:val="auto"/>
        </w:rPr>
        <w:t>Illustrative of the market opportunity for BDCs, the graph below demonstrates the decline in bank participation and increased prevalence of non-bank lenders in the leveraged loan market over the past two decades.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140335</wp:posOffset>
            </wp:positionV>
            <wp:extent cx="3404870" cy="2160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04870"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960" w:right="2440"/>
        <w:spacing w:after="0" w:line="256" w:lineRule="auto"/>
        <w:rPr>
          <w:sz w:val="20"/>
          <w:szCs w:val="20"/>
          <w:color w:val="auto"/>
        </w:rPr>
      </w:pPr>
      <w:r>
        <w:rPr>
          <w:rFonts w:ascii="Times New Roman" w:cs="Times New Roman" w:eastAsia="Times New Roman" w:hAnsi="Times New Roman"/>
          <w:sz w:val="18"/>
          <w:szCs w:val="18"/>
          <w:i w:val="1"/>
          <w:iCs w:val="1"/>
          <w:color w:val="auto"/>
        </w:rPr>
        <w:t>Note: Highly leveraged loans only (pre-1996: L+250 and higher; 1996 to date: L+ 225 and higher). Excludes left and right agent commitments (including administrative, syndication and documentation agents, as well as arranger);</w:t>
      </w:r>
    </w:p>
    <w:p>
      <w:pPr>
        <w:spacing w:after="0" w:line="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Source: S&amp;P Global Market Intelligence, LCD 4Q17</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graph below illustrates the increase in the uninvested capital held by private equity funds that is available to be 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180340</wp:posOffset>
            </wp:positionV>
            <wp:extent cx="3275965" cy="20154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75965" cy="201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 in trillions)</w:t>
      </w:r>
    </w:p>
    <w:p>
      <w:pPr>
        <w:spacing w:after="0" w:line="2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Source: Preqin Ltd., as of March 2018</w:t>
      </w:r>
    </w:p>
    <w:p>
      <w:pPr>
        <w:spacing w:after="0" w:line="3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Competitive Strengths and Core Competencies</w:t>
      </w:r>
    </w:p>
    <w:p>
      <w:pPr>
        <w:spacing w:after="0" w:line="119" w:lineRule="exact"/>
        <w:rPr>
          <w:sz w:val="20"/>
          <w:szCs w:val="20"/>
          <w:color w:val="auto"/>
        </w:rPr>
      </w:pPr>
    </w:p>
    <w:p>
      <w:pPr>
        <w:ind w:left="20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Leading platform and access to proprietary deal flow</w:t>
      </w:r>
      <w:r>
        <w:rPr>
          <w:rFonts w:ascii="Times New Roman" w:cs="Times New Roman" w:eastAsia="Times New Roman" w:hAnsi="Times New Roman"/>
          <w:sz w:val="18"/>
          <w:szCs w:val="18"/>
          <w:color w:val="auto"/>
        </w:rPr>
        <w:t>. The substantial majority of our investments are not intermediated and are originated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the assistance of investment banks or other traditional Wall Street sources. Our Adviser has a dedicated team of 24 investment professionals responsible for originating,</w:t>
      </w:r>
    </w:p>
    <w:p>
      <w:pPr>
        <w:spacing w:after="0" w:line="108"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880"/>
          </w:cols>
          <w:pgMar w:left="240" w:top="455" w:right="77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6" w:lineRule="auto"/>
        <w:rPr>
          <w:sz w:val="20"/>
          <w:szCs w:val="20"/>
          <w:color w:val="auto"/>
        </w:rPr>
      </w:pPr>
      <w:r>
        <w:rPr>
          <w:rFonts w:ascii="Times New Roman" w:cs="Times New Roman" w:eastAsia="Times New Roman" w:hAnsi="Times New Roman"/>
          <w:sz w:val="18"/>
          <w:szCs w:val="18"/>
          <w:color w:val="auto"/>
        </w:rPr>
        <w:t>underwriting, executing and managing the assets of our direct lending transactions. This team is responsible for sourcing and executing opportunities directly, while leveraging the resources and expertise of the TSSP and TPG platforms. The senior members of our Investment Team have over 225 years of collective experience as commercial dealmakers.</w:t>
      </w:r>
    </w:p>
    <w:p>
      <w:pPr>
        <w:spacing w:after="0" w:line="176" w:lineRule="exact"/>
        <w:rPr>
          <w:sz w:val="20"/>
          <w:szCs w:val="20"/>
          <w:color w:val="auto"/>
        </w:rPr>
      </w:pPr>
    </w:p>
    <w:p>
      <w:pPr>
        <w:ind w:left="200" w:right="260" w:firstLine="441"/>
        <w:spacing w:after="0" w:line="258" w:lineRule="auto"/>
        <w:rPr>
          <w:sz w:val="20"/>
          <w:szCs w:val="20"/>
          <w:color w:val="auto"/>
        </w:rPr>
      </w:pPr>
      <w:r>
        <w:rPr>
          <w:rFonts w:ascii="Times New Roman" w:cs="Times New Roman" w:eastAsia="Times New Roman" w:hAnsi="Times New Roman"/>
          <w:sz w:val="18"/>
          <w:szCs w:val="18"/>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84" w:lineRule="exact"/>
        <w:rPr>
          <w:sz w:val="20"/>
          <w:szCs w:val="20"/>
          <w:color w:val="auto"/>
        </w:rPr>
      </w:pPr>
    </w:p>
    <w:p>
      <w:pPr>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74" w:lineRule="exact"/>
        <w:rPr>
          <w:sz w:val="20"/>
          <w:szCs w:val="20"/>
          <w:color w:val="auto"/>
        </w:rPr>
      </w:pPr>
    </w:p>
    <w:p>
      <w:pPr>
        <w:ind w:left="200" w:right="100" w:firstLine="441"/>
        <w:spacing w:after="0" w:line="290" w:lineRule="auto"/>
        <w:rPr>
          <w:sz w:val="20"/>
          <w:szCs w:val="20"/>
          <w:color w:val="auto"/>
        </w:rPr>
      </w:pPr>
      <w:r>
        <w:rPr>
          <w:rFonts w:ascii="Times New Roman" w:cs="Times New Roman" w:eastAsia="Times New Roman" w:hAnsi="Times New Roman"/>
          <w:sz w:val="17"/>
          <w:szCs w:val="17"/>
          <w:i w:val="1"/>
          <w:iCs w:val="1"/>
          <w:color w:val="auto"/>
        </w:rPr>
        <w:t>Disciplined investment and underwriting process</w:t>
      </w:r>
      <w:r>
        <w:rPr>
          <w:rFonts w:ascii="Times New Roman" w:cs="Times New Roman" w:eastAsia="Times New Roman" w:hAnsi="Times New Roman"/>
          <w:sz w:val="17"/>
          <w:szCs w:val="17"/>
          <w:color w:val="auto"/>
        </w:rPr>
        <w:t>. Through our Adviser, we seek to achieve the highest risk-adjusted returns available as opposed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61" w:lineRule="exact"/>
        <w:rPr>
          <w:sz w:val="20"/>
          <w:szCs w:val="20"/>
          <w:color w:val="auto"/>
        </w:rPr>
      </w:pPr>
    </w:p>
    <w:p>
      <w:pPr>
        <w:ind w:left="1060" w:right="500" w:hanging="316"/>
        <w:spacing w:after="0" w:line="284" w:lineRule="auto"/>
        <w:tabs>
          <w:tab w:leader="none" w:pos="10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Flexibility</w:t>
      </w:r>
      <w:r>
        <w:rPr>
          <w:rFonts w:ascii="Times New Roman" w:cs="Times New Roman" w:eastAsia="Times New Roman" w:hAnsi="Times New Roman"/>
          <w:sz w:val="18"/>
          <w:szCs w:val="18"/>
          <w:color w:val="auto"/>
        </w:rPr>
        <w:t>. Our broad middle-market focus and our Adviser’s integrated position within TSSP and TPG allow us to determine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opportunities and identify relative value.</w:t>
      </w:r>
    </w:p>
    <w:p>
      <w:pPr>
        <w:spacing w:after="0" w:line="63" w:lineRule="exact"/>
        <w:rPr>
          <w:rFonts w:ascii="Times New Roman" w:cs="Times New Roman" w:eastAsia="Times New Roman" w:hAnsi="Times New Roman"/>
          <w:sz w:val="18"/>
          <w:szCs w:val="18"/>
          <w:color w:val="auto"/>
        </w:rPr>
      </w:pPr>
    </w:p>
    <w:p>
      <w:pPr>
        <w:ind w:left="1060" w:hanging="316"/>
        <w:spacing w:after="0" w:line="259" w:lineRule="auto"/>
        <w:tabs>
          <w:tab w:leader="none" w:pos="10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pricing</w:t>
      </w:r>
      <w:r>
        <w:rPr>
          <w:rFonts w:ascii="Times New Roman" w:cs="Times New Roman" w:eastAsia="Times New Roman" w:hAnsi="Times New Roman"/>
          <w:sz w:val="18"/>
          <w:szCs w:val="18"/>
          <w:color w:val="auto"/>
        </w:rPr>
        <w:t>. The risk profile of our portfolio evolves across credit cycles as credit tightens and loosens. During periods when risk premiums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85" w:lineRule="exact"/>
        <w:rPr>
          <w:rFonts w:ascii="Times New Roman" w:cs="Times New Roman" w:eastAsia="Times New Roman" w:hAnsi="Times New Roman"/>
          <w:sz w:val="18"/>
          <w:szCs w:val="18"/>
          <w:color w:val="auto"/>
        </w:rPr>
      </w:pPr>
    </w:p>
    <w:p>
      <w:pPr>
        <w:ind w:left="1060" w:right="740" w:hanging="316"/>
        <w:spacing w:after="0" w:line="284" w:lineRule="auto"/>
        <w:tabs>
          <w:tab w:leader="none" w:pos="10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Disciplined four-tiered investment framework</w:t>
      </w:r>
      <w:r>
        <w:rPr>
          <w:rFonts w:ascii="Times New Roman" w:cs="Times New Roman" w:eastAsia="Times New Roman" w:hAnsi="Times New Roman"/>
          <w:sz w:val="18"/>
          <w:szCs w:val="18"/>
          <w:color w:val="auto"/>
        </w:rPr>
        <w:t>. Through our Adviser, we perform detailed company-specific analysis focusing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four-tiered investment framework:</w:t>
      </w:r>
    </w:p>
    <w:p>
      <w:pPr>
        <w:spacing w:after="0" w:line="63" w:lineRule="exact"/>
        <w:rPr>
          <w:rFonts w:ascii="Times New Roman" w:cs="Times New Roman" w:eastAsia="Times New Roman" w:hAnsi="Times New Roman"/>
          <w:sz w:val="18"/>
          <w:szCs w:val="18"/>
          <w:color w:val="auto"/>
        </w:rPr>
      </w:pPr>
    </w:p>
    <w:p>
      <w:pPr>
        <w:ind w:left="1620" w:right="20" w:hanging="430"/>
        <w:spacing w:after="0" w:line="259" w:lineRule="auto"/>
        <w:tabs>
          <w:tab w:leader="none" w:pos="16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and sector selection</w:t>
      </w:r>
      <w:r>
        <w:rPr>
          <w:rFonts w:ascii="Times New Roman" w:cs="Times New Roman" w:eastAsia="Times New Roman" w:hAnsi="Times New Roman"/>
          <w:sz w:val="18"/>
          <w:szCs w:val="18"/>
          <w:color w:val="auto"/>
        </w:rPr>
        <w:t>. We focus on companies with enterprise value between $50 million and $1 billion. When reviewing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85" w:lineRule="exact"/>
        <w:rPr>
          <w:rFonts w:ascii="Times New Roman" w:cs="Times New Roman" w:eastAsia="Times New Roman" w:hAnsi="Times New Roman"/>
          <w:sz w:val="18"/>
          <w:szCs w:val="18"/>
          <w:color w:val="auto"/>
        </w:rPr>
      </w:pPr>
    </w:p>
    <w:p>
      <w:pPr>
        <w:ind w:left="1620" w:right="80" w:hanging="430"/>
        <w:spacing w:after="0" w:line="257" w:lineRule="auto"/>
        <w:tabs>
          <w:tab w:leader="none" w:pos="16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structuring</w:t>
      </w:r>
      <w:r>
        <w:rPr>
          <w:rFonts w:ascii="Times New Roman" w:cs="Times New Roman" w:eastAsia="Times New Roman" w:hAnsi="Times New Roman"/>
          <w:sz w:val="18"/>
          <w:szCs w:val="18"/>
          <w:color w:val="auto"/>
        </w:rPr>
        <w:t>. We focus on investing at the top of the capital structure and protecting that position. We carefully diligence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w:t>
      </w:r>
    </w:p>
    <w:p>
      <w:pPr>
        <w:spacing w:after="0" w:line="88" w:lineRule="exact"/>
        <w:rPr>
          <w:rFonts w:ascii="Times New Roman" w:cs="Times New Roman" w:eastAsia="Times New Roman" w:hAnsi="Times New Roman"/>
          <w:sz w:val="18"/>
          <w:szCs w:val="18"/>
          <w:color w:val="auto"/>
        </w:rPr>
      </w:pPr>
    </w:p>
    <w:p>
      <w:pPr>
        <w:ind w:left="1620" w:right="700" w:hanging="430"/>
        <w:spacing w:after="0" w:line="284" w:lineRule="auto"/>
        <w:tabs>
          <w:tab w:leader="none" w:pos="16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Deal dynamics</w:t>
      </w:r>
      <w:r>
        <w:rPr>
          <w:rFonts w:ascii="Times New Roman" w:cs="Times New Roman" w:eastAsia="Times New Roman" w:hAnsi="Times New Roman"/>
          <w:sz w:val="18"/>
          <w:szCs w:val="18"/>
          <w:color w:val="auto"/>
        </w:rPr>
        <w:t>. We focus on, among other deal dynamics, direct origination of investments, where we identify and lead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transaction. We seek transactions that are too small for the</w:t>
      </w:r>
    </w:p>
    <w:p>
      <w:pPr>
        <w:spacing w:after="0" w:line="9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00"/>
          </w:cols>
          <w:pgMar w:left="240" w:top="455" w:right="45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640" w:right="140"/>
        <w:spacing w:after="0" w:line="282" w:lineRule="auto"/>
        <w:rPr>
          <w:sz w:val="20"/>
          <w:szCs w:val="20"/>
          <w:color w:val="auto"/>
        </w:rPr>
      </w:pPr>
      <w:r>
        <w:rPr>
          <w:rFonts w:ascii="Times New Roman" w:cs="Times New Roman" w:eastAsia="Times New Roman" w:hAnsi="Times New Roman"/>
          <w:sz w:val="18"/>
          <w:szCs w:val="18"/>
          <w:color w:val="auto"/>
        </w:rPr>
        <w:t>traditional high yield market. We look to invest in companies that value our commitment and ability to originate an investment that meets their goals and fits within their existing capital structure.</w:t>
      </w:r>
    </w:p>
    <w:p>
      <w:pPr>
        <w:spacing w:after="0" w:line="65" w:lineRule="exact"/>
        <w:rPr>
          <w:sz w:val="20"/>
          <w:szCs w:val="20"/>
          <w:color w:val="auto"/>
        </w:rPr>
      </w:pPr>
    </w:p>
    <w:p>
      <w:pPr>
        <w:ind w:left="1620" w:right="280" w:hanging="430"/>
        <w:spacing w:after="0" w:line="267" w:lineRule="auto"/>
        <w:tabs>
          <w:tab w:leader="none" w:pos="16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Mitigation</w:t>
      </w:r>
      <w:r>
        <w:rPr>
          <w:rFonts w:ascii="Times New Roman" w:cs="Times New Roman" w:eastAsia="Times New Roman" w:hAnsi="Times New Roman"/>
          <w:sz w:val="18"/>
          <w:szCs w:val="18"/>
          <w:color w:val="auto"/>
        </w:rPr>
        <w:t>. We seek to mitigate non-credit-related risk on our returns in several ways, including call protection provisions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 future payment income. In addition, most of our investments are floating rate in nature, which we believe helps act as a portfolio-wide hedge against inflation.</w:t>
      </w:r>
    </w:p>
    <w:p>
      <w:pPr>
        <w:spacing w:after="0" w:line="78" w:lineRule="exact"/>
        <w:rPr>
          <w:rFonts w:ascii="Times New Roman" w:cs="Times New Roman" w:eastAsia="Times New Roman" w:hAnsi="Times New Roman"/>
          <w:sz w:val="18"/>
          <w:szCs w:val="18"/>
          <w:color w:val="auto"/>
        </w:rPr>
      </w:pPr>
    </w:p>
    <w:p>
      <w:pPr>
        <w:ind w:left="1060" w:right="180" w:hanging="316"/>
        <w:spacing w:after="0" w:line="267" w:lineRule="auto"/>
        <w:tabs>
          <w:tab w:leader="none" w:pos="10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Robust and active investment management</w:t>
      </w:r>
      <w:r>
        <w:rPr>
          <w:rFonts w:ascii="Times New Roman" w:cs="Times New Roman" w:eastAsia="Times New Roman" w:hAnsi="Times New Roman"/>
          <w:sz w:val="18"/>
          <w:szCs w:val="18"/>
          <w:color w:val="auto"/>
        </w:rPr>
        <w:t>. Our Adviser rigorously monitors the credit profile of portfolio investments, with the aim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proactively identifying sector and operational issues and carefully managing risks. The information gathered on market trends through this process also informs our underwriting for new loans.</w:t>
      </w:r>
    </w:p>
    <w:p>
      <w:pPr>
        <w:spacing w:after="0" w:line="176"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We tailor investments rather than focusing only on driving investment volume. We closed approximately 2.0% of approximately 5,900 investment opportunities our Investment Team reviewed since our inception through December 31, 2017.</w:t>
      </w:r>
    </w:p>
    <w:p>
      <w:pPr>
        <w:spacing w:after="0" w:line="160"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Carefully constructed, existing portfolio consisting of predominantly senior, floating rate loans across a broad range of industries and borrowers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we began investing in July 2011, we have originated more than $7.3 billion aggregate principal amount of investments. As of December 31, 2017, we had a portfolio of investments in 45 portfolio companies with an aggregate fair value of $1,693.7 million that we believe exhibits strong credit quality and broad industry composition. As of December 31, 2017, 100% of our debt investments based on fair value bore interest at floating rates (when including investment specific hedges), with 93.3% of these subject to interest rate floors, and 93.4% of the fair value of our portfolio was invested in first-lien debt investments. We believe this portfolio will allow us to generate meaningful investment income, and consequently dividend income, for our stockholders.</w:t>
      </w:r>
    </w:p>
    <w:p>
      <w:pPr>
        <w:spacing w:after="0" w:line="183" w:lineRule="exact"/>
        <w:rPr>
          <w:sz w:val="20"/>
          <w:szCs w:val="20"/>
          <w:color w:val="auto"/>
        </w:rPr>
      </w:pPr>
    </w:p>
    <w:p>
      <w:pPr>
        <w:ind w:left="200" w:right="40"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Experienced management team</w:t>
      </w:r>
      <w:r>
        <w:rPr>
          <w:rFonts w:ascii="Times New Roman" w:cs="Times New Roman" w:eastAsia="Times New Roman" w:hAnsi="Times New Roman"/>
          <w:sz w:val="18"/>
          <w:szCs w:val="18"/>
          <w:color w:val="auto"/>
        </w:rPr>
        <w:t>. The Adviser has a highly experienced management team consisting of seven TSSP Partners and four TSSP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managing directors, with deep experience identifying and executing 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89" w:lineRule="exact"/>
        <w:rPr>
          <w:sz w:val="20"/>
          <w:szCs w:val="20"/>
          <w:color w:val="auto"/>
        </w:rPr>
      </w:pPr>
    </w:p>
    <w:p>
      <w:pPr>
        <w:ind w:left="200" w:right="8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Aligned investment professionals</w:t>
      </w:r>
      <w:r>
        <w:rPr>
          <w:rFonts w:ascii="Times New Roman" w:cs="Times New Roman" w:eastAsia="Times New Roman" w:hAnsi="Times New Roman"/>
          <w:sz w:val="18"/>
          <w:szCs w:val="18"/>
          <w:color w:val="auto"/>
        </w:rPr>
        <w:t>. We believe our investment professionals are aligned with our investment objective. The compensation 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our investment professionals is based on our returns, as opposed to transaction volume, which we believe fosters a focus on credit quality when originating investments.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Investment Criteria/Guidelines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investment approach involves, among other things:</w:t>
      </w:r>
    </w:p>
    <w:p>
      <w:pPr>
        <w:spacing w:after="0" w:line="131" w:lineRule="exact"/>
        <w:rPr>
          <w:sz w:val="20"/>
          <w:szCs w:val="20"/>
          <w:color w:val="auto"/>
        </w:rPr>
      </w:pPr>
    </w:p>
    <w:p>
      <w:pPr>
        <w:ind w:left="1060" w:hanging="316"/>
        <w:spacing w:after="0"/>
        <w:tabs>
          <w:tab w:leader="none" w:pos="10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the markets, overall macroeconomic environment and how the assessment may impact industry and investment selection;</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company-specific research and analysis;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individual company, an emphasis on capital preservation, low volatility and management of downside risk.</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20"/>
          </w:cols>
          <w:pgMar w:left="240" w:top="455" w:right="4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520" w:firstLine="441"/>
        <w:spacing w:after="0" w:line="313" w:lineRule="auto"/>
        <w:rPr>
          <w:sz w:val="20"/>
          <w:szCs w:val="20"/>
          <w:color w:val="auto"/>
        </w:rPr>
      </w:pPr>
      <w:r>
        <w:rPr>
          <w:rFonts w:ascii="Times New Roman" w:cs="Times New Roman" w:eastAsia="Times New Roman" w:hAnsi="Times New Roman"/>
          <w:sz w:val="17"/>
          <w:szCs w:val="17"/>
          <w:color w:val="auto"/>
        </w:rPr>
        <w:t>The foundation of our investment philosophy incorporates intensive analysis, a management discipline based on both market technicals and fundamental value-oriented research, and consideration of diversification within our portfolio. We follow a rigorous investment process based on:</w:t>
      </w:r>
    </w:p>
    <w:p>
      <w:pPr>
        <w:spacing w:after="0" w:line="44" w:lineRule="exact"/>
        <w:rPr>
          <w:sz w:val="20"/>
          <w:szCs w:val="20"/>
          <w:color w:val="auto"/>
        </w:rPr>
      </w:pPr>
    </w:p>
    <w:p>
      <w:pPr>
        <w:ind w:left="1060" w:hanging="316"/>
        <w:spacing w:after="0"/>
        <w:tabs>
          <w:tab w:leader="none" w:pos="10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comprehensive analysis of issuer creditworthiness, including a quantitative and qualitative assessment of the issuer’s business;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evaluation of management and its economic incentives;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analysis of business strategy and industry trends;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in-depth examination of a prospective portfolio company’s capital structure, financial results and projections.</w:t>
      </w:r>
    </w:p>
    <w:p>
      <w:pPr>
        <w:spacing w:after="0" w:line="225" w:lineRule="exact"/>
        <w:rPr>
          <w:sz w:val="20"/>
          <w:szCs w:val="20"/>
          <w:color w:val="auto"/>
        </w:rPr>
      </w:pPr>
    </w:p>
    <w:p>
      <w:pPr>
        <w:ind w:left="200" w:right="620" w:firstLine="441"/>
        <w:spacing w:after="0" w:line="282" w:lineRule="auto"/>
        <w:rPr>
          <w:sz w:val="20"/>
          <w:szCs w:val="20"/>
          <w:color w:val="auto"/>
        </w:rPr>
      </w:pPr>
      <w:r>
        <w:rPr>
          <w:rFonts w:ascii="Times New Roman" w:cs="Times New Roman" w:eastAsia="Times New Roman" w:hAnsi="Times New Roman"/>
          <w:sz w:val="18"/>
          <w:szCs w:val="18"/>
          <w:color w:val="auto"/>
        </w:rPr>
        <w:t>We seek to identify those companies exhibiting superior fundamental risk-reward profiles and strong defensible business franchises, while focusing on the absolute and relative value of the investment.</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Investment Process Overview</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Origination and Sourcing</w:t>
      </w:r>
    </w:p>
    <w:p>
      <w:pPr>
        <w:spacing w:after="0" w:line="121"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The substantial majority of our investments are not intermediated and are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investment opportunities. The substantial majority of our deals are informed by our current sector views and are sourced directly by our Adviser through our network contacts. We also identify opportunities through our Adviser’s relationships with TSSP and TPG.</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Due Diligence Process</w:t>
      </w:r>
    </w:p>
    <w:p>
      <w:pPr>
        <w:spacing w:after="0" w:line="121"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The process through which an investment decision is made involves extensive research into the company, its industry, its growth prospects and its ability to withstand adverse conditions. If the investment team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86" w:lineRule="exact"/>
        <w:rPr>
          <w:sz w:val="20"/>
          <w:szCs w:val="20"/>
          <w:color w:val="auto"/>
        </w:rPr>
      </w:pPr>
    </w:p>
    <w:p>
      <w:pPr>
        <w:ind w:left="1060" w:hanging="316"/>
        <w:spacing w:after="0"/>
        <w:tabs>
          <w:tab w:leader="none" w:pos="10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understanding the purpose of the capital requirement, the key personnel and variables, as well as the sources and uses of the proceeds;</w:t>
      </w:r>
    </w:p>
    <w:p>
      <w:pPr>
        <w:spacing w:after="0" w:line="130" w:lineRule="exact"/>
        <w:rPr>
          <w:rFonts w:ascii="Times New Roman" w:cs="Times New Roman" w:eastAsia="Times New Roman" w:hAnsi="Times New Roman"/>
          <w:sz w:val="18"/>
          <w:szCs w:val="18"/>
          <w:color w:val="auto"/>
        </w:rPr>
      </w:pPr>
    </w:p>
    <w:p>
      <w:pPr>
        <w:ind w:left="1060" w:right="280" w:hanging="316"/>
        <w:spacing w:after="0" w:line="282" w:lineRule="auto"/>
        <w:tabs>
          <w:tab w:leader="none" w:pos="10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the company’s management, including top and middle-level executives, to get an insider’s view of the business, and to probe for potential weaknesses in business prospects;</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checking management’s backgrounds and references;</w:t>
      </w:r>
    </w:p>
    <w:p>
      <w:pPr>
        <w:spacing w:after="0" w:line="130" w:lineRule="exact"/>
        <w:rPr>
          <w:rFonts w:ascii="Times New Roman" w:cs="Times New Roman" w:eastAsia="Times New Roman" w:hAnsi="Times New Roman"/>
          <w:sz w:val="18"/>
          <w:szCs w:val="18"/>
          <w:color w:val="auto"/>
        </w:rPr>
      </w:pPr>
    </w:p>
    <w:p>
      <w:pPr>
        <w:ind w:left="1060" w:right="40" w:hanging="316"/>
        <w:spacing w:after="0" w:line="282" w:lineRule="auto"/>
        <w:tabs>
          <w:tab w:leader="none" w:pos="10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 detailed review of historical financial performance, including performance through various economic cycles, and the quality of earnings;</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contacting customers and vendors to assess both business prospects and standard practices;</w:t>
      </w:r>
    </w:p>
    <w:p>
      <w:pPr>
        <w:spacing w:after="0" w:line="130" w:lineRule="exact"/>
        <w:rPr>
          <w:rFonts w:ascii="Times New Roman" w:cs="Times New Roman" w:eastAsia="Times New Roman" w:hAnsi="Times New Roman"/>
          <w:sz w:val="18"/>
          <w:szCs w:val="18"/>
          <w:color w:val="auto"/>
        </w:rPr>
      </w:pPr>
    </w:p>
    <w:p>
      <w:pPr>
        <w:ind w:left="1060" w:right="660" w:hanging="316"/>
        <w:spacing w:after="0" w:line="282" w:lineRule="auto"/>
        <w:tabs>
          <w:tab w:leader="none" w:pos="10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 competitive analysis, and comparing the company to its main competitors on an operating, financial, market share and valuation basis;</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researching the industry for historic growth trends and future prospects as well as to identify future exit alternatives;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asset value and the ability of physical infrastructure and information systems to handle anticipated growth;</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20"/>
          </w:cols>
          <w:pgMar w:left="240" w:top="455" w:right="4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TSSP and TPG internal resources with institutional knowledge of the company’s business;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investigating legal and regulatory risks and financial and accounting systems and practices.</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Selective Investment Process</w:t>
      </w:r>
    </w:p>
    <w:p>
      <w:pPr>
        <w:spacing w:after="0" w:line="121"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After an investment has been identified and preliminary diligence has been completed, a credit research and analysis report is prepared. This report is reviewed by senior investment professionals. If these senior and other investment professionals are supportive of pursuing the potential investment, 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Issuance of Formal Commitment</w:t>
      </w:r>
    </w:p>
    <w:p>
      <w:pPr>
        <w:spacing w:after="0" w:line="121" w:lineRule="exact"/>
        <w:rPr>
          <w:sz w:val="20"/>
          <w:szCs w:val="20"/>
          <w:color w:val="auto"/>
        </w:rPr>
      </w:pPr>
    </w:p>
    <w:p>
      <w:pPr>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Approval of an investment requires the approval of the Investment Review Committee or, depending on the size and nature of the investment, a portion thereof. Once we have determined that a prospective portfolio company is suitable for investment, we work with the management or sponsor of that company and its other capital providers, including senior, junior and equity capital providers, if any, to finalize the structure and terms of the investment.</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Portfolio Monitoring</w:t>
      </w:r>
    </w:p>
    <w:p>
      <w:pPr>
        <w:spacing w:after="0" w:line="121" w:lineRule="exact"/>
        <w:rPr>
          <w:sz w:val="20"/>
          <w:szCs w:val="20"/>
          <w:color w:val="auto"/>
        </w:rPr>
      </w:pPr>
    </w:p>
    <w:p>
      <w:pPr>
        <w:ind w:left="200" w:right="460" w:firstLine="441"/>
        <w:spacing w:after="0" w:line="282" w:lineRule="auto"/>
        <w:rPr>
          <w:sz w:val="20"/>
          <w:szCs w:val="20"/>
          <w:color w:val="auto"/>
        </w:rPr>
      </w:pPr>
      <w:r>
        <w:rPr>
          <w:rFonts w:ascii="Times New Roman" w:cs="Times New Roman" w:eastAsia="Times New Roman" w:hAnsi="Times New Roman"/>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62" w:lineRule="exact"/>
        <w:rPr>
          <w:sz w:val="20"/>
          <w:szCs w:val="20"/>
          <w:color w:val="auto"/>
        </w:rPr>
      </w:pPr>
    </w:p>
    <w:p>
      <w:pPr>
        <w:ind w:left="200" w:right="260" w:firstLine="441"/>
        <w:spacing w:after="0" w:line="282" w:lineRule="auto"/>
        <w:rPr>
          <w:sz w:val="20"/>
          <w:szCs w:val="20"/>
          <w:color w:val="auto"/>
        </w:rPr>
      </w:pPr>
      <w:r>
        <w:rPr>
          <w:rFonts w:ascii="Times New Roman" w:cs="Times New Roman" w:eastAsia="Times New Roman" w:hAnsi="Times New Roman"/>
          <w:sz w:val="18"/>
          <w:szCs w:val="18"/>
          <w:color w:val="auto"/>
        </w:rPr>
        <w:t>The Adviser has a number of methods of evaluating and monitoring the performance and fair value of our investments, which may include the following:</w:t>
      </w:r>
    </w:p>
    <w:p>
      <w:pPr>
        <w:spacing w:after="0" w:line="67" w:lineRule="exact"/>
        <w:rPr>
          <w:sz w:val="20"/>
          <w:szCs w:val="20"/>
          <w:color w:val="auto"/>
        </w:rPr>
      </w:pPr>
    </w:p>
    <w:p>
      <w:pPr>
        <w:ind w:left="1060" w:hanging="316"/>
        <w:spacing w:after="0"/>
        <w:tabs>
          <w:tab w:leader="none" w:pos="10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success of the portfolio company in adhering to its business plan and compliance with covenants;</w:t>
      </w:r>
    </w:p>
    <w:p>
      <w:pPr>
        <w:spacing w:after="0" w:line="130" w:lineRule="exact"/>
        <w:rPr>
          <w:rFonts w:ascii="Times New Roman" w:cs="Times New Roman" w:eastAsia="Times New Roman" w:hAnsi="Times New Roman"/>
          <w:sz w:val="18"/>
          <w:szCs w:val="18"/>
          <w:color w:val="auto"/>
        </w:rPr>
      </w:pPr>
    </w:p>
    <w:p>
      <w:pPr>
        <w:ind w:left="1060" w:right="100" w:hanging="316"/>
        <w:spacing w:after="0" w:line="282" w:lineRule="auto"/>
        <w:tabs>
          <w:tab w:leader="none" w:pos="10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and regular contact with portfolio company management and, if appropriate, the financial or strategic sponsor, to discuss financial position, requirements and accomplishments;</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comparisons to other companies in the industry;</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attendance at, and participation in, board meetings;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monthly and quarterly financial statements and financial projections for portfolio companies.</w:t>
      </w:r>
    </w:p>
    <w:p>
      <w:pPr>
        <w:spacing w:after="0" w:line="225" w:lineRule="exact"/>
        <w:rPr>
          <w:sz w:val="20"/>
          <w:szCs w:val="20"/>
          <w:color w:val="auto"/>
        </w:rPr>
      </w:pPr>
    </w:p>
    <w:p>
      <w:pPr>
        <w:jc w:val="both"/>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82" w:lineRule="exact"/>
        <w:rPr>
          <w:sz w:val="20"/>
          <w:szCs w:val="20"/>
          <w:color w:val="auto"/>
        </w:rPr>
      </w:pPr>
    </w:p>
    <w:p>
      <w:pPr>
        <w:jc w:val="both"/>
        <w:ind w:left="1060" w:hanging="316"/>
        <w:spacing w:after="0" w:line="266" w:lineRule="auto"/>
        <w:tabs>
          <w:tab w:leader="none" w:pos="10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81" w:lineRule="exact"/>
        <w:rPr>
          <w:rFonts w:ascii="Times New Roman" w:cs="Times New Roman" w:eastAsia="Times New Roman" w:hAnsi="Times New Roman"/>
          <w:sz w:val="18"/>
          <w:szCs w:val="18"/>
          <w:color w:val="auto"/>
        </w:rPr>
      </w:pPr>
    </w:p>
    <w:p>
      <w:pPr>
        <w:ind w:left="1060" w:right="500" w:hanging="316"/>
        <w:spacing w:after="0" w:line="266" w:lineRule="auto"/>
        <w:tabs>
          <w:tab w:leader="none" w:pos="10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1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60"/>
          </w:cols>
          <w:pgMar w:left="240" w:top="455" w:right="49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1060" w:right="60" w:hanging="316"/>
        <w:spacing w:after="0" w:line="266" w:lineRule="auto"/>
        <w:tabs>
          <w:tab w:leader="none" w:pos="10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3 if it is paying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81" w:lineRule="exact"/>
        <w:rPr>
          <w:rFonts w:ascii="Times New Roman" w:cs="Times New Roman" w:eastAsia="Times New Roman" w:hAnsi="Times New Roman"/>
          <w:sz w:val="18"/>
          <w:szCs w:val="18"/>
          <w:color w:val="auto"/>
        </w:rPr>
      </w:pPr>
    </w:p>
    <w:p>
      <w:pPr>
        <w:ind w:left="1060" w:right="120" w:hanging="316"/>
        <w:spacing w:after="0" w:line="256" w:lineRule="auto"/>
        <w:tabs>
          <w:tab w:leader="none" w:pos="10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93" w:lineRule="exact"/>
        <w:rPr>
          <w:rFonts w:ascii="Times New Roman" w:cs="Times New Roman" w:eastAsia="Times New Roman" w:hAnsi="Times New Roman"/>
          <w:sz w:val="18"/>
          <w:szCs w:val="18"/>
          <w:color w:val="auto"/>
        </w:rPr>
      </w:pPr>
    </w:p>
    <w:p>
      <w:pPr>
        <w:ind w:left="1060" w:right="100" w:hanging="316"/>
        <w:spacing w:after="0" w:line="261" w:lineRule="auto"/>
        <w:tabs>
          <w:tab w:leader="none" w:pos="10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rating of 5 indicates an investment is in default on its interest or principal payments. For these investments, our Adviser reviews the investment on a bi-monthly basis and, where possible, pursues workouts that achieve an early resolution to avoid further deterioration.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80" w:lineRule="exact"/>
        <w:rPr>
          <w:sz w:val="20"/>
          <w:szCs w:val="20"/>
          <w:color w:val="auto"/>
        </w:rPr>
      </w:pPr>
    </w:p>
    <w:p>
      <w:pPr>
        <w:ind w:left="200" w:right="20" w:firstLine="441"/>
        <w:spacing w:after="0" w:line="282" w:lineRule="auto"/>
        <w:rPr>
          <w:sz w:val="20"/>
          <w:szCs w:val="20"/>
          <w:color w:val="auto"/>
        </w:rPr>
      </w:pPr>
      <w:r>
        <w:rPr>
          <w:rFonts w:ascii="Times New Roman" w:cs="Times New Roman" w:eastAsia="Times New Roman" w:hAnsi="Times New Roman"/>
          <w:sz w:val="18"/>
          <w:szCs w:val="18"/>
          <w:color w:val="auto"/>
        </w:rPr>
        <w:t>For more information on the investment performance ratings of our portfolio, see “Management’s Discussion and Analysis of Financial Condition and Results of Operations—Key Components of Our Results of Operations—Portfolio and Investment Activity.”</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Investment Review Committee</w:t>
      </w:r>
    </w:p>
    <w:p>
      <w:pPr>
        <w:spacing w:after="0" w:line="121" w:lineRule="exact"/>
        <w:rPr>
          <w:sz w:val="20"/>
          <w:szCs w:val="20"/>
          <w:color w:val="auto"/>
        </w:rPr>
      </w:pPr>
    </w:p>
    <w:p>
      <w:pPr>
        <w:ind w:left="200" w:right="200" w:firstLine="441"/>
        <w:spacing w:after="0" w:line="261" w:lineRule="auto"/>
        <w:rPr>
          <w:sz w:val="20"/>
          <w:szCs w:val="20"/>
          <w:color w:val="auto"/>
        </w:rPr>
      </w:pPr>
      <w:r>
        <w:rPr>
          <w:rFonts w:ascii="Times New Roman" w:cs="Times New Roman" w:eastAsia="Times New Roman" w:hAnsi="Times New Roman"/>
          <w:sz w:val="18"/>
          <w:szCs w:val="18"/>
          <w:color w:val="auto"/>
        </w:rPr>
        <w:t>The Adviser manages our portfolio under the general oversight of the Investment Review Committee. The Investment Review Committee includes certain individuals who are senior personnel of the Adviser and TSSP, as well as certain other persons appointed by the Adviser from time to time. Our Investment Team and the Investment Review Committee are supported by and have access to the investment professionals, analytical capabilities and support personnel of TSSP and TPG. See “Management” and “Related-Party Transactions and Certain Relationships.”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Structure of Investments</w:t>
      </w:r>
    </w:p>
    <w:p>
      <w:pPr>
        <w:spacing w:after="0" w:line="121" w:lineRule="exact"/>
        <w:rPr>
          <w:sz w:val="20"/>
          <w:szCs w:val="20"/>
          <w:color w:val="auto"/>
        </w:rPr>
      </w:pPr>
    </w:p>
    <w:p>
      <w:pPr>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Since beginning our investment activities in July 2011, we have sought to generate current income primarily in U.S.-domiciled middle market companies through direct originations of senior secured loans and, to a lesser extent, originations of mezzanine and unsecured loans and investments in corporate bonds and equity and other investments.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Debt Investments</w:t>
      </w:r>
    </w:p>
    <w:p>
      <w:pPr>
        <w:spacing w:after="0" w:line="121" w:lineRule="exact"/>
        <w:rPr>
          <w:sz w:val="20"/>
          <w:szCs w:val="20"/>
          <w:color w:val="auto"/>
        </w:rPr>
      </w:pPr>
    </w:p>
    <w:p>
      <w:pPr>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The terms of our debt investments are tailored to the facts and circumstances of each transaction and prospective portfolio company. We negotiate the structure of each investment to protect our rights and manage our risk while providing funding to help the portfolio company achieve its business plan. We invest in the following types of debt:</w:t>
      </w:r>
    </w:p>
    <w:p>
      <w:pPr>
        <w:spacing w:after="0" w:line="80" w:lineRule="exact"/>
        <w:rPr>
          <w:sz w:val="20"/>
          <w:szCs w:val="20"/>
          <w:color w:val="auto"/>
        </w:rPr>
      </w:pPr>
    </w:p>
    <w:p>
      <w:pPr>
        <w:ind w:left="1060" w:hanging="316"/>
        <w:spacing w:after="0" w:line="261" w:lineRule="auto"/>
        <w:tabs>
          <w:tab w:leader="none" w:pos="10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First-lien debt</w:t>
      </w:r>
      <w:r>
        <w:rPr>
          <w:rFonts w:ascii="Times New Roman" w:cs="Times New Roman" w:eastAsia="Times New Roman" w:hAnsi="Times New Roman"/>
          <w:sz w:val="18"/>
          <w:szCs w:val="18"/>
          <w:color w:val="auto"/>
        </w:rPr>
        <w:t>. First-lien debt is typically senior on a lien basis to other liabilities in the issuer’s capital structure and has the benefit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first-priority security interest in assets of the issuer. The security interest ranks above the security interest of any second-lien lenders in those assets. Our first-lien debt may include stand-alone first-lien loans, “last out” first-lien loans, “unitranche” loans and secured corporate bonds with similar features to these categories of first-lien loans.</w:t>
      </w:r>
    </w:p>
    <w:p>
      <w:pPr>
        <w:spacing w:after="0" w:line="85" w:lineRule="exact"/>
        <w:rPr>
          <w:rFonts w:ascii="Times New Roman" w:cs="Times New Roman" w:eastAsia="Times New Roman" w:hAnsi="Times New Roman"/>
          <w:sz w:val="18"/>
          <w:szCs w:val="18"/>
          <w:color w:val="auto"/>
        </w:rPr>
      </w:pPr>
    </w:p>
    <w:p>
      <w:pPr>
        <w:ind w:left="1620" w:right="60" w:hanging="430"/>
        <w:spacing w:after="0" w:line="284" w:lineRule="auto"/>
        <w:tabs>
          <w:tab w:leader="none" w:pos="16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Stand-alone first-lien loans</w:t>
      </w:r>
      <w:r>
        <w:rPr>
          <w:rFonts w:ascii="Times New Roman" w:cs="Times New Roman" w:eastAsia="Times New Roman" w:hAnsi="Times New Roman"/>
          <w:sz w:val="18"/>
          <w:szCs w:val="18"/>
          <w:color w:val="auto"/>
        </w:rPr>
        <w:t>. Stand-alone first-lien loans are traditional first-lien loans. All lenders in the facility have equal rights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collateral that is subject to the first-priority security interest.</w:t>
      </w:r>
    </w:p>
    <w:p>
      <w:pPr>
        <w:spacing w:after="0" w:line="9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80"/>
          </w:cols>
          <w:pgMar w:left="240" w:top="455" w:right="47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jc w:val="both"/>
        <w:ind w:left="1620" w:right="80" w:hanging="430"/>
        <w:spacing w:after="0" w:line="258" w:lineRule="auto"/>
        <w:tabs>
          <w:tab w:leader="none" w:pos="16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Last out” first-lien loans</w:t>
      </w:r>
      <w:r>
        <w:rPr>
          <w:rFonts w:ascii="Times New Roman" w:cs="Times New Roman" w:eastAsia="Times New Roman" w:hAnsi="Times New Roman"/>
          <w:sz w:val="18"/>
          <w:szCs w:val="18"/>
          <w:color w:val="auto"/>
        </w:rPr>
        <w:t>. “Last out” first-lien loans have a secondary priority behind super-senior “first out” first-lien loans in the collateral securing the loans in certain circumstances. The arrangements for a “last out” first-lien loan are set forth in an “agreement among lenders,” which provides lenders with “first out” and “last out” payment streams based on a single lien on the collateral.</w:t>
      </w:r>
    </w:p>
    <w:p>
      <w:pPr>
        <w:spacing w:after="0" w:line="1" w:lineRule="exact"/>
        <w:rPr>
          <w:rFonts w:ascii="Times New Roman" w:cs="Times New Roman" w:eastAsia="Times New Roman" w:hAnsi="Times New Roman"/>
          <w:sz w:val="18"/>
          <w:szCs w:val="18"/>
          <w:color w:val="auto"/>
        </w:rPr>
      </w:pPr>
    </w:p>
    <w:p>
      <w:pPr>
        <w:ind w:left="1620"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90" w:lineRule="exact"/>
        <w:rPr>
          <w:rFonts w:ascii="Times New Roman" w:cs="Times New Roman" w:eastAsia="Times New Roman" w:hAnsi="Times New Roman"/>
          <w:sz w:val="18"/>
          <w:szCs w:val="18"/>
          <w:color w:val="auto"/>
        </w:rPr>
      </w:pPr>
    </w:p>
    <w:p>
      <w:pPr>
        <w:ind w:left="1620" w:right="180" w:hanging="430"/>
        <w:spacing w:after="0" w:line="261" w:lineRule="auto"/>
        <w:tabs>
          <w:tab w:leader="none" w:pos="16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“Unitranche” loans</w:t>
      </w:r>
      <w:r>
        <w:rPr>
          <w:rFonts w:ascii="Times New Roman" w:cs="Times New Roman" w:eastAsia="Times New Roman" w:hAnsi="Times New Roman"/>
          <w:sz w:val="18"/>
          <w:szCs w:val="18"/>
          <w:color w:val="auto"/>
        </w:rPr>
        <w:t>. Unitranche loans combine features of first-lien, second-lien and mezzanine debt, generally in a first-lien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 In many cases, we may provide the borrower most, if not all, of the capital structure above the equity. The primary advantages to the borrower are the ability to negotiate the entire debt financing with one lender and the elimination of intercreditor issues.</w:t>
      </w:r>
    </w:p>
    <w:p>
      <w:pPr>
        <w:spacing w:after="0" w:line="85" w:lineRule="exact"/>
        <w:rPr>
          <w:rFonts w:ascii="Times New Roman" w:cs="Times New Roman" w:eastAsia="Times New Roman" w:hAnsi="Times New Roman"/>
          <w:sz w:val="18"/>
          <w:szCs w:val="18"/>
          <w:color w:val="auto"/>
        </w:rPr>
      </w:pPr>
    </w:p>
    <w:p>
      <w:pPr>
        <w:ind w:left="1060" w:hanging="316"/>
        <w:spacing w:after="0" w:line="259" w:lineRule="auto"/>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Second-lien debt</w:t>
      </w:r>
      <w:r>
        <w:rPr>
          <w:rFonts w:ascii="Times New Roman" w:cs="Times New Roman" w:eastAsia="Times New Roman" w:hAnsi="Times New Roman"/>
          <w:sz w:val="18"/>
          <w:szCs w:val="18"/>
          <w:color w:val="auto"/>
        </w:rPr>
        <w:t>. Our second-lien debt may include secured loans, and, to a lesser extent, secured corporate bonds, with a secondary priority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behind first-lien debt. Second-lien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85" w:lineRule="exact"/>
        <w:rPr>
          <w:rFonts w:ascii="Times New Roman" w:cs="Times New Roman" w:eastAsia="Times New Roman" w:hAnsi="Times New Roman"/>
          <w:sz w:val="18"/>
          <w:szCs w:val="18"/>
          <w:color w:val="auto"/>
        </w:rPr>
      </w:pPr>
    </w:p>
    <w:p>
      <w:pPr>
        <w:ind w:left="1060" w:right="20" w:hanging="316"/>
        <w:spacing w:after="0" w:line="254" w:lineRule="auto"/>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“Mezzanine” and “Unsecured” debt</w:t>
      </w:r>
      <w:r>
        <w:rPr>
          <w:rFonts w:ascii="Times New Roman" w:cs="Times New Roman" w:eastAsia="Times New Roman" w:hAnsi="Times New Roman"/>
          <w:sz w:val="18"/>
          <w:szCs w:val="18"/>
          <w:color w:val="auto"/>
        </w:rPr>
        <w:t>. Structurally, mezzanine debt usually ranks subordinate in priority of payment to first-lien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second-lien debt and may not have the benefit of financial covenants common in first-lien and second-lien debt. Unsecured debt may rank junior as it relates to proceeds in certain liquidations where it does not have the benefit of a lien in specific collateral held by creditors (typically first lien and/or second lien) who have a perfected security interest in such collateral. However, both mezzanine and unsecured debt ranks senior to common and preferred equity in an issuer’s capital structure. Mezzanine and unsecured debt investments generally offer lenders fixed returns in the form of interest payments and mezzanine debt will often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and unsecured debt generally bears a higher stated interest rate than first-lien and second-lien debt.</w:t>
      </w:r>
    </w:p>
    <w:p>
      <w:pPr>
        <w:spacing w:after="0" w:line="191" w:lineRule="exact"/>
        <w:rPr>
          <w:sz w:val="20"/>
          <w:szCs w:val="20"/>
          <w:color w:val="auto"/>
        </w:rPr>
      </w:pPr>
    </w:p>
    <w:p>
      <w:pPr>
        <w:ind w:left="200" w:right="200" w:firstLine="441"/>
        <w:spacing w:after="0" w:line="282" w:lineRule="auto"/>
        <w:rPr>
          <w:sz w:val="20"/>
          <w:szCs w:val="20"/>
          <w:color w:val="auto"/>
        </w:rPr>
      </w:pPr>
      <w:r>
        <w:rPr>
          <w:rFonts w:ascii="Times New Roman" w:cs="Times New Roman" w:eastAsia="Times New Roman" w:hAnsi="Times New Roman"/>
          <w:sz w:val="18"/>
          <w:szCs w:val="18"/>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67" w:lineRule="exact"/>
        <w:rPr>
          <w:sz w:val="20"/>
          <w:szCs w:val="20"/>
          <w:color w:val="auto"/>
        </w:rPr>
      </w:pPr>
    </w:p>
    <w:p>
      <w:pPr>
        <w:ind w:left="1060" w:hanging="316"/>
        <w:spacing w:after="0"/>
        <w:tabs>
          <w:tab w:leader="none" w:pos="10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total return on our investments (including both interest and potential equity appreciation) that compensates us for credit risk; and</w:t>
      </w:r>
    </w:p>
    <w:p>
      <w:pPr>
        <w:spacing w:after="0" w:line="130" w:lineRule="exact"/>
        <w:rPr>
          <w:rFonts w:ascii="Times New Roman" w:cs="Times New Roman" w:eastAsia="Times New Roman" w:hAnsi="Times New Roman"/>
          <w:sz w:val="18"/>
          <w:szCs w:val="18"/>
          <w:color w:val="auto"/>
        </w:rPr>
      </w:pPr>
    </w:p>
    <w:p>
      <w:pPr>
        <w:ind w:left="1060" w:right="100" w:hanging="316"/>
        <w:spacing w:after="0" w:line="261" w:lineRule="auto"/>
        <w:tabs>
          <w:tab w:leader="none" w:pos="10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80" w:lineRule="exact"/>
        <w:rPr>
          <w:sz w:val="20"/>
          <w:szCs w:val="20"/>
          <w:color w:val="auto"/>
        </w:rPr>
      </w:pPr>
    </w:p>
    <w:p>
      <w:pPr>
        <w:ind w:left="200" w:right="360" w:firstLine="441"/>
        <w:spacing w:after="0" w:line="282" w:lineRule="auto"/>
        <w:rPr>
          <w:sz w:val="20"/>
          <w:szCs w:val="20"/>
          <w:color w:val="auto"/>
        </w:rPr>
      </w:pPr>
      <w:r>
        <w:rPr>
          <w:rFonts w:ascii="Times New Roman" w:cs="Times New Roman" w:eastAsia="Times New Roman" w:hAnsi="Times New Roman"/>
          <w:sz w:val="18"/>
          <w:szCs w:val="18"/>
          <w:color w:val="auto"/>
        </w:rPr>
        <w:t>Among the types of first-lien debt in which we invest, we generally are able to obtain higher effective interest rates on our “last out” first-lien loans than on other types of first-lien loans, since our “last-out” first-lien</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00"/>
          </w:cols>
          <w:pgMar w:left="240" w:top="455" w:right="45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00"/>
        <w:spacing w:after="0" w:line="266" w:lineRule="auto"/>
        <w:rPr>
          <w:sz w:val="20"/>
          <w:szCs w:val="20"/>
          <w:color w:val="auto"/>
        </w:rPr>
      </w:pPr>
      <w:r>
        <w:rPr>
          <w:rFonts w:ascii="Times New Roman" w:cs="Times New Roman" w:eastAsia="Times New Roman" w:hAnsi="Times New Roman"/>
          <w:sz w:val="18"/>
          <w:szCs w:val="18"/>
          <w:color w:val="auto"/>
        </w:rPr>
        <w:t>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Equity and Other Investments</w:t>
      </w:r>
    </w:p>
    <w:p>
      <w:pPr>
        <w:spacing w:after="0" w:line="121" w:lineRule="exact"/>
        <w:rPr>
          <w:sz w:val="20"/>
          <w:szCs w:val="20"/>
          <w:color w:val="auto"/>
        </w:rPr>
      </w:pPr>
    </w:p>
    <w:p>
      <w:pPr>
        <w:jc w:val="both"/>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Our loans may include an equity interest in the issuer, such as a warrant or profit participation right. In certain instances, we also will make direct equity investments, although those situations are generally limited to those cases where we are making an investment in a more senior part of the capital structure of the issuer.</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jc w:val="both"/>
        <w:ind w:left="200" w:firstLine="441"/>
        <w:spacing w:after="0" w:line="282" w:lineRule="auto"/>
        <w:rPr>
          <w:sz w:val="20"/>
          <w:szCs w:val="20"/>
          <w:color w:val="auto"/>
        </w:rPr>
      </w:pPr>
      <w:r>
        <w:rPr>
          <w:rFonts w:ascii="Times New Roman" w:cs="Times New Roman" w:eastAsia="Times New Roman" w:hAnsi="Times New Roman"/>
          <w:sz w:val="18"/>
          <w:szCs w:val="18"/>
          <w:color w:val="auto"/>
        </w:rPr>
        <w:t>As of December 31, 2017 and 2016, we had made investments with an aggregate fair value of $1,693.7 million and $1,657.4 million, respectively, in 45 and 52 portfolio companies, respectively.</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Investments consisted of the following at December 31, 2017 and 2016:</w:t>
      </w:r>
    </w:p>
    <w:p>
      <w:pPr>
        <w:spacing w:after="0" w:line="246"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70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Amortized Cost</w:t>
            </w:r>
            <w:r>
              <w:rPr>
                <w:rFonts w:ascii="Times New Roman" w:cs="Times New Roman" w:eastAsia="Times New Roman" w:hAnsi="Times New Roman"/>
                <w:sz w:val="12"/>
                <w:szCs w:val="12"/>
                <w:b w:val="1"/>
                <w:bCs w:val="1"/>
                <w:color w:val="auto"/>
              </w:rPr>
              <w:t>(1)</w:t>
            </w:r>
          </w:p>
        </w:tc>
        <w:tc>
          <w:tcPr>
            <w:tcW w:w="66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0"/>
                <w:szCs w:val="10"/>
                <w:color w:val="auto"/>
              </w:rPr>
            </w:pPr>
          </w:p>
        </w:tc>
        <w:tc>
          <w:tcPr>
            <w:tcW w:w="1580" w:type="dxa"/>
            <w:vAlign w:val="bottom"/>
            <w:gridSpan w:val="5"/>
          </w:tcPr>
          <w:p>
            <w:pPr>
              <w:jc w:val="center"/>
              <w:ind w:left="593"/>
              <w:spacing w:after="0" w:line="118" w:lineRule="exact"/>
              <w:rPr>
                <w:sz w:val="20"/>
                <w:szCs w:val="20"/>
                <w:color w:val="auto"/>
              </w:rPr>
            </w:pPr>
            <w:r>
              <w:rPr>
                <w:rFonts w:ascii="Times New Roman" w:cs="Times New Roman" w:eastAsia="Times New Roman" w:hAnsi="Times New Roman"/>
                <w:sz w:val="13"/>
                <w:szCs w:val="13"/>
                <w:b w:val="1"/>
                <w:bCs w:val="1"/>
                <w:color w:val="auto"/>
              </w:rPr>
              <w:t>Net Unrealized</w:t>
            </w:r>
          </w:p>
        </w:tc>
        <w:tc>
          <w:tcPr>
            <w:tcW w:w="0" w:type="dxa"/>
            <w:vAlign w:val="bottom"/>
          </w:tcPr>
          <w:p>
            <w:pPr>
              <w:spacing w:after="0"/>
              <w:rPr>
                <w:sz w:val="1"/>
                <w:szCs w:val="1"/>
                <w:color w:val="auto"/>
              </w:rPr>
            </w:pPr>
          </w:p>
        </w:tc>
      </w:tr>
      <w:tr>
        <w:trPr>
          <w:trHeight w:val="173"/>
        </w:trPr>
        <w:tc>
          <w:tcPr>
            <w:tcW w:w="5480" w:type="dxa"/>
            <w:vAlign w:val="bottom"/>
            <w:gridSpan w:val="2"/>
            <w:vMerge w:val="continue"/>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$1,561.3</w:t>
            </w: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$1,581.3</w:t>
            </w:r>
          </w:p>
        </w:tc>
        <w:tc>
          <w:tcPr>
            <w:tcW w:w="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$ 20.0</w:t>
            </w: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54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and unsecured debt investments</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54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r>
              <w:rPr>
                <w:rFonts w:ascii="Times New Roman" w:cs="Times New Roman" w:eastAsia="Times New Roman" w:hAnsi="Times New Roman"/>
                <w:sz w:val="18"/>
                <w:szCs w:val="18"/>
                <w:u w:val="single" w:color="auto"/>
                <w:color w:val="auto"/>
              </w:rPr>
              <w:t>5</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1,686.3</w:t>
            </w:r>
          </w:p>
        </w:tc>
        <w:tc>
          <w:tcPr>
            <w:tcW w:w="5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1,693.7</w:t>
            </w:r>
          </w:p>
        </w:tc>
        <w:tc>
          <w:tcPr>
            <w:tcW w:w="11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70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Amortized Cost</w:t>
            </w:r>
            <w:r>
              <w:rPr>
                <w:rFonts w:ascii="Times New Roman" w:cs="Times New Roman" w:eastAsia="Times New Roman" w:hAnsi="Times New Roman"/>
                <w:sz w:val="12"/>
                <w:szCs w:val="12"/>
                <w:b w:val="1"/>
                <w:bCs w:val="1"/>
                <w:color w:val="auto"/>
              </w:rPr>
              <w:t>(1)</w:t>
            </w:r>
          </w:p>
        </w:tc>
        <w:tc>
          <w:tcPr>
            <w:tcW w:w="66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0"/>
                <w:szCs w:val="10"/>
                <w:color w:val="auto"/>
              </w:rPr>
            </w:pPr>
          </w:p>
        </w:tc>
        <w:tc>
          <w:tcPr>
            <w:tcW w:w="1580" w:type="dxa"/>
            <w:vAlign w:val="bottom"/>
            <w:gridSpan w:val="5"/>
          </w:tcPr>
          <w:p>
            <w:pPr>
              <w:jc w:val="center"/>
              <w:ind w:left="593"/>
              <w:spacing w:after="0" w:line="118" w:lineRule="exact"/>
              <w:rPr>
                <w:sz w:val="20"/>
                <w:szCs w:val="20"/>
                <w:color w:val="auto"/>
              </w:rPr>
            </w:pPr>
            <w:r>
              <w:rPr>
                <w:rFonts w:ascii="Times New Roman" w:cs="Times New Roman" w:eastAsia="Times New Roman" w:hAnsi="Times New Roman"/>
                <w:sz w:val="13"/>
                <w:szCs w:val="13"/>
                <w:b w:val="1"/>
                <w:bCs w:val="1"/>
                <w:color w:val="auto"/>
              </w:rPr>
              <w:t>Net Unrealized</w:t>
            </w:r>
          </w:p>
        </w:tc>
        <w:tc>
          <w:tcPr>
            <w:tcW w:w="0" w:type="dxa"/>
            <w:vAlign w:val="bottom"/>
          </w:tcPr>
          <w:p>
            <w:pPr>
              <w:spacing w:after="0"/>
              <w:rPr>
                <w:sz w:val="1"/>
                <w:szCs w:val="1"/>
                <w:color w:val="auto"/>
              </w:rPr>
            </w:pPr>
          </w:p>
        </w:tc>
      </w:tr>
      <w:tr>
        <w:trPr>
          <w:trHeight w:val="173"/>
        </w:trPr>
        <w:tc>
          <w:tcPr>
            <w:tcW w:w="5480" w:type="dxa"/>
            <w:vAlign w:val="bottom"/>
            <w:gridSpan w:val="2"/>
            <w:vMerge w:val="continue"/>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$1,592.8</w:t>
            </w: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$1,599.6</w:t>
            </w:r>
          </w:p>
        </w:tc>
        <w:tc>
          <w:tcPr>
            <w:tcW w:w="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54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and unsecured debt investments</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5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54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r>
              <w:rPr>
                <w:rFonts w:ascii="Times New Roman" w:cs="Times New Roman" w:eastAsia="Times New Roman" w:hAnsi="Times New Roman"/>
                <w:sz w:val="18"/>
                <w:szCs w:val="18"/>
                <w:u w:val="single" w:color="auto"/>
                <w:color w:val="auto"/>
              </w:rPr>
              <w:t>5</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1,667.7</w:t>
            </w:r>
          </w:p>
        </w:tc>
        <w:tc>
          <w:tcPr>
            <w:tcW w:w="5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1,657.4</w:t>
            </w:r>
          </w:p>
        </w:tc>
        <w:tc>
          <w:tcPr>
            <w:tcW w:w="160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40" w:right="200" w:hanging="436"/>
        <w:spacing w:after="0" w:line="282" w:lineRule="auto"/>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Amortized cost represents the original cost adjusted for the amortization of discounts or premiums, as applicable, on debt investments using the effective interest method.</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80"/>
          </w:cols>
          <w:pgMar w:left="240" w:top="455" w:right="47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industry composition of investments at fair value at December 31, 2017 and 2016 was as follows:</w:t>
      </w:r>
    </w:p>
    <w:p>
      <w:pPr>
        <w:spacing w:after="0" w:line="23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96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2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5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w:t>
            </w:r>
          </w:p>
        </w:tc>
        <w:tc>
          <w:tcPr>
            <w:tcW w:w="15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Beverage, food, and tobacco</w:t>
            </w:r>
          </w:p>
        </w:tc>
        <w:tc>
          <w:tcPr>
            <w:tcW w:w="29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4.5%</w:t>
            </w: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29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13.8%</w:t>
            </w:r>
          </w:p>
        </w:tc>
        <w:tc>
          <w:tcPr>
            <w:tcW w:w="1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Chemicals</w:t>
            </w:r>
          </w:p>
        </w:tc>
        <w:tc>
          <w:tcPr>
            <w:tcW w:w="29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0.7%</w:t>
            </w: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29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6.7%</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Education</w:t>
            </w:r>
          </w:p>
        </w:tc>
        <w:tc>
          <w:tcPr>
            <w:tcW w:w="29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8.8%</w:t>
            </w: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Electronics</w:t>
            </w:r>
          </w:p>
        </w:tc>
        <w:tc>
          <w:tcPr>
            <w:tcW w:w="15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29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14.0%</w:t>
            </w: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w:t>
            </w:r>
          </w:p>
        </w:tc>
        <w:tc>
          <w:tcPr>
            <w:tcW w:w="29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12.6%</w:t>
            </w:r>
          </w:p>
        </w:tc>
        <w:tc>
          <w:tcPr>
            <w:tcW w:w="1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Hotel, gaming, and leisure</w:t>
            </w:r>
          </w:p>
        </w:tc>
        <w:tc>
          <w:tcPr>
            <w:tcW w:w="29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2.1%</w:t>
            </w: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Human resource support services</w:t>
            </w:r>
          </w:p>
        </w:tc>
        <w:tc>
          <w:tcPr>
            <w:tcW w:w="15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29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3.8%</w:t>
            </w: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Internet services</w:t>
            </w:r>
          </w:p>
        </w:tc>
        <w:tc>
          <w:tcPr>
            <w:tcW w:w="29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2.9%</w:t>
            </w:r>
          </w:p>
        </w:tc>
        <w:tc>
          <w:tcPr>
            <w:tcW w:w="1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29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3.3%</w:t>
            </w: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services</w:t>
            </w:r>
          </w:p>
        </w:tc>
        <w:tc>
          <w:tcPr>
            <w:tcW w:w="29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3.6%</w:t>
            </w:r>
          </w:p>
        </w:tc>
        <w:tc>
          <w:tcPr>
            <w:tcW w:w="1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Office products</w:t>
            </w:r>
          </w:p>
        </w:tc>
        <w:tc>
          <w:tcPr>
            <w:tcW w:w="29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1.2%</w:t>
            </w: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gas and consumable fuels</w:t>
            </w:r>
          </w:p>
        </w:tc>
        <w:tc>
          <w:tcPr>
            <w:tcW w:w="29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5.5%</w:t>
            </w:r>
          </w:p>
        </w:tc>
        <w:tc>
          <w:tcPr>
            <w:tcW w:w="1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Pharmaceuticals</w:t>
            </w:r>
          </w:p>
        </w:tc>
        <w:tc>
          <w:tcPr>
            <w:tcW w:w="29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8.2%</w:t>
            </w:r>
          </w:p>
        </w:tc>
        <w:tc>
          <w:tcPr>
            <w:tcW w:w="1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Retail and consumer products</w:t>
            </w:r>
          </w:p>
        </w:tc>
        <w:tc>
          <w:tcPr>
            <w:tcW w:w="29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6.5%</w:t>
            </w: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Transportation</w:t>
            </w:r>
          </w:p>
        </w:tc>
        <w:tc>
          <w:tcPr>
            <w:tcW w:w="15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6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vMerge w:val="continue"/>
          </w:tcPr>
          <w:p>
            <w:pPr>
              <w:spacing w:after="0"/>
              <w:rPr>
                <w:sz w:val="19"/>
                <w:szCs w:val="19"/>
                <w:color w:val="auto"/>
              </w:rPr>
            </w:pPr>
          </w:p>
        </w:tc>
        <w:tc>
          <w:tcPr>
            <w:tcW w:w="1560" w:type="dxa"/>
            <w:vAlign w:val="bottom"/>
            <w:vMerge w:val="continue"/>
          </w:tcPr>
          <w:p>
            <w:pPr>
              <w:spacing w:after="0"/>
              <w:rPr>
                <w:sz w:val="19"/>
                <w:szCs w:val="19"/>
                <w:color w:val="auto"/>
              </w:rPr>
            </w:pP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100.0%</w:t>
            </w:r>
          </w:p>
        </w:tc>
        <w:tc>
          <w:tcPr>
            <w:tcW w:w="440" w:type="dxa"/>
            <w:vAlign w:val="bottom"/>
            <w:vMerge w:val="continue"/>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We classify the industries of our portfolio companies by end-market (such as healthcare, and business services) and not by the product or services (such as software) directed to those end-markets.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geographic composition of investments at fair value at December 31, 2017 and 2016 was as follows:</w:t>
      </w:r>
    </w:p>
    <w:p>
      <w:pPr>
        <w:spacing w:after="0" w:line="23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4340" w:type="dxa"/>
            <w:vAlign w:val="bottom"/>
            <w:gridSpan w:val="3"/>
          </w:tcPr>
          <w:p>
            <w:pPr>
              <w:jc w:val="center"/>
              <w:ind w:left="22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gridSpan w:val="3"/>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376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2017</w:t>
            </w:r>
          </w:p>
        </w:tc>
        <w:tc>
          <w:tcPr>
            <w:tcW w:w="580" w:type="dxa"/>
            <w:vAlign w:val="bottom"/>
          </w:tcPr>
          <w:p>
            <w:pPr>
              <w:spacing w:after="0"/>
              <w:rPr>
                <w:sz w:val="15"/>
                <w:szCs w:val="15"/>
                <w:color w:val="auto"/>
              </w:rPr>
            </w:pPr>
          </w:p>
        </w:tc>
        <w:tc>
          <w:tcPr>
            <w:tcW w:w="128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United States</w:t>
            </w:r>
          </w:p>
        </w:tc>
        <w:tc>
          <w:tcPr>
            <w:tcW w:w="29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Midwest</w:t>
            </w:r>
          </w:p>
        </w:tc>
        <w:tc>
          <w:tcPr>
            <w:tcW w:w="43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10.0%</w:t>
            </w: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Northeast</w:t>
            </w:r>
          </w:p>
        </w:tc>
        <w:tc>
          <w:tcPr>
            <w:tcW w:w="43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22.9%</w:t>
            </w:r>
          </w:p>
        </w:tc>
        <w:tc>
          <w:tcPr>
            <w:tcW w:w="1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South</w:t>
            </w:r>
          </w:p>
        </w:tc>
        <w:tc>
          <w:tcPr>
            <w:tcW w:w="43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21.6%</w:t>
            </w: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West</w:t>
            </w:r>
          </w:p>
        </w:tc>
        <w:tc>
          <w:tcPr>
            <w:tcW w:w="43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40.6%</w:t>
            </w:r>
          </w:p>
        </w:tc>
        <w:tc>
          <w:tcPr>
            <w:tcW w:w="1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43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2.0%</w:t>
            </w: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29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2.9%</w:t>
            </w:r>
          </w:p>
        </w:tc>
        <w:tc>
          <w:tcPr>
            <w:tcW w:w="1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9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540" w:type="dxa"/>
            <w:vAlign w:val="bottom"/>
            <w:vMerge w:val="continue"/>
          </w:tcPr>
          <w:p>
            <w:pPr>
              <w:spacing w:after="0"/>
              <w:rPr>
                <w:sz w:val="19"/>
                <w:szCs w:val="19"/>
                <w:color w:val="auto"/>
              </w:rPr>
            </w:pPr>
          </w:p>
        </w:tc>
        <w:tc>
          <w:tcPr>
            <w:tcW w:w="2920" w:type="dxa"/>
            <w:vAlign w:val="bottom"/>
            <w:vMerge w:val="continue"/>
          </w:tcPr>
          <w:p>
            <w:pPr>
              <w:spacing w:after="0"/>
              <w:rPr>
                <w:sz w:val="19"/>
                <w:szCs w:val="19"/>
                <w:color w:val="auto"/>
              </w:rPr>
            </w:pP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100.0%</w:t>
            </w:r>
          </w:p>
        </w:tc>
        <w:tc>
          <w:tcPr>
            <w:tcW w:w="440" w:type="dxa"/>
            <w:vAlign w:val="bottom"/>
            <w:vMerge w:val="continue"/>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920" w:type="dxa"/>
            <w:vAlign w:val="bottom"/>
            <w:vMerge w:val="restart"/>
          </w:tcPr>
          <w:p>
            <w:pPr>
              <w:jc w:val="right"/>
              <w:ind w:right="1074"/>
              <w:spacing w:after="0"/>
              <w:rPr>
                <w:sz w:val="20"/>
                <w:szCs w:val="20"/>
                <w:color w:val="auto"/>
              </w:rPr>
            </w:pPr>
            <w:r>
              <w:rPr>
                <w:rFonts w:ascii="Times New Roman" w:cs="Times New Roman" w:eastAsia="Times New Roman" w:hAnsi="Times New Roman"/>
                <w:sz w:val="18"/>
                <w:szCs w:val="18"/>
                <w:color w:val="auto"/>
              </w:rPr>
              <w:t>101</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5" w:right="51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Investment Commitments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December 31, 2017 and 2016, we had the following commitments to fund investments in current portfolio companies:</w:t>
      </w:r>
    </w:p>
    <w:p>
      <w:pPr>
        <w:spacing w:after="0" w:line="23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7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40" w:type="dxa"/>
            <w:vAlign w:val="bottom"/>
            <w:gridSpan w:val="4"/>
          </w:tcPr>
          <w:p>
            <w:pPr>
              <w:ind w:left="9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4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2017</w:t>
            </w: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AppStar Financial, LLC—Revolver</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9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Clarabridge, Inc.—Revolver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CrunchTime Information Systems, Inc.—Delayed Draw</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CrunchTime Information Systems, Inc.—Revolver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Ecommerce Industries, Inc.—Revolver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Frontline Technologies Group LLC—Delayed Draw</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Heartland Automotive Holdings, LLC—Revolver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Helix Health Ltd.—Revolver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Illuminate Education, Inc.—Revolver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Industrial Physics LLC—Revolver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IRGSE Holding Corp.—Revolver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Lithium Technologies LLC—Revolver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Leaf US Holdings, Inc.—Revolver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Marketo, Inc.—Revolver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Northern Oil &amp; Gas—Delayed Draw</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My Alarm Center, LLC—Delayed Draw</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Network Merchants, Inc.—Revolver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PayLease, LLC—Revolver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PaySimple—Revolver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Rex Energy Corporation—Delayed Draw</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Riskonnect, Inc.—Revolver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Sailpoint Technologies, Inc.—Revolver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ScentAir Technologies, Inc.—Revolver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Sovos Compliance, LLC—Delayed Draw</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Sovos Compliance, LLC—Revolver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9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Portfolio Company Commitments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96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As of December 31, 2017, we did not have any unfunded commitments to fund investments to new borrowers that were not current portfolio companies as of December 31, 2017. As of December 31, 2016, we had additional unfunded commitments of $50.0 million to fund investments to new borrowers that were not current portfolio companies as of December 31, 2016.</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Managerial Assistance</w:t>
      </w:r>
    </w:p>
    <w:p>
      <w:pPr>
        <w:spacing w:after="0" w:line="121" w:lineRule="exact"/>
        <w:rPr>
          <w:sz w:val="20"/>
          <w:szCs w:val="20"/>
          <w:color w:val="auto"/>
        </w:rPr>
      </w:pPr>
    </w:p>
    <w:p>
      <w:pPr>
        <w:jc w:val="both"/>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As a BDC, we must offer significant managerial assistance to our portfolio companies. This assistance can involve monitoring the operations of our portfolio companies, participating in board and management meetings, consulting with and advising officers of portfolio companies and providing other organizational and financial guidance. We may receive fees for these services and reimburse the Adviser for its allocated costs in providing this assistance, subject to the review and approval by our Board, including our Independent Directors. See “Regulation.”</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200" w:right="300" w:firstLine="441"/>
        <w:spacing w:after="0" w:line="282" w:lineRule="auto"/>
        <w:rPr>
          <w:sz w:val="20"/>
          <w:szCs w:val="20"/>
          <w:color w:val="auto"/>
        </w:rPr>
      </w:pPr>
      <w:r>
        <w:rPr>
          <w:rFonts w:ascii="Times New Roman" w:cs="Times New Roman" w:eastAsia="Times New Roman" w:hAnsi="Times New Roman"/>
          <w:sz w:val="18"/>
          <w:szCs w:val="18"/>
          <w:color w:val="auto"/>
        </w:rPr>
        <w:t>We compete for investments with a number of BDCs and other investment funds (including private debt and equity funds and venture capital funds), special purpose acquisition company sponsors, investment banks with</w:t>
      </w:r>
    </w:p>
    <w:p>
      <w:pPr>
        <w:spacing w:after="0" w:line="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00"/>
          </w:cols>
          <w:pgMar w:left="240" w:top="455" w:right="55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58" w:lineRule="auto"/>
        <w:rPr>
          <w:sz w:val="20"/>
          <w:szCs w:val="20"/>
          <w:color w:val="auto"/>
        </w:rPr>
      </w:pPr>
      <w:r>
        <w:rPr>
          <w:rFonts w:ascii="Times New Roman" w:cs="Times New Roman" w:eastAsia="Times New Roman" w:hAnsi="Times New Roman"/>
          <w:sz w:val="18"/>
          <w:szCs w:val="18"/>
          <w:color w:val="auto"/>
        </w:rPr>
        <w:t>underwriting activities, hedge funds that invest in private investments in public equities, traditional financial services companies such as commercial banks, and other sources of financing. Many of these entities have greater financial and managerial resources than we do. In addition, many of our competitors are not subject to the regulatory restrictions that the 1940 Act imposes on us as a BDC. For additional information concerning the competitive risks we expect to face, see “Risk Factors—Risks Related to Our Business and Structure—We operate in a highly competitive market for investment opportunities.”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12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Each of our executive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 the Administration Agreement. Our day-to-day investment operations are managed by our Adviser and the services necessary for the origination and administration of our investment portfolio are provided by investment professionals employed by our Adviser or its affiliates. Our Investment Team focuses on origination and 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maintain our principal executive office at 301 Commerce Street, Suite 3300, Fort Worth, Texas 76102. We do not own any real estate.</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200" w:right="240" w:firstLine="441"/>
        <w:spacing w:after="0" w:line="266" w:lineRule="auto"/>
        <w:rPr>
          <w:sz w:val="20"/>
          <w:szCs w:val="20"/>
          <w:color w:val="auto"/>
        </w:rPr>
      </w:pPr>
      <w:r>
        <w:rPr>
          <w:rFonts w:ascii="Times New Roman" w:cs="Times New Roman" w:eastAsia="Times New Roman" w:hAnsi="Times New Roman"/>
          <w:sz w:val="18"/>
          <w:szCs w:val="18"/>
          <w:color w:val="auto"/>
        </w:rPr>
        <w:t>From time to time, we may be a party to certain legal proceedings in the ordinary course of business, including proceedings relating to the enforcement of our rights under loans to or other contracts with our portfolio companies. We and the Adviser are not currently subject to any material legal proceedings, nor, to our knowledge, is any material legal proceeding threatened against us.</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20"/>
          </w:cols>
          <w:pgMar w:left="240" w:top="455" w:right="4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PORTFOLIO COMPANIES</w:t>
      </w:r>
    </w:p>
    <w:p>
      <w:pPr>
        <w:spacing w:after="0" w:line="229" w:lineRule="exact"/>
        <w:rPr>
          <w:sz w:val="20"/>
          <w:szCs w:val="20"/>
          <w:color w:val="auto"/>
        </w:rPr>
      </w:pPr>
    </w:p>
    <w:p>
      <w:pPr>
        <w:ind w:left="200" w:right="80" w:firstLine="441"/>
        <w:spacing w:after="0" w:line="258" w:lineRule="auto"/>
        <w:rPr>
          <w:sz w:val="20"/>
          <w:szCs w:val="20"/>
          <w:color w:val="auto"/>
        </w:rPr>
      </w:pPr>
      <w:r>
        <w:rPr>
          <w:rFonts w:ascii="Times New Roman" w:cs="Times New Roman" w:eastAsia="Times New Roman" w:hAnsi="Times New Roman"/>
          <w:sz w:val="18"/>
          <w:szCs w:val="18"/>
          <w:color w:val="auto"/>
        </w:rPr>
        <w:t>The table set forth below contains certain information as of December 31, 2017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first-lien or second-lien loans or bonds. We either originated or purchased in the secondary market the loans and securities in our current portfolio.</w:t>
      </w:r>
    </w:p>
    <w:p>
      <w:pPr>
        <w:spacing w:after="0" w:line="19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3"/>
                <w:szCs w:val="13"/>
                <w:color w:val="auto"/>
              </w:rPr>
            </w:pPr>
          </w:p>
        </w:tc>
        <w:tc>
          <w:tcPr>
            <w:tcW w:w="5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60" w:type="dxa"/>
            <w:vAlign w:val="bottom"/>
          </w:tcPr>
          <w:p>
            <w:pPr>
              <w:spacing w:after="0"/>
              <w:rPr>
                <w:sz w:val="13"/>
                <w:szCs w:val="13"/>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2"/>
                <w:szCs w:val="12"/>
                <w:b w:val="1"/>
                <w:bCs w:val="1"/>
                <w:color w:val="auto"/>
              </w:rPr>
              <w:t>(1)</w:t>
            </w:r>
          </w:p>
        </w:tc>
        <w:tc>
          <w:tcPr>
            <w:tcW w:w="460" w:type="dxa"/>
            <w:vAlign w:val="bottom"/>
          </w:tcPr>
          <w:p>
            <w:pPr>
              <w:spacing w:after="0"/>
              <w:rPr>
                <w:sz w:val="12"/>
                <w:szCs w:val="12"/>
                <w:color w:val="auto"/>
              </w:rPr>
            </w:pPr>
          </w:p>
        </w:tc>
        <w:tc>
          <w:tcPr>
            <w:tcW w:w="190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920" w:type="dxa"/>
            <w:vAlign w:val="bottom"/>
            <w:gridSpan w:val="2"/>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26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Rate and</w:t>
            </w:r>
          </w:p>
        </w:tc>
        <w:tc>
          <w:tcPr>
            <w:tcW w:w="8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800" w:type="dxa"/>
            <w:vAlign w:val="bottom"/>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19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260" w:type="dxa"/>
            <w:vAlign w:val="bottom"/>
          </w:tcPr>
          <w:p>
            <w:pPr>
              <w:spacing w:after="0"/>
              <w:rPr>
                <w:sz w:val="13"/>
                <w:szCs w:val="13"/>
                <w:color w:val="auto"/>
              </w:rPr>
            </w:pPr>
          </w:p>
        </w:tc>
        <w:tc>
          <w:tcPr>
            <w:tcW w:w="100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Spread</w:t>
            </w:r>
          </w:p>
        </w:tc>
        <w:tc>
          <w:tcPr>
            <w:tcW w:w="860" w:type="dxa"/>
            <w:vAlign w:val="bottom"/>
            <w:gridSpan w:val="2"/>
          </w:tcPr>
          <w:p>
            <w:pPr>
              <w:jc w:val="right"/>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Rate</w:t>
            </w:r>
          </w:p>
        </w:tc>
        <w:tc>
          <w:tcPr>
            <w:tcW w:w="140" w:type="dxa"/>
            <w:vAlign w:val="bottom"/>
          </w:tcPr>
          <w:p>
            <w:pPr>
              <w:spacing w:after="0"/>
              <w:rPr>
                <w:sz w:val="13"/>
                <w:szCs w:val="13"/>
                <w:color w:val="auto"/>
              </w:rPr>
            </w:pPr>
          </w:p>
        </w:tc>
        <w:tc>
          <w:tcPr>
            <w:tcW w:w="66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Cost</w:t>
            </w:r>
            <w:r>
              <w:rPr>
                <w:rFonts w:ascii="Times New Roman" w:cs="Times New Roman" w:eastAsia="Times New Roman" w:hAnsi="Times New Roman"/>
                <w:sz w:val="12"/>
                <w:szCs w:val="12"/>
                <w:b w:val="1"/>
                <w:bCs w:val="1"/>
                <w:color w:val="auto"/>
              </w:rPr>
              <w:t>(2)(7)</w:t>
            </w:r>
          </w:p>
        </w:tc>
        <w:tc>
          <w:tcPr>
            <w:tcW w:w="260" w:type="dxa"/>
            <w:vAlign w:val="bottom"/>
          </w:tcPr>
          <w:p>
            <w:pPr>
              <w:spacing w:after="0"/>
              <w:rPr>
                <w:sz w:val="13"/>
                <w:szCs w:val="13"/>
                <w:color w:val="auto"/>
              </w:rPr>
            </w:pPr>
          </w:p>
        </w:tc>
        <w:tc>
          <w:tcPr>
            <w:tcW w:w="56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2"/>
                <w:szCs w:val="12"/>
                <w:b w:val="1"/>
                <w:bCs w:val="1"/>
                <w:color w:val="auto"/>
              </w:rPr>
              <w:t>(9)</w:t>
            </w:r>
          </w:p>
        </w:tc>
        <w:tc>
          <w:tcPr>
            <w:tcW w:w="1220" w:type="dxa"/>
            <w:vAlign w:val="bottom"/>
            <w:gridSpan w:val="3"/>
          </w:tcPr>
          <w:p>
            <w:pPr>
              <w:jc w:val="right"/>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7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Debt Investments Automotive</w:t>
            </w:r>
          </w:p>
        </w:tc>
        <w:tc>
          <w:tcPr>
            <w:tcW w:w="46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Heartland Automotive Holdings, LLC</w:t>
            </w:r>
            <w:r>
              <w:rPr>
                <w:rFonts w:ascii="Times New Roman" w:cs="Times New Roman" w:eastAsia="Times New Roman" w:hAnsi="Times New Roman"/>
                <w:sz w:val="12"/>
                <w:szCs w:val="12"/>
                <w:color w:val="auto"/>
              </w:rPr>
              <w:t>(3)</w:t>
            </w:r>
          </w:p>
        </w:tc>
        <w:tc>
          <w:tcPr>
            <w:tcW w:w="2360" w:type="dxa"/>
            <w:vAlign w:val="bottom"/>
            <w:gridSpan w:val="2"/>
          </w:tcPr>
          <w:p>
            <w:pPr>
              <w:ind w:left="440"/>
              <w:spacing w:after="0" w:line="126" w:lineRule="exact"/>
              <w:rPr>
                <w:sz w:val="20"/>
                <w:szCs w:val="20"/>
                <w:color w:val="auto"/>
              </w:rPr>
            </w:pPr>
            <w:r>
              <w:rPr>
                <w:rFonts w:ascii="Times New Roman" w:cs="Times New Roman" w:eastAsia="Times New Roman" w:hAnsi="Times New Roman"/>
                <w:sz w:val="14"/>
                <w:szCs w:val="14"/>
                <w:color w:val="auto"/>
              </w:rPr>
              <w:t>First-lien loan ($25,725 par, due</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8/28/2012</w:t>
            </w:r>
          </w:p>
        </w:tc>
        <w:tc>
          <w:tcPr>
            <w:tcW w:w="260" w:type="dxa"/>
            <w:vAlign w:val="bottom"/>
          </w:tcPr>
          <w:p>
            <w:pPr>
              <w:spacing w:after="0"/>
              <w:rPr>
                <w:sz w:val="10"/>
                <w:szCs w:val="10"/>
                <w:color w:val="auto"/>
              </w:rPr>
            </w:pPr>
          </w:p>
        </w:tc>
        <w:tc>
          <w:tcPr>
            <w:tcW w:w="10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L + 10.25%</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11.75%</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25,724</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$ 25,789</w:t>
            </w:r>
          </w:p>
        </w:tc>
        <w:tc>
          <w:tcPr>
            <w:tcW w:w="12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1/2018)</w:t>
            </w:r>
          </w:p>
        </w:tc>
        <w:tc>
          <w:tcPr>
            <w:tcW w:w="9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2360" w:type="dxa"/>
            <w:vAlign w:val="bottom"/>
            <w:gridSpan w:val="2"/>
            <w:shd w:val="clear" w:color="auto" w:fill="CCEEFF"/>
          </w:tcPr>
          <w:p>
            <w:pPr>
              <w:ind w:left="440"/>
              <w:spacing w:after="0" w:line="126" w:lineRule="exact"/>
              <w:rPr>
                <w:sz w:val="20"/>
                <w:szCs w:val="20"/>
                <w:color w:val="auto"/>
              </w:rPr>
            </w:pPr>
            <w:r>
              <w:rPr>
                <w:rFonts w:ascii="Times New Roman" w:cs="Times New Roman" w:eastAsia="Times New Roman" w:hAnsi="Times New Roman"/>
                <w:sz w:val="14"/>
                <w:szCs w:val="14"/>
                <w:color w:val="auto"/>
              </w:rPr>
              <w:t>First-lien revolving loan ($4,056</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8/28/2012</w:t>
            </w:r>
          </w:p>
        </w:tc>
        <w:tc>
          <w:tcPr>
            <w:tcW w:w="26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P + 9.00%</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13.50%</w:t>
            </w:r>
          </w:p>
        </w:tc>
        <w:tc>
          <w:tcPr>
            <w:tcW w:w="140" w:type="dxa"/>
            <w:vAlign w:val="bottom"/>
            <w:vMerge w:val="restart"/>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4,056</w:t>
            </w:r>
          </w:p>
        </w:tc>
        <w:tc>
          <w:tcPr>
            <w:tcW w:w="260" w:type="dxa"/>
            <w:vAlign w:val="bottom"/>
            <w:vMerge w:val="restart"/>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4,066</w:t>
            </w:r>
          </w:p>
        </w:tc>
        <w:tc>
          <w:tcPr>
            <w:tcW w:w="260" w:type="dxa"/>
            <w:vAlign w:val="bottom"/>
            <w:vMerge w:val="restart"/>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3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par, due 1/2018)</w:t>
            </w:r>
          </w:p>
        </w:tc>
        <w:tc>
          <w:tcPr>
            <w:tcW w:w="92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29,780</w:t>
            </w:r>
          </w:p>
        </w:tc>
        <w:tc>
          <w:tcPr>
            <w:tcW w:w="260" w:type="dxa"/>
            <w:vAlign w:val="bottom"/>
            <w:vMerge w:val="continue"/>
          </w:tcPr>
          <w:p>
            <w:pPr>
              <w:spacing w:after="0"/>
              <w:rPr>
                <w:sz w:val="14"/>
                <w:szCs w:val="14"/>
                <w:color w:val="auto"/>
              </w:rPr>
            </w:pPr>
          </w:p>
        </w:tc>
        <w:tc>
          <w:tcPr>
            <w:tcW w:w="5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29,855</w:t>
            </w:r>
          </w:p>
        </w:tc>
        <w:tc>
          <w:tcPr>
            <w:tcW w:w="26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Beverage, food and tobacco</w:t>
            </w:r>
          </w:p>
        </w:tc>
        <w:tc>
          <w:tcPr>
            <w:tcW w:w="4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AFS Technologies, Inc.</w:t>
            </w:r>
            <w:r>
              <w:rPr>
                <w:rFonts w:ascii="Times New Roman" w:cs="Times New Roman" w:eastAsia="Times New Roman" w:hAnsi="Times New Roman"/>
                <w:sz w:val="12"/>
                <w:szCs w:val="12"/>
                <w:color w:val="auto"/>
              </w:rPr>
              <w:t>(3)(6)</w:t>
            </w:r>
          </w:p>
        </w:tc>
        <w:tc>
          <w:tcPr>
            <w:tcW w:w="2360" w:type="dxa"/>
            <w:vAlign w:val="bottom"/>
            <w:gridSpan w:val="2"/>
          </w:tcPr>
          <w:p>
            <w:pPr>
              <w:ind w:left="440"/>
              <w:spacing w:after="0" w:line="126" w:lineRule="exact"/>
              <w:rPr>
                <w:sz w:val="20"/>
                <w:szCs w:val="20"/>
                <w:color w:val="auto"/>
              </w:rPr>
            </w:pPr>
            <w:r>
              <w:rPr>
                <w:rFonts w:ascii="Times New Roman" w:cs="Times New Roman" w:eastAsia="Times New Roman" w:hAnsi="Times New Roman"/>
                <w:sz w:val="14"/>
                <w:szCs w:val="14"/>
                <w:color w:val="auto"/>
              </w:rPr>
              <w:t>Second-lien loan ($59,621 par,</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6/30/2017</w:t>
            </w:r>
          </w:p>
        </w:tc>
        <w:tc>
          <w:tcPr>
            <w:tcW w:w="260" w:type="dxa"/>
            <w:vAlign w:val="bottom"/>
          </w:tcPr>
          <w:p>
            <w:pPr>
              <w:spacing w:after="0"/>
              <w:rPr>
                <w:sz w:val="10"/>
                <w:szCs w:val="10"/>
                <w:color w:val="auto"/>
              </w:rPr>
            </w:pPr>
          </w:p>
        </w:tc>
        <w:tc>
          <w:tcPr>
            <w:tcW w:w="10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L + 9.05%</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10.74%</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59,621</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57,534</w:t>
            </w:r>
          </w:p>
        </w:tc>
        <w:tc>
          <w:tcPr>
            <w:tcW w:w="12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due 9/2021)</w:t>
            </w:r>
          </w:p>
        </w:tc>
        <w:tc>
          <w:tcPr>
            <w:tcW w:w="9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Business services</w:t>
            </w:r>
          </w:p>
        </w:tc>
        <w:tc>
          <w:tcPr>
            <w:tcW w:w="4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Jive Software, Inc.</w:t>
            </w:r>
            <w:r>
              <w:rPr>
                <w:rFonts w:ascii="Times New Roman" w:cs="Times New Roman" w:eastAsia="Times New Roman" w:hAnsi="Times New Roman"/>
                <w:sz w:val="12"/>
                <w:szCs w:val="12"/>
                <w:color w:val="auto"/>
              </w:rPr>
              <w:t>(3)(5)</w:t>
            </w:r>
          </w:p>
        </w:tc>
        <w:tc>
          <w:tcPr>
            <w:tcW w:w="2360" w:type="dxa"/>
            <w:vAlign w:val="bottom"/>
            <w:gridSpan w:val="2"/>
          </w:tcPr>
          <w:p>
            <w:pPr>
              <w:ind w:left="440"/>
              <w:spacing w:after="0" w:line="126" w:lineRule="exact"/>
              <w:rPr>
                <w:sz w:val="20"/>
                <w:szCs w:val="20"/>
                <w:color w:val="auto"/>
              </w:rPr>
            </w:pPr>
            <w:r>
              <w:rPr>
                <w:rFonts w:ascii="Times New Roman" w:cs="Times New Roman" w:eastAsia="Times New Roman" w:hAnsi="Times New Roman"/>
                <w:sz w:val="14"/>
                <w:szCs w:val="14"/>
                <w:color w:val="auto"/>
              </w:rPr>
              <w:t>First-lien loan ($53,730 par, due</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6/12/2017</w:t>
            </w:r>
          </w:p>
        </w:tc>
        <w:tc>
          <w:tcPr>
            <w:tcW w:w="260" w:type="dxa"/>
            <w:vAlign w:val="bottom"/>
          </w:tcPr>
          <w:p>
            <w:pPr>
              <w:spacing w:after="0"/>
              <w:rPr>
                <w:sz w:val="10"/>
                <w:szCs w:val="10"/>
                <w:color w:val="auto"/>
              </w:rPr>
            </w:pPr>
          </w:p>
        </w:tc>
        <w:tc>
          <w:tcPr>
            <w:tcW w:w="10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L + 9.25%</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10.69%</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51,900</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53,730</w:t>
            </w:r>
          </w:p>
        </w:tc>
        <w:tc>
          <w:tcPr>
            <w:tcW w:w="12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6/2022)</w:t>
            </w:r>
          </w:p>
        </w:tc>
        <w:tc>
          <w:tcPr>
            <w:tcW w:w="9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Leaf US Holdings,</w:t>
            </w:r>
          </w:p>
        </w:tc>
        <w:tc>
          <w:tcPr>
            <w:tcW w:w="2360" w:type="dxa"/>
            <w:vAlign w:val="bottom"/>
            <w:gridSpan w:val="2"/>
            <w:shd w:val="clear" w:color="auto" w:fill="CCEEFF"/>
          </w:tcPr>
          <w:p>
            <w:pPr>
              <w:ind w:left="440"/>
              <w:spacing w:after="0" w:line="126" w:lineRule="exact"/>
              <w:rPr>
                <w:sz w:val="20"/>
                <w:szCs w:val="20"/>
                <w:color w:val="auto"/>
              </w:rPr>
            </w:pPr>
            <w:r>
              <w:rPr>
                <w:rFonts w:ascii="Times New Roman" w:cs="Times New Roman" w:eastAsia="Times New Roman" w:hAnsi="Times New Roman"/>
                <w:sz w:val="14"/>
                <w:szCs w:val="14"/>
                <w:color w:val="auto"/>
              </w:rPr>
              <w:t>First-lien loan ($33,221 par, due</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6/30/2014</w:t>
            </w:r>
          </w:p>
        </w:tc>
        <w:tc>
          <w:tcPr>
            <w:tcW w:w="26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L + 8.00%</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9.69%</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32,879</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33,221</w:t>
            </w:r>
          </w:p>
        </w:tc>
        <w:tc>
          <w:tcPr>
            <w:tcW w:w="12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w:t>
            </w:r>
            <w:r>
              <w:rPr>
                <w:rFonts w:ascii="Times New Roman" w:cs="Times New Roman" w:eastAsia="Times New Roman" w:hAnsi="Times New Roman"/>
                <w:sz w:val="12"/>
                <w:szCs w:val="12"/>
                <w:color w:val="auto"/>
              </w:rPr>
              <w:t>(3)(4)</w:t>
            </w:r>
          </w:p>
        </w:tc>
        <w:tc>
          <w:tcPr>
            <w:tcW w:w="23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6/2020)</w:t>
            </w:r>
          </w:p>
        </w:tc>
        <w:tc>
          <w:tcPr>
            <w:tcW w:w="92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Motus, LLC </w:t>
            </w:r>
            <w:r>
              <w:rPr>
                <w:rFonts w:ascii="Times New Roman" w:cs="Times New Roman" w:eastAsia="Times New Roman" w:hAnsi="Times New Roman"/>
                <w:sz w:val="12"/>
                <w:szCs w:val="12"/>
                <w:color w:val="auto"/>
              </w:rPr>
              <w:t>(3)</w:t>
            </w:r>
          </w:p>
        </w:tc>
        <w:tc>
          <w:tcPr>
            <w:tcW w:w="4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11.57%</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360" w:type="dxa"/>
            <w:vAlign w:val="bottom"/>
            <w:gridSpan w:val="2"/>
          </w:tcPr>
          <w:p>
            <w:pPr>
              <w:ind w:left="440"/>
              <w:spacing w:after="0" w:line="158" w:lineRule="exact"/>
              <w:rPr>
                <w:sz w:val="20"/>
                <w:szCs w:val="20"/>
                <w:color w:val="auto"/>
              </w:rPr>
            </w:pPr>
            <w:r>
              <w:rPr>
                <w:rFonts w:ascii="Times New Roman" w:cs="Times New Roman" w:eastAsia="Times New Roman" w:hAnsi="Times New Roman"/>
                <w:sz w:val="14"/>
                <w:szCs w:val="14"/>
                <w:color w:val="auto"/>
              </w:rPr>
              <w:t>First-lien loan ($20,879 par, due</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7/29/2016</w:t>
            </w:r>
          </w:p>
        </w:tc>
        <w:tc>
          <w:tcPr>
            <w:tcW w:w="260" w:type="dxa"/>
            <w:vAlign w:val="bottom"/>
          </w:tcPr>
          <w:p>
            <w:pPr>
              <w:spacing w:after="0"/>
              <w:rPr>
                <w:sz w:val="13"/>
                <w:szCs w:val="13"/>
                <w:color w:val="auto"/>
              </w:rPr>
            </w:pPr>
          </w:p>
        </w:tc>
        <w:tc>
          <w:tcPr>
            <w:tcW w:w="10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L + 10.00%</w:t>
            </w:r>
          </w:p>
        </w:tc>
        <w:tc>
          <w:tcPr>
            <w:tcW w:w="86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4"/>
                <w:szCs w:val="14"/>
                <w:color w:val="auto"/>
              </w:rPr>
              <w:t>(incl. 3.00%</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20,496</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21,975</w:t>
            </w:r>
          </w:p>
        </w:tc>
        <w:tc>
          <w:tcPr>
            <w:tcW w:w="12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3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7/2021)</w:t>
            </w:r>
          </w:p>
        </w:tc>
        <w:tc>
          <w:tcPr>
            <w:tcW w:w="9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PIK)</w:t>
            </w:r>
          </w:p>
        </w:tc>
        <w:tc>
          <w:tcPr>
            <w:tcW w:w="80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Riskonnect, Inc.</w:t>
            </w:r>
            <w:r>
              <w:rPr>
                <w:rFonts w:ascii="Times New Roman" w:cs="Times New Roman" w:eastAsia="Times New Roman" w:hAnsi="Times New Roman"/>
                <w:sz w:val="12"/>
                <w:szCs w:val="12"/>
                <w:color w:val="auto"/>
              </w:rPr>
              <w:t>(3)</w:t>
            </w:r>
          </w:p>
        </w:tc>
        <w:tc>
          <w:tcPr>
            <w:tcW w:w="2360" w:type="dxa"/>
            <w:vAlign w:val="bottom"/>
            <w:gridSpan w:val="2"/>
            <w:shd w:val="clear" w:color="auto" w:fill="CCEEFF"/>
          </w:tcPr>
          <w:p>
            <w:pPr>
              <w:ind w:left="440"/>
              <w:spacing w:after="0" w:line="126" w:lineRule="exact"/>
              <w:rPr>
                <w:sz w:val="20"/>
                <w:szCs w:val="20"/>
                <w:color w:val="auto"/>
              </w:rPr>
            </w:pPr>
            <w:r>
              <w:rPr>
                <w:rFonts w:ascii="Times New Roman" w:cs="Times New Roman" w:eastAsia="Times New Roman" w:hAnsi="Times New Roman"/>
                <w:sz w:val="14"/>
                <w:szCs w:val="14"/>
                <w:color w:val="auto"/>
              </w:rPr>
              <w:t>First-lien loan ($42,800 par, due</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6/30/2017</w:t>
            </w:r>
          </w:p>
        </w:tc>
        <w:tc>
          <w:tcPr>
            <w:tcW w:w="26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L + 7.75%</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9.50%</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41,920</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42,203</w:t>
            </w:r>
          </w:p>
        </w:tc>
        <w:tc>
          <w:tcPr>
            <w:tcW w:w="12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3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6/2022)</w:t>
            </w:r>
          </w:p>
        </w:tc>
        <w:tc>
          <w:tcPr>
            <w:tcW w:w="92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Sovos Compliance,</w:t>
            </w:r>
          </w:p>
        </w:tc>
        <w:tc>
          <w:tcPr>
            <w:tcW w:w="2360" w:type="dxa"/>
            <w:vAlign w:val="bottom"/>
            <w:gridSpan w:val="2"/>
          </w:tcPr>
          <w:p>
            <w:pPr>
              <w:ind w:left="440"/>
              <w:spacing w:after="0" w:line="126" w:lineRule="exact"/>
              <w:rPr>
                <w:sz w:val="20"/>
                <w:szCs w:val="20"/>
                <w:color w:val="auto"/>
              </w:rPr>
            </w:pPr>
            <w:r>
              <w:rPr>
                <w:rFonts w:ascii="Times New Roman" w:cs="Times New Roman" w:eastAsia="Times New Roman" w:hAnsi="Times New Roman"/>
                <w:sz w:val="14"/>
                <w:szCs w:val="14"/>
                <w:color w:val="auto"/>
              </w:rPr>
              <w:t>First-lien loan ($34,323 par, due</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7/1/2016</w:t>
            </w:r>
          </w:p>
        </w:tc>
        <w:tc>
          <w:tcPr>
            <w:tcW w:w="260" w:type="dxa"/>
            <w:vAlign w:val="bottom"/>
          </w:tcPr>
          <w:p>
            <w:pPr>
              <w:spacing w:after="0"/>
              <w:rPr>
                <w:sz w:val="10"/>
                <w:szCs w:val="10"/>
                <w:color w:val="auto"/>
              </w:rPr>
            </w:pPr>
          </w:p>
        </w:tc>
        <w:tc>
          <w:tcPr>
            <w:tcW w:w="10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L + 6.00%</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7.57%</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33,862</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34,421</w:t>
            </w:r>
          </w:p>
        </w:tc>
        <w:tc>
          <w:tcPr>
            <w:tcW w:w="12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LLC</w:t>
            </w:r>
            <w:r>
              <w:rPr>
                <w:rFonts w:ascii="Times New Roman" w:cs="Times New Roman" w:eastAsia="Times New Roman" w:hAnsi="Times New Roman"/>
                <w:sz w:val="12"/>
                <w:szCs w:val="12"/>
                <w:color w:val="auto"/>
              </w:rPr>
              <w:t>(3)</w:t>
            </w:r>
          </w:p>
        </w:tc>
        <w:tc>
          <w:tcPr>
            <w:tcW w:w="23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3/2022)</w:t>
            </w:r>
          </w:p>
        </w:tc>
        <w:tc>
          <w:tcPr>
            <w:tcW w:w="9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Tangoe, Inc. </w:t>
            </w:r>
            <w:r>
              <w:rPr>
                <w:rFonts w:ascii="Times New Roman" w:cs="Times New Roman" w:eastAsia="Times New Roman" w:hAnsi="Times New Roman"/>
                <w:sz w:val="12"/>
                <w:szCs w:val="12"/>
                <w:color w:val="auto"/>
              </w:rPr>
              <w:t>(3)(5)</w:t>
            </w:r>
          </w:p>
        </w:tc>
        <w:tc>
          <w:tcPr>
            <w:tcW w:w="46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10.20%</w:t>
            </w: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2360" w:type="dxa"/>
            <w:vAlign w:val="bottom"/>
            <w:gridSpan w:val="2"/>
            <w:shd w:val="clear" w:color="auto" w:fill="CCEEFF"/>
          </w:tcPr>
          <w:p>
            <w:pPr>
              <w:ind w:left="440"/>
              <w:spacing w:after="0" w:line="158" w:lineRule="exact"/>
              <w:rPr>
                <w:sz w:val="20"/>
                <w:szCs w:val="20"/>
                <w:color w:val="auto"/>
              </w:rPr>
            </w:pPr>
            <w:r>
              <w:rPr>
                <w:rFonts w:ascii="Times New Roman" w:cs="Times New Roman" w:eastAsia="Times New Roman" w:hAnsi="Times New Roman"/>
                <w:sz w:val="14"/>
                <w:szCs w:val="14"/>
                <w:color w:val="auto"/>
              </w:rPr>
              <w:t>First-lien loan ($49,975 par, due</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6/16/2017</w:t>
            </w:r>
          </w:p>
        </w:tc>
        <w:tc>
          <w:tcPr>
            <w:tcW w:w="26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L + 8.50%</w:t>
            </w:r>
          </w:p>
        </w:tc>
        <w:tc>
          <w:tcPr>
            <w:tcW w:w="860" w:type="dxa"/>
            <w:vAlign w:val="bottom"/>
            <w:gridSpan w:val="2"/>
            <w:shd w:val="clear" w:color="auto" w:fill="CCEEFF"/>
          </w:tcPr>
          <w:p>
            <w:pPr>
              <w:jc w:val="right"/>
              <w:ind w:right="120"/>
              <w:spacing w:after="0" w:line="158" w:lineRule="exact"/>
              <w:rPr>
                <w:sz w:val="20"/>
                <w:szCs w:val="20"/>
                <w:color w:val="auto"/>
              </w:rPr>
            </w:pPr>
            <w:r>
              <w:rPr>
                <w:rFonts w:ascii="Times New Roman" w:cs="Times New Roman" w:eastAsia="Times New Roman" w:hAnsi="Times New Roman"/>
                <w:sz w:val="14"/>
                <w:szCs w:val="14"/>
                <w:color w:val="auto"/>
              </w:rPr>
              <w:t>(incl. 0.50%</w:t>
            </w:r>
          </w:p>
        </w:tc>
        <w:tc>
          <w:tcPr>
            <w:tcW w:w="140" w:type="dxa"/>
            <w:vAlign w:val="bottom"/>
            <w:vMerge w:val="restart"/>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48,196</w:t>
            </w:r>
          </w:p>
        </w:tc>
        <w:tc>
          <w:tcPr>
            <w:tcW w:w="260" w:type="dxa"/>
            <w:vAlign w:val="bottom"/>
            <w:vMerge w:val="restart"/>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48,725</w:t>
            </w:r>
          </w:p>
        </w:tc>
        <w:tc>
          <w:tcPr>
            <w:tcW w:w="260" w:type="dxa"/>
            <w:vAlign w:val="bottom"/>
            <w:vMerge w:val="restart"/>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23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6/2022)</w:t>
            </w:r>
          </w:p>
        </w:tc>
        <w:tc>
          <w:tcPr>
            <w:tcW w:w="920" w:type="dxa"/>
            <w:vAlign w:val="bottom"/>
            <w:gridSpan w:val="2"/>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PIK)</w:t>
            </w:r>
          </w:p>
        </w:tc>
        <w:tc>
          <w:tcPr>
            <w:tcW w:w="14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229,253</w:t>
            </w:r>
          </w:p>
        </w:tc>
        <w:tc>
          <w:tcPr>
            <w:tcW w:w="260" w:type="dxa"/>
            <w:vAlign w:val="bottom"/>
            <w:vMerge w:val="continue"/>
          </w:tcPr>
          <w:p>
            <w:pPr>
              <w:spacing w:after="0"/>
              <w:rPr>
                <w:sz w:val="14"/>
                <w:szCs w:val="14"/>
                <w:color w:val="auto"/>
              </w:rPr>
            </w:pPr>
          </w:p>
        </w:tc>
        <w:tc>
          <w:tcPr>
            <w:tcW w:w="5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234,275</w:t>
            </w:r>
          </w:p>
        </w:tc>
        <w:tc>
          <w:tcPr>
            <w:tcW w:w="26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Chemicals</w:t>
            </w:r>
          </w:p>
        </w:tc>
        <w:tc>
          <w:tcPr>
            <w:tcW w:w="4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Vertellus Specialties,</w:t>
            </w:r>
          </w:p>
        </w:tc>
        <w:tc>
          <w:tcPr>
            <w:tcW w:w="2360" w:type="dxa"/>
            <w:vAlign w:val="bottom"/>
            <w:gridSpan w:val="2"/>
          </w:tcPr>
          <w:p>
            <w:pPr>
              <w:ind w:left="440"/>
              <w:spacing w:after="0" w:line="126" w:lineRule="exact"/>
              <w:rPr>
                <w:sz w:val="20"/>
                <w:szCs w:val="20"/>
                <w:color w:val="auto"/>
              </w:rPr>
            </w:pPr>
            <w:r>
              <w:rPr>
                <w:rFonts w:ascii="Times New Roman" w:cs="Times New Roman" w:eastAsia="Times New Roman" w:hAnsi="Times New Roman"/>
                <w:sz w:val="14"/>
                <w:szCs w:val="14"/>
                <w:color w:val="auto"/>
              </w:rPr>
              <w:t>First-lien loan ($4,967 par, due</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10/31/2016</w:t>
            </w:r>
          </w:p>
        </w:tc>
        <w:tc>
          <w:tcPr>
            <w:tcW w:w="260" w:type="dxa"/>
            <w:vAlign w:val="bottom"/>
          </w:tcPr>
          <w:p>
            <w:pPr>
              <w:spacing w:after="0"/>
              <w:rPr>
                <w:sz w:val="10"/>
                <w:szCs w:val="10"/>
                <w:color w:val="auto"/>
              </w:rPr>
            </w:pPr>
          </w:p>
        </w:tc>
        <w:tc>
          <w:tcPr>
            <w:tcW w:w="10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L + 9.00%</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10.57%</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4,959</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4,967</w:t>
            </w:r>
          </w:p>
        </w:tc>
        <w:tc>
          <w:tcPr>
            <w:tcW w:w="12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xml:space="preserve">Inc. </w:t>
            </w:r>
            <w:r>
              <w:rPr>
                <w:rFonts w:ascii="Times New Roman" w:cs="Times New Roman" w:eastAsia="Times New Roman" w:hAnsi="Times New Roman"/>
                <w:sz w:val="12"/>
                <w:szCs w:val="12"/>
                <w:color w:val="auto"/>
              </w:rPr>
              <w:t>(3)</w:t>
            </w:r>
          </w:p>
        </w:tc>
        <w:tc>
          <w:tcPr>
            <w:tcW w:w="23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4/2018)</w:t>
            </w:r>
          </w:p>
        </w:tc>
        <w:tc>
          <w:tcPr>
            <w:tcW w:w="9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2360" w:type="dxa"/>
            <w:vAlign w:val="bottom"/>
            <w:gridSpan w:val="2"/>
            <w:shd w:val="clear" w:color="auto" w:fill="CCEEFF"/>
          </w:tcPr>
          <w:p>
            <w:pPr>
              <w:ind w:left="440"/>
              <w:spacing w:after="0" w:line="126" w:lineRule="exact"/>
              <w:rPr>
                <w:sz w:val="20"/>
                <w:szCs w:val="20"/>
                <w:color w:val="auto"/>
              </w:rPr>
            </w:pPr>
            <w:r>
              <w:rPr>
                <w:rFonts w:ascii="Times New Roman" w:cs="Times New Roman" w:eastAsia="Times New Roman" w:hAnsi="Times New Roman"/>
                <w:sz w:val="14"/>
                <w:szCs w:val="14"/>
                <w:color w:val="auto"/>
              </w:rPr>
              <w:t>Second-lien loan ($3,341 par,</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10/31/2016</w:t>
            </w:r>
          </w:p>
        </w:tc>
        <w:tc>
          <w:tcPr>
            <w:tcW w:w="26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L + 12.00%</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13.57%</w:t>
            </w:r>
          </w:p>
        </w:tc>
        <w:tc>
          <w:tcPr>
            <w:tcW w:w="140" w:type="dxa"/>
            <w:vAlign w:val="bottom"/>
            <w:vMerge w:val="restart"/>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3,341</w:t>
            </w:r>
          </w:p>
        </w:tc>
        <w:tc>
          <w:tcPr>
            <w:tcW w:w="260" w:type="dxa"/>
            <w:vAlign w:val="bottom"/>
            <w:vMerge w:val="restart"/>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3,366</w:t>
            </w:r>
          </w:p>
        </w:tc>
        <w:tc>
          <w:tcPr>
            <w:tcW w:w="260" w:type="dxa"/>
            <w:vAlign w:val="bottom"/>
            <w:vMerge w:val="restart"/>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3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due 10/2021)</w:t>
            </w:r>
          </w:p>
        </w:tc>
        <w:tc>
          <w:tcPr>
            <w:tcW w:w="92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8,300</w:t>
            </w:r>
          </w:p>
        </w:tc>
        <w:tc>
          <w:tcPr>
            <w:tcW w:w="260" w:type="dxa"/>
            <w:vAlign w:val="bottom"/>
            <w:vMerge w:val="continue"/>
          </w:tcPr>
          <w:p>
            <w:pPr>
              <w:spacing w:after="0"/>
              <w:rPr>
                <w:sz w:val="14"/>
                <w:szCs w:val="14"/>
                <w:color w:val="auto"/>
              </w:rPr>
            </w:pPr>
          </w:p>
        </w:tc>
        <w:tc>
          <w:tcPr>
            <w:tcW w:w="5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8,333</w:t>
            </w:r>
          </w:p>
        </w:tc>
        <w:tc>
          <w:tcPr>
            <w:tcW w:w="26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Communications</w:t>
            </w:r>
          </w:p>
        </w:tc>
        <w:tc>
          <w:tcPr>
            <w:tcW w:w="4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iHeart Communications</w:t>
            </w:r>
            <w:r>
              <w:rPr>
                <w:rFonts w:ascii="Times New Roman" w:cs="Times New Roman" w:eastAsia="Times New Roman" w:hAnsi="Times New Roman"/>
                <w:sz w:val="12"/>
                <w:szCs w:val="12"/>
                <w:color w:val="auto"/>
              </w:rPr>
              <w:t>(3)(5)</w:t>
            </w:r>
          </w:p>
        </w:tc>
        <w:tc>
          <w:tcPr>
            <w:tcW w:w="2360" w:type="dxa"/>
            <w:vAlign w:val="bottom"/>
            <w:gridSpan w:val="2"/>
          </w:tcPr>
          <w:p>
            <w:pPr>
              <w:ind w:left="440"/>
              <w:spacing w:after="0" w:line="126" w:lineRule="exact"/>
              <w:rPr>
                <w:sz w:val="20"/>
                <w:szCs w:val="20"/>
                <w:color w:val="auto"/>
              </w:rPr>
            </w:pPr>
            <w:r>
              <w:rPr>
                <w:rFonts w:ascii="Times New Roman" w:cs="Times New Roman" w:eastAsia="Times New Roman" w:hAnsi="Times New Roman"/>
                <w:sz w:val="14"/>
                <w:szCs w:val="14"/>
                <w:color w:val="auto"/>
              </w:rPr>
              <w:t>ABL FILO term loan ($115,000</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11/30/2017</w:t>
            </w:r>
          </w:p>
        </w:tc>
        <w:tc>
          <w:tcPr>
            <w:tcW w:w="260" w:type="dxa"/>
            <w:vAlign w:val="bottom"/>
          </w:tcPr>
          <w:p>
            <w:pPr>
              <w:spacing w:after="0"/>
              <w:rPr>
                <w:sz w:val="10"/>
                <w:szCs w:val="10"/>
                <w:color w:val="auto"/>
              </w:rPr>
            </w:pPr>
          </w:p>
        </w:tc>
        <w:tc>
          <w:tcPr>
            <w:tcW w:w="10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L + 4.75%</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6.23%</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111,613</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112,700</w:t>
            </w:r>
          </w:p>
        </w:tc>
        <w:tc>
          <w:tcPr>
            <w:tcW w:w="12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par, due 11/2020)</w:t>
            </w:r>
          </w:p>
        </w:tc>
        <w:tc>
          <w:tcPr>
            <w:tcW w:w="9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Education</w:t>
            </w:r>
          </w:p>
        </w:tc>
        <w:tc>
          <w:tcPr>
            <w:tcW w:w="4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Finalsite Holdings,</w:t>
            </w:r>
          </w:p>
        </w:tc>
        <w:tc>
          <w:tcPr>
            <w:tcW w:w="2360" w:type="dxa"/>
            <w:vAlign w:val="bottom"/>
            <w:gridSpan w:val="2"/>
          </w:tcPr>
          <w:p>
            <w:pPr>
              <w:ind w:left="440"/>
              <w:spacing w:after="0" w:line="126" w:lineRule="exact"/>
              <w:rPr>
                <w:sz w:val="20"/>
                <w:szCs w:val="20"/>
                <w:color w:val="auto"/>
              </w:rPr>
            </w:pPr>
            <w:r>
              <w:rPr>
                <w:rFonts w:ascii="Times New Roman" w:cs="Times New Roman" w:eastAsia="Times New Roman" w:hAnsi="Times New Roman"/>
                <w:sz w:val="14"/>
                <w:szCs w:val="14"/>
                <w:color w:val="auto"/>
              </w:rPr>
              <w:t>First-lien loan ($45,000 par, due</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8/31/2016</w:t>
            </w:r>
          </w:p>
        </w:tc>
        <w:tc>
          <w:tcPr>
            <w:tcW w:w="260" w:type="dxa"/>
            <w:vAlign w:val="bottom"/>
          </w:tcPr>
          <w:p>
            <w:pPr>
              <w:spacing w:after="0"/>
              <w:rPr>
                <w:sz w:val="10"/>
                <w:szCs w:val="10"/>
                <w:color w:val="auto"/>
              </w:rPr>
            </w:pPr>
          </w:p>
        </w:tc>
        <w:tc>
          <w:tcPr>
            <w:tcW w:w="10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L + 7.00%</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8.69%</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44,029</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45,450</w:t>
            </w:r>
          </w:p>
        </w:tc>
        <w:tc>
          <w:tcPr>
            <w:tcW w:w="12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Inc.</w:t>
            </w:r>
            <w:r>
              <w:rPr>
                <w:rFonts w:ascii="Times New Roman" w:cs="Times New Roman" w:eastAsia="Times New Roman" w:hAnsi="Times New Roman"/>
                <w:sz w:val="12"/>
                <w:szCs w:val="12"/>
                <w:color w:val="auto"/>
              </w:rPr>
              <w:t>(3)(5)</w:t>
            </w:r>
          </w:p>
        </w:tc>
        <w:tc>
          <w:tcPr>
            <w:tcW w:w="23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8/2022)</w:t>
            </w:r>
          </w:p>
        </w:tc>
        <w:tc>
          <w:tcPr>
            <w:tcW w:w="9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Frontline Technologies Group, LLC</w:t>
            </w:r>
            <w:r>
              <w:rPr>
                <w:rFonts w:ascii="Times New Roman" w:cs="Times New Roman" w:eastAsia="Times New Roman" w:hAnsi="Times New Roman"/>
                <w:sz w:val="12"/>
                <w:szCs w:val="12"/>
                <w:color w:val="auto"/>
              </w:rPr>
              <w:t>(3)</w:t>
            </w:r>
          </w:p>
        </w:tc>
        <w:tc>
          <w:tcPr>
            <w:tcW w:w="2360" w:type="dxa"/>
            <w:vAlign w:val="bottom"/>
            <w:gridSpan w:val="2"/>
            <w:shd w:val="clear" w:color="auto" w:fill="CCEEFF"/>
          </w:tcPr>
          <w:p>
            <w:pPr>
              <w:ind w:left="440"/>
              <w:spacing w:after="0" w:line="126" w:lineRule="exact"/>
              <w:rPr>
                <w:sz w:val="20"/>
                <w:szCs w:val="20"/>
                <w:color w:val="auto"/>
              </w:rPr>
            </w:pPr>
            <w:r>
              <w:rPr>
                <w:rFonts w:ascii="Times New Roman" w:cs="Times New Roman" w:eastAsia="Times New Roman" w:hAnsi="Times New Roman"/>
                <w:sz w:val="14"/>
                <w:szCs w:val="14"/>
                <w:color w:val="auto"/>
              </w:rPr>
              <w:t>First-lien loan ($47,703 par, due</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9/18/2017</w:t>
            </w:r>
          </w:p>
        </w:tc>
        <w:tc>
          <w:tcPr>
            <w:tcW w:w="26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L + 6.50%</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8.09%</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47,039</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47,132</w:t>
            </w:r>
          </w:p>
        </w:tc>
        <w:tc>
          <w:tcPr>
            <w:tcW w:w="12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3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9/2023)</w:t>
            </w:r>
          </w:p>
        </w:tc>
        <w:tc>
          <w:tcPr>
            <w:tcW w:w="92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Illuminate Education, Inc.</w:t>
            </w:r>
            <w:r>
              <w:rPr>
                <w:rFonts w:ascii="Times New Roman" w:cs="Times New Roman" w:eastAsia="Times New Roman" w:hAnsi="Times New Roman"/>
                <w:sz w:val="12"/>
                <w:szCs w:val="12"/>
                <w:color w:val="auto"/>
              </w:rPr>
              <w:t>(3)</w:t>
            </w:r>
          </w:p>
        </w:tc>
        <w:tc>
          <w:tcPr>
            <w:tcW w:w="2360" w:type="dxa"/>
            <w:vAlign w:val="bottom"/>
            <w:gridSpan w:val="2"/>
          </w:tcPr>
          <w:p>
            <w:pPr>
              <w:ind w:left="440"/>
              <w:spacing w:after="0" w:line="126" w:lineRule="exact"/>
              <w:rPr>
                <w:sz w:val="20"/>
                <w:szCs w:val="20"/>
                <w:color w:val="auto"/>
              </w:rPr>
            </w:pPr>
            <w:r>
              <w:rPr>
                <w:rFonts w:ascii="Times New Roman" w:cs="Times New Roman" w:eastAsia="Times New Roman" w:hAnsi="Times New Roman"/>
                <w:sz w:val="14"/>
                <w:szCs w:val="14"/>
                <w:color w:val="auto"/>
              </w:rPr>
              <w:t>First-lien loan ($56,900 par, due</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8/25/2017</w:t>
            </w:r>
          </w:p>
        </w:tc>
        <w:tc>
          <w:tcPr>
            <w:tcW w:w="260" w:type="dxa"/>
            <w:vAlign w:val="bottom"/>
          </w:tcPr>
          <w:p>
            <w:pPr>
              <w:spacing w:after="0"/>
              <w:rPr>
                <w:sz w:val="10"/>
                <w:szCs w:val="10"/>
                <w:color w:val="auto"/>
              </w:rPr>
            </w:pPr>
          </w:p>
        </w:tc>
        <w:tc>
          <w:tcPr>
            <w:tcW w:w="10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L + 8.00%</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9.48%</w:t>
            </w:r>
          </w:p>
        </w:tc>
        <w:tc>
          <w:tcPr>
            <w:tcW w:w="140" w:type="dxa"/>
            <w:vAlign w:val="bottom"/>
            <w:vMerge w:val="restart"/>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55,772</w:t>
            </w:r>
          </w:p>
        </w:tc>
        <w:tc>
          <w:tcPr>
            <w:tcW w:w="260" w:type="dxa"/>
            <w:vAlign w:val="bottom"/>
            <w:vMerge w:val="restart"/>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55,971</w:t>
            </w:r>
          </w:p>
        </w:tc>
        <w:tc>
          <w:tcPr>
            <w:tcW w:w="260" w:type="dxa"/>
            <w:vAlign w:val="bottom"/>
            <w:vMerge w:val="restart"/>
          </w:tcPr>
          <w:p>
            <w:pPr>
              <w:spacing w:after="0"/>
              <w:rPr>
                <w:sz w:val="10"/>
                <w:szCs w:val="10"/>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8/2022)</w:t>
            </w:r>
          </w:p>
        </w:tc>
        <w:tc>
          <w:tcPr>
            <w:tcW w:w="9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146,840</w:t>
            </w: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148,553</w:t>
            </w: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80" w:type="dxa"/>
            <w:vAlign w:val="bottom"/>
            <w:gridSpan w:val="2"/>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Financial services</w:t>
            </w:r>
          </w:p>
        </w:tc>
        <w:tc>
          <w:tcPr>
            <w:tcW w:w="4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AppStar Financial,</w:t>
            </w:r>
          </w:p>
        </w:tc>
        <w:tc>
          <w:tcPr>
            <w:tcW w:w="2360" w:type="dxa"/>
            <w:vAlign w:val="bottom"/>
            <w:gridSpan w:val="2"/>
            <w:shd w:val="clear" w:color="auto" w:fill="CCEEFF"/>
          </w:tcPr>
          <w:p>
            <w:pPr>
              <w:ind w:left="440"/>
              <w:spacing w:after="0" w:line="126" w:lineRule="exact"/>
              <w:rPr>
                <w:sz w:val="20"/>
                <w:szCs w:val="20"/>
                <w:color w:val="auto"/>
              </w:rPr>
            </w:pPr>
            <w:r>
              <w:rPr>
                <w:rFonts w:ascii="Times New Roman" w:cs="Times New Roman" w:eastAsia="Times New Roman" w:hAnsi="Times New Roman"/>
                <w:sz w:val="14"/>
                <w:szCs w:val="14"/>
                <w:color w:val="auto"/>
              </w:rPr>
              <w:t>First-lien loan ($20,364 par, due</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8/18/2015</w:t>
            </w:r>
          </w:p>
        </w:tc>
        <w:tc>
          <w:tcPr>
            <w:tcW w:w="26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L + 8.00%</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9.57%</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20,071</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20,643</w:t>
            </w:r>
          </w:p>
        </w:tc>
        <w:tc>
          <w:tcPr>
            <w:tcW w:w="12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LLC</w:t>
            </w:r>
            <w:r>
              <w:rPr>
                <w:rFonts w:ascii="Times New Roman" w:cs="Times New Roman" w:eastAsia="Times New Roman" w:hAnsi="Times New Roman"/>
                <w:sz w:val="12"/>
                <w:szCs w:val="12"/>
                <w:color w:val="auto"/>
              </w:rPr>
              <w:t>(3)</w:t>
            </w:r>
          </w:p>
        </w:tc>
        <w:tc>
          <w:tcPr>
            <w:tcW w:w="23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8/2020)</w:t>
            </w:r>
          </w:p>
        </w:tc>
        <w:tc>
          <w:tcPr>
            <w:tcW w:w="92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AvidXchange,</w:t>
            </w:r>
          </w:p>
        </w:tc>
        <w:tc>
          <w:tcPr>
            <w:tcW w:w="2360" w:type="dxa"/>
            <w:vAlign w:val="bottom"/>
            <w:gridSpan w:val="2"/>
          </w:tcPr>
          <w:p>
            <w:pPr>
              <w:ind w:left="440"/>
              <w:spacing w:after="0" w:line="126" w:lineRule="exact"/>
              <w:rPr>
                <w:sz w:val="20"/>
                <w:szCs w:val="20"/>
                <w:color w:val="auto"/>
              </w:rPr>
            </w:pPr>
            <w:r>
              <w:rPr>
                <w:rFonts w:ascii="Times New Roman" w:cs="Times New Roman" w:eastAsia="Times New Roman" w:hAnsi="Times New Roman"/>
                <w:sz w:val="14"/>
                <w:szCs w:val="14"/>
                <w:color w:val="auto"/>
              </w:rPr>
              <w:t>First-lien loan ($54,449 par, due</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8/7/2015</w:t>
            </w:r>
          </w:p>
        </w:tc>
        <w:tc>
          <w:tcPr>
            <w:tcW w:w="260" w:type="dxa"/>
            <w:vAlign w:val="bottom"/>
          </w:tcPr>
          <w:p>
            <w:pPr>
              <w:spacing w:after="0"/>
              <w:rPr>
                <w:sz w:val="10"/>
                <w:szCs w:val="10"/>
                <w:color w:val="auto"/>
              </w:rPr>
            </w:pPr>
          </w:p>
        </w:tc>
        <w:tc>
          <w:tcPr>
            <w:tcW w:w="10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L + 9.50%</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11.06%</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53,879</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55,266</w:t>
            </w:r>
          </w:p>
        </w:tc>
        <w:tc>
          <w:tcPr>
            <w:tcW w:w="12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Inc.</w:t>
            </w:r>
            <w:r>
              <w:rPr>
                <w:rFonts w:ascii="Times New Roman" w:cs="Times New Roman" w:eastAsia="Times New Roman" w:hAnsi="Times New Roman"/>
                <w:sz w:val="12"/>
                <w:szCs w:val="12"/>
                <w:color w:val="auto"/>
              </w:rPr>
              <w:t>(3)</w:t>
            </w:r>
          </w:p>
        </w:tc>
        <w:tc>
          <w:tcPr>
            <w:tcW w:w="23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8/2020)</w:t>
            </w:r>
          </w:p>
        </w:tc>
        <w:tc>
          <w:tcPr>
            <w:tcW w:w="9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40"/>
          </w:cols>
          <w:pgMar w:left="240" w:top="455" w:right="41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8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3"/>
                <w:szCs w:val="13"/>
                <w:color w:val="auto"/>
              </w:rPr>
            </w:pPr>
          </w:p>
        </w:tc>
        <w:tc>
          <w:tcPr>
            <w:tcW w:w="9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3"/>
                <w:szCs w:val="13"/>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2"/>
                <w:szCs w:val="12"/>
                <w:b w:val="1"/>
                <w:bCs w:val="1"/>
                <w:color w:val="auto"/>
              </w:rPr>
              <w:t>(1)</w:t>
            </w:r>
          </w:p>
        </w:tc>
        <w:tc>
          <w:tcPr>
            <w:tcW w:w="480" w:type="dxa"/>
            <w:vAlign w:val="bottom"/>
          </w:tcPr>
          <w:p>
            <w:pPr>
              <w:spacing w:after="0"/>
              <w:rPr>
                <w:sz w:val="12"/>
                <w:szCs w:val="12"/>
                <w:color w:val="auto"/>
              </w:rPr>
            </w:pPr>
          </w:p>
        </w:tc>
        <w:tc>
          <w:tcPr>
            <w:tcW w:w="186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920" w:type="dxa"/>
            <w:vAlign w:val="bottom"/>
            <w:gridSpan w:val="2"/>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24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Rate and</w:t>
            </w:r>
          </w:p>
        </w:tc>
        <w:tc>
          <w:tcPr>
            <w:tcW w:w="8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58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240" w:type="dxa"/>
            <w:vAlign w:val="bottom"/>
          </w:tcPr>
          <w:p>
            <w:pPr>
              <w:spacing w:after="0"/>
              <w:rPr>
                <w:sz w:val="13"/>
                <w:szCs w:val="13"/>
                <w:color w:val="auto"/>
              </w:rPr>
            </w:pPr>
          </w:p>
        </w:tc>
        <w:tc>
          <w:tcPr>
            <w:tcW w:w="98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Spread</w:t>
            </w:r>
          </w:p>
        </w:tc>
        <w:tc>
          <w:tcPr>
            <w:tcW w:w="880" w:type="dxa"/>
            <w:vAlign w:val="bottom"/>
            <w:gridSpan w:val="2"/>
          </w:tcPr>
          <w:p>
            <w:pPr>
              <w:jc w:val="right"/>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Rate</w:t>
            </w:r>
          </w:p>
        </w:tc>
        <w:tc>
          <w:tcPr>
            <w:tcW w:w="120" w:type="dxa"/>
            <w:vAlign w:val="bottom"/>
          </w:tcPr>
          <w:p>
            <w:pPr>
              <w:spacing w:after="0"/>
              <w:rPr>
                <w:sz w:val="13"/>
                <w:szCs w:val="13"/>
                <w:color w:val="auto"/>
              </w:rPr>
            </w:pPr>
          </w:p>
        </w:tc>
        <w:tc>
          <w:tcPr>
            <w:tcW w:w="66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Cost</w:t>
            </w:r>
            <w:r>
              <w:rPr>
                <w:rFonts w:ascii="Times New Roman" w:cs="Times New Roman" w:eastAsia="Times New Roman" w:hAnsi="Times New Roman"/>
                <w:sz w:val="12"/>
                <w:szCs w:val="12"/>
                <w:b w:val="1"/>
                <w:bCs w:val="1"/>
                <w:color w:val="auto"/>
              </w:rPr>
              <w:t>(2)(7)</w:t>
            </w:r>
          </w:p>
        </w:tc>
        <w:tc>
          <w:tcPr>
            <w:tcW w:w="240" w:type="dxa"/>
            <w:vAlign w:val="bottom"/>
          </w:tcPr>
          <w:p>
            <w:pPr>
              <w:spacing w:after="0"/>
              <w:rPr>
                <w:sz w:val="13"/>
                <w:szCs w:val="13"/>
                <w:color w:val="auto"/>
              </w:rPr>
            </w:pPr>
          </w:p>
        </w:tc>
        <w:tc>
          <w:tcPr>
            <w:tcW w:w="98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2"/>
                <w:szCs w:val="12"/>
                <w:b w:val="1"/>
                <w:bCs w:val="1"/>
                <w:color w:val="auto"/>
              </w:rPr>
              <w:t>(9)</w:t>
            </w:r>
          </w:p>
        </w:tc>
        <w:tc>
          <w:tcPr>
            <w:tcW w:w="1100" w:type="dxa"/>
            <w:vAlign w:val="bottom"/>
            <w:gridSpan w:val="3"/>
          </w:tcPr>
          <w:p>
            <w:pPr>
              <w:jc w:val="right"/>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0" w:type="dxa"/>
            <w:vAlign w:val="bottom"/>
          </w:tcPr>
          <w:p>
            <w:pPr>
              <w:spacing w:after="0"/>
              <w:rPr>
                <w:sz w:val="9"/>
                <w:szCs w:val="9"/>
                <w:color w:val="auto"/>
              </w:rPr>
            </w:pPr>
          </w:p>
        </w:tc>
        <w:tc>
          <w:tcPr>
            <w:tcW w:w="256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PayLease, LLC</w:t>
            </w:r>
            <w:r>
              <w:rPr>
                <w:rFonts w:ascii="Times New Roman" w:cs="Times New Roman" w:eastAsia="Times New Roman" w:hAnsi="Times New Roman"/>
                <w:sz w:val="11"/>
                <w:szCs w:val="11"/>
                <w:color w:val="auto"/>
              </w:rPr>
              <w:t>(3)</w:t>
            </w:r>
          </w:p>
        </w:tc>
        <w:tc>
          <w:tcPr>
            <w:tcW w:w="480" w:type="dxa"/>
            <w:vAlign w:val="bottom"/>
            <w:shd w:val="clear" w:color="auto" w:fill="CCEEFF"/>
          </w:tcPr>
          <w:p>
            <w:pPr>
              <w:spacing w:after="0"/>
              <w:rPr>
                <w:sz w:val="9"/>
                <w:szCs w:val="9"/>
                <w:color w:val="auto"/>
              </w:rPr>
            </w:pPr>
          </w:p>
        </w:tc>
        <w:tc>
          <w:tcPr>
            <w:tcW w:w="18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First-lien loan ($56,525 par,</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7/28/2017</w:t>
            </w:r>
          </w:p>
        </w:tc>
        <w:tc>
          <w:tcPr>
            <w:tcW w:w="24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L + 7.00%</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8.57%</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55,413</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55,627</w:t>
            </w:r>
          </w:p>
        </w:tc>
        <w:tc>
          <w:tcPr>
            <w:tcW w:w="160" w:type="dxa"/>
            <w:vAlign w:val="bottom"/>
            <w:shd w:val="clear" w:color="auto" w:fill="CCEEFF"/>
          </w:tcPr>
          <w:p>
            <w:pPr>
              <w:spacing w:after="0"/>
              <w:rPr>
                <w:sz w:val="9"/>
                <w:szCs w:val="9"/>
                <w:color w:val="auto"/>
              </w:rPr>
            </w:pPr>
          </w:p>
        </w:tc>
        <w:tc>
          <w:tcPr>
            <w:tcW w:w="11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3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due 7/2022)</w:t>
            </w: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PaySimple, Inc.</w:t>
            </w:r>
            <w:r>
              <w:rPr>
                <w:rFonts w:ascii="Times New Roman" w:cs="Times New Roman" w:eastAsia="Times New Roman" w:hAnsi="Times New Roman"/>
                <w:sz w:val="12"/>
                <w:szCs w:val="12"/>
                <w:color w:val="auto"/>
              </w:rPr>
              <w:t>(3)</w:t>
            </w:r>
          </w:p>
        </w:tc>
        <w:tc>
          <w:tcPr>
            <w:tcW w:w="4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340" w:type="dxa"/>
            <w:vAlign w:val="bottom"/>
            <w:gridSpan w:val="2"/>
          </w:tcPr>
          <w:p>
            <w:pPr>
              <w:ind w:left="480"/>
              <w:spacing w:after="0" w:line="158" w:lineRule="exact"/>
              <w:rPr>
                <w:sz w:val="20"/>
                <w:szCs w:val="20"/>
                <w:color w:val="auto"/>
              </w:rPr>
            </w:pPr>
            <w:r>
              <w:rPr>
                <w:rFonts w:ascii="Times New Roman" w:cs="Times New Roman" w:eastAsia="Times New Roman" w:hAnsi="Times New Roman"/>
                <w:sz w:val="14"/>
                <w:szCs w:val="14"/>
                <w:color w:val="auto"/>
              </w:rPr>
              <w:t>First-lien loan ($50,601 par,</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3/7/2017</w:t>
            </w:r>
          </w:p>
        </w:tc>
        <w:tc>
          <w:tcPr>
            <w:tcW w:w="240" w:type="dxa"/>
            <w:vAlign w:val="bottom"/>
          </w:tcPr>
          <w:p>
            <w:pPr>
              <w:spacing w:after="0"/>
              <w:rPr>
                <w:sz w:val="13"/>
                <w:szCs w:val="13"/>
                <w:color w:val="auto"/>
              </w:rPr>
            </w:pPr>
          </w:p>
        </w:tc>
        <w:tc>
          <w:tcPr>
            <w:tcW w:w="9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L + 8.25%</w:t>
            </w:r>
          </w:p>
        </w:tc>
        <w:tc>
          <w:tcPr>
            <w:tcW w:w="880" w:type="dxa"/>
            <w:vAlign w:val="bottom"/>
            <w:gridSpan w:val="2"/>
          </w:tcPr>
          <w:p>
            <w:pPr>
              <w:jc w:val="right"/>
              <w:ind w:right="140"/>
              <w:spacing w:after="0" w:line="158" w:lineRule="exact"/>
              <w:rPr>
                <w:sz w:val="20"/>
                <w:szCs w:val="20"/>
                <w:color w:val="auto"/>
              </w:rPr>
            </w:pPr>
            <w:r>
              <w:rPr>
                <w:rFonts w:ascii="Times New Roman" w:cs="Times New Roman" w:eastAsia="Times New Roman" w:hAnsi="Times New Roman"/>
                <w:sz w:val="14"/>
                <w:szCs w:val="14"/>
                <w:color w:val="auto"/>
              </w:rPr>
              <w:t>(incl. 1.75%</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49,633</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50,045</w:t>
            </w:r>
          </w:p>
        </w:tc>
        <w:tc>
          <w:tcPr>
            <w:tcW w:w="160" w:type="dxa"/>
            <w:vAlign w:val="bottom"/>
          </w:tcPr>
          <w:p>
            <w:pPr>
              <w:spacing w:after="0"/>
              <w:rPr>
                <w:sz w:val="13"/>
                <w:szCs w:val="13"/>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3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due 3/2022)</w:t>
            </w:r>
          </w:p>
        </w:tc>
        <w:tc>
          <w:tcPr>
            <w:tcW w:w="9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PIK)</w:t>
            </w:r>
          </w:p>
        </w:tc>
        <w:tc>
          <w:tcPr>
            <w:tcW w:w="7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Swift Gift</w:t>
            </w:r>
          </w:p>
        </w:tc>
        <w:tc>
          <w:tcPr>
            <w:tcW w:w="2340" w:type="dxa"/>
            <w:vAlign w:val="bottom"/>
            <w:gridSpan w:val="2"/>
            <w:shd w:val="clear" w:color="auto" w:fill="CCEEFF"/>
          </w:tcPr>
          <w:p>
            <w:pPr>
              <w:ind w:left="480"/>
              <w:spacing w:after="0" w:line="126" w:lineRule="exact"/>
              <w:rPr>
                <w:sz w:val="20"/>
                <w:szCs w:val="20"/>
                <w:color w:val="auto"/>
              </w:rPr>
            </w:pPr>
            <w:r>
              <w:rPr>
                <w:rFonts w:ascii="Times New Roman" w:cs="Times New Roman" w:eastAsia="Times New Roman" w:hAnsi="Times New Roman"/>
                <w:sz w:val="14"/>
                <w:szCs w:val="14"/>
                <w:color w:val="auto"/>
              </w:rPr>
              <w:t>First-lien loan ($29,167 par,</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7/31/2017</w:t>
            </w:r>
          </w:p>
        </w:tc>
        <w:tc>
          <w:tcPr>
            <w:tcW w:w="24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L + 6.50%</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8.13%</w:t>
            </w:r>
          </w:p>
        </w:tc>
        <w:tc>
          <w:tcPr>
            <w:tcW w:w="120" w:type="dxa"/>
            <w:vAlign w:val="bottom"/>
            <w:vMerge w:val="restart"/>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28,472</w:t>
            </w:r>
          </w:p>
        </w:tc>
        <w:tc>
          <w:tcPr>
            <w:tcW w:w="240" w:type="dxa"/>
            <w:vAlign w:val="bottom"/>
            <w:vMerge w:val="restart"/>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29,458</w:t>
            </w:r>
          </w:p>
        </w:tc>
        <w:tc>
          <w:tcPr>
            <w:tcW w:w="16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Limited</w:t>
            </w:r>
            <w:r>
              <w:rPr>
                <w:rFonts w:ascii="Times New Roman" w:cs="Times New Roman" w:eastAsia="Times New Roman" w:hAnsi="Times New Roman"/>
                <w:sz w:val="12"/>
                <w:szCs w:val="12"/>
                <w:color w:val="auto"/>
              </w:rPr>
              <w:t>(3)(5)</w:t>
            </w:r>
          </w:p>
        </w:tc>
        <w:tc>
          <w:tcPr>
            <w:tcW w:w="23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due 1/2022)</w:t>
            </w: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207,468</w:t>
            </w:r>
          </w:p>
        </w:tc>
        <w:tc>
          <w:tcPr>
            <w:tcW w:w="240" w:type="dxa"/>
            <w:vAlign w:val="bottom"/>
            <w:vMerge w:val="continue"/>
          </w:tcPr>
          <w:p>
            <w:pPr>
              <w:spacing w:after="0"/>
              <w:rPr>
                <w:sz w:val="14"/>
                <w:szCs w:val="14"/>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211,039</w:t>
            </w:r>
          </w:p>
        </w:tc>
        <w:tc>
          <w:tcPr>
            <w:tcW w:w="1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Healthcare</w:t>
            </w:r>
          </w:p>
        </w:tc>
        <w:tc>
          <w:tcPr>
            <w:tcW w:w="4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Integrated Practice Solutions,</w:t>
            </w:r>
          </w:p>
        </w:tc>
        <w:tc>
          <w:tcPr>
            <w:tcW w:w="2340" w:type="dxa"/>
            <w:vAlign w:val="bottom"/>
            <w:gridSpan w:val="2"/>
          </w:tcPr>
          <w:p>
            <w:pPr>
              <w:ind w:left="480"/>
              <w:spacing w:after="0" w:line="126" w:lineRule="exact"/>
              <w:rPr>
                <w:sz w:val="20"/>
                <w:szCs w:val="20"/>
                <w:color w:val="auto"/>
              </w:rPr>
            </w:pPr>
            <w:r>
              <w:rPr>
                <w:rFonts w:ascii="Times New Roman" w:cs="Times New Roman" w:eastAsia="Times New Roman" w:hAnsi="Times New Roman"/>
                <w:sz w:val="14"/>
                <w:szCs w:val="14"/>
                <w:color w:val="auto"/>
              </w:rPr>
              <w:t>First-lien loan ($32,338 par,</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6/30/2017</w:t>
            </w:r>
          </w:p>
        </w:tc>
        <w:tc>
          <w:tcPr>
            <w:tcW w:w="240" w:type="dxa"/>
            <w:vAlign w:val="bottom"/>
          </w:tcPr>
          <w:p>
            <w:pPr>
              <w:spacing w:after="0"/>
              <w:rPr>
                <w:sz w:val="10"/>
                <w:szCs w:val="10"/>
                <w:color w:val="auto"/>
              </w:rPr>
            </w:pPr>
          </w:p>
        </w:tc>
        <w:tc>
          <w:tcPr>
            <w:tcW w:w="9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L + 8.00%</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9.57%</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31,486</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31,691</w:t>
            </w:r>
          </w:p>
        </w:tc>
        <w:tc>
          <w:tcPr>
            <w:tcW w:w="16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Inc.</w:t>
            </w:r>
            <w:r>
              <w:rPr>
                <w:rFonts w:ascii="Times New Roman" w:cs="Times New Roman" w:eastAsia="Times New Roman" w:hAnsi="Times New Roman"/>
                <w:sz w:val="12"/>
                <w:szCs w:val="12"/>
                <w:color w:val="auto"/>
              </w:rPr>
              <w:t>(3)(5)</w:t>
            </w:r>
          </w:p>
        </w:tc>
        <w:tc>
          <w:tcPr>
            <w:tcW w:w="23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due 6/2022)</w:t>
            </w:r>
          </w:p>
        </w:tc>
        <w:tc>
          <w:tcPr>
            <w:tcW w:w="9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Helix Health,</w:t>
            </w:r>
          </w:p>
        </w:tc>
        <w:tc>
          <w:tcPr>
            <w:tcW w:w="2340" w:type="dxa"/>
            <w:vAlign w:val="bottom"/>
            <w:gridSpan w:val="2"/>
            <w:shd w:val="clear" w:color="auto" w:fill="CCEEFF"/>
          </w:tcPr>
          <w:p>
            <w:pPr>
              <w:ind w:left="480"/>
              <w:spacing w:after="0" w:line="135" w:lineRule="exact"/>
              <w:rPr>
                <w:sz w:val="20"/>
                <w:szCs w:val="20"/>
                <w:color w:val="auto"/>
              </w:rPr>
            </w:pPr>
            <w:r>
              <w:rPr>
                <w:rFonts w:ascii="Times New Roman" w:cs="Times New Roman" w:eastAsia="Times New Roman" w:hAnsi="Times New Roman"/>
                <w:sz w:val="14"/>
                <w:szCs w:val="14"/>
                <w:color w:val="auto"/>
              </w:rPr>
              <w:t>First-lien loan (EUR 38,019</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9/30/2014</w:t>
            </w:r>
          </w:p>
        </w:tc>
        <w:tc>
          <w:tcPr>
            <w:tcW w:w="24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E + 10.50%</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11.50%</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45,164</w:t>
            </w:r>
          </w:p>
        </w:tc>
        <w:tc>
          <w:tcPr>
            <w:tcW w:w="10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47,366</w:t>
            </w:r>
          </w:p>
        </w:tc>
        <w:tc>
          <w:tcPr>
            <w:tcW w:w="160" w:type="dxa"/>
            <w:vAlign w:val="bottom"/>
            <w:shd w:val="clear" w:color="auto" w:fill="CCEEFF"/>
          </w:tcPr>
          <w:p>
            <w:pPr>
              <w:spacing w:after="0"/>
              <w:rPr>
                <w:sz w:val="11"/>
                <w:szCs w:val="11"/>
                <w:color w:val="auto"/>
              </w:rPr>
            </w:pPr>
          </w:p>
        </w:tc>
        <w:tc>
          <w:tcPr>
            <w:tcW w:w="11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Ltd.</w:t>
            </w:r>
            <w:r>
              <w:rPr>
                <w:rFonts w:ascii="Times New Roman" w:cs="Times New Roman" w:eastAsia="Times New Roman" w:hAnsi="Times New Roman"/>
                <w:sz w:val="12"/>
                <w:szCs w:val="12"/>
                <w:color w:val="auto"/>
              </w:rPr>
              <w:t>(3)(4)</w:t>
            </w:r>
          </w:p>
        </w:tc>
        <w:tc>
          <w:tcPr>
            <w:tcW w:w="23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par, due 9/2019)</w:t>
            </w:r>
          </w:p>
        </w:tc>
        <w:tc>
          <w:tcPr>
            <w:tcW w:w="92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(EUR 39,445)</w:t>
            </w:r>
          </w:p>
        </w:tc>
        <w:tc>
          <w:tcPr>
            <w:tcW w:w="110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340" w:type="dxa"/>
            <w:vAlign w:val="bottom"/>
            <w:gridSpan w:val="2"/>
          </w:tcPr>
          <w:p>
            <w:pPr>
              <w:ind w:left="480"/>
              <w:spacing w:after="0" w:line="135" w:lineRule="exact"/>
              <w:rPr>
                <w:sz w:val="20"/>
                <w:szCs w:val="20"/>
                <w:color w:val="auto"/>
              </w:rPr>
            </w:pPr>
            <w:r>
              <w:rPr>
                <w:rFonts w:ascii="Times New Roman" w:cs="Times New Roman" w:eastAsia="Times New Roman" w:hAnsi="Times New Roman"/>
                <w:sz w:val="14"/>
                <w:szCs w:val="14"/>
                <w:color w:val="auto"/>
              </w:rPr>
              <w:t>First-lien revolving loan (EUR</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9/30/2014</w:t>
            </w:r>
          </w:p>
        </w:tc>
        <w:tc>
          <w:tcPr>
            <w:tcW w:w="240" w:type="dxa"/>
            <w:vAlign w:val="bottom"/>
          </w:tcPr>
          <w:p>
            <w:pPr>
              <w:spacing w:after="0"/>
              <w:rPr>
                <w:sz w:val="11"/>
                <w:szCs w:val="11"/>
                <w:color w:val="auto"/>
              </w:rPr>
            </w:pPr>
          </w:p>
        </w:tc>
        <w:tc>
          <w:tcPr>
            <w:tcW w:w="9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E + 10.50%</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11.50%</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4"/>
                <w:szCs w:val="14"/>
                <w:color w:val="auto"/>
              </w:rPr>
              <w:t>540</w:t>
            </w:r>
          </w:p>
        </w:tc>
        <w:tc>
          <w:tcPr>
            <w:tcW w:w="160" w:type="dxa"/>
            <w:vAlign w:val="bottom"/>
          </w:tcPr>
          <w:p>
            <w:pPr>
              <w:spacing w:after="0"/>
              <w:rPr>
                <w:sz w:val="11"/>
                <w:szCs w:val="11"/>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3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300 par, due 9/2019)</w:t>
            </w:r>
          </w:p>
        </w:tc>
        <w:tc>
          <w:tcPr>
            <w:tcW w:w="9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(EUR 450)</w:t>
            </w:r>
          </w:p>
        </w:tc>
        <w:tc>
          <w:tcPr>
            <w:tcW w:w="11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MatrixCare,</w:t>
            </w:r>
          </w:p>
        </w:tc>
        <w:tc>
          <w:tcPr>
            <w:tcW w:w="2340" w:type="dxa"/>
            <w:vAlign w:val="bottom"/>
            <w:gridSpan w:val="2"/>
            <w:shd w:val="clear" w:color="auto" w:fill="CCEEFF"/>
          </w:tcPr>
          <w:p>
            <w:pPr>
              <w:ind w:left="480"/>
              <w:spacing w:after="0" w:line="126" w:lineRule="exact"/>
              <w:rPr>
                <w:sz w:val="20"/>
                <w:szCs w:val="20"/>
                <w:color w:val="auto"/>
              </w:rPr>
            </w:pPr>
            <w:r>
              <w:rPr>
                <w:rFonts w:ascii="Times New Roman" w:cs="Times New Roman" w:eastAsia="Times New Roman" w:hAnsi="Times New Roman"/>
                <w:sz w:val="14"/>
                <w:szCs w:val="14"/>
                <w:color w:val="auto"/>
              </w:rPr>
              <w:t>First-lien loan ($57,305 par,</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12/17/2015</w:t>
            </w:r>
          </w:p>
        </w:tc>
        <w:tc>
          <w:tcPr>
            <w:tcW w:w="24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L + 5.25%</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6.94%</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56,455</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58,021</w:t>
            </w:r>
          </w:p>
        </w:tc>
        <w:tc>
          <w:tcPr>
            <w:tcW w:w="160" w:type="dxa"/>
            <w:vAlign w:val="bottom"/>
            <w:shd w:val="clear" w:color="auto" w:fill="CCEEFF"/>
          </w:tcPr>
          <w:p>
            <w:pPr>
              <w:spacing w:after="0"/>
              <w:rPr>
                <w:sz w:val="10"/>
                <w:szCs w:val="10"/>
                <w:color w:val="auto"/>
              </w:rPr>
            </w:pPr>
          </w:p>
        </w:tc>
        <w:tc>
          <w:tcPr>
            <w:tcW w:w="11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w:t>
            </w:r>
            <w:r>
              <w:rPr>
                <w:rFonts w:ascii="Times New Roman" w:cs="Times New Roman" w:eastAsia="Times New Roman" w:hAnsi="Times New Roman"/>
                <w:sz w:val="12"/>
                <w:szCs w:val="12"/>
                <w:color w:val="auto"/>
              </w:rPr>
              <w:t>(3)(5)</w:t>
            </w:r>
          </w:p>
        </w:tc>
        <w:tc>
          <w:tcPr>
            <w:tcW w:w="23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due 12/2021)</w:t>
            </w: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MedeAnalytics, Inc.</w:t>
            </w:r>
            <w:r>
              <w:rPr>
                <w:rFonts w:ascii="Times New Roman" w:cs="Times New Roman" w:eastAsia="Times New Roman" w:hAnsi="Times New Roman"/>
                <w:sz w:val="12"/>
                <w:szCs w:val="12"/>
                <w:color w:val="auto"/>
              </w:rPr>
              <w:t>(3)(5)</w:t>
            </w:r>
          </w:p>
        </w:tc>
        <w:tc>
          <w:tcPr>
            <w:tcW w:w="2340" w:type="dxa"/>
            <w:vAlign w:val="bottom"/>
            <w:gridSpan w:val="2"/>
          </w:tcPr>
          <w:p>
            <w:pPr>
              <w:ind w:left="480"/>
              <w:spacing w:after="0" w:line="126" w:lineRule="exact"/>
              <w:rPr>
                <w:sz w:val="20"/>
                <w:szCs w:val="20"/>
                <w:color w:val="auto"/>
              </w:rPr>
            </w:pPr>
            <w:r>
              <w:rPr>
                <w:rFonts w:ascii="Times New Roman" w:cs="Times New Roman" w:eastAsia="Times New Roman" w:hAnsi="Times New Roman"/>
                <w:sz w:val="14"/>
                <w:szCs w:val="14"/>
                <w:color w:val="auto"/>
              </w:rPr>
              <w:t>First-lien loan ($43,262 par,</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9/30/2015</w:t>
            </w:r>
          </w:p>
        </w:tc>
        <w:tc>
          <w:tcPr>
            <w:tcW w:w="240" w:type="dxa"/>
            <w:vAlign w:val="bottom"/>
          </w:tcPr>
          <w:p>
            <w:pPr>
              <w:spacing w:after="0"/>
              <w:rPr>
                <w:sz w:val="10"/>
                <w:szCs w:val="10"/>
                <w:color w:val="auto"/>
              </w:rPr>
            </w:pPr>
          </w:p>
        </w:tc>
        <w:tc>
          <w:tcPr>
            <w:tcW w:w="9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L + 8.50%</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10.19%</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42,483</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43,478</w:t>
            </w:r>
          </w:p>
        </w:tc>
        <w:tc>
          <w:tcPr>
            <w:tcW w:w="16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3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due 9/2020)</w:t>
            </w:r>
          </w:p>
        </w:tc>
        <w:tc>
          <w:tcPr>
            <w:tcW w:w="9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Quantros, Inc.</w:t>
            </w:r>
            <w:r>
              <w:rPr>
                <w:rFonts w:ascii="Times New Roman" w:cs="Times New Roman" w:eastAsia="Times New Roman" w:hAnsi="Times New Roman"/>
                <w:sz w:val="12"/>
                <w:szCs w:val="12"/>
                <w:color w:val="auto"/>
              </w:rPr>
              <w:t>(3)(5)</w:t>
            </w:r>
          </w:p>
        </w:tc>
        <w:tc>
          <w:tcPr>
            <w:tcW w:w="2340" w:type="dxa"/>
            <w:vAlign w:val="bottom"/>
            <w:gridSpan w:val="2"/>
            <w:shd w:val="clear" w:color="auto" w:fill="CCEEFF"/>
          </w:tcPr>
          <w:p>
            <w:pPr>
              <w:ind w:left="480"/>
              <w:spacing w:after="0" w:line="126" w:lineRule="exact"/>
              <w:rPr>
                <w:sz w:val="20"/>
                <w:szCs w:val="20"/>
                <w:color w:val="auto"/>
              </w:rPr>
            </w:pPr>
            <w:r>
              <w:rPr>
                <w:rFonts w:ascii="Times New Roman" w:cs="Times New Roman" w:eastAsia="Times New Roman" w:hAnsi="Times New Roman"/>
                <w:sz w:val="14"/>
                <w:szCs w:val="14"/>
                <w:color w:val="auto"/>
              </w:rPr>
              <w:t>First-lien loan ($29,475 par,</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2/29/2016</w:t>
            </w:r>
          </w:p>
        </w:tc>
        <w:tc>
          <w:tcPr>
            <w:tcW w:w="24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L + 7.75%</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9.44%</w:t>
            </w:r>
          </w:p>
        </w:tc>
        <w:tc>
          <w:tcPr>
            <w:tcW w:w="120" w:type="dxa"/>
            <w:vAlign w:val="bottom"/>
            <w:vMerge w:val="restart"/>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28,772</w:t>
            </w:r>
          </w:p>
        </w:tc>
        <w:tc>
          <w:tcPr>
            <w:tcW w:w="240" w:type="dxa"/>
            <w:vAlign w:val="bottom"/>
            <w:vMerge w:val="restart"/>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30,212</w:t>
            </w:r>
          </w:p>
        </w:tc>
        <w:tc>
          <w:tcPr>
            <w:tcW w:w="16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3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due 2/2021)</w:t>
            </w: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204,653</w:t>
            </w:r>
          </w:p>
        </w:tc>
        <w:tc>
          <w:tcPr>
            <w:tcW w:w="240" w:type="dxa"/>
            <w:vAlign w:val="bottom"/>
            <w:vMerge w:val="continue"/>
          </w:tcPr>
          <w:p>
            <w:pPr>
              <w:spacing w:after="0"/>
              <w:rPr>
                <w:sz w:val="14"/>
                <w:szCs w:val="14"/>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211,308</w:t>
            </w:r>
          </w:p>
        </w:tc>
        <w:tc>
          <w:tcPr>
            <w:tcW w:w="1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21.9%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Hotel, gaming, and leisure</w:t>
            </w:r>
          </w:p>
        </w:tc>
        <w:tc>
          <w:tcPr>
            <w:tcW w:w="4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IRGSE Holding</w:t>
            </w:r>
          </w:p>
        </w:tc>
        <w:tc>
          <w:tcPr>
            <w:tcW w:w="4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11.19%</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60" w:type="dxa"/>
            <w:vAlign w:val="bottom"/>
            <w:gridSpan w:val="2"/>
          </w:tcPr>
          <w:p>
            <w:pPr>
              <w:ind w:left="120"/>
              <w:spacing w:after="0" w:line="158" w:lineRule="exact"/>
              <w:rPr>
                <w:sz w:val="20"/>
                <w:szCs w:val="20"/>
                <w:color w:val="auto"/>
              </w:rPr>
            </w:pPr>
            <w:r>
              <w:rPr>
                <w:rFonts w:ascii="Times New Roman" w:cs="Times New Roman" w:eastAsia="Times New Roman" w:hAnsi="Times New Roman"/>
                <w:sz w:val="14"/>
                <w:szCs w:val="14"/>
                <w:color w:val="auto"/>
              </w:rPr>
              <w:t>Corp.</w:t>
            </w:r>
            <w:r>
              <w:rPr>
                <w:rFonts w:ascii="Times New Roman" w:cs="Times New Roman" w:eastAsia="Times New Roman" w:hAnsi="Times New Roman"/>
                <w:sz w:val="12"/>
                <w:szCs w:val="12"/>
                <w:color w:val="auto"/>
              </w:rPr>
              <w:t>(3)(6)</w:t>
            </w:r>
          </w:p>
        </w:tc>
        <w:tc>
          <w:tcPr>
            <w:tcW w:w="2340" w:type="dxa"/>
            <w:vAlign w:val="bottom"/>
            <w:gridSpan w:val="2"/>
          </w:tcPr>
          <w:p>
            <w:pPr>
              <w:ind w:left="480"/>
              <w:spacing w:after="0" w:line="158" w:lineRule="exact"/>
              <w:rPr>
                <w:sz w:val="20"/>
                <w:szCs w:val="20"/>
                <w:color w:val="auto"/>
              </w:rPr>
            </w:pPr>
            <w:r>
              <w:rPr>
                <w:rFonts w:ascii="Times New Roman" w:cs="Times New Roman" w:eastAsia="Times New Roman" w:hAnsi="Times New Roman"/>
                <w:sz w:val="14"/>
                <w:szCs w:val="14"/>
                <w:color w:val="auto"/>
              </w:rPr>
              <w:t>First-lien loan ($22,414 par,</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9/29/2015</w:t>
            </w:r>
          </w:p>
        </w:tc>
        <w:tc>
          <w:tcPr>
            <w:tcW w:w="240" w:type="dxa"/>
            <w:vAlign w:val="bottom"/>
          </w:tcPr>
          <w:p>
            <w:pPr>
              <w:spacing w:after="0"/>
              <w:rPr>
                <w:sz w:val="13"/>
                <w:szCs w:val="13"/>
                <w:color w:val="auto"/>
              </w:rPr>
            </w:pPr>
          </w:p>
        </w:tc>
        <w:tc>
          <w:tcPr>
            <w:tcW w:w="9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L + 9.50%</w:t>
            </w:r>
          </w:p>
        </w:tc>
        <w:tc>
          <w:tcPr>
            <w:tcW w:w="880" w:type="dxa"/>
            <w:vAlign w:val="bottom"/>
            <w:gridSpan w:val="2"/>
          </w:tcPr>
          <w:p>
            <w:pPr>
              <w:jc w:val="right"/>
              <w:ind w:right="140"/>
              <w:spacing w:after="0" w:line="158" w:lineRule="exact"/>
              <w:rPr>
                <w:sz w:val="20"/>
                <w:szCs w:val="20"/>
                <w:color w:val="auto"/>
              </w:rPr>
            </w:pPr>
            <w:r>
              <w:rPr>
                <w:rFonts w:ascii="Times New Roman" w:cs="Times New Roman" w:eastAsia="Times New Roman" w:hAnsi="Times New Roman"/>
                <w:sz w:val="14"/>
                <w:szCs w:val="14"/>
                <w:color w:val="auto"/>
              </w:rPr>
              <w:t>(incl. 5.00%</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22,414</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17,596</w:t>
            </w:r>
          </w:p>
        </w:tc>
        <w:tc>
          <w:tcPr>
            <w:tcW w:w="160" w:type="dxa"/>
            <w:vAlign w:val="bottom"/>
          </w:tcPr>
          <w:p>
            <w:pPr>
              <w:spacing w:after="0"/>
              <w:rPr>
                <w:sz w:val="13"/>
                <w:szCs w:val="13"/>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3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due 9/2019)</w:t>
            </w:r>
          </w:p>
        </w:tc>
        <w:tc>
          <w:tcPr>
            <w:tcW w:w="9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PIK)</w:t>
            </w:r>
          </w:p>
        </w:tc>
        <w:tc>
          <w:tcPr>
            <w:tcW w:w="7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11.06%</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2340" w:type="dxa"/>
            <w:vAlign w:val="bottom"/>
            <w:gridSpan w:val="2"/>
            <w:shd w:val="clear" w:color="auto" w:fill="CCEEFF"/>
          </w:tcPr>
          <w:p>
            <w:pPr>
              <w:ind w:left="480"/>
              <w:spacing w:after="0" w:line="158" w:lineRule="exact"/>
              <w:rPr>
                <w:sz w:val="20"/>
                <w:szCs w:val="20"/>
                <w:color w:val="auto"/>
              </w:rPr>
            </w:pPr>
            <w:r>
              <w:rPr>
                <w:rFonts w:ascii="Times New Roman" w:cs="Times New Roman" w:eastAsia="Times New Roman" w:hAnsi="Times New Roman"/>
                <w:sz w:val="14"/>
                <w:szCs w:val="14"/>
                <w:color w:val="auto"/>
              </w:rPr>
              <w:t>First-lien revolving loan</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9/29/2015</w:t>
            </w:r>
          </w:p>
        </w:tc>
        <w:tc>
          <w:tcPr>
            <w:tcW w:w="24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L + 9.50%</w:t>
            </w:r>
          </w:p>
        </w:tc>
        <w:tc>
          <w:tcPr>
            <w:tcW w:w="880" w:type="dxa"/>
            <w:vAlign w:val="bottom"/>
            <w:gridSpan w:val="2"/>
            <w:shd w:val="clear" w:color="auto" w:fill="CCEEFF"/>
          </w:tcPr>
          <w:p>
            <w:pPr>
              <w:jc w:val="right"/>
              <w:ind w:right="140"/>
              <w:spacing w:after="0" w:line="158" w:lineRule="exact"/>
              <w:rPr>
                <w:sz w:val="20"/>
                <w:szCs w:val="20"/>
                <w:color w:val="auto"/>
              </w:rPr>
            </w:pPr>
            <w:r>
              <w:rPr>
                <w:rFonts w:ascii="Times New Roman" w:cs="Times New Roman" w:eastAsia="Times New Roman" w:hAnsi="Times New Roman"/>
                <w:sz w:val="14"/>
                <w:szCs w:val="14"/>
                <w:color w:val="auto"/>
              </w:rPr>
              <w:t>(incl. 5.00%</w:t>
            </w:r>
          </w:p>
        </w:tc>
        <w:tc>
          <w:tcPr>
            <w:tcW w:w="120" w:type="dxa"/>
            <w:vAlign w:val="bottom"/>
            <w:vMerge w:val="restart"/>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21,665</w:t>
            </w:r>
          </w:p>
        </w:tc>
        <w:tc>
          <w:tcPr>
            <w:tcW w:w="240" w:type="dxa"/>
            <w:vAlign w:val="bottom"/>
            <w:vMerge w:val="restart"/>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17,007</w:t>
            </w:r>
          </w:p>
        </w:tc>
        <w:tc>
          <w:tcPr>
            <w:tcW w:w="16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3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($21,665 par, due 9/2019)</w:t>
            </w:r>
          </w:p>
        </w:tc>
        <w:tc>
          <w:tcPr>
            <w:tcW w:w="92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PIK)</w:t>
            </w:r>
          </w:p>
        </w:tc>
        <w:tc>
          <w:tcPr>
            <w:tcW w:w="12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44,079</w:t>
            </w:r>
          </w:p>
        </w:tc>
        <w:tc>
          <w:tcPr>
            <w:tcW w:w="240" w:type="dxa"/>
            <w:vAlign w:val="bottom"/>
            <w:vMerge w:val="continue"/>
          </w:tcPr>
          <w:p>
            <w:pPr>
              <w:spacing w:after="0"/>
              <w:rPr>
                <w:sz w:val="14"/>
                <w:szCs w:val="14"/>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34,603</w:t>
            </w:r>
          </w:p>
        </w:tc>
        <w:tc>
          <w:tcPr>
            <w:tcW w:w="1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4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Insurity, Inc.</w:t>
            </w:r>
            <w:r>
              <w:rPr>
                <w:rFonts w:ascii="Times New Roman" w:cs="Times New Roman" w:eastAsia="Times New Roman" w:hAnsi="Times New Roman"/>
                <w:sz w:val="12"/>
                <w:szCs w:val="12"/>
                <w:color w:val="auto"/>
              </w:rPr>
              <w:t>(3)(5)</w:t>
            </w:r>
          </w:p>
        </w:tc>
        <w:tc>
          <w:tcPr>
            <w:tcW w:w="2340" w:type="dxa"/>
            <w:vAlign w:val="bottom"/>
            <w:gridSpan w:val="2"/>
          </w:tcPr>
          <w:p>
            <w:pPr>
              <w:ind w:left="480"/>
              <w:spacing w:after="0" w:line="126" w:lineRule="exact"/>
              <w:rPr>
                <w:sz w:val="20"/>
                <w:szCs w:val="20"/>
                <w:color w:val="auto"/>
              </w:rPr>
            </w:pPr>
            <w:r>
              <w:rPr>
                <w:rFonts w:ascii="Times New Roman" w:cs="Times New Roman" w:eastAsia="Times New Roman" w:hAnsi="Times New Roman"/>
                <w:sz w:val="14"/>
                <w:szCs w:val="14"/>
                <w:color w:val="auto"/>
              </w:rPr>
              <w:t>First-lien loan ($63,321 par,</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10/31/2014</w:t>
            </w:r>
          </w:p>
        </w:tc>
        <w:tc>
          <w:tcPr>
            <w:tcW w:w="240" w:type="dxa"/>
            <w:vAlign w:val="bottom"/>
          </w:tcPr>
          <w:p>
            <w:pPr>
              <w:spacing w:after="0"/>
              <w:rPr>
                <w:sz w:val="10"/>
                <w:szCs w:val="10"/>
                <w:color w:val="auto"/>
              </w:rPr>
            </w:pPr>
          </w:p>
        </w:tc>
        <w:tc>
          <w:tcPr>
            <w:tcW w:w="9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L + 6.50%</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8.25%</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62,899</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64,904</w:t>
            </w:r>
          </w:p>
        </w:tc>
        <w:tc>
          <w:tcPr>
            <w:tcW w:w="16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3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due 10/2020)</w:t>
            </w:r>
          </w:p>
        </w:tc>
        <w:tc>
          <w:tcPr>
            <w:tcW w:w="9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Internet services</w:t>
            </w:r>
          </w:p>
        </w:tc>
        <w:tc>
          <w:tcPr>
            <w:tcW w:w="4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Lithium Technologies, LLC</w:t>
            </w:r>
            <w:r>
              <w:rPr>
                <w:rFonts w:ascii="Times New Roman" w:cs="Times New Roman" w:eastAsia="Times New Roman" w:hAnsi="Times New Roman"/>
                <w:sz w:val="12"/>
                <w:szCs w:val="12"/>
                <w:color w:val="auto"/>
              </w:rPr>
              <w:t>(3)</w:t>
            </w:r>
          </w:p>
        </w:tc>
        <w:tc>
          <w:tcPr>
            <w:tcW w:w="2340" w:type="dxa"/>
            <w:vAlign w:val="bottom"/>
            <w:gridSpan w:val="2"/>
          </w:tcPr>
          <w:p>
            <w:pPr>
              <w:ind w:left="480"/>
              <w:spacing w:after="0" w:line="126" w:lineRule="exact"/>
              <w:rPr>
                <w:sz w:val="20"/>
                <w:szCs w:val="20"/>
                <w:color w:val="auto"/>
              </w:rPr>
            </w:pPr>
            <w:r>
              <w:rPr>
                <w:rFonts w:ascii="Times New Roman" w:cs="Times New Roman" w:eastAsia="Times New Roman" w:hAnsi="Times New Roman"/>
                <w:sz w:val="14"/>
                <w:szCs w:val="14"/>
                <w:color w:val="auto"/>
              </w:rPr>
              <w:t>First-lien loan ($50,000 par,</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10/3/2017</w:t>
            </w:r>
          </w:p>
        </w:tc>
        <w:tc>
          <w:tcPr>
            <w:tcW w:w="240" w:type="dxa"/>
            <w:vAlign w:val="bottom"/>
          </w:tcPr>
          <w:p>
            <w:pPr>
              <w:spacing w:after="0"/>
              <w:rPr>
                <w:sz w:val="10"/>
                <w:szCs w:val="10"/>
                <w:color w:val="auto"/>
              </w:rPr>
            </w:pPr>
          </w:p>
        </w:tc>
        <w:tc>
          <w:tcPr>
            <w:tcW w:w="9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L + 8.00%</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9.39%</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48,840</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48,927</w:t>
            </w:r>
          </w:p>
        </w:tc>
        <w:tc>
          <w:tcPr>
            <w:tcW w:w="16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3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due 10/2022)</w:t>
            </w:r>
          </w:p>
        </w:tc>
        <w:tc>
          <w:tcPr>
            <w:tcW w:w="9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4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Industrial Physics,</w:t>
            </w:r>
          </w:p>
        </w:tc>
        <w:tc>
          <w:tcPr>
            <w:tcW w:w="2340" w:type="dxa"/>
            <w:vAlign w:val="bottom"/>
            <w:gridSpan w:val="2"/>
          </w:tcPr>
          <w:p>
            <w:pPr>
              <w:ind w:left="480"/>
              <w:spacing w:after="0" w:line="126" w:lineRule="exact"/>
              <w:rPr>
                <w:sz w:val="20"/>
                <w:szCs w:val="20"/>
                <w:color w:val="auto"/>
              </w:rPr>
            </w:pPr>
            <w:r>
              <w:rPr>
                <w:rFonts w:ascii="Times New Roman" w:cs="Times New Roman" w:eastAsia="Times New Roman" w:hAnsi="Times New Roman"/>
                <w:sz w:val="14"/>
                <w:szCs w:val="14"/>
                <w:color w:val="auto"/>
              </w:rPr>
              <w:t>First-lien loan ($9,975 par, due</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10/23/2017</w:t>
            </w:r>
          </w:p>
        </w:tc>
        <w:tc>
          <w:tcPr>
            <w:tcW w:w="240" w:type="dxa"/>
            <w:vAlign w:val="bottom"/>
          </w:tcPr>
          <w:p>
            <w:pPr>
              <w:spacing w:after="0"/>
              <w:rPr>
                <w:sz w:val="10"/>
                <w:szCs w:val="10"/>
                <w:color w:val="auto"/>
              </w:rPr>
            </w:pPr>
          </w:p>
        </w:tc>
        <w:tc>
          <w:tcPr>
            <w:tcW w:w="9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L + 7.00%</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8.55%</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9,686</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9,750</w:t>
            </w:r>
          </w:p>
        </w:tc>
        <w:tc>
          <w:tcPr>
            <w:tcW w:w="16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LLC</w:t>
            </w:r>
            <w:r>
              <w:rPr>
                <w:rFonts w:ascii="Times New Roman" w:cs="Times New Roman" w:eastAsia="Times New Roman" w:hAnsi="Times New Roman"/>
                <w:sz w:val="12"/>
                <w:szCs w:val="12"/>
                <w:color w:val="auto"/>
              </w:rPr>
              <w:t>(3)</w:t>
            </w:r>
          </w:p>
        </w:tc>
        <w:tc>
          <w:tcPr>
            <w:tcW w:w="23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10/2022)</w:t>
            </w:r>
          </w:p>
        </w:tc>
        <w:tc>
          <w:tcPr>
            <w:tcW w:w="9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2340" w:type="dxa"/>
            <w:vAlign w:val="bottom"/>
            <w:gridSpan w:val="2"/>
            <w:shd w:val="clear" w:color="auto" w:fill="CCEEFF"/>
          </w:tcPr>
          <w:p>
            <w:pPr>
              <w:ind w:left="480"/>
              <w:spacing w:after="0" w:line="135" w:lineRule="exact"/>
              <w:rPr>
                <w:sz w:val="20"/>
                <w:szCs w:val="20"/>
                <w:color w:val="auto"/>
              </w:rPr>
            </w:pPr>
            <w:r>
              <w:rPr>
                <w:rFonts w:ascii="Times New Roman" w:cs="Times New Roman" w:eastAsia="Times New Roman" w:hAnsi="Times New Roman"/>
                <w:sz w:val="14"/>
                <w:szCs w:val="14"/>
                <w:color w:val="auto"/>
              </w:rPr>
              <w:t>First-lien loan (EUR 21,065</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10/23/2017</w:t>
            </w:r>
          </w:p>
        </w:tc>
        <w:tc>
          <w:tcPr>
            <w:tcW w:w="24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E + 7.00%</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8.00%</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24,260</w:t>
            </w:r>
          </w:p>
        </w:tc>
        <w:tc>
          <w:tcPr>
            <w:tcW w:w="10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24,915</w:t>
            </w:r>
          </w:p>
        </w:tc>
        <w:tc>
          <w:tcPr>
            <w:tcW w:w="160" w:type="dxa"/>
            <w:vAlign w:val="bottom"/>
            <w:shd w:val="clear" w:color="auto" w:fill="CCEEFF"/>
          </w:tcPr>
          <w:p>
            <w:pPr>
              <w:spacing w:after="0"/>
              <w:rPr>
                <w:sz w:val="11"/>
                <w:szCs w:val="11"/>
                <w:color w:val="auto"/>
              </w:rPr>
            </w:pPr>
          </w:p>
        </w:tc>
        <w:tc>
          <w:tcPr>
            <w:tcW w:w="11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3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par, due 10/2022)</w:t>
            </w:r>
          </w:p>
        </w:tc>
        <w:tc>
          <w:tcPr>
            <w:tcW w:w="92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(EUR 20,749)</w:t>
            </w:r>
          </w:p>
        </w:tc>
        <w:tc>
          <w:tcPr>
            <w:tcW w:w="110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ScentAir Technologies,</w:t>
            </w:r>
          </w:p>
        </w:tc>
        <w:tc>
          <w:tcPr>
            <w:tcW w:w="2340" w:type="dxa"/>
            <w:vAlign w:val="bottom"/>
            <w:gridSpan w:val="2"/>
          </w:tcPr>
          <w:p>
            <w:pPr>
              <w:ind w:left="480"/>
              <w:spacing w:after="0" w:line="126" w:lineRule="exact"/>
              <w:rPr>
                <w:sz w:val="20"/>
                <w:szCs w:val="20"/>
                <w:color w:val="auto"/>
              </w:rPr>
            </w:pPr>
            <w:r>
              <w:rPr>
                <w:rFonts w:ascii="Times New Roman" w:cs="Times New Roman" w:eastAsia="Times New Roman" w:hAnsi="Times New Roman"/>
                <w:sz w:val="14"/>
                <w:szCs w:val="14"/>
                <w:color w:val="auto"/>
              </w:rPr>
              <w:t>First-lien loan ($19,986 par,</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12/30/2014</w:t>
            </w:r>
          </w:p>
        </w:tc>
        <w:tc>
          <w:tcPr>
            <w:tcW w:w="240" w:type="dxa"/>
            <w:vAlign w:val="bottom"/>
          </w:tcPr>
          <w:p>
            <w:pPr>
              <w:spacing w:after="0"/>
              <w:rPr>
                <w:sz w:val="10"/>
                <w:szCs w:val="10"/>
                <w:color w:val="auto"/>
              </w:rPr>
            </w:pPr>
          </w:p>
        </w:tc>
        <w:tc>
          <w:tcPr>
            <w:tcW w:w="9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L + 7.00%</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8.57%</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19,816</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20,086</w:t>
            </w:r>
          </w:p>
        </w:tc>
        <w:tc>
          <w:tcPr>
            <w:tcW w:w="16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Inc.</w:t>
            </w:r>
            <w:r>
              <w:rPr>
                <w:rFonts w:ascii="Times New Roman" w:cs="Times New Roman" w:eastAsia="Times New Roman" w:hAnsi="Times New Roman"/>
                <w:sz w:val="12"/>
                <w:szCs w:val="12"/>
                <w:color w:val="auto"/>
              </w:rPr>
              <w:t>(3)</w:t>
            </w:r>
          </w:p>
        </w:tc>
        <w:tc>
          <w:tcPr>
            <w:tcW w:w="23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due 12/2019)</w:t>
            </w:r>
          </w:p>
        </w:tc>
        <w:tc>
          <w:tcPr>
            <w:tcW w:w="9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2340" w:type="dxa"/>
            <w:vAlign w:val="bottom"/>
            <w:gridSpan w:val="2"/>
            <w:shd w:val="clear" w:color="auto" w:fill="CCEEFF"/>
          </w:tcPr>
          <w:p>
            <w:pPr>
              <w:ind w:left="480"/>
              <w:spacing w:after="0" w:line="126" w:lineRule="exact"/>
              <w:rPr>
                <w:sz w:val="20"/>
                <w:szCs w:val="20"/>
                <w:color w:val="auto"/>
              </w:rPr>
            </w:pPr>
            <w:r>
              <w:rPr>
                <w:rFonts w:ascii="Times New Roman" w:cs="Times New Roman" w:eastAsia="Times New Roman" w:hAnsi="Times New Roman"/>
                <w:sz w:val="14"/>
                <w:szCs w:val="14"/>
                <w:color w:val="auto"/>
              </w:rPr>
              <w:t>First-lien revolving loan</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12/30/2014</w:t>
            </w:r>
          </w:p>
        </w:tc>
        <w:tc>
          <w:tcPr>
            <w:tcW w:w="24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L + 7.00%</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8.57%</w:t>
            </w:r>
          </w:p>
        </w:tc>
        <w:tc>
          <w:tcPr>
            <w:tcW w:w="120" w:type="dxa"/>
            <w:vAlign w:val="bottom"/>
            <w:vMerge w:val="restart"/>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240" w:type="dxa"/>
            <w:vAlign w:val="bottom"/>
            <w:vMerge w:val="restart"/>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16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3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($1,393 par, due 12/2019)</w:t>
            </w: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55,139</w:t>
            </w:r>
          </w:p>
        </w:tc>
        <w:tc>
          <w:tcPr>
            <w:tcW w:w="240" w:type="dxa"/>
            <w:vAlign w:val="bottom"/>
            <w:vMerge w:val="continue"/>
          </w:tcPr>
          <w:p>
            <w:pPr>
              <w:spacing w:after="0"/>
              <w:rPr>
                <w:sz w:val="14"/>
                <w:szCs w:val="14"/>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56,155</w:t>
            </w:r>
          </w:p>
        </w:tc>
        <w:tc>
          <w:tcPr>
            <w:tcW w:w="1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Marketing services</w:t>
            </w:r>
          </w:p>
        </w:tc>
        <w:tc>
          <w:tcPr>
            <w:tcW w:w="4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Marketo, Inc.</w:t>
            </w:r>
            <w:r>
              <w:rPr>
                <w:rFonts w:ascii="Times New Roman" w:cs="Times New Roman" w:eastAsia="Times New Roman" w:hAnsi="Times New Roman"/>
                <w:sz w:val="12"/>
                <w:szCs w:val="12"/>
                <w:color w:val="auto"/>
              </w:rPr>
              <w:t>(3)</w:t>
            </w:r>
          </w:p>
        </w:tc>
        <w:tc>
          <w:tcPr>
            <w:tcW w:w="2340" w:type="dxa"/>
            <w:vAlign w:val="bottom"/>
            <w:gridSpan w:val="2"/>
          </w:tcPr>
          <w:p>
            <w:pPr>
              <w:ind w:left="480"/>
              <w:spacing w:after="0" w:line="126" w:lineRule="exact"/>
              <w:rPr>
                <w:sz w:val="20"/>
                <w:szCs w:val="20"/>
                <w:color w:val="auto"/>
              </w:rPr>
            </w:pPr>
            <w:r>
              <w:rPr>
                <w:rFonts w:ascii="Times New Roman" w:cs="Times New Roman" w:eastAsia="Times New Roman" w:hAnsi="Times New Roman"/>
                <w:sz w:val="14"/>
                <w:szCs w:val="14"/>
                <w:color w:val="auto"/>
              </w:rPr>
              <w:t>First-lien loan ($28,125 par,</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8/16/2016</w:t>
            </w:r>
          </w:p>
        </w:tc>
        <w:tc>
          <w:tcPr>
            <w:tcW w:w="240" w:type="dxa"/>
            <w:vAlign w:val="bottom"/>
          </w:tcPr>
          <w:p>
            <w:pPr>
              <w:spacing w:after="0"/>
              <w:rPr>
                <w:sz w:val="10"/>
                <w:szCs w:val="10"/>
                <w:color w:val="auto"/>
              </w:rPr>
            </w:pPr>
          </w:p>
        </w:tc>
        <w:tc>
          <w:tcPr>
            <w:tcW w:w="9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L + 9.50%</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11.19%</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27,428</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29,025</w:t>
            </w:r>
          </w:p>
        </w:tc>
        <w:tc>
          <w:tcPr>
            <w:tcW w:w="16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3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due 8/2021)</w:t>
            </w:r>
          </w:p>
        </w:tc>
        <w:tc>
          <w:tcPr>
            <w:tcW w:w="9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Vivial Inc.</w:t>
            </w:r>
            <w:r>
              <w:rPr>
                <w:rFonts w:ascii="Times New Roman" w:cs="Times New Roman" w:eastAsia="Times New Roman" w:hAnsi="Times New Roman"/>
                <w:sz w:val="12"/>
                <w:szCs w:val="12"/>
                <w:color w:val="auto"/>
              </w:rPr>
              <w:t>(3)</w:t>
            </w:r>
          </w:p>
        </w:tc>
        <w:tc>
          <w:tcPr>
            <w:tcW w:w="2340" w:type="dxa"/>
            <w:vAlign w:val="bottom"/>
            <w:gridSpan w:val="2"/>
            <w:shd w:val="clear" w:color="auto" w:fill="CCEEFF"/>
          </w:tcPr>
          <w:p>
            <w:pPr>
              <w:ind w:left="480"/>
              <w:spacing w:after="0" w:line="126" w:lineRule="exact"/>
              <w:rPr>
                <w:sz w:val="20"/>
                <w:szCs w:val="20"/>
                <w:color w:val="auto"/>
              </w:rPr>
            </w:pPr>
            <w:r>
              <w:rPr>
                <w:rFonts w:ascii="Times New Roman" w:cs="Times New Roman" w:eastAsia="Times New Roman" w:hAnsi="Times New Roman"/>
                <w:sz w:val="14"/>
                <w:szCs w:val="14"/>
                <w:color w:val="auto"/>
              </w:rPr>
              <w:t>First-lien loan ($32,463 par,</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9/29/2017</w:t>
            </w:r>
          </w:p>
        </w:tc>
        <w:tc>
          <w:tcPr>
            <w:tcW w:w="24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L + 8.00%</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9.69%</w:t>
            </w:r>
          </w:p>
        </w:tc>
        <w:tc>
          <w:tcPr>
            <w:tcW w:w="120" w:type="dxa"/>
            <w:vAlign w:val="bottom"/>
            <w:vMerge w:val="restart"/>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31,918</w:t>
            </w:r>
          </w:p>
        </w:tc>
        <w:tc>
          <w:tcPr>
            <w:tcW w:w="240" w:type="dxa"/>
            <w:vAlign w:val="bottom"/>
            <w:vMerge w:val="restart"/>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31,976</w:t>
            </w:r>
          </w:p>
        </w:tc>
        <w:tc>
          <w:tcPr>
            <w:tcW w:w="16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3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due 9/2022)</w:t>
            </w: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59,346</w:t>
            </w:r>
          </w:p>
        </w:tc>
        <w:tc>
          <w:tcPr>
            <w:tcW w:w="240" w:type="dxa"/>
            <w:vAlign w:val="bottom"/>
            <w:vMerge w:val="continue"/>
          </w:tcPr>
          <w:p>
            <w:pPr>
              <w:spacing w:after="0"/>
              <w:rPr>
                <w:sz w:val="14"/>
                <w:szCs w:val="14"/>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61,001</w:t>
            </w:r>
          </w:p>
        </w:tc>
        <w:tc>
          <w:tcPr>
            <w:tcW w:w="1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Oil, gas and consumable fuels</w:t>
            </w:r>
          </w:p>
        </w:tc>
        <w:tc>
          <w:tcPr>
            <w:tcW w:w="4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Mississippi Resources, LLC</w:t>
            </w:r>
            <w:r>
              <w:rPr>
                <w:rFonts w:ascii="Times New Roman" w:cs="Times New Roman" w:eastAsia="Times New Roman" w:hAnsi="Times New Roman"/>
                <w:sz w:val="12"/>
                <w:szCs w:val="12"/>
                <w:color w:val="auto"/>
              </w:rPr>
              <w:t>(3)(6)</w:t>
            </w:r>
          </w:p>
        </w:tc>
        <w:tc>
          <w:tcPr>
            <w:tcW w:w="2340" w:type="dxa"/>
            <w:vAlign w:val="bottom"/>
            <w:gridSpan w:val="2"/>
          </w:tcPr>
          <w:p>
            <w:pPr>
              <w:ind w:left="480"/>
              <w:spacing w:after="0" w:line="126" w:lineRule="exact"/>
              <w:rPr>
                <w:sz w:val="20"/>
                <w:szCs w:val="20"/>
                <w:color w:val="auto"/>
              </w:rPr>
            </w:pPr>
            <w:r>
              <w:rPr>
                <w:rFonts w:ascii="Times New Roman" w:cs="Times New Roman" w:eastAsia="Times New Roman" w:hAnsi="Times New Roman"/>
                <w:sz w:val="14"/>
                <w:szCs w:val="14"/>
                <w:color w:val="auto"/>
              </w:rPr>
              <w:t>First-lien loan ($25,229 par,</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5/3/2017</w:t>
            </w:r>
          </w:p>
        </w:tc>
        <w:tc>
          <w:tcPr>
            <w:tcW w:w="240" w:type="dxa"/>
            <w:vAlign w:val="bottom"/>
          </w:tcPr>
          <w:p>
            <w:pPr>
              <w:spacing w:after="0"/>
              <w:rPr>
                <w:sz w:val="10"/>
                <w:szCs w:val="10"/>
                <w:color w:val="auto"/>
              </w:rPr>
            </w:pPr>
          </w:p>
        </w:tc>
        <w:tc>
          <w:tcPr>
            <w:tcW w:w="9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L + 10.50%</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12.07%</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25,180</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25,229</w:t>
            </w:r>
          </w:p>
        </w:tc>
        <w:tc>
          <w:tcPr>
            <w:tcW w:w="16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3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due 6/2018)</w:t>
            </w:r>
          </w:p>
        </w:tc>
        <w:tc>
          <w:tcPr>
            <w:tcW w:w="9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Northern Oil and Gas, Inc.</w:t>
            </w:r>
            <w:r>
              <w:rPr>
                <w:rFonts w:ascii="Times New Roman" w:cs="Times New Roman" w:eastAsia="Times New Roman" w:hAnsi="Times New Roman"/>
                <w:sz w:val="12"/>
                <w:szCs w:val="12"/>
                <w:color w:val="auto"/>
              </w:rPr>
              <w:t>(3)</w:t>
            </w:r>
          </w:p>
        </w:tc>
        <w:tc>
          <w:tcPr>
            <w:tcW w:w="2340" w:type="dxa"/>
            <w:vAlign w:val="bottom"/>
            <w:gridSpan w:val="2"/>
            <w:shd w:val="clear" w:color="auto" w:fill="CCEEFF"/>
          </w:tcPr>
          <w:p>
            <w:pPr>
              <w:ind w:left="480"/>
              <w:spacing w:after="0" w:line="126" w:lineRule="exact"/>
              <w:rPr>
                <w:sz w:val="20"/>
                <w:szCs w:val="20"/>
                <w:color w:val="auto"/>
              </w:rPr>
            </w:pPr>
            <w:r>
              <w:rPr>
                <w:rFonts w:ascii="Times New Roman" w:cs="Times New Roman" w:eastAsia="Times New Roman" w:hAnsi="Times New Roman"/>
                <w:sz w:val="14"/>
                <w:szCs w:val="14"/>
                <w:color w:val="auto"/>
              </w:rPr>
              <w:t>First-lien loan ($48,750 par,</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11/1/2017</w:t>
            </w:r>
          </w:p>
        </w:tc>
        <w:tc>
          <w:tcPr>
            <w:tcW w:w="24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L + 7.75%</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9.50%</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47,563</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47,450</w:t>
            </w:r>
          </w:p>
        </w:tc>
        <w:tc>
          <w:tcPr>
            <w:tcW w:w="160" w:type="dxa"/>
            <w:vAlign w:val="bottom"/>
            <w:shd w:val="clear" w:color="auto" w:fill="CCEEFF"/>
          </w:tcPr>
          <w:p>
            <w:pPr>
              <w:spacing w:after="0"/>
              <w:rPr>
                <w:sz w:val="10"/>
                <w:szCs w:val="10"/>
                <w:color w:val="auto"/>
              </w:rPr>
            </w:pPr>
          </w:p>
        </w:tc>
        <w:tc>
          <w:tcPr>
            <w:tcW w:w="11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3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due 11/2022)</w:t>
            </w: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Rex Energy</w:t>
            </w:r>
          </w:p>
        </w:tc>
        <w:tc>
          <w:tcPr>
            <w:tcW w:w="2340" w:type="dxa"/>
            <w:vAlign w:val="bottom"/>
            <w:gridSpan w:val="2"/>
          </w:tcPr>
          <w:p>
            <w:pPr>
              <w:ind w:left="480"/>
              <w:spacing w:after="0" w:line="126" w:lineRule="exact"/>
              <w:rPr>
                <w:sz w:val="20"/>
                <w:szCs w:val="20"/>
                <w:color w:val="auto"/>
              </w:rPr>
            </w:pPr>
            <w:r>
              <w:rPr>
                <w:rFonts w:ascii="Times New Roman" w:cs="Times New Roman" w:eastAsia="Times New Roman" w:hAnsi="Times New Roman"/>
                <w:sz w:val="14"/>
                <w:szCs w:val="14"/>
                <w:color w:val="auto"/>
              </w:rPr>
              <w:t>First-lien loan ($18,950 par,</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4/28/2017</w:t>
            </w:r>
          </w:p>
        </w:tc>
        <w:tc>
          <w:tcPr>
            <w:tcW w:w="240" w:type="dxa"/>
            <w:vAlign w:val="bottom"/>
          </w:tcPr>
          <w:p>
            <w:pPr>
              <w:spacing w:after="0"/>
              <w:rPr>
                <w:sz w:val="10"/>
                <w:szCs w:val="10"/>
                <w:color w:val="auto"/>
              </w:rPr>
            </w:pPr>
          </w:p>
        </w:tc>
        <w:tc>
          <w:tcPr>
            <w:tcW w:w="9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L + 8.75%</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10.50%</w:t>
            </w:r>
          </w:p>
        </w:tc>
        <w:tc>
          <w:tcPr>
            <w:tcW w:w="120" w:type="dxa"/>
            <w:vAlign w:val="bottom"/>
            <w:vMerge w:val="restart"/>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18,467</w:t>
            </w:r>
          </w:p>
        </w:tc>
        <w:tc>
          <w:tcPr>
            <w:tcW w:w="240" w:type="dxa"/>
            <w:vAlign w:val="bottom"/>
            <w:vMerge w:val="restart"/>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20,525</w:t>
            </w:r>
          </w:p>
        </w:tc>
        <w:tc>
          <w:tcPr>
            <w:tcW w:w="160" w:type="dxa"/>
            <w:vAlign w:val="bottom"/>
          </w:tcPr>
          <w:p>
            <w:pPr>
              <w:spacing w:after="0"/>
              <w:rPr>
                <w:sz w:val="10"/>
                <w:szCs w:val="10"/>
                <w:color w:val="auto"/>
              </w:rPr>
            </w:pPr>
          </w:p>
        </w:tc>
        <w:tc>
          <w:tcPr>
            <w:tcW w:w="140" w:type="dxa"/>
            <w:vAlign w:val="bottom"/>
            <w:vMerge w:val="restart"/>
          </w:tcPr>
          <w:p>
            <w:pPr>
              <w:spacing w:after="0"/>
              <w:rPr>
                <w:sz w:val="10"/>
                <w:szCs w:val="10"/>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Corporation</w:t>
            </w:r>
            <w:r>
              <w:rPr>
                <w:rFonts w:ascii="Times New Roman" w:cs="Times New Roman" w:eastAsia="Times New Roman" w:hAnsi="Times New Roman"/>
                <w:sz w:val="12"/>
                <w:szCs w:val="12"/>
                <w:color w:val="auto"/>
              </w:rPr>
              <w:t>(3)</w:t>
            </w:r>
          </w:p>
        </w:tc>
        <w:tc>
          <w:tcPr>
            <w:tcW w:w="23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due 4/2021)</w:t>
            </w:r>
          </w:p>
        </w:tc>
        <w:tc>
          <w:tcPr>
            <w:tcW w:w="9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91,210</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93,204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40"/>
          </w:cols>
          <w:pgMar w:left="240" w:top="455" w:right="41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8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3"/>
                <w:szCs w:val="13"/>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3"/>
                <w:szCs w:val="13"/>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2"/>
                <w:szCs w:val="12"/>
                <w:b w:val="1"/>
                <w:bCs w:val="1"/>
                <w:color w:val="auto"/>
              </w:rPr>
              <w:t>(1)</w:t>
            </w:r>
          </w:p>
        </w:tc>
        <w:tc>
          <w:tcPr>
            <w:tcW w:w="380" w:type="dxa"/>
            <w:vAlign w:val="bottom"/>
          </w:tcPr>
          <w:p>
            <w:pPr>
              <w:spacing w:after="0"/>
              <w:rPr>
                <w:sz w:val="12"/>
                <w:szCs w:val="12"/>
                <w:color w:val="auto"/>
              </w:rPr>
            </w:pPr>
          </w:p>
        </w:tc>
        <w:tc>
          <w:tcPr>
            <w:tcW w:w="190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940" w:type="dxa"/>
            <w:vAlign w:val="bottom"/>
            <w:gridSpan w:val="2"/>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2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Rate and</w:t>
            </w:r>
          </w:p>
        </w:tc>
        <w:tc>
          <w:tcPr>
            <w:tcW w:w="860" w:type="dxa"/>
            <w:vAlign w:val="bottom"/>
            <w:gridSpan w:val="3"/>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760" w:type="dxa"/>
            <w:vAlign w:val="bottom"/>
            <w:gridSpan w:val="3"/>
            <w:vMerge w:val="continue"/>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260" w:type="dxa"/>
            <w:vAlign w:val="bottom"/>
          </w:tcPr>
          <w:p>
            <w:pPr>
              <w:spacing w:after="0"/>
              <w:rPr>
                <w:sz w:val="13"/>
                <w:szCs w:val="13"/>
                <w:color w:val="auto"/>
              </w:rPr>
            </w:pPr>
          </w:p>
        </w:tc>
        <w:tc>
          <w:tcPr>
            <w:tcW w:w="8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Spread</w:t>
            </w:r>
          </w:p>
        </w:tc>
        <w:tc>
          <w:tcPr>
            <w:tcW w:w="140" w:type="dxa"/>
            <w:vAlign w:val="bottom"/>
          </w:tcPr>
          <w:p>
            <w:pPr>
              <w:spacing w:after="0"/>
              <w:rPr>
                <w:sz w:val="13"/>
                <w:szCs w:val="13"/>
                <w:color w:val="auto"/>
              </w:rPr>
            </w:pPr>
          </w:p>
        </w:tc>
        <w:tc>
          <w:tcPr>
            <w:tcW w:w="72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Rate</w:t>
            </w:r>
          </w:p>
        </w:tc>
        <w:tc>
          <w:tcPr>
            <w:tcW w:w="140" w:type="dxa"/>
            <w:vAlign w:val="bottom"/>
          </w:tcPr>
          <w:p>
            <w:pPr>
              <w:spacing w:after="0"/>
              <w:rPr>
                <w:sz w:val="13"/>
                <w:szCs w:val="13"/>
                <w:color w:val="auto"/>
              </w:rPr>
            </w:pPr>
          </w:p>
        </w:tc>
        <w:tc>
          <w:tcPr>
            <w:tcW w:w="66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Cost</w:t>
            </w:r>
            <w:r>
              <w:rPr>
                <w:rFonts w:ascii="Times New Roman" w:cs="Times New Roman" w:eastAsia="Times New Roman" w:hAnsi="Times New Roman"/>
                <w:sz w:val="12"/>
                <w:szCs w:val="12"/>
                <w:b w:val="1"/>
                <w:bCs w:val="1"/>
                <w:color w:val="auto"/>
              </w:rPr>
              <w:t>(2)(7)</w:t>
            </w:r>
          </w:p>
        </w:tc>
        <w:tc>
          <w:tcPr>
            <w:tcW w:w="260" w:type="dxa"/>
            <w:vAlign w:val="bottom"/>
          </w:tcPr>
          <w:p>
            <w:pPr>
              <w:spacing w:after="0"/>
              <w:rPr>
                <w:sz w:val="13"/>
                <w:szCs w:val="13"/>
                <w:color w:val="auto"/>
              </w:rPr>
            </w:pPr>
          </w:p>
        </w:tc>
        <w:tc>
          <w:tcPr>
            <w:tcW w:w="92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w w:val="97"/>
              </w:rPr>
              <w:t>Value</w:t>
            </w:r>
            <w:r>
              <w:rPr>
                <w:rFonts w:ascii="Times New Roman" w:cs="Times New Roman" w:eastAsia="Times New Roman" w:hAnsi="Times New Roman"/>
                <w:sz w:val="12"/>
                <w:szCs w:val="12"/>
                <w:b w:val="1"/>
                <w:bCs w:val="1"/>
                <w:color w:val="auto"/>
                <w:w w:val="97"/>
              </w:rPr>
              <w:t>(9)</w:t>
            </w:r>
          </w:p>
        </w:tc>
        <w:tc>
          <w:tcPr>
            <w:tcW w:w="1100" w:type="dxa"/>
            <w:vAlign w:val="bottom"/>
            <w:gridSpan w:val="3"/>
          </w:tcPr>
          <w:p>
            <w:pPr>
              <w:jc w:val="right"/>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740" w:type="dxa"/>
            <w:vAlign w:val="bottom"/>
            <w:gridSpan w:val="2"/>
            <w:shd w:val="clear" w:color="auto" w:fill="CCEEFF"/>
          </w:tcPr>
          <w:p>
            <w:pPr>
              <w:ind w:left="280"/>
              <w:spacing w:after="0" w:line="122" w:lineRule="exact"/>
              <w:rPr>
                <w:sz w:val="20"/>
                <w:szCs w:val="20"/>
                <w:color w:val="auto"/>
              </w:rPr>
            </w:pPr>
            <w:r>
              <w:rPr>
                <w:rFonts w:ascii="Times New Roman" w:cs="Times New Roman" w:eastAsia="Times New Roman" w:hAnsi="Times New Roman"/>
                <w:sz w:val="14"/>
                <w:szCs w:val="14"/>
                <w:b w:val="1"/>
                <w:bCs w:val="1"/>
                <w:color w:val="auto"/>
              </w:rPr>
              <w:t>Office products</w:t>
            </w:r>
          </w:p>
        </w:tc>
        <w:tc>
          <w:tcPr>
            <w:tcW w:w="38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USR Parent</w:t>
            </w:r>
          </w:p>
        </w:tc>
        <w:tc>
          <w:tcPr>
            <w:tcW w:w="2280" w:type="dxa"/>
            <w:vAlign w:val="bottom"/>
            <w:gridSpan w:val="2"/>
          </w:tcPr>
          <w:p>
            <w:pPr>
              <w:ind w:left="380"/>
              <w:spacing w:after="0" w:line="126" w:lineRule="exact"/>
              <w:rPr>
                <w:sz w:val="20"/>
                <w:szCs w:val="20"/>
                <w:color w:val="auto"/>
              </w:rPr>
            </w:pPr>
            <w:r>
              <w:rPr>
                <w:rFonts w:ascii="Times New Roman" w:cs="Times New Roman" w:eastAsia="Times New Roman" w:hAnsi="Times New Roman"/>
                <w:sz w:val="14"/>
                <w:szCs w:val="14"/>
                <w:color w:val="auto"/>
              </w:rPr>
              <w:t>ABL FILO term loan ($20,000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9/12/2017</w:t>
            </w:r>
          </w:p>
        </w:tc>
        <w:tc>
          <w:tcPr>
            <w:tcW w:w="260" w:type="dxa"/>
            <w:vAlign w:val="bottom"/>
          </w:tcPr>
          <w:p>
            <w:pPr>
              <w:spacing w:after="0"/>
              <w:rPr>
                <w:sz w:val="10"/>
                <w:szCs w:val="10"/>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L + 7.75%</w:t>
            </w:r>
          </w:p>
        </w:tc>
        <w:tc>
          <w:tcPr>
            <w:tcW w:w="8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8.99%</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19,553</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19,600</w:t>
            </w:r>
          </w:p>
        </w:tc>
        <w:tc>
          <w:tcPr>
            <w:tcW w:w="18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Inc.</w:t>
            </w:r>
            <w:r>
              <w:rPr>
                <w:rFonts w:ascii="Times New Roman" w:cs="Times New Roman" w:eastAsia="Times New Roman" w:hAnsi="Times New Roman"/>
                <w:sz w:val="12"/>
                <w:szCs w:val="12"/>
                <w:color w:val="auto"/>
              </w:rPr>
              <w:t>(3)(5)</w:t>
            </w:r>
          </w:p>
        </w:tc>
        <w:tc>
          <w:tcPr>
            <w:tcW w:w="22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par, due 9/2022)</w:t>
            </w:r>
          </w:p>
        </w:tc>
        <w:tc>
          <w:tcPr>
            <w:tcW w:w="9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Pharmaceuticals</w:t>
            </w:r>
          </w:p>
        </w:tc>
        <w:tc>
          <w:tcPr>
            <w:tcW w:w="3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Ironwood Pharmaceuticals, Inc.</w:t>
            </w:r>
            <w:r>
              <w:rPr>
                <w:rFonts w:ascii="Times New Roman" w:cs="Times New Roman" w:eastAsia="Times New Roman" w:hAnsi="Times New Roman"/>
                <w:sz w:val="12"/>
                <w:szCs w:val="12"/>
                <w:color w:val="auto"/>
              </w:rPr>
              <w:t>(4)(5)(8)</w:t>
            </w:r>
          </w:p>
        </w:tc>
        <w:tc>
          <w:tcPr>
            <w:tcW w:w="2280" w:type="dxa"/>
            <w:vAlign w:val="bottom"/>
            <w:gridSpan w:val="2"/>
          </w:tcPr>
          <w:p>
            <w:pPr>
              <w:ind w:left="380"/>
              <w:spacing w:after="0" w:line="126" w:lineRule="exact"/>
              <w:rPr>
                <w:sz w:val="20"/>
                <w:szCs w:val="20"/>
                <w:color w:val="auto"/>
              </w:rPr>
            </w:pPr>
            <w:r>
              <w:rPr>
                <w:rFonts w:ascii="Times New Roman" w:cs="Times New Roman" w:eastAsia="Times New Roman" w:hAnsi="Times New Roman"/>
                <w:sz w:val="14"/>
                <w:szCs w:val="14"/>
                <w:color w:val="auto"/>
              </w:rPr>
              <w:t>Secured note ($33,333 par, due</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1/5/2017</w:t>
            </w:r>
          </w:p>
        </w:tc>
        <w:tc>
          <w:tcPr>
            <w:tcW w:w="11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8.38%</w:t>
            </w:r>
          </w:p>
        </w:tc>
        <w:tc>
          <w:tcPr>
            <w:tcW w:w="8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8.38%</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33,191</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33,250</w:t>
            </w:r>
          </w:p>
        </w:tc>
        <w:tc>
          <w:tcPr>
            <w:tcW w:w="18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9/2026)</w:t>
            </w:r>
          </w:p>
        </w:tc>
        <w:tc>
          <w:tcPr>
            <w:tcW w:w="940" w:type="dxa"/>
            <w:vAlign w:val="bottom"/>
            <w:gridSpan w:val="2"/>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Model N, Inc.</w:t>
            </w:r>
            <w:r>
              <w:rPr>
                <w:rFonts w:ascii="Times New Roman" w:cs="Times New Roman" w:eastAsia="Times New Roman" w:hAnsi="Times New Roman"/>
                <w:sz w:val="12"/>
                <w:szCs w:val="12"/>
                <w:color w:val="auto"/>
              </w:rPr>
              <w:t>(3)(4)</w:t>
            </w:r>
          </w:p>
        </w:tc>
        <w:tc>
          <w:tcPr>
            <w:tcW w:w="2280" w:type="dxa"/>
            <w:vAlign w:val="bottom"/>
            <w:gridSpan w:val="2"/>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First-lien loan ($30,000 par, due</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1/5/2017</w:t>
            </w:r>
          </w:p>
        </w:tc>
        <w:tc>
          <w:tcPr>
            <w:tcW w:w="2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L + 8.25%</w:t>
            </w:r>
          </w:p>
        </w:tc>
        <w:tc>
          <w:tcPr>
            <w:tcW w:w="8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9.88%</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29,497</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29,925</w:t>
            </w:r>
          </w:p>
        </w:tc>
        <w:tc>
          <w:tcPr>
            <w:tcW w:w="180" w:type="dxa"/>
            <w:vAlign w:val="bottom"/>
            <w:shd w:val="clear" w:color="auto" w:fill="CCEEFF"/>
          </w:tcPr>
          <w:p>
            <w:pPr>
              <w:spacing w:after="0"/>
              <w:rPr>
                <w:sz w:val="10"/>
                <w:szCs w:val="10"/>
                <w:color w:val="auto"/>
              </w:rPr>
            </w:pPr>
          </w:p>
        </w:tc>
        <w:tc>
          <w:tcPr>
            <w:tcW w:w="11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22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1/2022)</w:t>
            </w:r>
          </w:p>
        </w:tc>
        <w:tc>
          <w:tcPr>
            <w:tcW w:w="94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Nektar</w:t>
            </w:r>
          </w:p>
        </w:tc>
        <w:tc>
          <w:tcPr>
            <w:tcW w:w="2280" w:type="dxa"/>
            <w:vAlign w:val="bottom"/>
            <w:gridSpan w:val="2"/>
          </w:tcPr>
          <w:p>
            <w:pPr>
              <w:ind w:left="380"/>
              <w:spacing w:after="0" w:line="126" w:lineRule="exact"/>
              <w:rPr>
                <w:sz w:val="20"/>
                <w:szCs w:val="20"/>
                <w:color w:val="auto"/>
              </w:rPr>
            </w:pPr>
            <w:r>
              <w:rPr>
                <w:rFonts w:ascii="Times New Roman" w:cs="Times New Roman" w:eastAsia="Times New Roman" w:hAnsi="Times New Roman"/>
                <w:sz w:val="14"/>
                <w:szCs w:val="14"/>
                <w:color w:val="auto"/>
              </w:rPr>
              <w:t>Secured note ($74,950 par, due</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10/5/2015</w:t>
            </w:r>
          </w:p>
        </w:tc>
        <w:tc>
          <w:tcPr>
            <w:tcW w:w="11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7.75%</w:t>
            </w:r>
          </w:p>
        </w:tc>
        <w:tc>
          <w:tcPr>
            <w:tcW w:w="8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7.75%</w:t>
            </w:r>
          </w:p>
        </w:tc>
        <w:tc>
          <w:tcPr>
            <w:tcW w:w="140" w:type="dxa"/>
            <w:vAlign w:val="bottom"/>
            <w:vMerge w:val="restart"/>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74,363</w:t>
            </w:r>
          </w:p>
        </w:tc>
        <w:tc>
          <w:tcPr>
            <w:tcW w:w="260" w:type="dxa"/>
            <w:vAlign w:val="bottom"/>
            <w:vMerge w:val="restart"/>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76,449</w:t>
            </w:r>
          </w:p>
        </w:tc>
        <w:tc>
          <w:tcPr>
            <w:tcW w:w="180" w:type="dxa"/>
            <w:vAlign w:val="bottom"/>
          </w:tcPr>
          <w:p>
            <w:pPr>
              <w:spacing w:after="0"/>
              <w:rPr>
                <w:sz w:val="10"/>
                <w:szCs w:val="10"/>
                <w:color w:val="auto"/>
              </w:rPr>
            </w:pPr>
          </w:p>
        </w:tc>
        <w:tc>
          <w:tcPr>
            <w:tcW w:w="140" w:type="dxa"/>
            <w:vAlign w:val="bottom"/>
            <w:vMerge w:val="restart"/>
          </w:tcPr>
          <w:p>
            <w:pPr>
              <w:spacing w:after="0"/>
              <w:rPr>
                <w:sz w:val="10"/>
                <w:szCs w:val="10"/>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Therapeutics</w:t>
            </w:r>
            <w:r>
              <w:rPr>
                <w:rFonts w:ascii="Times New Roman" w:cs="Times New Roman" w:eastAsia="Times New Roman" w:hAnsi="Times New Roman"/>
                <w:sz w:val="12"/>
                <w:szCs w:val="12"/>
                <w:color w:val="auto"/>
              </w:rPr>
              <w:t>(4)(5)(8)</w:t>
            </w:r>
          </w:p>
        </w:tc>
        <w:tc>
          <w:tcPr>
            <w:tcW w:w="22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10/2020)</w:t>
            </w:r>
          </w:p>
        </w:tc>
        <w:tc>
          <w:tcPr>
            <w:tcW w:w="940" w:type="dxa"/>
            <w:vAlign w:val="bottom"/>
            <w:gridSpan w:val="2"/>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137,051</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139,624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40" w:type="dxa"/>
            <w:vAlign w:val="bottom"/>
            <w:gridSpan w:val="2"/>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Retail and consumer products</w:t>
            </w:r>
          </w:p>
        </w:tc>
        <w:tc>
          <w:tcPr>
            <w:tcW w:w="3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99 Cents Only Stores LLC</w:t>
            </w:r>
            <w:r>
              <w:rPr>
                <w:rFonts w:ascii="Times New Roman" w:cs="Times New Roman" w:eastAsia="Times New Roman" w:hAnsi="Times New Roman"/>
                <w:sz w:val="12"/>
                <w:szCs w:val="12"/>
                <w:color w:val="auto"/>
              </w:rPr>
              <w:t>(3)</w:t>
            </w:r>
          </w:p>
        </w:tc>
        <w:tc>
          <w:tcPr>
            <w:tcW w:w="2280" w:type="dxa"/>
            <w:vAlign w:val="bottom"/>
            <w:gridSpan w:val="2"/>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ABL FILO term loan ($25,000</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9/6/2017</w:t>
            </w:r>
          </w:p>
        </w:tc>
        <w:tc>
          <w:tcPr>
            <w:tcW w:w="2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L + 7.75%</w:t>
            </w:r>
          </w:p>
        </w:tc>
        <w:tc>
          <w:tcPr>
            <w:tcW w:w="8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9.26%</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24,654</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24,875</w:t>
            </w:r>
          </w:p>
        </w:tc>
        <w:tc>
          <w:tcPr>
            <w:tcW w:w="180" w:type="dxa"/>
            <w:vAlign w:val="bottom"/>
            <w:shd w:val="clear" w:color="auto" w:fill="CCEEFF"/>
          </w:tcPr>
          <w:p>
            <w:pPr>
              <w:spacing w:after="0"/>
              <w:rPr>
                <w:sz w:val="10"/>
                <w:szCs w:val="10"/>
                <w:color w:val="auto"/>
              </w:rPr>
            </w:pPr>
          </w:p>
        </w:tc>
        <w:tc>
          <w:tcPr>
            <w:tcW w:w="11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22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par, due 4/2021)</w:t>
            </w:r>
          </w:p>
        </w:tc>
        <w:tc>
          <w:tcPr>
            <w:tcW w:w="94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American Achievement Corporation</w:t>
            </w:r>
            <w:r>
              <w:rPr>
                <w:rFonts w:ascii="Times New Roman" w:cs="Times New Roman" w:eastAsia="Times New Roman" w:hAnsi="Times New Roman"/>
                <w:sz w:val="12"/>
                <w:szCs w:val="12"/>
                <w:color w:val="auto"/>
              </w:rPr>
              <w:t>(3)(5)</w:t>
            </w:r>
          </w:p>
        </w:tc>
        <w:tc>
          <w:tcPr>
            <w:tcW w:w="2280" w:type="dxa"/>
            <w:vAlign w:val="bottom"/>
            <w:gridSpan w:val="2"/>
          </w:tcPr>
          <w:p>
            <w:pPr>
              <w:ind w:left="380"/>
              <w:spacing w:after="0" w:line="126" w:lineRule="exact"/>
              <w:rPr>
                <w:sz w:val="20"/>
                <w:szCs w:val="20"/>
                <w:color w:val="auto"/>
              </w:rPr>
            </w:pPr>
            <w:r>
              <w:rPr>
                <w:rFonts w:ascii="Times New Roman" w:cs="Times New Roman" w:eastAsia="Times New Roman" w:hAnsi="Times New Roman"/>
                <w:sz w:val="14"/>
                <w:szCs w:val="14"/>
                <w:color w:val="auto"/>
              </w:rPr>
              <w:t>First-lien loan ($23,161 par, due</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9/30/2015</w:t>
            </w:r>
          </w:p>
        </w:tc>
        <w:tc>
          <w:tcPr>
            <w:tcW w:w="260" w:type="dxa"/>
            <w:vAlign w:val="bottom"/>
          </w:tcPr>
          <w:p>
            <w:pPr>
              <w:spacing w:after="0"/>
              <w:rPr>
                <w:sz w:val="10"/>
                <w:szCs w:val="10"/>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L + 8.25%</w:t>
            </w:r>
          </w:p>
        </w:tc>
        <w:tc>
          <w:tcPr>
            <w:tcW w:w="8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9.62%</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22,964</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23,219</w:t>
            </w:r>
          </w:p>
        </w:tc>
        <w:tc>
          <w:tcPr>
            <w:tcW w:w="18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9/2020)</w:t>
            </w:r>
          </w:p>
        </w:tc>
        <w:tc>
          <w:tcPr>
            <w:tcW w:w="9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Destination Maternity Corporation</w:t>
            </w:r>
            <w:r>
              <w:rPr>
                <w:rFonts w:ascii="Times New Roman" w:cs="Times New Roman" w:eastAsia="Times New Roman" w:hAnsi="Times New Roman"/>
                <w:sz w:val="12"/>
                <w:szCs w:val="12"/>
                <w:color w:val="auto"/>
              </w:rPr>
              <w:t>(3)(5)</w:t>
            </w:r>
          </w:p>
        </w:tc>
        <w:tc>
          <w:tcPr>
            <w:tcW w:w="2280" w:type="dxa"/>
            <w:vAlign w:val="bottom"/>
            <w:gridSpan w:val="2"/>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ABL FILO term loan ($15,420</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3/25/2016</w:t>
            </w:r>
          </w:p>
        </w:tc>
        <w:tc>
          <w:tcPr>
            <w:tcW w:w="2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L + 7.50%</w:t>
            </w:r>
          </w:p>
        </w:tc>
        <w:tc>
          <w:tcPr>
            <w:tcW w:w="8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8.74%</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15,165</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15,767</w:t>
            </w:r>
          </w:p>
        </w:tc>
        <w:tc>
          <w:tcPr>
            <w:tcW w:w="180" w:type="dxa"/>
            <w:vAlign w:val="bottom"/>
            <w:shd w:val="clear" w:color="auto" w:fill="CCEEFF"/>
          </w:tcPr>
          <w:p>
            <w:pPr>
              <w:spacing w:after="0"/>
              <w:rPr>
                <w:sz w:val="10"/>
                <w:szCs w:val="10"/>
                <w:color w:val="auto"/>
              </w:rPr>
            </w:pPr>
          </w:p>
        </w:tc>
        <w:tc>
          <w:tcPr>
            <w:tcW w:w="11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22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par, due 3/2021)</w:t>
            </w:r>
          </w:p>
        </w:tc>
        <w:tc>
          <w:tcPr>
            <w:tcW w:w="94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Eddie Bauer LLC</w:t>
            </w:r>
            <w:r>
              <w:rPr>
                <w:rFonts w:ascii="Times New Roman" w:cs="Times New Roman" w:eastAsia="Times New Roman" w:hAnsi="Times New Roman"/>
                <w:sz w:val="12"/>
                <w:szCs w:val="12"/>
                <w:color w:val="auto"/>
              </w:rPr>
              <w:t>(3)</w:t>
            </w:r>
          </w:p>
        </w:tc>
        <w:tc>
          <w:tcPr>
            <w:tcW w:w="2280" w:type="dxa"/>
            <w:vAlign w:val="bottom"/>
            <w:gridSpan w:val="2"/>
          </w:tcPr>
          <w:p>
            <w:pPr>
              <w:ind w:left="380"/>
              <w:spacing w:after="0" w:line="126" w:lineRule="exact"/>
              <w:rPr>
                <w:sz w:val="20"/>
                <w:szCs w:val="20"/>
                <w:color w:val="auto"/>
              </w:rPr>
            </w:pPr>
            <w:r>
              <w:rPr>
                <w:rFonts w:ascii="Times New Roman" w:cs="Times New Roman" w:eastAsia="Times New Roman" w:hAnsi="Times New Roman"/>
                <w:sz w:val="14"/>
                <w:szCs w:val="14"/>
                <w:color w:val="auto"/>
              </w:rPr>
              <w:t>ABL FILO term loan ($29,250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3/31/2017</w:t>
            </w:r>
          </w:p>
        </w:tc>
        <w:tc>
          <w:tcPr>
            <w:tcW w:w="260" w:type="dxa"/>
            <w:vAlign w:val="bottom"/>
          </w:tcPr>
          <w:p>
            <w:pPr>
              <w:spacing w:after="0"/>
              <w:rPr>
                <w:sz w:val="10"/>
                <w:szCs w:val="10"/>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L + 9.25%</w:t>
            </w:r>
          </w:p>
        </w:tc>
        <w:tc>
          <w:tcPr>
            <w:tcW w:w="8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10.94%</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28,847</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29,396</w:t>
            </w:r>
          </w:p>
        </w:tc>
        <w:tc>
          <w:tcPr>
            <w:tcW w:w="18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par, due 6/2019)</w:t>
            </w:r>
          </w:p>
        </w:tc>
        <w:tc>
          <w:tcPr>
            <w:tcW w:w="9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Sears</w:t>
            </w:r>
            <w:r>
              <w:rPr>
                <w:rFonts w:ascii="Times New Roman" w:cs="Times New Roman" w:eastAsia="Times New Roman" w:hAnsi="Times New Roman"/>
                <w:sz w:val="12"/>
                <w:szCs w:val="12"/>
                <w:color w:val="auto"/>
              </w:rPr>
              <w:t>(3)(4)(10)</w:t>
            </w:r>
          </w:p>
        </w:tc>
        <w:tc>
          <w:tcPr>
            <w:tcW w:w="2280" w:type="dxa"/>
            <w:vAlign w:val="bottom"/>
            <w:gridSpan w:val="2"/>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First-lien ABL loan ($17,296</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3/18/2016</w:t>
            </w:r>
          </w:p>
        </w:tc>
        <w:tc>
          <w:tcPr>
            <w:tcW w:w="2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L + 7.50%</w:t>
            </w:r>
          </w:p>
        </w:tc>
        <w:tc>
          <w:tcPr>
            <w:tcW w:w="8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8.89%</w:t>
            </w:r>
          </w:p>
        </w:tc>
        <w:tc>
          <w:tcPr>
            <w:tcW w:w="140" w:type="dxa"/>
            <w:vAlign w:val="bottom"/>
            <w:vMerge w:val="restart"/>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16,962</w:t>
            </w:r>
          </w:p>
        </w:tc>
        <w:tc>
          <w:tcPr>
            <w:tcW w:w="260" w:type="dxa"/>
            <w:vAlign w:val="bottom"/>
            <w:vMerge w:val="restart"/>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17,383</w:t>
            </w:r>
          </w:p>
        </w:tc>
        <w:tc>
          <w:tcPr>
            <w:tcW w:w="1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22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par, due 7/2020)</w:t>
            </w:r>
          </w:p>
        </w:tc>
        <w:tc>
          <w:tcPr>
            <w:tcW w:w="94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108,592</w:t>
            </w:r>
          </w:p>
        </w:tc>
        <w:tc>
          <w:tcPr>
            <w:tcW w:w="260" w:type="dxa"/>
            <w:vAlign w:val="bottom"/>
            <w:vMerge w:val="continue"/>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110,640</w:t>
            </w:r>
          </w:p>
        </w:tc>
        <w:tc>
          <w:tcPr>
            <w:tcW w:w="18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9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Total Debt Investments</w:t>
            </w:r>
          </w:p>
        </w:tc>
        <w:tc>
          <w:tcPr>
            <w:tcW w:w="3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1,624,237</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1,642,255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169.4%</w:t>
            </w:r>
          </w:p>
        </w:tc>
        <w:tc>
          <w:tcPr>
            <w:tcW w:w="0" w:type="dxa"/>
            <w:vAlign w:val="bottom"/>
          </w:tcPr>
          <w:p>
            <w:pPr>
              <w:spacing w:after="0"/>
              <w:rPr>
                <w:sz w:val="1"/>
                <w:szCs w:val="1"/>
                <w:color w:val="auto"/>
              </w:rPr>
            </w:pPr>
          </w:p>
        </w:tc>
      </w:tr>
      <w:tr>
        <w:trPr>
          <w:trHeight w:val="156"/>
        </w:trPr>
        <w:tc>
          <w:tcPr>
            <w:tcW w:w="276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Equity and Other Investments</w:t>
            </w:r>
          </w:p>
        </w:tc>
        <w:tc>
          <w:tcPr>
            <w:tcW w:w="3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Beverage, food and tobacco</w:t>
            </w:r>
          </w:p>
        </w:tc>
        <w:tc>
          <w:tcPr>
            <w:tcW w:w="3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AFS Technologies, Inc.</w:t>
            </w:r>
            <w:r>
              <w:rPr>
                <w:rFonts w:ascii="Times New Roman" w:cs="Times New Roman" w:eastAsia="Times New Roman" w:hAnsi="Times New Roman"/>
                <w:sz w:val="12"/>
                <w:szCs w:val="12"/>
                <w:color w:val="auto"/>
              </w:rPr>
              <w:t>(6)(12)</w:t>
            </w:r>
          </w:p>
        </w:tc>
        <w:tc>
          <w:tcPr>
            <w:tcW w:w="2280" w:type="dxa"/>
            <w:vAlign w:val="bottom"/>
            <w:gridSpan w:val="2"/>
          </w:tcPr>
          <w:p>
            <w:pPr>
              <w:ind w:left="380"/>
              <w:spacing w:after="0" w:line="126" w:lineRule="exact"/>
              <w:rPr>
                <w:sz w:val="20"/>
                <w:szCs w:val="20"/>
                <w:color w:val="auto"/>
              </w:rPr>
            </w:pPr>
            <w:r>
              <w:rPr>
                <w:rFonts w:ascii="Times New Roman" w:cs="Times New Roman" w:eastAsia="Times New Roman" w:hAnsi="Times New Roman"/>
                <w:sz w:val="14"/>
                <w:szCs w:val="14"/>
                <w:color w:val="auto"/>
              </w:rPr>
              <w:t>Class A Preferred</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6/30/2017</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14,031</w:t>
            </w:r>
          </w:p>
        </w:tc>
        <w:tc>
          <w:tcPr>
            <w:tcW w:w="18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Units (125,000 units)</w:t>
            </w:r>
          </w:p>
        </w:tc>
        <w:tc>
          <w:tcPr>
            <w:tcW w:w="9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2280" w:type="dxa"/>
            <w:vAlign w:val="bottom"/>
            <w:gridSpan w:val="2"/>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Class B Common Units (90,000</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6/30/2017</w:t>
            </w:r>
          </w:p>
        </w:tc>
        <w:tc>
          <w:tcPr>
            <w:tcW w:w="2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vMerge w:val="restart"/>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4,215</w:t>
            </w:r>
          </w:p>
        </w:tc>
        <w:tc>
          <w:tcPr>
            <w:tcW w:w="1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22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units)</w:t>
            </w:r>
          </w:p>
        </w:tc>
        <w:tc>
          <w:tcPr>
            <w:tcW w:w="94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12,502</w:t>
            </w:r>
          </w:p>
        </w:tc>
        <w:tc>
          <w:tcPr>
            <w:tcW w:w="260" w:type="dxa"/>
            <w:vAlign w:val="bottom"/>
            <w:vMerge w:val="continue"/>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18,246</w:t>
            </w:r>
          </w:p>
        </w:tc>
        <w:tc>
          <w:tcPr>
            <w:tcW w:w="1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Business Services</w:t>
            </w:r>
          </w:p>
        </w:tc>
        <w:tc>
          <w:tcPr>
            <w:tcW w:w="3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Riskonnect, Inc.</w:t>
            </w:r>
            <w:r>
              <w:rPr>
                <w:rFonts w:ascii="Times New Roman" w:cs="Times New Roman" w:eastAsia="Times New Roman" w:hAnsi="Times New Roman"/>
                <w:sz w:val="12"/>
                <w:szCs w:val="12"/>
                <w:color w:val="auto"/>
              </w:rPr>
              <w:t>(12)</w:t>
            </w:r>
          </w:p>
        </w:tc>
        <w:tc>
          <w:tcPr>
            <w:tcW w:w="2280" w:type="dxa"/>
            <w:vAlign w:val="bottom"/>
            <w:gridSpan w:val="2"/>
          </w:tcPr>
          <w:p>
            <w:pPr>
              <w:ind w:left="380"/>
              <w:spacing w:after="0" w:line="126" w:lineRule="exact"/>
              <w:rPr>
                <w:sz w:val="20"/>
                <w:szCs w:val="20"/>
                <w:color w:val="auto"/>
              </w:rPr>
            </w:pPr>
            <w:r>
              <w:rPr>
                <w:rFonts w:ascii="Times New Roman" w:cs="Times New Roman" w:eastAsia="Times New Roman" w:hAnsi="Times New Roman"/>
                <w:sz w:val="14"/>
                <w:szCs w:val="14"/>
                <w:color w:val="auto"/>
              </w:rPr>
              <w:t>Preferred Class A Units (990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6/30/2017</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18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units)</w:t>
            </w:r>
          </w:p>
        </w:tc>
        <w:tc>
          <w:tcPr>
            <w:tcW w:w="9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2280" w:type="dxa"/>
            <w:vAlign w:val="bottom"/>
            <w:gridSpan w:val="2"/>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Common Class B Units</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6/30/2017</w:t>
            </w:r>
          </w:p>
        </w:tc>
        <w:tc>
          <w:tcPr>
            <w:tcW w:w="2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60" w:type="dxa"/>
            <w:vAlign w:val="bottom"/>
            <w:vMerge w:val="restart"/>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22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(959,018 units)</w:t>
            </w:r>
          </w:p>
        </w:tc>
        <w:tc>
          <w:tcPr>
            <w:tcW w:w="94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260" w:type="dxa"/>
            <w:vAlign w:val="bottom"/>
            <w:vMerge w:val="continue"/>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1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Chemicals</w:t>
            </w:r>
          </w:p>
        </w:tc>
        <w:tc>
          <w:tcPr>
            <w:tcW w:w="3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Vertellus Specialties, Inc.</w:t>
            </w:r>
            <w:r>
              <w:rPr>
                <w:rFonts w:ascii="Times New Roman" w:cs="Times New Roman" w:eastAsia="Times New Roman" w:hAnsi="Times New Roman"/>
                <w:sz w:val="12"/>
                <w:szCs w:val="12"/>
                <w:color w:val="auto"/>
              </w:rPr>
              <w:t>(12)</w:t>
            </w:r>
          </w:p>
        </w:tc>
        <w:tc>
          <w:tcPr>
            <w:tcW w:w="2280" w:type="dxa"/>
            <w:vAlign w:val="bottom"/>
            <w:gridSpan w:val="2"/>
          </w:tcPr>
          <w:p>
            <w:pPr>
              <w:ind w:left="380"/>
              <w:spacing w:after="0" w:line="126" w:lineRule="exact"/>
              <w:rPr>
                <w:sz w:val="20"/>
                <w:szCs w:val="20"/>
                <w:color w:val="auto"/>
              </w:rPr>
            </w:pPr>
            <w:r>
              <w:rPr>
                <w:rFonts w:ascii="Times New Roman" w:cs="Times New Roman" w:eastAsia="Times New Roman" w:hAnsi="Times New Roman"/>
                <w:sz w:val="14"/>
                <w:szCs w:val="14"/>
                <w:color w:val="auto"/>
              </w:rPr>
              <w:t>Common Units (2,672,990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10/31/2016</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3,828</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3,780</w:t>
            </w:r>
          </w:p>
        </w:tc>
        <w:tc>
          <w:tcPr>
            <w:tcW w:w="18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units)</w:t>
            </w:r>
          </w:p>
        </w:tc>
        <w:tc>
          <w:tcPr>
            <w:tcW w:w="9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Financial services</w:t>
            </w:r>
          </w:p>
        </w:tc>
        <w:tc>
          <w:tcPr>
            <w:tcW w:w="3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AvidXchange,</w:t>
            </w:r>
          </w:p>
        </w:tc>
        <w:tc>
          <w:tcPr>
            <w:tcW w:w="2280" w:type="dxa"/>
            <w:vAlign w:val="bottom"/>
            <w:gridSpan w:val="2"/>
          </w:tcPr>
          <w:p>
            <w:pPr>
              <w:ind w:left="380"/>
              <w:spacing w:after="0" w:line="126" w:lineRule="exact"/>
              <w:rPr>
                <w:sz w:val="20"/>
                <w:szCs w:val="20"/>
                <w:color w:val="auto"/>
              </w:rPr>
            </w:pPr>
            <w:r>
              <w:rPr>
                <w:rFonts w:ascii="Times New Roman" w:cs="Times New Roman" w:eastAsia="Times New Roman" w:hAnsi="Times New Roman"/>
                <w:sz w:val="14"/>
                <w:szCs w:val="14"/>
                <w:color w:val="auto"/>
              </w:rPr>
              <w:t>Series E Preferred Equity</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8/7/2015</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3,846</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7,481</w:t>
            </w:r>
          </w:p>
        </w:tc>
        <w:tc>
          <w:tcPr>
            <w:tcW w:w="18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Inc.</w:t>
            </w:r>
            <w:r>
              <w:rPr>
                <w:rFonts w:ascii="Times New Roman" w:cs="Times New Roman" w:eastAsia="Times New Roman" w:hAnsi="Times New Roman"/>
                <w:sz w:val="12"/>
                <w:szCs w:val="12"/>
                <w:color w:val="auto"/>
              </w:rPr>
              <w:t>(12)</w:t>
            </w:r>
          </w:p>
        </w:tc>
        <w:tc>
          <w:tcPr>
            <w:tcW w:w="22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(214,132 shares)</w:t>
            </w:r>
          </w:p>
        </w:tc>
        <w:tc>
          <w:tcPr>
            <w:tcW w:w="9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Swift Gift</w:t>
            </w:r>
          </w:p>
        </w:tc>
        <w:tc>
          <w:tcPr>
            <w:tcW w:w="22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Common Shares (35,000 shares)</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7/31/2017</w:t>
            </w:r>
          </w:p>
        </w:tc>
        <w:tc>
          <w:tcPr>
            <w:tcW w:w="2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5,066</w:t>
            </w:r>
          </w:p>
        </w:tc>
        <w:tc>
          <w:tcPr>
            <w:tcW w:w="180" w:type="dxa"/>
            <w:vAlign w:val="bottom"/>
            <w:shd w:val="clear" w:color="auto" w:fill="CCEEFF"/>
          </w:tcPr>
          <w:p>
            <w:pPr>
              <w:spacing w:after="0"/>
              <w:rPr>
                <w:sz w:val="10"/>
                <w:szCs w:val="10"/>
                <w:color w:val="auto"/>
              </w:rPr>
            </w:pPr>
          </w:p>
        </w:tc>
        <w:tc>
          <w:tcPr>
            <w:tcW w:w="11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Limited </w:t>
            </w:r>
            <w:r>
              <w:rPr>
                <w:rFonts w:ascii="Times New Roman" w:cs="Times New Roman" w:eastAsia="Times New Roman" w:hAnsi="Times New Roman"/>
                <w:sz w:val="12"/>
                <w:szCs w:val="12"/>
                <w:color w:val="auto"/>
              </w:rPr>
              <w:t>(12)</w:t>
            </w:r>
          </w:p>
        </w:tc>
        <w:tc>
          <w:tcPr>
            <w:tcW w:w="22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TICC Capital Corp.</w:t>
            </w:r>
            <w:r>
              <w:rPr>
                <w:rFonts w:ascii="Times New Roman" w:cs="Times New Roman" w:eastAsia="Times New Roman" w:hAnsi="Times New Roman"/>
                <w:sz w:val="12"/>
                <w:szCs w:val="12"/>
                <w:color w:val="auto"/>
              </w:rPr>
              <w:t>(4)(11)</w:t>
            </w:r>
          </w:p>
        </w:tc>
        <w:tc>
          <w:tcPr>
            <w:tcW w:w="228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Common Shares (1,059 shares)</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8/5/2015</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80" w:type="dxa"/>
            <w:vAlign w:val="bottom"/>
          </w:tcPr>
          <w:p>
            <w:pPr>
              <w:spacing w:after="0"/>
              <w:rPr>
                <w:sz w:val="12"/>
                <w:szCs w:val="12"/>
                <w:color w:val="auto"/>
              </w:rPr>
            </w:pPr>
          </w:p>
        </w:tc>
        <w:tc>
          <w:tcPr>
            <w:tcW w:w="11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Triangle Capital Corp.</w:t>
            </w:r>
            <w:r>
              <w:rPr>
                <w:rFonts w:ascii="Times New Roman" w:cs="Times New Roman" w:eastAsia="Times New Roman" w:hAnsi="Times New Roman"/>
                <w:sz w:val="12"/>
                <w:szCs w:val="12"/>
                <w:color w:val="auto"/>
              </w:rPr>
              <w:t>(4)(11)</w:t>
            </w:r>
          </w:p>
        </w:tc>
        <w:tc>
          <w:tcPr>
            <w:tcW w:w="2280" w:type="dxa"/>
            <w:vAlign w:val="bottom"/>
            <w:gridSpan w:val="2"/>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Common Shares (1,384,570</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11/3/2017</w:t>
            </w:r>
          </w:p>
        </w:tc>
        <w:tc>
          <w:tcPr>
            <w:tcW w:w="2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13,428</w:t>
            </w:r>
          </w:p>
        </w:tc>
        <w:tc>
          <w:tcPr>
            <w:tcW w:w="260" w:type="dxa"/>
            <w:vAlign w:val="bottom"/>
            <w:vMerge w:val="restart"/>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13,140</w:t>
            </w:r>
          </w:p>
        </w:tc>
        <w:tc>
          <w:tcPr>
            <w:tcW w:w="1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22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shares)</w:t>
            </w:r>
          </w:p>
        </w:tc>
        <w:tc>
          <w:tcPr>
            <w:tcW w:w="94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20,781</w:t>
            </w:r>
          </w:p>
        </w:tc>
        <w:tc>
          <w:tcPr>
            <w:tcW w:w="260" w:type="dxa"/>
            <w:vAlign w:val="bottom"/>
            <w:vMerge w:val="continue"/>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25,693</w:t>
            </w:r>
          </w:p>
        </w:tc>
        <w:tc>
          <w:tcPr>
            <w:tcW w:w="1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Healthcare</w:t>
            </w:r>
          </w:p>
        </w:tc>
        <w:tc>
          <w:tcPr>
            <w:tcW w:w="3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Helix Health,</w:t>
            </w:r>
          </w:p>
        </w:tc>
        <w:tc>
          <w:tcPr>
            <w:tcW w:w="3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1,336</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7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Ltd.</w:t>
            </w:r>
            <w:r>
              <w:rPr>
                <w:rFonts w:ascii="Times New Roman" w:cs="Times New Roman" w:eastAsia="Times New Roman" w:hAnsi="Times New Roman"/>
                <w:sz w:val="12"/>
                <w:szCs w:val="12"/>
                <w:color w:val="auto"/>
              </w:rPr>
              <w:t>(4)(12)</w:t>
            </w:r>
          </w:p>
        </w:tc>
        <w:tc>
          <w:tcPr>
            <w:tcW w:w="22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Warrants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9/30/2014</w:t>
            </w: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2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(EUR 1,112)</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SRS Parent</w:t>
            </w:r>
          </w:p>
        </w:tc>
        <w:tc>
          <w:tcPr>
            <w:tcW w:w="2280" w:type="dxa"/>
            <w:vAlign w:val="bottom"/>
            <w:gridSpan w:val="2"/>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Common Shares Class A</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12/28/2012</w:t>
            </w:r>
          </w:p>
        </w:tc>
        <w:tc>
          <w:tcPr>
            <w:tcW w:w="2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180" w:type="dxa"/>
            <w:vAlign w:val="bottom"/>
            <w:shd w:val="clear" w:color="auto" w:fill="CCEEFF"/>
          </w:tcPr>
          <w:p>
            <w:pPr>
              <w:spacing w:after="0"/>
              <w:rPr>
                <w:sz w:val="10"/>
                <w:szCs w:val="10"/>
                <w:color w:val="auto"/>
              </w:rPr>
            </w:pPr>
          </w:p>
        </w:tc>
        <w:tc>
          <w:tcPr>
            <w:tcW w:w="11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Corp.</w:t>
            </w:r>
            <w:r>
              <w:rPr>
                <w:rFonts w:ascii="Times New Roman" w:cs="Times New Roman" w:eastAsia="Times New Roman" w:hAnsi="Times New Roman"/>
                <w:sz w:val="12"/>
                <w:szCs w:val="12"/>
                <w:color w:val="auto"/>
              </w:rPr>
              <w:t>(12)</w:t>
            </w:r>
          </w:p>
        </w:tc>
        <w:tc>
          <w:tcPr>
            <w:tcW w:w="22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(1,980 shares)</w:t>
            </w:r>
          </w:p>
        </w:tc>
        <w:tc>
          <w:tcPr>
            <w:tcW w:w="94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280" w:type="dxa"/>
            <w:vAlign w:val="bottom"/>
            <w:gridSpan w:val="2"/>
          </w:tcPr>
          <w:p>
            <w:pPr>
              <w:ind w:left="380"/>
              <w:spacing w:after="0" w:line="126" w:lineRule="exact"/>
              <w:rPr>
                <w:sz w:val="20"/>
                <w:szCs w:val="20"/>
                <w:color w:val="auto"/>
              </w:rPr>
            </w:pPr>
            <w:r>
              <w:rPr>
                <w:rFonts w:ascii="Times New Roman" w:cs="Times New Roman" w:eastAsia="Times New Roman" w:hAnsi="Times New Roman"/>
                <w:sz w:val="14"/>
                <w:szCs w:val="14"/>
                <w:color w:val="auto"/>
              </w:rPr>
              <w:t>Common Shares Class B</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12/28/2012</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vMerge w:val="restart"/>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60" w:type="dxa"/>
            <w:vAlign w:val="bottom"/>
            <w:vMerge w:val="restart"/>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tcPr>
          <w:p>
            <w:pPr>
              <w:spacing w:after="0"/>
              <w:rPr>
                <w:sz w:val="10"/>
                <w:szCs w:val="10"/>
                <w:color w:val="auto"/>
              </w:rPr>
            </w:pPr>
          </w:p>
        </w:tc>
        <w:tc>
          <w:tcPr>
            <w:tcW w:w="140" w:type="dxa"/>
            <w:vAlign w:val="bottom"/>
            <w:vMerge w:val="restart"/>
          </w:tcPr>
          <w:p>
            <w:pPr>
              <w:spacing w:after="0"/>
              <w:rPr>
                <w:sz w:val="10"/>
                <w:szCs w:val="10"/>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(2,953,020 shares)</w:t>
            </w:r>
          </w:p>
        </w:tc>
        <w:tc>
          <w:tcPr>
            <w:tcW w:w="9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2,877</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2,441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40"/>
          </w:cols>
          <w:pgMar w:left="240" w:top="455" w:right="41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88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9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3"/>
                <w:szCs w:val="13"/>
                <w:color w:val="auto"/>
              </w:rPr>
            </w:pPr>
          </w:p>
        </w:tc>
        <w:tc>
          <w:tcPr>
            <w:tcW w:w="6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60" w:type="dxa"/>
            <w:vAlign w:val="bottom"/>
          </w:tcPr>
          <w:p>
            <w:pPr>
              <w:spacing w:after="0"/>
              <w:rPr>
                <w:sz w:val="13"/>
                <w:szCs w:val="13"/>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2"/>
                <w:szCs w:val="12"/>
                <w:b w:val="1"/>
                <w:bCs w:val="1"/>
                <w:color w:val="auto"/>
              </w:rPr>
              <w:t>(1)</w:t>
            </w:r>
          </w:p>
        </w:tc>
        <w:tc>
          <w:tcPr>
            <w:tcW w:w="680" w:type="dxa"/>
            <w:vAlign w:val="bottom"/>
          </w:tcPr>
          <w:p>
            <w:pPr>
              <w:spacing w:after="0"/>
              <w:rPr>
                <w:sz w:val="12"/>
                <w:szCs w:val="12"/>
                <w:color w:val="auto"/>
              </w:rPr>
            </w:pPr>
          </w:p>
        </w:tc>
        <w:tc>
          <w:tcPr>
            <w:tcW w:w="196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940" w:type="dxa"/>
            <w:vAlign w:val="bottom"/>
            <w:gridSpan w:val="2"/>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2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Rate and</w:t>
            </w:r>
          </w:p>
        </w:tc>
        <w:tc>
          <w:tcPr>
            <w:tcW w:w="980" w:type="dxa"/>
            <w:vAlign w:val="bottom"/>
            <w:gridSpan w:val="3"/>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780" w:type="dxa"/>
            <w:vAlign w:val="bottom"/>
            <w:gridSpan w:val="3"/>
            <w:vMerge w:val="continue"/>
          </w:tcPr>
          <w:p>
            <w:pPr>
              <w:spacing w:after="0"/>
              <w:rPr>
                <w:sz w:val="13"/>
                <w:szCs w:val="13"/>
                <w:color w:val="auto"/>
              </w:rPr>
            </w:pPr>
          </w:p>
        </w:tc>
        <w:tc>
          <w:tcPr>
            <w:tcW w:w="680" w:type="dxa"/>
            <w:vAlign w:val="bottom"/>
          </w:tcPr>
          <w:p>
            <w:pPr>
              <w:spacing w:after="0"/>
              <w:rPr>
                <w:sz w:val="13"/>
                <w:szCs w:val="13"/>
                <w:color w:val="auto"/>
              </w:rPr>
            </w:pPr>
          </w:p>
        </w:tc>
        <w:tc>
          <w:tcPr>
            <w:tcW w:w="19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260" w:type="dxa"/>
            <w:vAlign w:val="bottom"/>
          </w:tcPr>
          <w:p>
            <w:pPr>
              <w:spacing w:after="0"/>
              <w:rPr>
                <w:sz w:val="13"/>
                <w:szCs w:val="13"/>
                <w:color w:val="auto"/>
              </w:rPr>
            </w:pPr>
          </w:p>
        </w:tc>
        <w:tc>
          <w:tcPr>
            <w:tcW w:w="6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Spread</w:t>
            </w:r>
          </w:p>
        </w:tc>
        <w:tc>
          <w:tcPr>
            <w:tcW w:w="260" w:type="dxa"/>
            <w:vAlign w:val="bottom"/>
          </w:tcPr>
          <w:p>
            <w:pPr>
              <w:spacing w:after="0"/>
              <w:rPr>
                <w:sz w:val="13"/>
                <w:szCs w:val="13"/>
                <w:color w:val="auto"/>
              </w:rPr>
            </w:pPr>
          </w:p>
        </w:tc>
        <w:tc>
          <w:tcPr>
            <w:tcW w:w="7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Rate</w:t>
            </w:r>
          </w:p>
        </w:tc>
        <w:tc>
          <w:tcPr>
            <w:tcW w:w="20" w:type="dxa"/>
            <w:vAlign w:val="bottom"/>
          </w:tcPr>
          <w:p>
            <w:pPr>
              <w:spacing w:after="0"/>
              <w:rPr>
                <w:sz w:val="13"/>
                <w:szCs w:val="13"/>
                <w:color w:val="auto"/>
              </w:rPr>
            </w:pPr>
          </w:p>
        </w:tc>
        <w:tc>
          <w:tcPr>
            <w:tcW w:w="66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Cost</w:t>
            </w:r>
            <w:r>
              <w:rPr>
                <w:rFonts w:ascii="Times New Roman" w:cs="Times New Roman" w:eastAsia="Times New Roman" w:hAnsi="Times New Roman"/>
                <w:sz w:val="12"/>
                <w:szCs w:val="12"/>
                <w:b w:val="1"/>
                <w:bCs w:val="1"/>
                <w:color w:val="auto"/>
              </w:rPr>
              <w:t>(2)(7)</w:t>
            </w:r>
          </w:p>
        </w:tc>
        <w:tc>
          <w:tcPr>
            <w:tcW w:w="260" w:type="dxa"/>
            <w:vAlign w:val="bottom"/>
          </w:tcPr>
          <w:p>
            <w:pPr>
              <w:spacing w:after="0"/>
              <w:rPr>
                <w:sz w:val="13"/>
                <w:szCs w:val="13"/>
                <w:color w:val="auto"/>
              </w:rPr>
            </w:pPr>
          </w:p>
        </w:tc>
        <w:tc>
          <w:tcPr>
            <w:tcW w:w="660" w:type="dxa"/>
            <w:vAlign w:val="bottom"/>
          </w:tcPr>
          <w:p>
            <w:pPr>
              <w:jc w:val="right"/>
              <w:ind w:right="28"/>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2"/>
                <w:szCs w:val="12"/>
                <w:b w:val="1"/>
                <w:bCs w:val="1"/>
                <w:color w:val="auto"/>
              </w:rPr>
              <w:t>(9)</w:t>
            </w:r>
          </w:p>
        </w:tc>
        <w:tc>
          <w:tcPr>
            <w:tcW w:w="1220" w:type="dxa"/>
            <w:vAlign w:val="bottom"/>
            <w:gridSpan w:val="3"/>
          </w:tcPr>
          <w:p>
            <w:pPr>
              <w:jc w:val="right"/>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7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Hotel, gaming, and leisure</w:t>
            </w:r>
          </w:p>
        </w:tc>
        <w:tc>
          <w:tcPr>
            <w:tcW w:w="680" w:type="dxa"/>
            <w:vAlign w:val="bottom"/>
            <w:shd w:val="clear" w:color="auto" w:fill="CCEEFF"/>
          </w:tcPr>
          <w:p>
            <w:pPr>
              <w:spacing w:after="0"/>
              <w:rPr>
                <w:sz w:val="10"/>
                <w:szCs w:val="10"/>
                <w:color w:val="auto"/>
              </w:rPr>
            </w:pPr>
          </w:p>
        </w:tc>
        <w:tc>
          <w:tcPr>
            <w:tcW w:w="19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IRGSE Holding Corp.</w:t>
            </w:r>
            <w:r>
              <w:rPr>
                <w:rFonts w:ascii="Times New Roman" w:cs="Times New Roman" w:eastAsia="Times New Roman" w:hAnsi="Times New Roman"/>
                <w:sz w:val="12"/>
                <w:szCs w:val="12"/>
                <w:color w:val="auto"/>
              </w:rPr>
              <w:t>(6)(12)</w:t>
            </w:r>
          </w:p>
        </w:tc>
        <w:tc>
          <w:tcPr>
            <w:tcW w:w="264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color w:val="auto"/>
              </w:rPr>
              <w:t>Class A Units (5,000,000 units)</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9/29/2015</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3,896</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122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64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Class C-1 Units (8,800,000 units)</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9/29/2015</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3,996</w:t>
            </w:r>
          </w:p>
        </w:tc>
        <w:tc>
          <w:tcPr>
            <w:tcW w:w="26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145</w:t>
            </w:r>
          </w:p>
        </w:tc>
        <w:tc>
          <w:tcPr>
            <w:tcW w:w="26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Oil, gas and consumable fuels</w:t>
            </w:r>
          </w:p>
        </w:tc>
        <w:tc>
          <w:tcPr>
            <w:tcW w:w="68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Mississippi Resources, LLC</w:t>
            </w:r>
            <w:r>
              <w:rPr>
                <w:rFonts w:ascii="Times New Roman" w:cs="Times New Roman" w:eastAsia="Times New Roman" w:hAnsi="Times New Roman"/>
                <w:sz w:val="12"/>
                <w:szCs w:val="12"/>
                <w:color w:val="auto"/>
              </w:rPr>
              <w:t>(6)(12)</w:t>
            </w:r>
          </w:p>
        </w:tc>
        <w:tc>
          <w:tcPr>
            <w:tcW w:w="2640" w:type="dxa"/>
            <w:vAlign w:val="bottom"/>
            <w:gridSpan w:val="2"/>
          </w:tcPr>
          <w:p>
            <w:pPr>
              <w:ind w:left="680"/>
              <w:spacing w:after="0" w:line="126" w:lineRule="exact"/>
              <w:rPr>
                <w:sz w:val="20"/>
                <w:szCs w:val="20"/>
                <w:color w:val="auto"/>
              </w:rPr>
            </w:pPr>
            <w:r>
              <w:rPr>
                <w:rFonts w:ascii="Times New Roman" w:cs="Times New Roman" w:eastAsia="Times New Roman" w:hAnsi="Times New Roman"/>
                <w:sz w:val="14"/>
                <w:szCs w:val="14"/>
                <w:color w:val="auto"/>
              </w:rPr>
              <w:t>Class A-1 Member Units (1,000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5/3/2017</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8,155</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2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64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units)</w:t>
            </w:r>
          </w:p>
        </w:tc>
        <w:tc>
          <w:tcPr>
            <w:tcW w:w="9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40" w:type="dxa"/>
            <w:vAlign w:val="bottom"/>
            <w:shd w:val="clear" w:color="auto" w:fill="CCEEFF"/>
          </w:tcPr>
          <w:p>
            <w:pPr>
              <w:spacing w:after="0"/>
              <w:rPr>
                <w:sz w:val="10"/>
                <w:szCs w:val="10"/>
                <w:color w:val="auto"/>
              </w:rPr>
            </w:pPr>
          </w:p>
        </w:tc>
        <w:tc>
          <w:tcPr>
            <w:tcW w:w="2640" w:type="dxa"/>
            <w:vAlign w:val="bottom"/>
            <w:gridSpan w:val="2"/>
            <w:shd w:val="clear" w:color="auto" w:fill="CCEEFF"/>
          </w:tcPr>
          <w:p>
            <w:pPr>
              <w:ind w:left="680"/>
              <w:spacing w:after="0" w:line="126" w:lineRule="exact"/>
              <w:rPr>
                <w:sz w:val="20"/>
                <w:szCs w:val="20"/>
                <w:color w:val="auto"/>
              </w:rPr>
            </w:pPr>
            <w:r>
              <w:rPr>
                <w:rFonts w:ascii="Times New Roman" w:cs="Times New Roman" w:eastAsia="Times New Roman" w:hAnsi="Times New Roman"/>
                <w:sz w:val="14"/>
                <w:szCs w:val="14"/>
                <w:color w:val="auto"/>
              </w:rPr>
              <w:t>Class A-2 Member Units (933</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6/4/2014</w:t>
            </w:r>
          </w:p>
        </w:tc>
        <w:tc>
          <w:tcPr>
            <w:tcW w:w="2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vMerge w:val="restart"/>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8,874</w:t>
            </w:r>
          </w:p>
        </w:tc>
        <w:tc>
          <w:tcPr>
            <w:tcW w:w="2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6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units)</w:t>
            </w:r>
          </w:p>
        </w:tc>
        <w:tc>
          <w:tcPr>
            <w:tcW w:w="94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17,029</w:t>
            </w:r>
          </w:p>
        </w:tc>
        <w:tc>
          <w:tcPr>
            <w:tcW w:w="26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163</w:t>
            </w:r>
          </w:p>
        </w:tc>
        <w:tc>
          <w:tcPr>
            <w:tcW w:w="260" w:type="dxa"/>
            <w:vAlign w:val="bottom"/>
            <w:vMerge w:val="continue"/>
          </w:tcPr>
          <w:p>
            <w:pPr>
              <w:spacing w:after="0"/>
              <w:rPr>
                <w:sz w:val="13"/>
                <w:szCs w:val="13"/>
                <w:color w:val="auto"/>
              </w:rPr>
            </w:pPr>
          </w:p>
        </w:tc>
        <w:tc>
          <w:tcPr>
            <w:tcW w:w="9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2760" w:type="dxa"/>
            <w:vAlign w:val="bottom"/>
            <w:gridSpan w:val="2"/>
            <w:shd w:val="clear" w:color="auto" w:fill="CCEEFF"/>
          </w:tcPr>
          <w:p>
            <w:pPr>
              <w:ind w:left="280"/>
              <w:spacing w:after="0" w:line="124" w:lineRule="exact"/>
              <w:rPr>
                <w:sz w:val="20"/>
                <w:szCs w:val="20"/>
                <w:color w:val="auto"/>
              </w:rPr>
            </w:pPr>
            <w:r>
              <w:rPr>
                <w:rFonts w:ascii="Times New Roman" w:cs="Times New Roman" w:eastAsia="Times New Roman" w:hAnsi="Times New Roman"/>
                <w:sz w:val="14"/>
                <w:szCs w:val="14"/>
                <w:b w:val="1"/>
                <w:bCs w:val="1"/>
                <w:color w:val="auto"/>
              </w:rPr>
              <w:t>Total Equity and Other</w:t>
            </w:r>
          </w:p>
        </w:tc>
        <w:tc>
          <w:tcPr>
            <w:tcW w:w="680" w:type="dxa"/>
            <w:vAlign w:val="bottom"/>
            <w:shd w:val="clear" w:color="auto" w:fill="CCEEFF"/>
          </w:tcPr>
          <w:p>
            <w:pPr>
              <w:spacing w:after="0"/>
              <w:rPr>
                <w:sz w:val="10"/>
                <w:szCs w:val="10"/>
                <w:color w:val="auto"/>
              </w:rPr>
            </w:pPr>
          </w:p>
        </w:tc>
        <w:tc>
          <w:tcPr>
            <w:tcW w:w="19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vMerge w:val="restart"/>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62,013</w:t>
            </w:r>
          </w:p>
        </w:tc>
        <w:tc>
          <w:tcPr>
            <w:tcW w:w="260" w:type="dxa"/>
            <w:vAlign w:val="bottom"/>
            <w:vMerge w:val="restart"/>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51,468</w:t>
            </w:r>
          </w:p>
        </w:tc>
        <w:tc>
          <w:tcPr>
            <w:tcW w:w="260" w:type="dxa"/>
            <w:vAlign w:val="bottom"/>
            <w:vMerge w:val="restart"/>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68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80" w:type="dxa"/>
            <w:vAlign w:val="bottom"/>
            <w:gridSpan w:val="3"/>
            <w:vMerge w:val="continue"/>
          </w:tcPr>
          <w:p>
            <w:pPr>
              <w:spacing w:after="0"/>
              <w:rPr>
                <w:sz w:val="13"/>
                <w:szCs w:val="13"/>
                <w:color w:val="auto"/>
              </w:rPr>
            </w:pPr>
          </w:p>
        </w:tc>
        <w:tc>
          <w:tcPr>
            <w:tcW w:w="6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1,686,250</w:t>
            </w:r>
          </w:p>
        </w:tc>
        <w:tc>
          <w:tcPr>
            <w:tcW w:w="26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1,693,723</w:t>
            </w:r>
          </w:p>
        </w:tc>
        <w:tc>
          <w:tcPr>
            <w:tcW w:w="260" w:type="dxa"/>
            <w:vAlign w:val="bottom"/>
            <w:vMerge w:val="continue"/>
          </w:tcPr>
          <w:p>
            <w:pPr>
              <w:spacing w:after="0"/>
              <w:rPr>
                <w:sz w:val="13"/>
                <w:szCs w:val="13"/>
                <w:color w:val="auto"/>
              </w:rPr>
            </w:pPr>
          </w:p>
        </w:tc>
        <w:tc>
          <w:tcPr>
            <w:tcW w:w="9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174.6%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520" w:hanging="316"/>
        <w:spacing w:after="0"/>
        <w:tabs>
          <w:tab w:leader="none" w:pos="5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portfolio company investments are subject to contractual restrictions on sales.</w:t>
      </w:r>
    </w:p>
    <w:p>
      <w:pPr>
        <w:spacing w:after="0" w:line="3" w:lineRule="exact"/>
        <w:rPr>
          <w:rFonts w:ascii="Times New Roman" w:cs="Times New Roman" w:eastAsia="Times New Roman" w:hAnsi="Times New Roman"/>
          <w:sz w:val="14"/>
          <w:szCs w:val="14"/>
          <w:color w:val="auto"/>
        </w:rPr>
      </w:pPr>
    </w:p>
    <w:p>
      <w:pPr>
        <w:ind w:left="520" w:hanging="316"/>
        <w:spacing w:after="0" w:line="221" w:lineRule="auto"/>
        <w:tabs>
          <w:tab w:leader="none" w:pos="5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amortized cost represents the original cost adjusted for the amortization of discounts and premiums, as applicable, on debt investments using the effective interest method.</w:t>
      </w:r>
    </w:p>
    <w:p>
      <w:pPr>
        <w:ind w:left="520" w:right="400" w:hanging="316"/>
        <w:spacing w:after="0" w:line="221" w:lineRule="auto"/>
        <w:tabs>
          <w:tab w:leader="none" w:pos="5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Euro Interbank Offered Rate ( “EURIBOR” or “E”) or an alternate base rate (which can include the Federal Funds Effective Rate or the Prime Rate or “P”), at the borrower’s option, which reset periodically based on the terms of the credit agreement. For investments with multiple interest rate contracts, the interest rate shown is the weighted average interest rate in effect at December 31, 2017.</w:t>
      </w:r>
    </w:p>
    <w:p>
      <w:pPr>
        <w:spacing w:after="0" w:line="1" w:lineRule="exact"/>
        <w:rPr>
          <w:rFonts w:ascii="Times New Roman" w:cs="Times New Roman" w:eastAsia="Times New Roman" w:hAnsi="Times New Roman"/>
          <w:sz w:val="14"/>
          <w:szCs w:val="14"/>
          <w:color w:val="auto"/>
        </w:rPr>
      </w:pPr>
    </w:p>
    <w:p>
      <w:pPr>
        <w:ind w:left="520" w:right="620" w:hanging="316"/>
        <w:spacing w:after="0" w:line="221" w:lineRule="auto"/>
        <w:tabs>
          <w:tab w:leader="none" w:pos="5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portfolio company is not a qualifying asset under Section 55(a) of the 1940 Act. Under the 1940 Act, we may not acquire any non-qualifying asset unless, at the time such acquisition is made, qualifying assets represent at least 70% of total assets. Non-qualifying assets represented 14.7% of total assets as of December 31, 2017.</w:t>
      </w:r>
    </w:p>
    <w:p>
      <w:pPr>
        <w:ind w:left="520" w:right="140" w:hanging="316"/>
        <w:spacing w:after="0" w:line="221" w:lineRule="auto"/>
        <w:tabs>
          <w:tab w:leader="none" w:pos="5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interest earned based on the stated interest rate of this investment, which is the amount reflected in this schedule, we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we hold the “last out” tranche.</w:t>
      </w:r>
    </w:p>
    <w:p>
      <w:pPr>
        <w:ind w:left="520" w:right="120" w:hanging="316"/>
        <w:spacing w:after="0" w:line="233" w:lineRule="auto"/>
        <w:tabs>
          <w:tab w:leader="none" w:pos="5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1940 Act, we are deemed to be both an “Affiliated Person” of and “Control,” as such terms are defined in the 1940 Act, this portfolio company, as we own more than 25% of the portfolio company’s outstanding voting securities or has the power to exercise control over management or policies of such portfolio company (including through a management agreement). Transactions during the year ended December 31, 2017 in which the issuer was an Affiliated Person of and was deemed to Control a portfolio company are as follows:</w:t>
      </w:r>
    </w:p>
    <w:p>
      <w:pPr>
        <w:spacing w:after="0" w:line="17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Controlled, Affiliated Investments during the year ended December 31, 2017</w:t>
      </w:r>
    </w:p>
    <w:p>
      <w:pPr>
        <w:spacing w:after="0" w:line="21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Fair Value at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8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8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0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92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4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8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Additions</w:t>
            </w:r>
          </w:p>
        </w:tc>
        <w:tc>
          <w:tcPr>
            <w:tcW w:w="1040" w:type="dxa"/>
            <w:vAlign w:val="bottom"/>
            <w:gridSpan w:val="4"/>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Reductions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19"/>
              <w:spacing w:after="0" w:line="149" w:lineRule="exact"/>
              <w:rPr>
                <w:sz w:val="20"/>
                <w:szCs w:val="20"/>
                <w:color w:val="auto"/>
              </w:rPr>
            </w:pPr>
            <w:r>
              <w:rPr>
                <w:rFonts w:ascii="Times New Roman" w:cs="Times New Roman" w:eastAsia="Times New Roman" w:hAnsi="Times New Roman"/>
                <w:sz w:val="14"/>
                <w:szCs w:val="14"/>
                <w:b w:val="1"/>
                <w:bCs w:val="1"/>
                <w:color w:val="auto"/>
                <w:w w:val="95"/>
              </w:rPr>
              <w:t>Gain/</w:t>
            </w:r>
          </w:p>
        </w:tc>
        <w:tc>
          <w:tcPr>
            <w:tcW w:w="94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5"/>
                <w:szCs w:val="15"/>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68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220" w:type="dxa"/>
            <w:vAlign w:val="bottom"/>
          </w:tcPr>
          <w:p>
            <w:pPr>
              <w:spacing w:after="0"/>
              <w:rPr>
                <w:sz w:val="15"/>
                <w:szCs w:val="15"/>
                <w:color w:val="auto"/>
              </w:rPr>
            </w:pP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AFS Technologies, Inc.</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72,122</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3,658</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75,780</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3,178</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IRGSE Holding Corp.</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31,974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8,014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(5,240)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34,748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Mississippi Resources, LLC</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33,885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6,297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(2,264)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9,250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(21,776)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25,392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3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65,859</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86,433</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(2,264</w:t>
            </w:r>
          </w:p>
        </w:tc>
        <w:tc>
          <w:tcPr>
            <w:tcW w:w="16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7,668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7"/>
              </w:rPr>
              <w:t>(21,776</w:t>
            </w:r>
          </w:p>
        </w:tc>
        <w:tc>
          <w:tcPr>
            <w:tcW w:w="14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135,920</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204</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9,443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960" w:right="460" w:hanging="324"/>
        <w:spacing w:after="0" w:line="233" w:lineRule="auto"/>
        <w:tabs>
          <w:tab w:leader="none" w:pos="96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additions include increases in the cost basis of investments resulting from new investments, payment-in-kind interest or dividends, the amortization of any unearned income or discounts on debt investments, as applicable.</w:t>
      </w:r>
    </w:p>
    <w:p>
      <w:pPr>
        <w:ind w:left="960" w:right="40" w:hanging="324"/>
        <w:spacing w:after="0" w:line="221" w:lineRule="auto"/>
        <w:tabs>
          <w:tab w:leader="none" w:pos="96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us are applied to the outstanding principal balance.</w:t>
      </w:r>
    </w:p>
    <w:p>
      <w:pPr>
        <w:ind w:left="520" w:hanging="316"/>
        <w:spacing w:after="0"/>
        <w:tabs>
          <w:tab w:leader="none" w:pos="5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2017, the tax cost of our investments approximates the amortized cost.</w:t>
      </w:r>
    </w:p>
    <w:p>
      <w:pPr>
        <w:spacing w:after="0" w:line="1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40"/>
          </w:cols>
          <w:pgMar w:left="240" w:top="455" w:right="41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20" w:right="20" w:hanging="316"/>
        <w:spacing w:after="0" w:line="233" w:lineRule="auto"/>
        <w:tabs>
          <w:tab w:leader="none" w:pos="5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investments contain a fixed rate structure. We entered into an interest rate swap agreement to swap to a floating rate. Refer to Note 5 6 to our consolidated financial statements for further information related to interest rate swaps on investments.</w:t>
      </w:r>
    </w:p>
    <w:p>
      <w:pPr>
        <w:ind w:left="520" w:hanging="316"/>
        <w:spacing w:after="0" w:line="221" w:lineRule="auto"/>
        <w:tabs>
          <w:tab w:leader="none" w:pos="5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accordance with Financial Accounting Standards Board Accounting Standards Codification 820,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xml:space="preserve"> (“ASC 820”), unless otherwise indicated, the fair values of all investments were determined using significant unobservable inputs and are considered Level 3 investments. See Note 6 to our consolidated financial statements for further information related to investments at fair value.</w:t>
      </w:r>
    </w:p>
    <w:p>
      <w:pPr>
        <w:ind w:left="520" w:right="560" w:hanging="316"/>
        <w:spacing w:after="0" w:line="221" w:lineRule="auto"/>
        <w:tabs>
          <w:tab w:leader="none" w:pos="5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investment is valued using observable inputs and is considered a Level 2 investment. See Note 6 to our consolidated financial statements for further information related to investments at fair value.</w:t>
      </w:r>
    </w:p>
    <w:p>
      <w:pPr>
        <w:ind w:left="520" w:right="560" w:hanging="316"/>
        <w:spacing w:after="0" w:line="221" w:lineRule="auto"/>
        <w:tabs>
          <w:tab w:leader="none" w:pos="5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investment is valued using observable inputs and is considered a Level 1 investment. See Note 6 to our consolidated financial statements for further information related to investments at fair value.</w:t>
      </w:r>
    </w:p>
    <w:p>
      <w:pPr>
        <w:ind w:left="520" w:hanging="316"/>
        <w:spacing w:after="0"/>
        <w:tabs>
          <w:tab w:leader="none" w:pos="5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equity investment is non-income producing.</w:t>
      </w:r>
    </w:p>
    <w:p>
      <w:pPr>
        <w:spacing w:after="0" w:line="1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80"/>
          </w:cols>
          <w:pgMar w:left="240" w:top="455" w:right="47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9"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Our Board consists of five members, three of whom are not “interested persons” of us, our Adviser or our or its respective affiliates as defined in Section 2(a)(19) of the 1940 Act and who are considered to be independent under the applicable NYSE listing standards. We refer to these individuals as our Independent Directors. Our Board elects our officers and our officers serve until their resignation or termination or until their successors are duly elected and qualified. The responsibilities of our Board include, among other things, oversight of our investment activities, quarterly valuation of our assets, oversight of our financing arrangements and corporate governance activities. Our Board has an audit committee, a compensation committee and a nominating and corporate governance committee and may establish additional committees from time to time as necessary.</w:t>
      </w:r>
    </w:p>
    <w:p>
      <w:pPr>
        <w:spacing w:after="0" w:line="189" w:lineRule="exact"/>
        <w:rPr>
          <w:sz w:val="20"/>
          <w:szCs w:val="20"/>
          <w:color w:val="auto"/>
        </w:rPr>
      </w:pPr>
    </w:p>
    <w:p>
      <w:pPr>
        <w:ind w:left="200" w:right="140" w:firstLine="441"/>
        <w:spacing w:after="0" w:line="261" w:lineRule="auto"/>
        <w:rPr>
          <w:sz w:val="20"/>
          <w:szCs w:val="20"/>
          <w:color w:val="auto"/>
        </w:rPr>
      </w:pPr>
      <w:r>
        <w:rPr>
          <w:rFonts w:ascii="Times New Roman" w:cs="Times New Roman" w:eastAsia="Times New Roman" w:hAnsi="Times New Roman"/>
          <w:sz w:val="18"/>
          <w:szCs w:val="18"/>
          <w:color w:val="auto"/>
        </w:rPr>
        <w:t>Pursuant to our certificate of incorporation and bylaws, our Board consists of five members. The Board is divided into three classes, with the members of each class each serving staggered, three-year terms. The terms of our Class I directors will expire at the 2018 annual meeting of stockholders, the term of our Class II director will expire at the 2019 annual meeting of stockholders and the terms of our Class III directors will expire at the 2020 annual meeting of stockholders.</w:t>
      </w:r>
    </w:p>
    <w:p>
      <w:pPr>
        <w:spacing w:after="0" w:line="180" w:lineRule="exact"/>
        <w:rPr>
          <w:sz w:val="20"/>
          <w:szCs w:val="20"/>
          <w:color w:val="auto"/>
        </w:rPr>
      </w:pPr>
    </w:p>
    <w:p>
      <w:pPr>
        <w:ind w:left="200" w:right="160" w:firstLine="441"/>
        <w:spacing w:after="0" w:line="282" w:lineRule="auto"/>
        <w:rPr>
          <w:sz w:val="20"/>
          <w:szCs w:val="20"/>
          <w:color w:val="auto"/>
        </w:rPr>
      </w:pPr>
      <w:r>
        <w:rPr>
          <w:rFonts w:ascii="Times New Roman" w:cs="Times New Roman" w:eastAsia="Times New Roman" w:hAnsi="Times New Roman"/>
          <w:sz w:val="18"/>
          <w:szCs w:val="18"/>
          <w:color w:val="auto"/>
        </w:rPr>
        <w:t>Messrs. Higginbotham and Tanemura serve as Class I directors (with a term expiring in 2018). Mr. Ross serves as a Class II director (with a term expiring in 2019). Messrs. Easterly and Fishman serve as Class III directors (with a term expiring in 2020).</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Biographical Information</w:t>
      </w:r>
    </w:p>
    <w:p>
      <w:pPr>
        <w:spacing w:after="0" w:line="121" w:lineRule="exact"/>
        <w:rPr>
          <w:sz w:val="20"/>
          <w:szCs w:val="20"/>
          <w:color w:val="auto"/>
        </w:rPr>
      </w:pPr>
    </w:p>
    <w:p>
      <w:pPr>
        <w:ind w:left="200" w:right="160" w:firstLine="441"/>
        <w:spacing w:after="0" w:line="266" w:lineRule="auto"/>
        <w:rPr>
          <w:sz w:val="20"/>
          <w:szCs w:val="20"/>
          <w:color w:val="auto"/>
        </w:rPr>
      </w:pPr>
      <w:r>
        <w:rPr>
          <w:rFonts w:ascii="Times New Roman" w:cs="Times New Roman" w:eastAsia="Times New Roman" w:hAnsi="Times New Roman"/>
          <w:sz w:val="18"/>
          <w:szCs w:val="18"/>
          <w:color w:val="auto"/>
        </w:rPr>
        <w:t>Set forth below are brief biographies of the members of the Board. Also included below following each biography is a brief discussion of the specific experience, qualifications, attributes or skills that led our Board to conclude that the applicable director should serve on our Board at this time. In addition, set forth further below is a biography of each of our executive officers who is not a director.</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Age</w:t>
            </w:r>
          </w:p>
        </w:tc>
        <w:tc>
          <w:tcPr>
            <w:tcW w:w="1420" w:type="dxa"/>
            <w:vAlign w:val="bottom"/>
          </w:tcPr>
          <w:p>
            <w:pPr>
              <w:spacing w:after="0"/>
              <w:rPr>
                <w:sz w:val="13"/>
                <w:szCs w:val="13"/>
                <w:color w:val="auto"/>
              </w:rPr>
            </w:pPr>
          </w:p>
        </w:tc>
        <w:tc>
          <w:tcPr>
            <w:tcW w:w="1940" w:type="dxa"/>
            <w:vAlign w:val="bottom"/>
            <w:gridSpan w:val="2"/>
            <w:vMerge w:val="restart"/>
          </w:tcPr>
          <w:p>
            <w:pPr>
              <w:jc w:val="center"/>
              <w:ind w:right="14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Expiration of</w:t>
            </w:r>
          </w:p>
        </w:tc>
        <w:tc>
          <w:tcPr>
            <w:tcW w:w="130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0" w:type="dxa"/>
            <w:vAlign w:val="bottom"/>
          </w:tcPr>
          <w:p>
            <w:pPr>
              <w:spacing w:after="0"/>
              <w:rPr>
                <w:sz w:val="1"/>
                <w:szCs w:val="1"/>
                <w:color w:val="auto"/>
              </w:rPr>
            </w:pPr>
          </w:p>
        </w:tc>
      </w:tr>
      <w:tr>
        <w:trPr>
          <w:trHeight w:val="173"/>
        </w:trPr>
        <w:tc>
          <w:tcPr>
            <w:tcW w:w="4460" w:type="dxa"/>
            <w:vAlign w:val="bottom"/>
            <w:gridSpan w:val="3"/>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4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16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Independent Directors</w:t>
            </w: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Higginbotham</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3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2018</w:t>
            </w:r>
          </w:p>
        </w:tc>
        <w:tc>
          <w:tcPr>
            <w:tcW w:w="420" w:type="dxa"/>
            <w:vAlign w:val="bottom"/>
          </w:tcPr>
          <w:p>
            <w:pPr>
              <w:spacing w:after="0"/>
              <w:rPr>
                <w:sz w:val="18"/>
                <w:szCs w:val="18"/>
                <w:color w:val="auto"/>
              </w:rPr>
            </w:pPr>
          </w:p>
        </w:tc>
        <w:tc>
          <w:tcPr>
            <w:tcW w:w="130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Tanemura</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3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2018</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Ross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3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2019</w:t>
            </w:r>
          </w:p>
        </w:tc>
        <w:tc>
          <w:tcPr>
            <w:tcW w:w="420" w:type="dxa"/>
            <w:vAlign w:val="bottom"/>
          </w:tcPr>
          <w:p>
            <w:pPr>
              <w:spacing w:after="0"/>
              <w:rPr>
                <w:sz w:val="18"/>
                <w:szCs w:val="18"/>
                <w:color w:val="auto"/>
              </w:rPr>
            </w:pPr>
          </w:p>
        </w:tc>
        <w:tc>
          <w:tcPr>
            <w:tcW w:w="130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Interested Directors</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Joshua Easterly</w:t>
            </w:r>
          </w:p>
        </w:tc>
        <w:tc>
          <w:tcPr>
            <w:tcW w:w="3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41</w:t>
            </w:r>
          </w:p>
        </w:tc>
        <w:tc>
          <w:tcPr>
            <w:tcW w:w="3360" w:type="dxa"/>
            <w:vAlign w:val="bottom"/>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Chairman, Director</w:t>
            </w:r>
          </w:p>
        </w:tc>
        <w:tc>
          <w:tcPr>
            <w:tcW w:w="1200" w:type="dxa"/>
            <w:vAlign w:val="bottom"/>
          </w:tcPr>
          <w:p>
            <w:pPr>
              <w:ind w:left="440"/>
              <w:spacing w:after="0" w:line="198" w:lineRule="exact"/>
              <w:rPr>
                <w:sz w:val="20"/>
                <w:szCs w:val="20"/>
                <w:color w:val="auto"/>
              </w:rPr>
            </w:pPr>
            <w:r>
              <w:rPr>
                <w:rFonts w:ascii="Times New Roman" w:cs="Times New Roman" w:eastAsia="Times New Roman" w:hAnsi="Times New Roman"/>
                <w:sz w:val="18"/>
                <w:szCs w:val="18"/>
                <w:color w:val="auto"/>
              </w:rPr>
              <w:t>2020</w:t>
            </w:r>
          </w:p>
        </w:tc>
        <w:tc>
          <w:tcPr>
            <w:tcW w:w="420" w:type="dxa"/>
            <w:vAlign w:val="bottom"/>
          </w:tcPr>
          <w:p>
            <w:pPr>
              <w:spacing w:after="0"/>
              <w:rPr>
                <w:sz w:val="17"/>
                <w:szCs w:val="17"/>
                <w:color w:val="auto"/>
              </w:rPr>
            </w:pPr>
          </w:p>
        </w:tc>
        <w:tc>
          <w:tcPr>
            <w:tcW w:w="1300" w:type="dxa"/>
            <w:vAlign w:val="bottom"/>
          </w:tcPr>
          <w:p>
            <w:pPr>
              <w:jc w:val="right"/>
              <w:ind w:right="353"/>
              <w:spacing w:after="0" w:line="198" w:lineRule="exact"/>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and Chief Executive Officer</w:t>
            </w: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Fishman</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36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8"/>
              </w:rPr>
              <w:t>Director and Vice President</w:t>
            </w:r>
          </w:p>
        </w:tc>
        <w:tc>
          <w:tcPr>
            <w:tcW w:w="1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2020</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Independent Directors</w:t>
      </w:r>
    </w:p>
    <w:p>
      <w:pPr>
        <w:spacing w:after="0" w:line="117" w:lineRule="exact"/>
        <w:rPr>
          <w:sz w:val="20"/>
          <w:szCs w:val="20"/>
          <w:color w:val="auto"/>
        </w:rPr>
      </w:pPr>
    </w:p>
    <w:p>
      <w:pPr>
        <w:ind w:left="200" w:right="60" w:firstLine="44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Richard Higginbotham </w:t>
      </w:r>
      <w:r>
        <w:rPr>
          <w:rFonts w:ascii="Times New Roman" w:cs="Times New Roman" w:eastAsia="Times New Roman" w:hAnsi="Times New Roman"/>
          <w:sz w:val="18"/>
          <w:szCs w:val="18"/>
          <w:color w:val="auto"/>
        </w:rPr>
        <w:t>was elected a director of TSLX in March 2011. From 2010 to 2013, he was a director of Healthcare Finance Group LLC.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July 2008 and March 2010, Mr. Higginbotham was a director and then chairman of Tygris Commercial Finance Group, Inc., a TPG portfolio company,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 Mr. Higginbotham holds a B.A. in Political Science from Brown University. Mr. Higginbotham’s depth of experience in senior executive positions in the financial sector provides the Board with valuable experience, insight and perspective in the credit sector.</w:t>
      </w:r>
    </w:p>
    <w:p>
      <w:pPr>
        <w:spacing w:after="0" w:line="1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40"/>
          </w:cols>
          <w:pgMar w:left="240" w:top="455" w:right="41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right="20" w:firstLine="441"/>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Ronald Tanemura </w:t>
      </w:r>
      <w:r>
        <w:rPr>
          <w:rFonts w:ascii="Times New Roman" w:cs="Times New Roman" w:eastAsia="Times New Roman" w:hAnsi="Times New Roman"/>
          <w:sz w:val="17"/>
          <w:szCs w:val="17"/>
          <w:color w:val="auto"/>
        </w:rPr>
        <w:t>was elected a director of TSLX in March 2011. Since 2012, Mr. Tanemura has served as a director of post-reorganization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Lehman Brothers Holdings Inc. in New York. Also, since November 2012, he has served as a non-executive director of ICE Clear Credit in Chicago and, since 2009, he has served as a non-executive director of ICE Clear Europe in London, both wholly owned subsidiaries of IntercontinentalExchange, Inc. Prior to that, from 2004 to 2006, Mr. Tanemura was an Advisory Director at Goldman, Sachs &amp; Co. From 2000 to 2004, Mr. Tanemura was a Partner at Goldman, Sachs &amp; Co. and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Mr. Tanemura’s extensive experience in the financial markets provides the Board with valuable industry-specific knowledge.</w:t>
      </w:r>
    </w:p>
    <w:p>
      <w:pPr>
        <w:spacing w:after="0" w:line="172"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John Ross </w:t>
      </w:r>
      <w:r>
        <w:rPr>
          <w:rFonts w:ascii="Times New Roman" w:cs="Times New Roman" w:eastAsia="Times New Roman" w:hAnsi="Times New Roman"/>
          <w:sz w:val="18"/>
          <w:szCs w:val="18"/>
          <w:color w:val="auto"/>
        </w:rPr>
        <w:t>was elected a director of TSLX in March 2011. From 2003 to 2011, Mr. Ross was a director and member of the board risk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of DBS Bank Ltd., Singapore, as well as Chairman of its Nominating Committee between 2008 and 2011. In addition, between 2009 and 2011, he was Non-Executive Chairman of DBS Bank China Ltd., a wholly owned subsidiary of DBS Bank Ltd. where he also served as Chairman of its Audit Committee from 2009 to 2010. From 1992 to 2002, Mr. Ross worked at Deutsche Bank Group, where he served as Corporate Chief Operating Officer from 2001 to 2002. Mr. Ross holds a B.A. in American History from Hobart &amp; William Smith Colleges and an M.B.A. from The Wharton School of the University of Pennsylvania. Mr. Ross’s experience serving as a director of a regulated bank, as well as his past experience as a chief operating officer, provides the Board and, specifically, the Audit Committee, which he chairs, with valuable knowledge and insight in the financial services sector, as well as experience in financial and accounting matters.</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Interested Directors</w:t>
      </w:r>
    </w:p>
    <w:p>
      <w:pPr>
        <w:spacing w:after="0" w:line="117" w:lineRule="exact"/>
        <w:rPr>
          <w:sz w:val="20"/>
          <w:szCs w:val="20"/>
          <w:color w:val="auto"/>
        </w:rPr>
      </w:pPr>
    </w:p>
    <w:p>
      <w:pPr>
        <w:ind w:left="200" w:right="20" w:firstLine="44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Joshua Easterly </w:t>
      </w:r>
      <w:r>
        <w:rPr>
          <w:rFonts w:ascii="Times New Roman" w:cs="Times New Roman" w:eastAsia="Times New Roman" w:hAnsi="Times New Roman"/>
          <w:sz w:val="18"/>
          <w:szCs w:val="18"/>
          <w:color w:val="auto"/>
        </w:rPr>
        <w:t>was appointed Chief Executive Officer in December 2017 and was elected a director and Chairman of TSLX in March 2011. 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Co-Chief Executive Officer with Michael Fishman from December 2013 to December 2017. Mr. Easterly is a TPG and TSSP Partner and the Co-Chief Investment Officer of the Adviser. Between 2008 and 2010, he was a Managing Director at Goldman, Sachs &amp; Co. in the Americas Special Situations Group, which invested Goldman’s capital in both the public markets and private transactions in distressed and special situations. Between 2006 and 2008, he served as a Director, Management Committee Member and Co-Head of the Goldman Sachs Specialty Lending Group. Prior to joining Goldman, Sachs &amp; Co. in March 2006, Mr. Easterly was Senior Vice President, Northeast Regional Originations Manager at Wells Fargo Capital Finance, or WFCF, formerly known as Wells Fargo Foothill and Foothill Capital Corporation, the $8 billion commercial finance company of Wells Fargo and Company. Mr. Easterly holds a Bachelor of Science in Business Administration, magna cum laude, from California State University, Fresno. Mr. Easterly’s depth of experience investing in a variety of distressed and special situations transactions, as well as his extensive knowledge of the business and operations of TSSP, provides the Board with valuable insight and expertise.</w:t>
      </w:r>
    </w:p>
    <w:p>
      <w:pPr>
        <w:spacing w:after="0" w:line="186"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Michael Fishman </w:t>
      </w:r>
      <w:r>
        <w:rPr>
          <w:rFonts w:ascii="Times New Roman" w:cs="Times New Roman" w:eastAsia="Times New Roman" w:hAnsi="Times New Roman"/>
          <w:sz w:val="18"/>
          <w:szCs w:val="18"/>
          <w:color w:val="auto"/>
        </w:rPr>
        <w:t>was appointed director of TSLX in April 2011. From April 2011 to December 2013, he served as Chief Executive Officer,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December 2013 to December 2017, he served as Co-Chief Executive Officer with Joshua Easterly. Mr. Fishman is a Vice President of TSLX and is a TPG and TSSP Partner. He has been an executive in corporate lending for more than 20 years with senior management experience in credit, portfolio management and primary loan originations. Prior to joining TSLX, Mr. Fishman was the Executive Vice President and National Director of Loan Originations for WFCF, formerly known as Wells Fargo Foothill and Foothill Capital 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 has sat on the board of the American Bankruptcy Institute. He</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20"/>
          </w:cols>
          <w:pgMar w:left="240" w:top="455" w:right="43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82" w:lineRule="auto"/>
        <w:rPr>
          <w:sz w:val="20"/>
          <w:szCs w:val="20"/>
          <w:color w:val="auto"/>
        </w:rPr>
      </w:pPr>
      <w:r>
        <w:rPr>
          <w:rFonts w:ascii="Times New Roman" w:cs="Times New Roman" w:eastAsia="Times New Roman" w:hAnsi="Times New Roman"/>
          <w:sz w:val="18"/>
          <w:szCs w:val="18"/>
          <w:color w:val="auto"/>
        </w:rPr>
        <w:t>holds a Bachelor of Science in Finance from Rochester Institute of Technology. Mr. Fishman’s extensive experience in the credit markets provides the Board with valuable industry-specific knowledge.</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Information Regarding Executive Officers Who Are Not Directors</w:t>
      </w:r>
    </w:p>
    <w:p>
      <w:pPr>
        <w:spacing w:after="0" w:line="23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Age</w:t>
            </w:r>
          </w:p>
        </w:tc>
        <w:tc>
          <w:tcPr>
            <w:tcW w:w="3220" w:type="dxa"/>
            <w:vAlign w:val="bottom"/>
            <w:gridSpan w:val="3"/>
            <w:vMerge w:val="restart"/>
          </w:tcPr>
          <w:p>
            <w:pPr>
              <w:jc w:val="center"/>
              <w:ind w:left="312"/>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Officer</w:t>
            </w:r>
          </w:p>
        </w:tc>
        <w:tc>
          <w:tcPr>
            <w:tcW w:w="0" w:type="dxa"/>
            <w:vAlign w:val="bottom"/>
          </w:tcPr>
          <w:p>
            <w:pPr>
              <w:spacing w:after="0"/>
              <w:rPr>
                <w:sz w:val="1"/>
                <w:szCs w:val="1"/>
                <w:color w:val="auto"/>
              </w:rPr>
            </w:pPr>
          </w:p>
        </w:tc>
      </w:tr>
      <w:tr>
        <w:trPr>
          <w:trHeight w:val="173"/>
        </w:trPr>
        <w:tc>
          <w:tcPr>
            <w:tcW w:w="3640" w:type="dxa"/>
            <w:vAlign w:val="bottom"/>
            <w:gridSpan w:val="3"/>
            <w:vMerge w:val="continue"/>
          </w:tcPr>
          <w:p>
            <w:pPr>
              <w:spacing w:after="0"/>
              <w:rPr>
                <w:sz w:val="15"/>
                <w:szCs w:val="15"/>
                <w:color w:val="auto"/>
              </w:rPr>
            </w:pPr>
          </w:p>
        </w:tc>
        <w:tc>
          <w:tcPr>
            <w:tcW w:w="2420" w:type="dxa"/>
            <w:vAlign w:val="bottom"/>
            <w:gridSpan w:val="2"/>
            <w:vMerge w:val="continue"/>
          </w:tcPr>
          <w:p>
            <w:pPr>
              <w:spacing w:after="0"/>
              <w:rPr>
                <w:sz w:val="15"/>
                <w:szCs w:val="15"/>
                <w:color w:val="auto"/>
              </w:rPr>
            </w:pPr>
          </w:p>
        </w:tc>
        <w:tc>
          <w:tcPr>
            <w:tcW w:w="322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vMerge w:val="restart"/>
            <w:shd w:val="clear" w:color="auto" w:fill="CCEEFF"/>
          </w:tcPr>
          <w:p>
            <w:pPr>
              <w:jc w:val="right"/>
              <w:spacing w:after="0" w:line="178" w:lineRule="exact"/>
              <w:rPr>
                <w:sz w:val="20"/>
                <w:szCs w:val="20"/>
                <w:color w:val="auto"/>
              </w:rPr>
            </w:pPr>
            <w:r>
              <w:rPr>
                <w:rFonts w:ascii="Times New Roman" w:cs="Times New Roman" w:eastAsia="Times New Roman" w:hAnsi="Times New Roman"/>
                <w:sz w:val="18"/>
                <w:szCs w:val="18"/>
                <w:color w:val="auto"/>
              </w:rPr>
              <w:t>42</w:t>
            </w: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000000"/>
          </w:tcPr>
          <w:p>
            <w:pPr>
              <w:spacing w:after="0" w:line="20" w:lineRule="exact"/>
              <w:rPr>
                <w:sz w:val="1"/>
                <w:szCs w:val="1"/>
                <w:color w:val="auto"/>
              </w:rPr>
            </w:pPr>
          </w:p>
        </w:tc>
        <w:tc>
          <w:tcPr>
            <w:tcW w:w="1160" w:type="dxa"/>
            <w:vAlign w:val="bottom"/>
            <w:tcBorders>
              <w:top w:val="single" w:sz="8" w:color="CCEEFF"/>
            </w:tcBorders>
            <w:vMerge w:val="restart"/>
            <w:shd w:val="clear" w:color="auto" w:fill="CCEEFF"/>
          </w:tcPr>
          <w:p>
            <w:pPr>
              <w:ind w:left="160"/>
              <w:spacing w:after="0" w:line="178" w:lineRule="exact"/>
              <w:rPr>
                <w:sz w:val="20"/>
                <w:szCs w:val="20"/>
                <w:color w:val="auto"/>
              </w:rPr>
            </w:pPr>
            <w:r>
              <w:rPr>
                <w:rFonts w:ascii="Times New Roman" w:cs="Times New Roman" w:eastAsia="Times New Roman" w:hAnsi="Times New Roman"/>
                <w:sz w:val="18"/>
                <w:szCs w:val="18"/>
                <w:color w:val="auto"/>
              </w:rPr>
              <w:t>Officer,</w:t>
            </w: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vMerge w:val="restart"/>
            <w:shd w:val="clear" w:color="auto" w:fill="CCEEFF"/>
          </w:tcPr>
          <w:p>
            <w:pPr>
              <w:jc w:val="right"/>
              <w:spacing w:after="0" w:line="178" w:lineRule="exact"/>
              <w:rPr>
                <w:sz w:val="20"/>
                <w:szCs w:val="20"/>
                <w:color w:val="auto"/>
              </w:rPr>
            </w:pPr>
            <w:r>
              <w:rPr>
                <w:rFonts w:ascii="Times New Roman" w:cs="Times New Roman" w:eastAsia="Times New Roman" w:hAnsi="Times New Roman"/>
                <w:sz w:val="18"/>
                <w:szCs w:val="18"/>
                <w:color w:val="auto"/>
              </w:rPr>
              <w:t>2015</w:t>
            </w: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362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Jennifer Gordon</w:t>
            </w:r>
          </w:p>
        </w:tc>
        <w:tc>
          <w:tcPr>
            <w:tcW w:w="218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2060" w:type="dxa"/>
            <w:vAlign w:val="bottom"/>
            <w:gridSpan w:val="2"/>
            <w:shd w:val="clear" w:color="auto" w:fill="CCEEFF"/>
          </w:tcPr>
          <w:p>
            <w:pPr>
              <w:ind w:left="860"/>
              <w:spacing w:after="0" w:line="157" w:lineRule="exact"/>
              <w:rPr>
                <w:sz w:val="20"/>
                <w:szCs w:val="20"/>
                <w:color w:val="auto"/>
              </w:rPr>
            </w:pPr>
            <w:r>
              <w:rPr>
                <w:rFonts w:ascii="Times New Roman" w:cs="Times New Roman" w:eastAsia="Times New Roman" w:hAnsi="Times New Roman"/>
                <w:sz w:val="18"/>
                <w:szCs w:val="18"/>
                <w:color w:val="auto"/>
                <w:w w:val="89"/>
              </w:rPr>
              <w:t>Chief Compliance</w:t>
            </w:r>
          </w:p>
        </w:tc>
        <w:tc>
          <w:tcPr>
            <w:tcW w:w="1160" w:type="dxa"/>
            <w:vAlign w:val="bottom"/>
            <w:vMerge w:val="continue"/>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280" w:type="dxa"/>
            <w:vAlign w:val="bottom"/>
            <w:shd w:val="clear" w:color="auto" w:fill="CCEEFF"/>
          </w:tcPr>
          <w:p>
            <w:pPr>
              <w:spacing w:after="0"/>
              <w:rPr>
                <w:sz w:val="21"/>
                <w:szCs w:val="21"/>
                <w:color w:val="auto"/>
              </w:rPr>
            </w:pPr>
          </w:p>
        </w:tc>
        <w:tc>
          <w:tcPr>
            <w:tcW w:w="2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220" w:type="dxa"/>
            <w:vAlign w:val="bottom"/>
            <w:gridSpan w:val="3"/>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color w:val="auto"/>
                <w:w w:val="99"/>
              </w:rPr>
              <w:t>Vice President and Secretary</w:t>
            </w:r>
          </w:p>
        </w:tc>
        <w:tc>
          <w:tcPr>
            <w:tcW w:w="3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Michael Graf</w:t>
            </w:r>
          </w:p>
        </w:tc>
        <w:tc>
          <w:tcPr>
            <w:tcW w:w="24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36</w:t>
            </w:r>
          </w:p>
        </w:tc>
        <w:tc>
          <w:tcPr>
            <w:tcW w:w="3220" w:type="dxa"/>
            <w:vAlign w:val="bottom"/>
            <w:gridSpan w:val="3"/>
          </w:tcPr>
          <w:p>
            <w:pPr>
              <w:jc w:val="center"/>
              <w:ind w:left="332"/>
              <w:spacing w:after="0" w:line="198" w:lineRule="exact"/>
              <w:rPr>
                <w:sz w:val="20"/>
                <w:szCs w:val="20"/>
                <w:color w:val="auto"/>
              </w:rPr>
            </w:pPr>
            <w:r>
              <w:rPr>
                <w:rFonts w:ascii="Times New Roman" w:cs="Times New Roman" w:eastAsia="Times New Roman" w:hAnsi="Times New Roman"/>
                <w:sz w:val="18"/>
                <w:szCs w:val="18"/>
                <w:color w:val="auto"/>
                <w:w w:val="99"/>
              </w:rPr>
              <w:t>Vice President and Principal</w:t>
            </w:r>
          </w:p>
        </w:tc>
        <w:tc>
          <w:tcPr>
            <w:tcW w:w="8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2015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2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Hamrah</w:t>
            </w: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220" w:type="dxa"/>
            <w:vAlign w:val="bottom"/>
            <w:gridSpan w:val="3"/>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color w:val="auto"/>
                <w:w w:val="98"/>
              </w:rPr>
              <w:t>Vice President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Pluss</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22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8"/>
              </w:rPr>
              <w:t>Vice President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Ian Simmonds</w:t>
            </w: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220" w:type="dxa"/>
            <w:vAlign w:val="bottom"/>
            <w:gridSpan w:val="3"/>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(Bo) Stanley</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22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rPr>
              <w:t>President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Stiepleman</w:t>
            </w: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220" w:type="dxa"/>
            <w:vAlign w:val="bottom"/>
            <w:gridSpan w:val="3"/>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color w:val="auto"/>
                <w:w w:val="98"/>
              </w:rPr>
              <w:t>Vice President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Alan Waxman</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22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auto"/>
                <w:w w:val="98"/>
              </w:rPr>
              <w:t>Vice President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address for each of our executive officers is c/o TPG Specialty Lending, 301 Commerce Street, Suite 3300, Fort Worth, TX 76102.</w:t>
      </w:r>
    </w:p>
    <w:p>
      <w:pPr>
        <w:spacing w:after="0" w:line="221" w:lineRule="exact"/>
        <w:rPr>
          <w:sz w:val="20"/>
          <w:szCs w:val="20"/>
          <w:color w:val="auto"/>
        </w:rPr>
      </w:pPr>
    </w:p>
    <w:p>
      <w:pPr>
        <w:ind w:left="200" w:right="60"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Jennifer Gordon </w:t>
      </w:r>
      <w:r>
        <w:rPr>
          <w:rFonts w:ascii="Times New Roman" w:cs="Times New Roman" w:eastAsia="Times New Roman" w:hAnsi="Times New Roman"/>
          <w:sz w:val="18"/>
          <w:szCs w:val="18"/>
          <w:color w:val="auto"/>
        </w:rPr>
        <w:t>is Chief Compliance Officer, Vice President and Secretary of TSLX. Ms. Gordon is a Partner and the Chief Compliance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Deputy Chief Operating Officer of TSSP. Prior to joining TSSP, from 2004 to 2014, she held various positions at Goldman, Sachs &amp; Co., including most recently as Co-Head of Americas Securities Division Compliance. Ms. Gordon holds a J.D. from Fordham University School of Law and B.A. from the University of Michigan.</w:t>
      </w:r>
    </w:p>
    <w:p>
      <w:pPr>
        <w:spacing w:after="0" w:line="177" w:lineRule="exact"/>
        <w:rPr>
          <w:sz w:val="20"/>
          <w:szCs w:val="20"/>
          <w:color w:val="auto"/>
        </w:rPr>
      </w:pPr>
    </w:p>
    <w:p>
      <w:pPr>
        <w:ind w:left="200" w:firstLine="44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Michael Graf </w:t>
      </w:r>
      <w:r>
        <w:rPr>
          <w:rFonts w:ascii="Times New Roman" w:cs="Times New Roman" w:eastAsia="Times New Roman" w:hAnsi="Times New Roman"/>
          <w:sz w:val="18"/>
          <w:szCs w:val="18"/>
          <w:color w:val="auto"/>
        </w:rPr>
        <w:t>is a Vice President and Principal Accounting Officer of TSLX. Mr. Graf has been TSLX’s Controller since 2013. From 2010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2013, Mr. Graf was a Vice President in Alternative Investments at U.S. Bancorp Fund Services, LLC. From 2006 to 2010, Mr. Graf was an Accounting Manager at GSC Group, Inc., a private investment firm. Prior to working at GSC Group Inc., Mr. Graf worked in public accounting at KPMG from 2004 to 2006. Mr. Graf holds a B.S. in Finance and Accounting from the Leonard N. Stern School of Business at New York University. He is a Certified Public Accountant.</w:t>
      </w:r>
    </w:p>
    <w:p>
      <w:pPr>
        <w:spacing w:after="0" w:line="180" w:lineRule="exact"/>
        <w:rPr>
          <w:sz w:val="20"/>
          <w:szCs w:val="20"/>
          <w:color w:val="auto"/>
        </w:rPr>
      </w:pPr>
    </w:p>
    <w:p>
      <w:pPr>
        <w:ind w:left="200" w:right="160" w:firstLine="44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Craig Hamrah </w:t>
      </w:r>
      <w:r>
        <w:rPr>
          <w:rFonts w:ascii="Times New Roman" w:cs="Times New Roman" w:eastAsia="Times New Roman" w:hAnsi="Times New Roman"/>
          <w:sz w:val="18"/>
          <w:szCs w:val="18"/>
          <w:color w:val="auto"/>
        </w:rPr>
        <w:t>is a Vice President, Senior Credit Underwriter of the Adviser and Managing Director of TSSP. Mr. Hamrah was previously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Silver Point Capital, where he was a senior deal underwriter in the private finance group. From 2004 to 2005, Mr. Hamrah was a Senior Vice President at the Royal Bank of Scotland. From 1997 to 2004, Mr. Hamrah was an Executive Vice President at Emigrant Business Credit Corp, a subsidiary of Emigrant Savings Bank. Mr. Hamrah started his career at The CIT Group in 1990 working in the commercial finance and equipment finance divisions. He holds a B.A. in Business Economics from Brown University.</w:t>
      </w:r>
    </w:p>
    <w:p>
      <w:pPr>
        <w:spacing w:after="0" w:line="180" w:lineRule="exact"/>
        <w:rPr>
          <w:sz w:val="20"/>
          <w:szCs w:val="20"/>
          <w:color w:val="auto"/>
        </w:rPr>
      </w:pPr>
    </w:p>
    <w:p>
      <w:pPr>
        <w:ind w:left="200" w:right="40" w:firstLine="44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Steven Pluss </w:t>
      </w:r>
      <w:r>
        <w:rPr>
          <w:rFonts w:ascii="Times New Roman" w:cs="Times New Roman" w:eastAsia="Times New Roman" w:hAnsi="Times New Roman"/>
          <w:sz w:val="18"/>
          <w:szCs w:val="18"/>
          <w:color w:val="auto"/>
        </w:rPr>
        <w:t>is a Vice President of TSLX. He is also a TPG and TSSP Partner and has been the Chief Risk Officer of TSSP since 2013, as well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Chief Financial Officer from 2013 to 2016. Prior to joining TSSP, Mr. Pluss was a Managing Director and co-head of the Goldman Sachs Specialty Lending Group at Goldman, Sachs &amp; Co., where he worked from 2004 to 2013. From 1999 to 2004, Mr. Pluss was a Partner, Founder and Managing Member of RTV Ventures, a special situations lending joint venture with Goldman, Sachs &amp; Co. Mr. Pluss holds a B.B.A. from Texas A&amp;M University and an M.B.A. from Southern Methodist University.</w:t>
      </w:r>
    </w:p>
    <w:p>
      <w:pPr>
        <w:spacing w:after="0" w:line="180" w:lineRule="exact"/>
        <w:rPr>
          <w:sz w:val="20"/>
          <w:szCs w:val="20"/>
          <w:color w:val="auto"/>
        </w:rPr>
      </w:pPr>
    </w:p>
    <w:p>
      <w:pPr>
        <w:ind w:left="200" w:right="4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Ian Simmonds </w:t>
      </w:r>
      <w:r>
        <w:rPr>
          <w:rFonts w:ascii="Times New Roman" w:cs="Times New Roman" w:eastAsia="Times New Roman" w:hAnsi="Times New Roman"/>
          <w:sz w:val="18"/>
          <w:szCs w:val="18"/>
          <w:color w:val="auto"/>
        </w:rPr>
        <w:t>is the Chief Financial Officer of TSLX and a Managing Director of TSSP. From 2005 to 2015, Mr. Simmonds was a member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Financial Institutions Group at Bank of America Merrill Lynch’s Global Investment Bank in New York, most recently as a Managing Director. From 2000 to 2003, Mr. Simmonds was Managing Director at Principal Global Investors, the asset management unit of The Principal Financial</w:t>
      </w:r>
    </w:p>
    <w:p>
      <w:pPr>
        <w:spacing w:after="0" w:line="1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20"/>
          </w:cols>
          <w:pgMar w:left="240" w:top="455" w:right="43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1" w:lineRule="auto"/>
        <w:rPr>
          <w:sz w:val="20"/>
          <w:szCs w:val="20"/>
          <w:color w:val="auto"/>
        </w:rPr>
      </w:pPr>
      <w:r>
        <w:rPr>
          <w:rFonts w:ascii="Times New Roman" w:cs="Times New Roman" w:eastAsia="Times New Roman" w:hAnsi="Times New Roman"/>
          <w:sz w:val="18"/>
          <w:szCs w:val="18"/>
          <w:color w:val="auto"/>
        </w:rPr>
        <w:t>Group, based in Singapore. Prior to this role, Mr. Simmonds was a Senior Vice President at Bankers Trust Australia from 1995 to 2000 (acquired by Principal in 1999), and worked in public accounting at KPMG from 1989 to 1995. Mr. Simmonds holds a Bachelor of Commerce from the University of New South Wales, a Master of Applied Finance from Macquarie University, and an M.B.A. from the Wharton School of the University of Pennsylvania. He is a Chartered Accountant.</w:t>
      </w:r>
    </w:p>
    <w:p>
      <w:pPr>
        <w:spacing w:after="0" w:line="176" w:lineRule="exact"/>
        <w:rPr>
          <w:sz w:val="20"/>
          <w:szCs w:val="20"/>
          <w:color w:val="auto"/>
        </w:rPr>
      </w:pPr>
    </w:p>
    <w:p>
      <w:pPr>
        <w:ind w:left="200" w:right="60" w:firstLine="44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Robert (“Bo”) Stanley </w:t>
      </w:r>
      <w:r>
        <w:rPr>
          <w:rFonts w:ascii="Times New Roman" w:cs="Times New Roman" w:eastAsia="Times New Roman" w:hAnsi="Times New Roman"/>
          <w:sz w:val="18"/>
          <w:szCs w:val="18"/>
          <w:color w:val="auto"/>
        </w:rPr>
        <w:t>is President of TSLX and a Partner of TSSP. Mr. Stanley was previously with Wells Fargo Capital Finance, a provider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specialized senior secured financing to companies throughout the U.S. and Canada, from 2000 to 2011. While at Wells Fargo, Mr. Stanley served in multiple roles in an underwriting and origination capacity. From 2006 to 2011, Mr. Stanley was a Director of Loan Originations where he was responsible for lead development and generation of commercial loans. He holds a B.S. in Business Administration with a concentration in Finance from the University of Maine.</w:t>
      </w:r>
    </w:p>
    <w:p>
      <w:pPr>
        <w:spacing w:after="0" w:line="180" w:lineRule="exact"/>
        <w:rPr>
          <w:sz w:val="20"/>
          <w:szCs w:val="20"/>
          <w:color w:val="auto"/>
        </w:rPr>
      </w:pPr>
    </w:p>
    <w:p>
      <w:pPr>
        <w:ind w:left="200" w:firstLine="44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David Stiepleman </w:t>
      </w:r>
      <w:r>
        <w:rPr>
          <w:rFonts w:ascii="Times New Roman" w:cs="Times New Roman" w:eastAsia="Times New Roman" w:hAnsi="Times New Roman"/>
          <w:sz w:val="18"/>
          <w:szCs w:val="18"/>
          <w:color w:val="auto"/>
        </w:rPr>
        <w:t>is a Vice President of TSLX. He is also a TPG and TSSP Partner and has served as TSSP’s Chief Operating Officer since 2010.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2007 to 2010, Mr. Stiepleman was a Managing Director and the Deputy General Counsel of Fortress Investment Group LLC, where he was the lead lawyer responsible for that firm’s new business initiatives. Prior to that, from 2003 to 2007, Mr. Stiepleman was lead counsel to the Americas Special Situations Group and the Mortgages Department at Goldman, Sachs &amp; Co. Mr. Stiepleman holds a B.A. in French and Political Science from Amherst College and a J.D. from Columbia University.</w:t>
      </w:r>
    </w:p>
    <w:p>
      <w:pPr>
        <w:spacing w:after="0" w:line="180" w:lineRule="exact"/>
        <w:rPr>
          <w:sz w:val="20"/>
          <w:szCs w:val="20"/>
          <w:color w:val="auto"/>
        </w:rPr>
      </w:pPr>
    </w:p>
    <w:p>
      <w:pPr>
        <w:ind w:left="200" w:right="40" w:firstLine="44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Alan Waxman </w:t>
      </w:r>
      <w:r>
        <w:rPr>
          <w:rFonts w:ascii="Times New Roman" w:cs="Times New Roman" w:eastAsia="Times New Roman" w:hAnsi="Times New Roman"/>
          <w:sz w:val="18"/>
          <w:szCs w:val="18"/>
          <w:color w:val="auto"/>
        </w:rPr>
        <w:t>is a Vice President of TSLX. Mr. Waxman is also the Managing Partner of TSSP, a TPG Partner and a member of TPG’s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Committee. Prior to co-founding TSSP in 2009, Mr. Waxman was a Partner at Goldman, Sachs &amp; Co. During his career at Goldman, Sachs &amp; Co., he co-headed the Americas Special Situations Group, which invested that firm’s capital in both the public markets and private transactions. Mr. Waxman began his career at Goldman, Sachs &amp; Co. in 1998. He holds a B.A. in International Relations from the University of Pennsylvania, where he currently serves on their board of the School of Arts and Sciences.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Board of Directors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Board Composition</w:t>
      </w:r>
    </w:p>
    <w:p>
      <w:pPr>
        <w:spacing w:after="0" w:line="121" w:lineRule="exact"/>
        <w:rPr>
          <w:sz w:val="20"/>
          <w:szCs w:val="20"/>
          <w:color w:val="auto"/>
        </w:rPr>
      </w:pPr>
    </w:p>
    <w:p>
      <w:pPr>
        <w:ind w:left="200" w:right="180" w:firstLine="441"/>
        <w:spacing w:after="0" w:line="266" w:lineRule="auto"/>
        <w:rPr>
          <w:sz w:val="20"/>
          <w:szCs w:val="20"/>
          <w:color w:val="auto"/>
        </w:rPr>
      </w:pPr>
      <w:r>
        <w:rPr>
          <w:rFonts w:ascii="Times New Roman" w:cs="Times New Roman" w:eastAsia="Times New Roman" w:hAnsi="Times New Roman"/>
          <w:sz w:val="18"/>
          <w:szCs w:val="18"/>
          <w:color w:val="auto"/>
        </w:rPr>
        <w:t>Pursuant to our certificate of incorporation and our bylaws, our Board consists of five members. Pursuant to our bylaws, the Board may increase or decrease the number of directors to no fewer than four and no greater than nine. The Board is divided into three classes, with the members of each class each serving staggered, three-year terms.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Independent Directors</w:t>
      </w:r>
    </w:p>
    <w:p>
      <w:pPr>
        <w:spacing w:after="0" w:line="121" w:lineRule="exact"/>
        <w:rPr>
          <w:sz w:val="20"/>
          <w:szCs w:val="20"/>
          <w:color w:val="auto"/>
        </w:rPr>
      </w:pPr>
    </w:p>
    <w:p>
      <w:pPr>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Pursuant to our certificate of incorporation, a majority of the Board will at all times consist of directors who are not “interested persons” of us, of the Adviser, or of any of our or its respective affiliates, as defined in the 1940 Act. Under Section 303A.00 of the NYSE Listed Company Manual, a director of a BDC is considered to be independent if he or she is not an “interested person” of ours, as defined in Section 2(a)(19) of the 1940 Act.</w:t>
      </w:r>
    </w:p>
    <w:p>
      <w:pPr>
        <w:spacing w:after="0" w:line="176" w:lineRule="exact"/>
        <w:rPr>
          <w:sz w:val="20"/>
          <w:szCs w:val="20"/>
          <w:color w:val="auto"/>
        </w:rPr>
      </w:pPr>
    </w:p>
    <w:p>
      <w:pPr>
        <w:ind w:left="200" w:right="180" w:firstLine="441"/>
        <w:spacing w:after="0" w:line="258"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transactions and relationships between each director, or any of his or her family members, and us, the Adviser, or of any of our or its respective affiliates, the Board has determined that Messrs. Higginbotham, Ross and Tanemura qualify as Independent Directors. Each director who serves on the Audit Committee is an independent director under the applicable NYSE listing standards and for purposes of Rule 10A-3 under the Exchange Act. Each director who serves on the Compensation Committee and Nominating and Corporate Governance Committee is an independent director under the applicable NYSE listing standards.</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20"/>
          </w:cols>
          <w:pgMar w:left="240" w:top="455" w:right="43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Interested Directors</w:t>
      </w:r>
    </w:p>
    <w:p>
      <w:pPr>
        <w:spacing w:after="0" w:line="121" w:lineRule="exact"/>
        <w:rPr>
          <w:sz w:val="20"/>
          <w:szCs w:val="20"/>
          <w:color w:val="auto"/>
        </w:rPr>
      </w:pPr>
    </w:p>
    <w:p>
      <w:pPr>
        <w:ind w:left="200" w:right="100" w:firstLine="441"/>
        <w:spacing w:after="0" w:line="282" w:lineRule="auto"/>
        <w:rPr>
          <w:sz w:val="20"/>
          <w:szCs w:val="20"/>
          <w:color w:val="auto"/>
        </w:rPr>
      </w:pPr>
      <w:r>
        <w:rPr>
          <w:rFonts w:ascii="Times New Roman" w:cs="Times New Roman" w:eastAsia="Times New Roman" w:hAnsi="Times New Roman"/>
          <w:sz w:val="18"/>
          <w:szCs w:val="18"/>
          <w:color w:val="auto"/>
        </w:rPr>
        <w:t>Messrs. Easterly and Fishman are considered “interested persons” (as defined in the 1940 Act) of the Company since both of them are employed by the Adviser. See “—Biographical Information—Interested Directors.”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Meetings and Attendance</w:t>
      </w:r>
    </w:p>
    <w:p>
      <w:pPr>
        <w:spacing w:after="0" w:line="121" w:lineRule="exact"/>
        <w:rPr>
          <w:sz w:val="20"/>
          <w:szCs w:val="20"/>
          <w:color w:val="auto"/>
        </w:rPr>
      </w:pPr>
    </w:p>
    <w:p>
      <w:pPr>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Our Board has met four times in 2017 and acted on various occasions by written consent. Our Board also holds informal periodic telephonic update meetings. No incumbent director attended fewer than 75% of the aggregate of the total number of meetings of the Board (held during the period for which he has been a director) and the total number of meetings held by all committees of the Board on which he served (during the periods that he served).</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Board Attendance at the Meeting</w:t>
      </w:r>
    </w:p>
    <w:p>
      <w:pPr>
        <w:spacing w:after="0" w:line="121" w:lineRule="exact"/>
        <w:rPr>
          <w:sz w:val="20"/>
          <w:szCs w:val="20"/>
          <w:color w:val="auto"/>
        </w:rPr>
      </w:pPr>
    </w:p>
    <w:p>
      <w:pPr>
        <w:ind w:left="200" w:right="20" w:firstLine="441"/>
        <w:spacing w:after="0" w:line="282" w:lineRule="auto"/>
        <w:rPr>
          <w:sz w:val="20"/>
          <w:szCs w:val="20"/>
          <w:color w:val="auto"/>
        </w:rPr>
      </w:pPr>
      <w:r>
        <w:rPr>
          <w:rFonts w:ascii="Times New Roman" w:cs="Times New Roman" w:eastAsia="Times New Roman" w:hAnsi="Times New Roman"/>
          <w:sz w:val="18"/>
          <w:szCs w:val="18"/>
          <w:color w:val="auto"/>
        </w:rPr>
        <w:t>Our policy is to encourage our directors to attend each annual meeting of stockholders; however, attendance is not required. Mr. Easterly attended the 2017 annual meeting of stockholders in person.</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 and Role in Risk Oversight</w:t>
      </w:r>
    </w:p>
    <w:p>
      <w:pPr>
        <w:spacing w:after="0" w:line="121"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Our Board monitors and performs an oversight role with respect to our business and affairs, including with respect to investment practices and performance, compliance with regulatory requirements and the services, expenses and performance of service providers to us. Among other things, our Board approves the appointment of our Adviser and our officers, reviews and monitors the services and activities performed by our investment adviser and our executive officers.</w:t>
      </w:r>
    </w:p>
    <w:p>
      <w:pPr>
        <w:spacing w:after="0" w:line="180" w:lineRule="exact"/>
        <w:rPr>
          <w:sz w:val="20"/>
          <w:szCs w:val="20"/>
          <w:color w:val="auto"/>
        </w:rPr>
      </w:pPr>
    </w:p>
    <w:p>
      <w:pPr>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Our Board designates a chairman to preside over the meetings of the Board and to perform other duties as may be assigned to him by the Board. We do not have a fixed policy as to whether the chairman of the Board should be an Independent Director and believe that we should maintain the flexibility to select the chairman and reorganize the leadership structure, from time to time, based on the criteria that is in our best interests and the best interests of our stockholders at such times.</w:t>
      </w:r>
    </w:p>
    <w:p>
      <w:pPr>
        <w:spacing w:after="0" w:line="180"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Presently, Mr. Easterly serves as the chairman of our Board. We believe that Mr. Easterly’s familiarity with our investment platform and extensive knowledge of the financial services industry qualifies him to serve as the chairman of our Board.</w:t>
      </w:r>
    </w:p>
    <w:p>
      <w:pPr>
        <w:spacing w:after="0" w:line="162" w:lineRule="exact"/>
        <w:rPr>
          <w:sz w:val="20"/>
          <w:szCs w:val="20"/>
          <w:color w:val="auto"/>
        </w:rPr>
      </w:pPr>
    </w:p>
    <w:p>
      <w:pPr>
        <w:ind w:left="200" w:right="120" w:firstLine="441"/>
        <w:spacing w:after="0" w:line="254" w:lineRule="auto"/>
        <w:rPr>
          <w:sz w:val="20"/>
          <w:szCs w:val="20"/>
          <w:color w:val="auto"/>
        </w:rPr>
      </w:pPr>
      <w:r>
        <w:rPr>
          <w:rFonts w:ascii="Times New Roman" w:cs="Times New Roman" w:eastAsia="Times New Roman" w:hAnsi="Times New Roman"/>
          <w:sz w:val="18"/>
          <w:szCs w:val="18"/>
          <w:color w:val="auto"/>
        </w:rPr>
        <w:t>Our Board does not currently have a designated lead Independent Director. We are aware of the potential conflicts that may arise when a non-Independent Director is chairman of the Board, but believe these potential conflicts are offset by our strong corporate governance practices. Our corporate governance practices include regular meetings of the Independent Directors in executive session without the presence of interested directors and management, as well as the establishment of a Nominating and Corporate Governance Committee, a Compensation Committee and an Audit Committee, each consisting solely of Independent Directors for the purposes of the NYSE corporate governance rules and, in the case of the Audit Committee, Rule 10A-3 under the Exchange Act. During executive sessions, the chairman of the Audit Committee or his designee acts as presiding director. In addition, our corporate governance practices include the appointment of our Chief Compliance Officer, with whom the Independent Directors meet in executive session without the presence of interested directors and other members of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186" w:lineRule="exact"/>
        <w:rPr>
          <w:sz w:val="20"/>
          <w:szCs w:val="20"/>
          <w:color w:val="auto"/>
        </w:rPr>
      </w:pPr>
    </w:p>
    <w:p>
      <w:pPr>
        <w:ind w:left="200" w:right="140" w:firstLine="441"/>
        <w:spacing w:after="0" w:line="282" w:lineRule="auto"/>
        <w:rPr>
          <w:sz w:val="20"/>
          <w:szCs w:val="20"/>
          <w:color w:val="auto"/>
        </w:rPr>
      </w:pPr>
      <w:r>
        <w:rPr>
          <w:rFonts w:ascii="Times New Roman" w:cs="Times New Roman" w:eastAsia="Times New Roman" w:hAnsi="Times New Roman"/>
          <w:sz w:val="18"/>
          <w:szCs w:val="18"/>
          <w:color w:val="auto"/>
        </w:rPr>
        <w:t>Our Board performs its risk oversight function primarily through its committees and monitoring by our Chief Compliance Officer in accordance with its compliance policies and procedures.</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60"/>
          </w:cols>
          <w:pgMar w:left="240" w:top="455" w:right="49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20" w:firstLine="441"/>
        <w:spacing w:after="0" w:line="258" w:lineRule="auto"/>
        <w:rPr>
          <w:sz w:val="20"/>
          <w:szCs w:val="20"/>
          <w:color w:val="auto"/>
        </w:rPr>
      </w:pPr>
      <w:r>
        <w:rPr>
          <w:rFonts w:ascii="Times New Roman" w:cs="Times New Roman" w:eastAsia="Times New Roman" w:hAnsi="Times New Roman"/>
          <w:sz w:val="18"/>
          <w:szCs w:val="18"/>
          <w:color w:val="auto"/>
        </w:rPr>
        <w:t>As described below in more detail under “—Board Committees—Audit Committee,” the Audit Committee assists the Board in fulfilling its risk oversight responsibilities. The Audit Committee’s risk oversight responsibilities include overseeing our accounting and financial reporting processes, our systems of internal controls regarding finance and accounting, and audits of our financial statements. The Audit Committee also discusses with management our major financial risk exposures and the steps management has taken to monitor and control such exposures, including our risk assessment and risk management policies.</w:t>
      </w:r>
    </w:p>
    <w:p>
      <w:pPr>
        <w:spacing w:after="0" w:line="184"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Our Board also performs its risk oversight responsibilities with the assistance of the Chief Compliance Officer. Our Chief Compliance Officer prepares a written report annually discussing the adequacy and effectiveness of our compliance policies and procedures. The Chief Compliance Officer’s report, which is reviewed by the Board, addresses:</w:t>
      </w:r>
    </w:p>
    <w:p>
      <w:pPr>
        <w:spacing w:after="0" w:line="82" w:lineRule="exact"/>
        <w:rPr>
          <w:sz w:val="20"/>
          <w:szCs w:val="20"/>
          <w:color w:val="auto"/>
        </w:rPr>
      </w:pPr>
    </w:p>
    <w:p>
      <w:pPr>
        <w:ind w:left="1060" w:hanging="316"/>
        <w:spacing w:after="0"/>
        <w:tabs>
          <w:tab w:leader="none" w:pos="10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compliance policies and procedures and certain of our service providers since the last report;</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changes to these policies and procedures or recommended changes; and</w:t>
      </w:r>
    </w:p>
    <w:p>
      <w:pPr>
        <w:spacing w:after="0" w:line="130" w:lineRule="exact"/>
        <w:rPr>
          <w:rFonts w:ascii="Times New Roman" w:cs="Times New Roman" w:eastAsia="Times New Roman" w:hAnsi="Times New Roman"/>
          <w:sz w:val="18"/>
          <w:szCs w:val="18"/>
          <w:color w:val="auto"/>
        </w:rPr>
      </w:pPr>
    </w:p>
    <w:p>
      <w:pPr>
        <w:ind w:left="1060" w:right="280" w:hanging="316"/>
        <w:spacing w:after="0" w:line="282" w:lineRule="auto"/>
        <w:tabs>
          <w:tab w:leader="none" w:pos="10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compliance matter that has occurred about which the Board would reasonably need to know to oversee our compliance activities and risks.</w:t>
      </w:r>
    </w:p>
    <w:p>
      <w:pPr>
        <w:spacing w:after="0" w:line="162" w:lineRule="exact"/>
        <w:rPr>
          <w:sz w:val="20"/>
          <w:szCs w:val="20"/>
          <w:color w:val="auto"/>
        </w:rPr>
      </w:pPr>
    </w:p>
    <w:p>
      <w:pPr>
        <w:ind w:left="200" w:right="500" w:firstLine="441"/>
        <w:spacing w:after="0" w:line="282" w:lineRule="auto"/>
        <w:rPr>
          <w:sz w:val="20"/>
          <w:szCs w:val="20"/>
          <w:color w:val="auto"/>
        </w:rPr>
      </w:pPr>
      <w:r>
        <w:rPr>
          <w:rFonts w:ascii="Times New Roman" w:cs="Times New Roman" w:eastAsia="Times New Roman" w:hAnsi="Times New Roman"/>
          <w:sz w:val="18"/>
          <w:szCs w:val="18"/>
          <w:color w:val="auto"/>
        </w:rPr>
        <w:t>In addition, the Chief Compliance Officer meets separately in executive session with the Independent Directors periodically, typically every quarter, but in no event less than once each year.</w:t>
      </w:r>
    </w:p>
    <w:p>
      <w:pPr>
        <w:spacing w:after="0" w:line="162" w:lineRule="exact"/>
        <w:rPr>
          <w:sz w:val="20"/>
          <w:szCs w:val="20"/>
          <w:color w:val="auto"/>
        </w:rPr>
      </w:pPr>
    </w:p>
    <w:p>
      <w:pPr>
        <w:ind w:left="200" w:right="80" w:firstLine="441"/>
        <w:spacing w:after="0" w:line="255" w:lineRule="auto"/>
        <w:rPr>
          <w:sz w:val="20"/>
          <w:szCs w:val="20"/>
          <w:color w:val="auto"/>
        </w:rPr>
      </w:pPr>
      <w:r>
        <w:rPr>
          <w:rFonts w:ascii="Times New Roman" w:cs="Times New Roman" w:eastAsia="Times New Roman" w:hAnsi="Times New Roman"/>
          <w:sz w:val="18"/>
          <w:szCs w:val="18"/>
          <w:color w:val="auto"/>
        </w:rPr>
        <w:t>We believe that the Board’s role in risk oversight is effective and appropriate given the extensive regulation to which we are already subject as a BDC. Specifically, as a BDC, we must comply with numerous regulatory requirements that control the levels of risk in its business and operations. The 1940 Act limits our ability to incur borrowings, issue debt securities or issue preferred stock unless after any borrowing or issuance the ratio of total assets (less total liabilities other than indebtedness) to total indebtedness plus preferred stock is at least 200% (or 150% if certain requirements are met). In addition, we generally have to invest at least 70% of our total assets in “qualifying assets” and, subject to certain exceptions, we generally are not permitted to invest in any portfolio company in which our affiliates currently has an investment. In addition, we have elected to be treated as a RIC under Subchapter M of the Code. As a RIC, we must, among other things, meet certain source of income, asset diversification and distribution requirements.</w:t>
      </w:r>
    </w:p>
    <w:p>
      <w:pPr>
        <w:spacing w:after="0" w:line="185" w:lineRule="exact"/>
        <w:rPr>
          <w:sz w:val="20"/>
          <w:szCs w:val="20"/>
          <w:color w:val="auto"/>
        </w:rPr>
      </w:pPr>
    </w:p>
    <w:p>
      <w:pPr>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Further, we believe that the Board’s structure and practices enhance its risk oversight because our Independent Directors separately meet in executive sessions with the Chief Compliance Officer and independent registered public accounting firm without any conflict that could be perceived to discourage critical review.</w:t>
      </w:r>
    </w:p>
    <w:p>
      <w:pPr>
        <w:spacing w:after="0" w:line="176" w:lineRule="exact"/>
        <w:rPr>
          <w:sz w:val="20"/>
          <w:szCs w:val="20"/>
          <w:color w:val="auto"/>
        </w:rPr>
      </w:pPr>
    </w:p>
    <w:p>
      <w:pPr>
        <w:ind w:left="200" w:right="840" w:firstLine="441"/>
        <w:spacing w:after="0" w:line="282" w:lineRule="auto"/>
        <w:rPr>
          <w:sz w:val="20"/>
          <w:szCs w:val="20"/>
          <w:color w:val="auto"/>
        </w:rPr>
      </w:pPr>
      <w:r>
        <w:rPr>
          <w:rFonts w:ascii="Times New Roman" w:cs="Times New Roman" w:eastAsia="Times New Roman" w:hAnsi="Times New Roman"/>
          <w:sz w:val="18"/>
          <w:szCs w:val="18"/>
          <w:color w:val="auto"/>
        </w:rPr>
        <w:t>We believe that the Board’s role in risk oversight must be evaluated on a case-by-case basis and that its existing role in risk oversight is appropriate.</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Communications with Directors</w:t>
      </w:r>
    </w:p>
    <w:p>
      <w:pPr>
        <w:spacing w:after="0" w:line="121"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Our Board has established procedures whereby our stockholders and other interested parties may communicate with any member of our Board, the chairman of any of our Board committees or with our non-management directors as a group by mail addressed to the applicable directors or director group, in the care of the Chief Compliance Officer, Jennifer Gordon, TPG Specialty Lending, Inc., 888 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Avenue, 35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New York, NY 10106. Such communications should specify the intended recipient or recipients. All such communications, other than unsolicited commercial solicitations, will be forwarded to the appropriate director, or directors, for review.</w:t>
      </w:r>
    </w:p>
    <w:p>
      <w:pPr>
        <w:spacing w:after="0" w:line="184" w:lineRule="exact"/>
        <w:rPr>
          <w:sz w:val="20"/>
          <w:szCs w:val="20"/>
          <w:color w:val="auto"/>
        </w:rPr>
      </w:pPr>
    </w:p>
    <w:p>
      <w:pPr>
        <w:ind w:left="200" w:right="360" w:firstLine="441"/>
        <w:spacing w:after="0" w:line="282" w:lineRule="auto"/>
        <w:rPr>
          <w:sz w:val="20"/>
          <w:szCs w:val="20"/>
          <w:color w:val="auto"/>
        </w:rPr>
      </w:pPr>
      <w:r>
        <w:rPr>
          <w:rFonts w:ascii="Times New Roman" w:cs="Times New Roman" w:eastAsia="Times New Roman" w:hAnsi="Times New Roman"/>
          <w:sz w:val="18"/>
          <w:szCs w:val="18"/>
          <w:color w:val="auto"/>
        </w:rPr>
        <w:t>In addition, information on how to report issues related to financial statement disclosures, accounting, internal accounting controls or auditing matters to our Board or the Independent Directors via email is available on our website at http://www.tpgspecialtylending.com.</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20"/>
          </w:cols>
          <w:pgMar w:left="240" w:top="455" w:right="43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We currently have three standing committees: the Audit Committee, the Nominating and Corporate Governance Committee and the Compensation Committee.</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The Audit Committee operates pursuant to the Audit Committee Charter. The Audit Committee Charter sets forth the responsibilities of the Audit Committee. The primary function of the Audit Committee is to serve as an independent and objective party to assist the Board in fulfilling its responsibilities for our accounting and reporting processes and the audits of its financial statements by overseeing and monitoring:</w:t>
      </w:r>
    </w:p>
    <w:p>
      <w:pPr>
        <w:spacing w:after="0" w:line="82" w:lineRule="exact"/>
        <w:rPr>
          <w:sz w:val="20"/>
          <w:szCs w:val="20"/>
          <w:color w:val="auto"/>
        </w:rPr>
      </w:pPr>
    </w:p>
    <w:p>
      <w:pPr>
        <w:ind w:left="1060" w:hanging="316"/>
        <w:spacing w:after="0"/>
        <w:tabs>
          <w:tab w:leader="none" w:pos="10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integrity of our financial statements;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system of internal controls;</w:t>
      </w:r>
    </w:p>
    <w:p>
      <w:pPr>
        <w:spacing w:after="0" w:line="130" w:lineRule="exact"/>
        <w:rPr>
          <w:rFonts w:ascii="Times New Roman" w:cs="Times New Roman" w:eastAsia="Times New Roman" w:hAnsi="Times New Roman"/>
          <w:sz w:val="18"/>
          <w:szCs w:val="18"/>
          <w:color w:val="auto"/>
        </w:rPr>
      </w:pPr>
    </w:p>
    <w:p>
      <w:pPr>
        <w:ind w:left="1060" w:right="520" w:hanging="316"/>
        <w:spacing w:after="0" w:line="282" w:lineRule="auto"/>
        <w:tabs>
          <w:tab w:leader="none" w:pos="10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reporting process, including the valuation of investments, the review of the independence and performance of, as well as communicate openly with, our independent registered public accounting firm; and</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w:t>
      </w:r>
    </w:p>
    <w:p>
      <w:pPr>
        <w:spacing w:after="0" w:line="225" w:lineRule="exact"/>
        <w:rPr>
          <w:sz w:val="20"/>
          <w:szCs w:val="20"/>
          <w:color w:val="auto"/>
        </w:rPr>
      </w:pPr>
    </w:p>
    <w:p>
      <w:pPr>
        <w:ind w:left="200" w:right="600" w:firstLine="441"/>
        <w:spacing w:after="0" w:line="282" w:lineRule="auto"/>
        <w:rPr>
          <w:sz w:val="20"/>
          <w:szCs w:val="20"/>
          <w:color w:val="auto"/>
        </w:rPr>
      </w:pPr>
      <w:r>
        <w:rPr>
          <w:rFonts w:ascii="Times New Roman" w:cs="Times New Roman" w:eastAsia="Times New Roman" w:hAnsi="Times New Roman"/>
          <w:sz w:val="18"/>
          <w:szCs w:val="18"/>
          <w:color w:val="auto"/>
        </w:rPr>
        <w:t>Our Audit Committee has the sole authority to approve the engagement, and review the performance of, our independent registered public accounting firm.</w:t>
      </w:r>
    </w:p>
    <w:p>
      <w:pPr>
        <w:spacing w:after="0" w:line="162" w:lineRule="exact"/>
        <w:rPr>
          <w:sz w:val="20"/>
          <w:szCs w:val="20"/>
          <w:color w:val="auto"/>
        </w:rPr>
      </w:pPr>
    </w:p>
    <w:p>
      <w:pPr>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Our Board has designated Mr. Ross as an “audit committee financial expert” pursuant to the provisions of Item 407(d)(5) of Regulation S-K, and, pursuant to the Audit Committee Charter, our Audit Committee consists solely of members who are independent directors for the purposes of the applicable NYSE corporate governance rules and Rule 10A-3 under the Exchange Act.</w:t>
      </w:r>
    </w:p>
    <w:p>
      <w:pPr>
        <w:spacing w:after="0" w:line="176" w:lineRule="exact"/>
        <w:rPr>
          <w:sz w:val="20"/>
          <w:szCs w:val="20"/>
          <w:color w:val="auto"/>
        </w:rPr>
      </w:pPr>
    </w:p>
    <w:p>
      <w:pPr>
        <w:ind w:left="200" w:right="280" w:firstLine="441"/>
        <w:spacing w:after="0" w:line="282" w:lineRule="auto"/>
        <w:rPr>
          <w:sz w:val="20"/>
          <w:szCs w:val="20"/>
          <w:color w:val="auto"/>
        </w:rPr>
      </w:pPr>
      <w:r>
        <w:rPr>
          <w:rFonts w:ascii="Times New Roman" w:cs="Times New Roman" w:eastAsia="Times New Roman" w:hAnsi="Times New Roman"/>
          <w:sz w:val="18"/>
          <w:szCs w:val="18"/>
          <w:color w:val="auto"/>
        </w:rPr>
        <w:t>Messrs. Ross, Higginbotham and Tanemura are members of the Audit Committee and Mr. Ross serves as Chairman. The Audit Committee has held eight meetings in 2017 and acted on various occasions by written consent.</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jc w:val="both"/>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operates pursuant to the Nominating and Corporate Governance Committee Charter. The Nominating and Corporate Governance Committee Charter sets forth the responsibilities of the Nominating and Corporate Governance Committee. The Nominating and Corporate Governance Committee is responsible for:</w:t>
      </w:r>
    </w:p>
    <w:p>
      <w:pPr>
        <w:spacing w:after="0" w:line="82" w:lineRule="exact"/>
        <w:rPr>
          <w:sz w:val="20"/>
          <w:szCs w:val="20"/>
          <w:color w:val="auto"/>
        </w:rPr>
      </w:pPr>
    </w:p>
    <w:p>
      <w:pPr>
        <w:ind w:left="1060" w:hanging="316"/>
        <w:spacing w:after="0"/>
        <w:tabs>
          <w:tab w:leader="none" w:pos="10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researching and nominating directors for election by our stockholders;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nominees to fill vacancies on the Board or a committee of the Board;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a set of corporate governance principles;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Board and our management.</w:t>
      </w:r>
    </w:p>
    <w:p>
      <w:pPr>
        <w:spacing w:after="0" w:line="225" w:lineRule="exact"/>
        <w:rPr>
          <w:sz w:val="20"/>
          <w:szCs w:val="20"/>
          <w:color w:val="auto"/>
        </w:rPr>
      </w:pPr>
    </w:p>
    <w:p>
      <w:pPr>
        <w:ind w:left="200" w:right="460" w:firstLine="441"/>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nominees to the Board recommended by a stockholder, if that stockholder complies with the advance notice provisions of our bylaws, as described below.</w:t>
      </w:r>
    </w:p>
    <w:p>
      <w:pPr>
        <w:spacing w:after="0" w:line="162" w:lineRule="exact"/>
        <w:rPr>
          <w:sz w:val="20"/>
          <w:szCs w:val="20"/>
          <w:color w:val="auto"/>
        </w:rPr>
      </w:pPr>
    </w:p>
    <w:p>
      <w:pPr>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The members of the Nominating and Corporate Governance Committee are Messrs. Ross, Higginbotham and Tanemura, each of whom is independent for purposes of the NYSE corporate governance rules. Mr. Higginbotham serves as Chairman. The Nominating and Corporate Governance Committee held one meeting in 2017.</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00"/>
          </w:cols>
          <w:pgMar w:left="240" w:top="455" w:right="45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200" w:right="240" w:firstLine="441"/>
        <w:spacing w:after="0" w:line="282" w:lineRule="auto"/>
        <w:rPr>
          <w:sz w:val="20"/>
          <w:szCs w:val="20"/>
          <w:color w:val="auto"/>
        </w:rPr>
      </w:pPr>
      <w:r>
        <w:rPr>
          <w:rFonts w:ascii="Times New Roman" w:cs="Times New Roman" w:eastAsia="Times New Roman" w:hAnsi="Times New Roman"/>
          <w:sz w:val="18"/>
          <w:szCs w:val="18"/>
          <w:color w:val="auto"/>
        </w:rPr>
        <w:t>The Compensation Committee operates pursuant to the Compensation Committee Charter. The Compensation Committee Charter sets forth the responsibilities of the Compensation Committee. The Compensation Committee is responsible for:</w:t>
      </w:r>
    </w:p>
    <w:p>
      <w:pPr>
        <w:spacing w:after="0" w:line="67" w:lineRule="exact"/>
        <w:rPr>
          <w:sz w:val="20"/>
          <w:szCs w:val="20"/>
          <w:color w:val="auto"/>
        </w:rPr>
      </w:pPr>
    </w:p>
    <w:p>
      <w:pPr>
        <w:ind w:left="1060" w:right="740" w:hanging="316"/>
        <w:spacing w:after="0" w:line="282" w:lineRule="auto"/>
        <w:tabs>
          <w:tab w:leader="none" w:pos="10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reimbursement by us of compensation paid by the Adviser or its affiliates pursuant to the terms of the Investment Advisory Agreement and Administration Agreement;</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setting compensation for our directors;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along with the Board, approving or renewing the Investment Advisory Agreement and Administration Agreement.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“—Compensation and Insider Participation—Compensation of Executive Officers.”</w:t>
      </w:r>
    </w:p>
    <w:p>
      <w:pPr>
        <w:spacing w:after="0" w:line="225" w:lineRule="exact"/>
        <w:rPr>
          <w:sz w:val="20"/>
          <w:szCs w:val="20"/>
          <w:color w:val="auto"/>
        </w:rPr>
      </w:pPr>
    </w:p>
    <w:p>
      <w:pPr>
        <w:ind w:left="200" w:right="140" w:firstLine="441"/>
        <w:spacing w:after="0" w:line="282" w:lineRule="auto"/>
        <w:rPr>
          <w:sz w:val="20"/>
          <w:szCs w:val="20"/>
          <w:color w:val="auto"/>
        </w:rPr>
      </w:pPr>
      <w:r>
        <w:rPr>
          <w:rFonts w:ascii="Times New Roman" w:cs="Times New Roman" w:eastAsia="Times New Roman" w:hAnsi="Times New Roman"/>
          <w:sz w:val="18"/>
          <w:szCs w:val="18"/>
          <w:color w:val="auto"/>
        </w:rPr>
        <w:t>The members of the Compensation Committee are Messrs. Ross, Higginbotham and Tanemura, each of whom is independent for purposes of the NYSE corporate governance rules. Mr. Ross serves as Chairman. The Compensation Committee held one meeting in 2017.</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Committee Charters</w:t>
      </w:r>
    </w:p>
    <w:p>
      <w:pPr>
        <w:spacing w:after="0" w:line="121" w:lineRule="exact"/>
        <w:rPr>
          <w:sz w:val="20"/>
          <w:szCs w:val="20"/>
          <w:color w:val="auto"/>
        </w:rPr>
      </w:pPr>
    </w:p>
    <w:p>
      <w:pPr>
        <w:jc w:val="both"/>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We maintain a corporate governance section on our website, which contains copies of the charters for the committees of our Board. The corporate governance section may be found at http://www.tpgspecialtylending.com in the “Investor Resources” section of our website. Information on our website is not incorporated into this prospectus. The corporate governance section contains the following documents:</w:t>
      </w:r>
    </w:p>
    <w:p>
      <w:pPr>
        <w:spacing w:after="0" w:line="82" w:lineRule="exact"/>
        <w:rPr>
          <w:sz w:val="20"/>
          <w:szCs w:val="20"/>
          <w:color w:val="auto"/>
        </w:rPr>
      </w:pPr>
    </w:p>
    <w:p>
      <w:pPr>
        <w:ind w:left="1060" w:hanging="316"/>
        <w:spacing w:after="0"/>
        <w:tabs>
          <w:tab w:leader="none" w:pos="10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Charter</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Corporate Governance Committee Charter</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Charter</w:t>
      </w:r>
    </w:p>
    <w:p>
      <w:pPr>
        <w:spacing w:after="0" w:line="225"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In addition, our SOX Code of Business Conduct and Ethics and our Corporate Governance Guidelines may be found at http://www.tpgspecialtylending.com in the “Investor Resources” section of our website. We intend to disclose any substantive amendments to or waivers of required provisions of the SOX Code of Business Conduct and Ethics on our website or on a current report on Form 8-K.</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121" w:lineRule="exact"/>
        <w:rPr>
          <w:sz w:val="20"/>
          <w:szCs w:val="20"/>
          <w:color w:val="auto"/>
        </w:rPr>
      </w:pPr>
    </w:p>
    <w:p>
      <w:pPr>
        <w:ind w:left="200" w:right="680" w:firstLine="441"/>
        <w:spacing w:after="0" w:line="282" w:lineRule="auto"/>
        <w:rPr>
          <w:sz w:val="20"/>
          <w:szCs w:val="20"/>
          <w:color w:val="auto"/>
        </w:rPr>
      </w:pPr>
      <w:r>
        <w:rPr>
          <w:rFonts w:ascii="Times New Roman" w:cs="Times New Roman" w:eastAsia="Times New Roman" w:hAnsi="Times New Roman"/>
          <w:sz w:val="18"/>
          <w:szCs w:val="18"/>
          <w:color w:val="auto"/>
        </w:rPr>
        <w:t>Nomination for election as a director may be made by, or at the direction of, the Nominating and Corporate Governance Committee or by stockholders in compliance with the procedures set forth in our bylaws.</w:t>
      </w:r>
    </w:p>
    <w:p>
      <w:pPr>
        <w:spacing w:after="0" w:line="162" w:lineRule="exact"/>
        <w:rPr>
          <w:sz w:val="20"/>
          <w:szCs w:val="20"/>
          <w:color w:val="auto"/>
        </w:rPr>
      </w:pPr>
    </w:p>
    <w:p>
      <w:pPr>
        <w:jc w:val="both"/>
        <w:ind w:left="200" w:right="100" w:firstLine="441"/>
        <w:spacing w:after="0" w:line="258" w:lineRule="auto"/>
        <w:rPr>
          <w:sz w:val="20"/>
          <w:szCs w:val="20"/>
          <w:color w:val="auto"/>
        </w:rPr>
      </w:pPr>
      <w:r>
        <w:rPr>
          <w:rFonts w:ascii="Times New Roman" w:cs="Times New Roman" w:eastAsia="Times New Roman" w:hAnsi="Times New Roman"/>
          <w:sz w:val="18"/>
          <w:szCs w:val="18"/>
          <w:color w:val="auto"/>
        </w:rPr>
        <w:t>Our bylaws provide the procedures to be followed by a stockholder desiring to make a director nomination. For a stockholder to properly bring any item of business before a meeting of stockholders, including nominations to serve as a director, the stockholder must give timely notice thereof in writing to our Secretary in compliance with the requirements of our bylaws. Stockholder notices or nominations for director should be made in writing to the Secretary of the Company, Jennifer Gordon, TPG Specialty Lending, Inc., 301 Commerce Street, Suite 3300, Fort Worth, TX 76102. Please refer to the text of our bylaws (including Article II, paragraph (K)), which are on file with the SEC.</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evaluating director nominees, the Nominating and Corporate Governance Committee considers, among others, the following factors:</w:t>
      </w:r>
    </w:p>
    <w:p>
      <w:pPr>
        <w:spacing w:after="0" w:line="131" w:lineRule="exact"/>
        <w:rPr>
          <w:sz w:val="20"/>
          <w:szCs w:val="20"/>
          <w:color w:val="auto"/>
        </w:rPr>
      </w:pPr>
    </w:p>
    <w:p>
      <w:pPr>
        <w:ind w:left="1060" w:hanging="316"/>
        <w:spacing w:after="0"/>
        <w:tabs>
          <w:tab w:leader="none" w:pos="10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 size and composition of our Board;</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20"/>
          </w:cols>
          <w:pgMar w:left="240" w:top="455" w:right="43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person is an “interested person” of TSLX as defined in Section 2(a)(19) of the 1940 Act;</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needs of TSLX with respect to the particular talents and experience of its directors;</w:t>
      </w:r>
    </w:p>
    <w:p>
      <w:pPr>
        <w:spacing w:after="0" w:line="130" w:lineRule="exact"/>
        <w:rPr>
          <w:rFonts w:ascii="Times New Roman" w:cs="Times New Roman" w:eastAsia="Times New Roman" w:hAnsi="Times New Roman"/>
          <w:sz w:val="18"/>
          <w:szCs w:val="18"/>
          <w:color w:val="auto"/>
        </w:rPr>
      </w:pPr>
    </w:p>
    <w:p>
      <w:pPr>
        <w:ind w:left="1060" w:hanging="316"/>
        <w:spacing w:after="0" w:line="282" w:lineRule="auto"/>
        <w:tabs>
          <w:tab w:leader="none" w:pos="10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knowledge, skills and experience of nominees in light of prevailing business conditions and the knowledge, skills and experience already possessed by other members of the Board;</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character and integrity;</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familiarity with national and international business matters;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with accounting rules and practices;</w:t>
      </w:r>
    </w:p>
    <w:p>
      <w:pPr>
        <w:spacing w:after="0" w:line="130" w:lineRule="exact"/>
        <w:rPr>
          <w:rFonts w:ascii="Times New Roman" w:cs="Times New Roman" w:eastAsia="Times New Roman" w:hAnsi="Times New Roman"/>
          <w:sz w:val="18"/>
          <w:szCs w:val="18"/>
          <w:color w:val="auto"/>
        </w:rPr>
      </w:pPr>
    </w:p>
    <w:p>
      <w:pPr>
        <w:ind w:left="1060" w:right="260" w:hanging="316"/>
        <w:spacing w:after="0" w:line="282" w:lineRule="auto"/>
        <w:tabs>
          <w:tab w:leader="none" w:pos="10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desire to balance the considerable benefit of continuity with the periodic injection of the fresh perspective provided by new members; and</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laws, rules, regulations, and listing standards.</w:t>
      </w:r>
    </w:p>
    <w:p>
      <w:pPr>
        <w:spacing w:after="0" w:line="225" w:lineRule="exact"/>
        <w:rPr>
          <w:sz w:val="20"/>
          <w:szCs w:val="20"/>
          <w:color w:val="auto"/>
        </w:rPr>
      </w:pPr>
    </w:p>
    <w:p>
      <w:pPr>
        <w:ind w:left="200" w:right="440" w:firstLine="441"/>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Committee’s goal is to assemble a board that brings to TSLX a variety of perspectives and skills derived from high-quality business and professional experience.</w:t>
      </w:r>
    </w:p>
    <w:p>
      <w:pPr>
        <w:spacing w:after="0" w:line="162" w:lineRule="exact"/>
        <w:rPr>
          <w:sz w:val="20"/>
          <w:szCs w:val="20"/>
          <w:color w:val="auto"/>
        </w:rPr>
      </w:pPr>
    </w:p>
    <w:p>
      <w:pPr>
        <w:ind w:left="200" w:right="620" w:firstLine="441"/>
        <w:spacing w:after="0" w:line="266" w:lineRule="auto"/>
        <w:rPr>
          <w:sz w:val="20"/>
          <w:szCs w:val="20"/>
          <w:color w:val="auto"/>
        </w:rPr>
      </w:pPr>
      <w:r>
        <w:rPr>
          <w:rFonts w:ascii="Times New Roman" w:cs="Times New Roman" w:eastAsia="Times New Roman" w:hAnsi="Times New Roman"/>
          <w:sz w:val="18"/>
          <w:szCs w:val="18"/>
          <w:color w:val="auto"/>
        </w:rPr>
        <w:t>Other than the foregoing, there are no stated minimum criteria for director nominees, although the Nominating and Corporate Governance Committee may also consider other factors as they may deem are in the best interests of TSLX and its stockholders. The Board also believes it appropriate for certain key members of our management to participate as members of the Board.</w:t>
      </w:r>
    </w:p>
    <w:p>
      <w:pPr>
        <w:spacing w:after="0" w:line="176" w:lineRule="exact"/>
        <w:rPr>
          <w:sz w:val="20"/>
          <w:szCs w:val="20"/>
          <w:color w:val="auto"/>
        </w:rPr>
      </w:pPr>
    </w:p>
    <w:p>
      <w:pPr>
        <w:ind w:left="200" w:right="40" w:firstLine="441"/>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identifies nominees by first evaluating the current members of the Board willing to continue in service. Current members of the Board with skills and experience that are relevant to our business and who are willing to continue in service are considered for re-nomination. If any member of the Board does not wish to continue in service or if the Nominating and Corporate Governance Committee decides not to re-nominate a member for re-election, the Nominating and Corporate Governance Committee identifies the desired skills and experience of a new nominee in light of the criteria above. The members of the Board are polled for suggestions as to individuals meeting the aforementioned criteria. Research may also be performed to identify qualified individuals.</w:t>
      </w:r>
    </w:p>
    <w:p>
      <w:pPr>
        <w:spacing w:after="0" w:line="188" w:lineRule="exact"/>
        <w:rPr>
          <w:sz w:val="20"/>
          <w:szCs w:val="20"/>
          <w:color w:val="auto"/>
        </w:rPr>
      </w:pPr>
    </w:p>
    <w:p>
      <w:pPr>
        <w:ind w:left="200" w:right="80" w:firstLine="441"/>
        <w:spacing w:after="0" w:line="274" w:lineRule="auto"/>
        <w:rPr>
          <w:sz w:val="20"/>
          <w:szCs w:val="20"/>
          <w:color w:val="auto"/>
        </w:rPr>
      </w:pPr>
      <w:r>
        <w:rPr>
          <w:rFonts w:ascii="Times New Roman" w:cs="Times New Roman" w:eastAsia="Times New Roman" w:hAnsi="Times New Roman"/>
          <w:sz w:val="17"/>
          <w:szCs w:val="17"/>
          <w:color w:val="auto"/>
        </w:rPr>
        <w:t>The Board has not adopted a formal policy with regard to the consideration of diversity in identifying director nominees. In determining whether to recommend a director nominee, the Nominating and Corporate Governance Committee considers and discusses diversity, among other factors, with a view toward the needs of the Board as a whole. The Board generally conceptualizes diversity expansively to include, without limitation, concepts such as race, gender, national origin, differences of viewpoint, professional experience, education, skill and other qualities that contribute to the Board when identifying and recommending director nominees. The Board believes that the inclusion of diversity as one of many factors considered in selecting director nominees is consistent with the Board’s goal of creating a Board that best serves the needs of TSLX and the interests of our stockholders.</w:t>
      </w:r>
    </w:p>
    <w:p>
      <w:pPr>
        <w:spacing w:after="0" w:line="2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Compensation and Insider Participation</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Independent Directors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pay each Independent Director the following amounts for serving as a director:</w:t>
      </w:r>
    </w:p>
    <w:p>
      <w:pPr>
        <w:spacing w:after="0" w:line="131" w:lineRule="exact"/>
        <w:rPr>
          <w:sz w:val="20"/>
          <w:szCs w:val="20"/>
          <w:color w:val="auto"/>
        </w:rPr>
      </w:pPr>
    </w:p>
    <w:p>
      <w:pPr>
        <w:ind w:left="1060" w:hanging="316"/>
        <w:spacing w:after="0"/>
        <w:tabs>
          <w:tab w:leader="none" w:pos="10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$100,000 annual retainer;</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 for each meeting of the Board attended;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 for each monthly telephonic update meeting attended;</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20"/>
          </w:cols>
          <w:pgMar w:left="240" w:top="455" w:right="43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for each committee meeting of ours attended;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fee of $10,000 per year for the chairman of the Audit Committee and the Nominating and Corporate Governance Committee.</w:t>
      </w:r>
    </w:p>
    <w:p>
      <w:pPr>
        <w:spacing w:after="0" w:line="225" w:lineRule="exact"/>
        <w:rPr>
          <w:sz w:val="20"/>
          <w:szCs w:val="20"/>
          <w:color w:val="auto"/>
        </w:rPr>
      </w:pPr>
    </w:p>
    <w:p>
      <w:pPr>
        <w:ind w:left="200" w:right="40" w:firstLine="441"/>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2017, we also reimbursed directors for certain out-of-pocket expenses each Independent Director incurred in connection with the fulfillment of his duties as an Independent Director.</w:t>
      </w:r>
    </w:p>
    <w:p>
      <w:pPr>
        <w:spacing w:after="0" w:line="162" w:lineRule="exact"/>
        <w:rPr>
          <w:sz w:val="20"/>
          <w:szCs w:val="20"/>
          <w:color w:val="auto"/>
        </w:rPr>
      </w:pPr>
    </w:p>
    <w:p>
      <w:pPr>
        <w:ind w:left="200" w:right="8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total compensation earned by or paid to each of our Independent Directors during the fiscal year ended December 31, 2017:</w:t>
      </w:r>
    </w:p>
    <w:p>
      <w:pPr>
        <w:spacing w:after="0" w:line="170"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Fees Earned</w:t>
            </w:r>
          </w:p>
        </w:tc>
        <w:tc>
          <w:tcPr>
            <w:tcW w:w="700" w:type="dxa"/>
            <w:vAlign w:val="bottom"/>
          </w:tcPr>
          <w:p>
            <w:pPr>
              <w:spacing w:after="0"/>
              <w:rPr>
                <w:sz w:val="13"/>
                <w:szCs w:val="13"/>
                <w:color w:val="auto"/>
              </w:rPr>
            </w:pPr>
          </w:p>
        </w:tc>
        <w:tc>
          <w:tcPr>
            <w:tcW w:w="7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120" w:type="dxa"/>
            <w:vAlign w:val="bottom"/>
            <w:gridSpan w:val="3"/>
          </w:tcPr>
          <w:p>
            <w:pPr>
              <w:ind w:left="2160"/>
              <w:spacing w:after="0"/>
              <w:rPr>
                <w:sz w:val="20"/>
                <w:szCs w:val="20"/>
                <w:color w:val="auto"/>
              </w:rPr>
            </w:pPr>
            <w:r>
              <w:rPr>
                <w:rFonts w:ascii="Times New Roman" w:cs="Times New Roman" w:eastAsia="Times New Roman" w:hAnsi="Times New Roman"/>
                <w:sz w:val="14"/>
                <w:szCs w:val="14"/>
                <w:b w:val="1"/>
                <w:bCs w:val="1"/>
                <w:color w:val="auto"/>
              </w:rPr>
              <w:t>or Paid in Cash</w:t>
            </w:r>
          </w:p>
        </w:tc>
        <w:tc>
          <w:tcPr>
            <w:tcW w:w="7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Higginbotham</w:t>
            </w:r>
          </w:p>
        </w:tc>
        <w:tc>
          <w:tcPr>
            <w:tcW w:w="2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131,500</w:t>
            </w:r>
          </w:p>
        </w:tc>
        <w:tc>
          <w:tcPr>
            <w:tcW w:w="7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$131,500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John Ross</w:t>
            </w:r>
          </w:p>
        </w:tc>
        <w:tc>
          <w:tcPr>
            <w:tcW w:w="22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141,500</w:t>
            </w:r>
          </w:p>
        </w:tc>
        <w:tc>
          <w:tcPr>
            <w:tcW w:w="140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rPr>
              <w:t>$141,500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Tanemura</w:t>
            </w:r>
          </w:p>
        </w:tc>
        <w:tc>
          <w:tcPr>
            <w:tcW w:w="2260" w:type="dxa"/>
            <w:vAlign w:val="bottom"/>
            <w:gridSpan w:val="2"/>
            <w:shd w:val="clear" w:color="auto" w:fill="CCEEFF"/>
          </w:tcPr>
          <w:p>
            <w:pPr>
              <w:ind w:left="21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131,500</w:t>
            </w:r>
          </w:p>
        </w:tc>
        <w:tc>
          <w:tcPr>
            <w:tcW w:w="1400" w:type="dxa"/>
            <w:vAlign w:val="bottom"/>
            <w:gridSpan w:val="2"/>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$131,500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Compensation of Executive Officers</w:t>
      </w:r>
    </w:p>
    <w:p>
      <w:pPr>
        <w:spacing w:after="0" w:line="121" w:lineRule="exact"/>
        <w:rPr>
          <w:sz w:val="20"/>
          <w:szCs w:val="20"/>
          <w:color w:val="auto"/>
        </w:rPr>
      </w:pPr>
    </w:p>
    <w:p>
      <w:pPr>
        <w:ind w:left="200" w:right="60" w:firstLine="441"/>
        <w:spacing w:after="0" w:line="258" w:lineRule="auto"/>
        <w:rPr>
          <w:sz w:val="20"/>
          <w:szCs w:val="20"/>
          <w:color w:val="auto"/>
        </w:rPr>
      </w:pPr>
      <w:r>
        <w:rPr>
          <w:rFonts w:ascii="Times New Roman" w:cs="Times New Roman" w:eastAsia="Times New Roman" w:hAnsi="Times New Roman"/>
          <w:sz w:val="18"/>
          <w:szCs w:val="18"/>
          <w:color w:val="auto"/>
        </w:rPr>
        <w:t>We do not currently have any employees and do not expect to have any employees. Services necessary for our business are provided by individuals who are employees of the Adviser or its affiliates or by subcontractors, pursuant to the terms of the Investment Advisory Agreement and the Administration Agreement. Each of our executive officers is an employee of the Adviser or its affiliates. Our day-to-day investment operations are managed by the Adviser. Most of the services necessary for the origination and administration of our investment portfolio are provided by investment professionals employed by the Adviser or its affiliates or by subcontractors.</w:t>
      </w:r>
    </w:p>
    <w:p>
      <w:pPr>
        <w:spacing w:after="0" w:line="184"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None of our executive officers receives direct compensation from us. We reimburse the Adviser or its affiliates for an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Certain of our executive officers and other members of our Investment Team, through their ownership interest in or management positions with the Adviser or its affiliates, are entitled to a portion of any profits earned by the Adviser, which includes any fees payable to the Adviser under the terms of our Investment Advisory Agreement, less expenses incurred by the Adviser in performing its services under our Investment Advisory Agreement. The Adviser or its affiliates may pay additional salaries, bonuses, and individual performance awards or individual performance bonuses to our executive officers in addition to their ownership interest.</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Investment Adviser and Administrator</w:t>
      </w:r>
    </w:p>
    <w:p>
      <w:pPr>
        <w:spacing w:after="0" w:line="121" w:lineRule="exact"/>
        <w:rPr>
          <w:sz w:val="20"/>
          <w:szCs w:val="20"/>
          <w:color w:val="auto"/>
        </w:rPr>
      </w:pPr>
    </w:p>
    <w:p>
      <w:pPr>
        <w:ind w:left="200" w:right="40" w:firstLine="441"/>
        <w:spacing w:after="0" w:line="282" w:lineRule="auto"/>
        <w:rPr>
          <w:sz w:val="20"/>
          <w:szCs w:val="20"/>
          <w:color w:val="auto"/>
        </w:rPr>
      </w:pPr>
      <w:r>
        <w:rPr>
          <w:rFonts w:ascii="Times New Roman" w:cs="Times New Roman" w:eastAsia="Times New Roman" w:hAnsi="Times New Roman"/>
          <w:sz w:val="18"/>
          <w:szCs w:val="18"/>
          <w:color w:val="auto"/>
        </w:rPr>
        <w:t>TSL Advisers, LLC is our external manager. Our Adviser is a Delaware limited liability company. Our Adviser acts as our investment adviser and administrator and is a registered investment adviser with the SEC under the Advisers Act.</w:t>
      </w:r>
    </w:p>
    <w:p>
      <w:pPr>
        <w:spacing w:after="0" w:line="162" w:lineRule="exact"/>
        <w:rPr>
          <w:sz w:val="20"/>
          <w:szCs w:val="20"/>
          <w:color w:val="auto"/>
        </w:rPr>
      </w:pPr>
    </w:p>
    <w:p>
      <w:pPr>
        <w:ind w:left="200" w:right="180" w:firstLine="441"/>
        <w:spacing w:after="0" w:line="258" w:lineRule="auto"/>
        <w:rPr>
          <w:sz w:val="20"/>
          <w:szCs w:val="20"/>
          <w:color w:val="auto"/>
        </w:rPr>
      </w:pPr>
      <w:r>
        <w:rPr>
          <w:rFonts w:ascii="Times New Roman" w:cs="Times New Roman" w:eastAsia="Times New Roman" w:hAnsi="Times New Roman"/>
          <w:sz w:val="18"/>
          <w:szCs w:val="18"/>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the Investment Review Committee, which includes senior personnel of our Adviser and TSSP. The members of the Investment Review Committee are Joshua Easterly, Michael Fishman, Alan Waxman and David Stiepleman.</w:t>
      </w:r>
    </w:p>
    <w:p>
      <w:pPr>
        <w:spacing w:after="0" w:line="184" w:lineRule="exact"/>
        <w:rPr>
          <w:sz w:val="20"/>
          <w:szCs w:val="20"/>
          <w:color w:val="auto"/>
        </w:rPr>
      </w:pPr>
    </w:p>
    <w:p>
      <w:pPr>
        <w:ind w:left="200" w:right="160" w:firstLine="441"/>
        <w:spacing w:after="0" w:line="282" w:lineRule="auto"/>
        <w:rPr>
          <w:sz w:val="20"/>
          <w:szCs w:val="20"/>
          <w:color w:val="auto"/>
        </w:rPr>
      </w:pPr>
      <w:r>
        <w:rPr>
          <w:rFonts w:ascii="Times New Roman" w:cs="Times New Roman" w:eastAsia="Times New Roman" w:hAnsi="Times New Roman"/>
          <w:sz w:val="18"/>
          <w:szCs w:val="18"/>
          <w:color w:val="auto"/>
        </w:rPr>
        <w:t>Our Adviser consults with TSSP and TPG in connection with a substantial number of our investments. The TSSP and TPG platforms provide us with a breadth of large and scalable investment resources. We believe we</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00"/>
          </w:cols>
          <w:pgMar w:left="240" w:top="455" w:right="45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6" w:lineRule="auto"/>
        <w:rPr>
          <w:sz w:val="20"/>
          <w:szCs w:val="20"/>
          <w:color w:val="auto"/>
        </w:rPr>
      </w:pPr>
      <w:r>
        <w:rPr>
          <w:rFonts w:ascii="Times New Roman" w:cs="Times New Roman" w:eastAsia="Times New Roman" w:hAnsi="Times New Roman"/>
          <w:sz w:val="18"/>
          <w:szCs w:val="18"/>
          <w:color w:val="auto"/>
        </w:rPr>
        <w:t>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See “The Company—About TSLX—Our Investment Adviser” for a further description of TSSP and TPG.</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Adviser’s address is 301 Commerce Street, Suite 3300, Fort Worth, TX 76102.</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20"/>
          </w:cols>
          <w:pgMar w:left="240" w:top="455" w:right="43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MANAGEMENT AND OTHER AGREEMENTS</w:t>
      </w:r>
    </w:p>
    <w:p>
      <w:pPr>
        <w:spacing w:after="0" w:line="229" w:lineRule="exact"/>
        <w:rPr>
          <w:sz w:val="20"/>
          <w:szCs w:val="20"/>
          <w:color w:val="auto"/>
        </w:rPr>
      </w:pPr>
    </w:p>
    <w:p>
      <w:pPr>
        <w:ind w:left="200" w:right="140" w:firstLine="441"/>
        <w:spacing w:after="0" w:line="266" w:lineRule="auto"/>
        <w:rPr>
          <w:sz w:val="20"/>
          <w:szCs w:val="20"/>
          <w:color w:val="auto"/>
        </w:rPr>
      </w:pPr>
      <w:r>
        <w:rPr>
          <w:rFonts w:ascii="Times New Roman" w:cs="Times New Roman" w:eastAsia="Times New Roman" w:hAnsi="Times New Roman"/>
          <w:sz w:val="18"/>
          <w:szCs w:val="18"/>
          <w:color w:val="auto"/>
        </w:rPr>
        <w:t>The following description is a summary of the material terms of the Investment Advisory Agreement, Administration Agreement and License Agreement. This summary is not necessarily complete, and we refer you to these agreements as filed as exhibits to our SEC filings for a more detailed description of the provisions summarized below.</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Investment Advisory Agreement; Administration Agreement; License Agreement</w:t>
      </w:r>
    </w:p>
    <w:p>
      <w:pPr>
        <w:spacing w:after="0" w:line="121"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On April 15, 2011, we entered into the Investment Advisory Agreement with our Adviser. The Investment Advisory Agreement was subsequently amended on December 12, 2011.</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Under the Investment Advisory Agreement, the Adviser:</w:t>
      </w:r>
    </w:p>
    <w:p>
      <w:pPr>
        <w:spacing w:after="0" w:line="131" w:lineRule="exact"/>
        <w:rPr>
          <w:sz w:val="20"/>
          <w:szCs w:val="20"/>
          <w:color w:val="auto"/>
        </w:rPr>
      </w:pPr>
    </w:p>
    <w:p>
      <w:pPr>
        <w:ind w:left="1060" w:right="280" w:hanging="316"/>
        <w:spacing w:after="0" w:line="282" w:lineRule="auto"/>
        <w:tabs>
          <w:tab w:leader="none" w:pos="10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composition of our portfolio, the nature and timing of the changes to our portfolio and the manner of implementing those changes;</w:t>
      </w:r>
    </w:p>
    <w:p>
      <w:pPr>
        <w:spacing w:after="0" w:line="67" w:lineRule="exact"/>
        <w:rPr>
          <w:rFonts w:ascii="Times New Roman" w:cs="Times New Roman" w:eastAsia="Times New Roman" w:hAnsi="Times New Roman"/>
          <w:sz w:val="18"/>
          <w:szCs w:val="18"/>
          <w:color w:val="auto"/>
        </w:rPr>
      </w:pPr>
    </w:p>
    <w:p>
      <w:pPr>
        <w:ind w:left="1060" w:right="560" w:hanging="316"/>
        <w:spacing w:after="0" w:line="282" w:lineRule="auto"/>
        <w:tabs>
          <w:tab w:leader="none" w:pos="10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and negotiates the structure of the investments we make (including performing due diligence on our prospective portfolio companies);</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assets we will originate, purchase, retain or sell;</w:t>
      </w:r>
    </w:p>
    <w:p>
      <w:pPr>
        <w:spacing w:after="0" w:line="130" w:lineRule="exact"/>
        <w:rPr>
          <w:rFonts w:ascii="Times New Roman" w:cs="Times New Roman" w:eastAsia="Times New Roman" w:hAnsi="Times New Roman"/>
          <w:sz w:val="18"/>
          <w:szCs w:val="18"/>
          <w:color w:val="auto"/>
        </w:rPr>
      </w:pPr>
    </w:p>
    <w:p>
      <w:pPr>
        <w:ind w:left="1060" w:right="80" w:hanging="316"/>
        <w:spacing w:after="0" w:line="282" w:lineRule="auto"/>
        <w:tabs>
          <w:tab w:leader="none" w:pos="10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closes, monitors and administers the investments we make, including the exercise of any rights in our capacity as a lender or equity holder; and</w:t>
      </w:r>
    </w:p>
    <w:p>
      <w:pPr>
        <w:spacing w:after="0" w:line="67" w:lineRule="exact"/>
        <w:rPr>
          <w:rFonts w:ascii="Times New Roman" w:cs="Times New Roman" w:eastAsia="Times New Roman" w:hAnsi="Times New Roman"/>
          <w:sz w:val="18"/>
          <w:szCs w:val="18"/>
          <w:color w:val="auto"/>
        </w:rPr>
      </w:pPr>
    </w:p>
    <w:p>
      <w:pPr>
        <w:ind w:left="1060" w:right="80" w:hanging="316"/>
        <w:spacing w:after="0" w:line="282" w:lineRule="auto"/>
        <w:tabs>
          <w:tab w:leader="none" w:pos="10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62"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62" w:lineRule="exact"/>
        <w:rPr>
          <w:sz w:val="20"/>
          <w:szCs w:val="20"/>
          <w:color w:val="auto"/>
        </w:rPr>
      </w:pPr>
    </w:p>
    <w:p>
      <w:pPr>
        <w:ind w:left="200" w:right="160" w:firstLine="441"/>
        <w:spacing w:after="0" w:line="282" w:lineRule="auto"/>
        <w:rPr>
          <w:sz w:val="20"/>
          <w:szCs w:val="20"/>
          <w:color w:val="auto"/>
        </w:rPr>
      </w:pPr>
      <w:r>
        <w:rPr>
          <w:rFonts w:ascii="Times New Roman" w:cs="Times New Roman" w:eastAsia="Times New Roman" w:hAnsi="Times New Roman"/>
          <w:sz w:val="18"/>
          <w:szCs w:val="18"/>
          <w:color w:val="auto"/>
        </w:rPr>
        <w:t>Under the terms of the Investment Advisory Agreement, we pay the Adviser a base management fee (the “Management Fee”) and may also pay certain incentive fees (the “Incentive Fees”).</w:t>
      </w:r>
    </w:p>
    <w:p>
      <w:pPr>
        <w:spacing w:after="0" w:line="162" w:lineRule="exact"/>
        <w:rPr>
          <w:sz w:val="20"/>
          <w:szCs w:val="20"/>
          <w:color w:val="auto"/>
        </w:rPr>
      </w:pPr>
    </w:p>
    <w:p>
      <w:pPr>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the year ended December 31, 2017, Management Fees were $24.3 million, of which less than $0.1 million were waived.</w:t>
      </w:r>
    </w:p>
    <w:p>
      <w:pPr>
        <w:spacing w:after="0" w:line="225" w:lineRule="exact"/>
        <w:rPr>
          <w:sz w:val="20"/>
          <w:szCs w:val="20"/>
          <w:color w:val="auto"/>
        </w:rPr>
      </w:pPr>
    </w:p>
    <w:p>
      <w:pPr>
        <w:ind w:left="200" w:right="60" w:firstLine="441"/>
        <w:spacing w:after="0" w:line="289" w:lineRule="auto"/>
        <w:rPr>
          <w:sz w:val="20"/>
          <w:szCs w:val="20"/>
          <w:color w:val="auto"/>
        </w:rPr>
      </w:pPr>
      <w:r>
        <w:rPr>
          <w:rFonts w:ascii="Times New Roman" w:cs="Times New Roman" w:eastAsia="Times New Roman" w:hAnsi="Times New Roman"/>
          <w:sz w:val="17"/>
          <w:szCs w:val="17"/>
          <w:color w:val="auto"/>
        </w:rPr>
        <w:t>For the periods ended December 31, 2016 and prior, the Adviser voluntarily waived the Management Fee on our ownership of shares of common stock in TICC Capital Corp. (the “TICC Shares”). In addition, the Adviser has voluntarily waived the Management Fee on our ownership of shares of common stock in Triangle Capital Corp. (the “TCAP Shares”) for any period in which Triangle Capital Corp. remains our portfolio company.</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Incentive Fee consists of two parts, as follows:</w:t>
      </w:r>
    </w:p>
    <w:p>
      <w:pPr>
        <w:spacing w:after="0" w:line="131" w:lineRule="exact"/>
        <w:rPr>
          <w:sz w:val="20"/>
          <w:szCs w:val="20"/>
          <w:color w:val="auto"/>
        </w:rPr>
      </w:pPr>
    </w:p>
    <w:p>
      <w:pPr>
        <w:ind w:left="1060" w:right="40" w:hanging="424"/>
        <w:spacing w:after="0" w:line="261" w:lineRule="auto"/>
        <w:tabs>
          <w:tab w:leader="none" w:pos="10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w:t>
      </w:r>
    </w:p>
    <w:p>
      <w:pPr>
        <w:spacing w:after="0" w:line="11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60"/>
          </w:cols>
          <w:pgMar w:left="240" w:top="455" w:right="49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80" w:right="100"/>
        <w:spacing w:after="0" w:line="261" w:lineRule="auto"/>
        <w:rPr>
          <w:sz w:val="20"/>
          <w:szCs w:val="20"/>
          <w:color w:val="auto"/>
        </w:rPr>
      </w:pPr>
      <w:r>
        <w:rPr>
          <w:rFonts w:ascii="Times New Roman" w:cs="Times New Roman" w:eastAsia="Times New Roman" w:hAnsi="Times New Roman"/>
          <w:sz w:val="18"/>
          <w:szCs w:val="18"/>
          <w:color w:val="auto"/>
        </w:rPr>
        <w:t>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72" w:lineRule="exact"/>
        <w:rPr>
          <w:sz w:val="20"/>
          <w:szCs w:val="20"/>
          <w:color w:val="auto"/>
        </w:rPr>
      </w:pPr>
    </w:p>
    <w:p>
      <w:pPr>
        <w:ind w:left="1080"/>
        <w:spacing w:after="0" w:line="255" w:lineRule="auto"/>
        <w:rPr>
          <w:sz w:val="20"/>
          <w:szCs w:val="20"/>
          <w:color w:val="auto"/>
        </w:rPr>
      </w:pPr>
      <w:r>
        <w:rPr>
          <w:rFonts w:ascii="Times New Roman" w:cs="Times New Roman" w:eastAsia="Times New Roman" w:hAnsi="Times New Roman"/>
          <w:sz w:val="18"/>
          <w:szCs w:val="18"/>
          <w:color w:val="auto"/>
        </w:rPr>
        <w:t>Pre-Incentive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95" w:lineRule="exact"/>
        <w:rPr>
          <w:sz w:val="20"/>
          <w:szCs w:val="20"/>
          <w:color w:val="auto"/>
        </w:rPr>
      </w:pPr>
    </w:p>
    <w:p>
      <w:pPr>
        <w:ind w:left="1060" w:right="20" w:hanging="424"/>
        <w:spacing w:after="0" w:line="254" w:lineRule="auto"/>
        <w:tabs>
          <w:tab w:leader="none" w:pos="10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depreciation.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We accrue, but do not pay, a Capital Gains Fee with respect to unrealized capital appreciation because a Capital Gains Fee would be owed to the Adviser if we were to sell the relevant investment and realize a capital gain. The weighted percentage is intended to ensure that for each fiscal year following the completion of the IPO, the portion of our realized capital gains that accrued prior to March 31, 2014 is subject to an Incentive Fee rate of 15% and the portion of our realized capital gains that accrued beginning April 1, 2014 is subject to an Incentive Fee rate of 17.5%.</w:t>
      </w:r>
    </w:p>
    <w:p>
      <w:pPr>
        <w:spacing w:after="0" w:line="189" w:lineRule="exact"/>
        <w:rPr>
          <w:sz w:val="20"/>
          <w:szCs w:val="20"/>
          <w:color w:val="auto"/>
        </w:rPr>
      </w:pPr>
    </w:p>
    <w:p>
      <w:pPr>
        <w:ind w:left="200" w:right="20" w:firstLine="441"/>
        <w:spacing w:after="0" w:line="282" w:lineRule="auto"/>
        <w:rPr>
          <w:sz w:val="20"/>
          <w:szCs w:val="20"/>
          <w:color w:val="auto"/>
        </w:rPr>
      </w:pPr>
      <w:r>
        <w:rPr>
          <w:rFonts w:ascii="Times New Roman" w:cs="Times New Roman" w:eastAsia="Times New Roman" w:hAnsi="Times New Roman"/>
          <w:sz w:val="18"/>
          <w:szCs w:val="18"/>
          <w:color w:val="auto"/>
        </w:rPr>
        <w:t>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62"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Pre-Incentive Fee net investment income does not include any realized capital gains, realized capital losses or unrealized capital appreciation or depreciation.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85" w:lineRule="exact"/>
        <w:rPr>
          <w:sz w:val="20"/>
          <w:szCs w:val="20"/>
          <w:color w:val="auto"/>
        </w:rPr>
      </w:pPr>
    </w:p>
    <w:p>
      <w:pPr>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We accrue the Incentive Fee taking into account unrealized gains and losses; however, Section 205(b)(3) of the Advisers Act, as amended, prohibits the Adviser from receiving the payment of fees until those gains are realized, if ever. There can be no assurance that such unrealized gains will be realized in the future. For the year ended December 31, 2017, Incentive Fees were $25.5 million, all of which was realized and payable to the Adviser. For the year ended December 31, 2017, no incentive fees were accrued related to capital gains.</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20"/>
          </w:cols>
          <w:pgMar w:left="240" w:top="455" w:right="43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For the periods ended December 31, 2016 and prior, the Adviser voluntarily waived the Incentive Fees attributable to pre-Incentive Fee net investment income accrued by us as a result of our ownership of the TICC Shares. The Adviser did not waive any part of the Capital Gains Fee attributable to our ownership of the TICC Shares and, accordingly, any realized capital gains or losses and unrealized capital depreciation with respect to the TICC Shares apply against our cumulative realized capital gains on which the Capital Gains Fee is calculated.</w:t>
      </w:r>
    </w:p>
    <w:p>
      <w:pPr>
        <w:spacing w:after="0" w:line="180" w:lineRule="exact"/>
        <w:rPr>
          <w:sz w:val="20"/>
          <w:szCs w:val="20"/>
          <w:color w:val="auto"/>
        </w:rPr>
      </w:pPr>
    </w:p>
    <w:p>
      <w:pPr>
        <w:ind w:left="200" w:right="60" w:firstLine="441"/>
        <w:spacing w:after="0" w:line="258" w:lineRule="auto"/>
        <w:rPr>
          <w:sz w:val="20"/>
          <w:szCs w:val="20"/>
          <w:color w:val="auto"/>
        </w:rPr>
      </w:pPr>
      <w:r>
        <w:rPr>
          <w:rFonts w:ascii="Times New Roman" w:cs="Times New Roman" w:eastAsia="Times New Roman" w:hAnsi="Times New Roman"/>
          <w:sz w:val="18"/>
          <w:szCs w:val="18"/>
          <w:color w:val="auto"/>
        </w:rPr>
        <w:t>In addition, the Adviser has voluntarily waived the Incentive Fees attributable to pre-Incentive Fee net investment income accrued by us as a result of our ownership of the TCAP Shares for any period in which Triangle Capital Corp. remains our portfolio company. The Adviser has not waived any part of the Capital Gains Fee attributable to our ownership of the TCAP Shares and, accordingly, any realized capital gains or losses and unrealized capital depreciation with respect to the TCAP Shares will be applied against our cumulative realized capital gains on which the Capital Gains Fee is calculated.</w:t>
      </w:r>
    </w:p>
    <w:p>
      <w:pPr>
        <w:spacing w:after="0" w:line="184"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2017, Incentive Fees of less than $0.1 million were waived consisting solely of Incentive Fees attributable to our ownership of the TCAP Shares. Any waived Incentive Fees are not subject to recoupment by the Adviser.</w:t>
      </w:r>
    </w:p>
    <w:p>
      <w:pPr>
        <w:spacing w:after="0" w:line="162" w:lineRule="exact"/>
        <w:rPr>
          <w:sz w:val="20"/>
          <w:szCs w:val="20"/>
          <w:color w:val="auto"/>
        </w:rPr>
      </w:pPr>
    </w:p>
    <w:p>
      <w:pPr>
        <w:ind w:left="200" w:right="60" w:firstLine="441"/>
        <w:spacing w:after="0" w:line="258" w:lineRule="auto"/>
        <w:rPr>
          <w:sz w:val="20"/>
          <w:szCs w:val="20"/>
          <w:color w:val="auto"/>
        </w:rPr>
      </w:pPr>
      <w:r>
        <w:rPr>
          <w:rFonts w:ascii="Times New Roman" w:cs="Times New Roman" w:eastAsia="Times New Roman" w:hAnsi="Times New Roman"/>
          <w:sz w:val="18"/>
          <w:szCs w:val="18"/>
          <w:color w:val="auto"/>
        </w:rPr>
        <w:t>Since our IPO, with the exception of its waiver of Management Fees and certain Incentive Fees attributable to our ownership of the TCAP Shares and TICC Shares, the Adviser has not waived its right to receive any Management Fees or Incentive Fees payable pursuant to the Investment Advisory Agreement. There can be no assurance that the Adviser will continue to waive Management Fees or Incentive Fees related to our ownership of the TCAP Shares and TICC Shares, as the Adviser can discontinue the voluntary waiver at any time. Accordingly, we may be required to continue to pay the full amount of the Management Fee and Incentive Fee, including with respect to the TCAP Shares and TICC Shares, in future periods.</w:t>
      </w:r>
    </w:p>
    <w:p>
      <w:pPr>
        <w:spacing w:after="0" w:line="184" w:lineRule="exact"/>
        <w:rPr>
          <w:sz w:val="20"/>
          <w:szCs w:val="20"/>
          <w:color w:val="auto"/>
        </w:rPr>
      </w:pPr>
    </w:p>
    <w:p>
      <w:pPr>
        <w:ind w:left="200" w:right="100" w:firstLine="441"/>
        <w:spacing w:after="0" w:line="258" w:lineRule="auto"/>
        <w:rPr>
          <w:sz w:val="20"/>
          <w:szCs w:val="20"/>
          <w:color w:val="auto"/>
        </w:rPr>
      </w:pPr>
      <w:r>
        <w:rPr>
          <w:rFonts w:ascii="Times New Roman" w:cs="Times New Roman" w:eastAsia="Times New Roman" w:hAnsi="Times New Roman"/>
          <w:sz w:val="18"/>
          <w:szCs w:val="18"/>
          <w:color w:val="auto"/>
        </w:rPr>
        <w:t>In November 2017, the Board renewed the Investment Advisory Agreement. Unless earlier terminated as described below, the Investment Advisory Agreement will remain in effect until November 2018, and may be extended subject to required approvals. The Investment Advisory Agreement will automatically terminate in the event of an assignment and may be terminated by either party without penalty on 60 days’ written notice to the other party. See “Risk Factors—Risks Related to Our Business and Structure—We are dependent upon management personnel of the Adviser for our future success.”</w:t>
      </w:r>
    </w:p>
    <w:p>
      <w:pPr>
        <w:spacing w:after="0" w:line="184" w:lineRule="exact"/>
        <w:rPr>
          <w:sz w:val="20"/>
          <w:szCs w:val="20"/>
          <w:color w:val="auto"/>
        </w:rPr>
      </w:pPr>
    </w:p>
    <w:p>
      <w:pPr>
        <w:ind w:left="200" w:right="40" w:firstLine="441"/>
        <w:spacing w:after="0" w:line="282" w:lineRule="auto"/>
        <w:rPr>
          <w:sz w:val="20"/>
          <w:szCs w:val="20"/>
          <w:color w:val="auto"/>
        </w:rPr>
      </w:pPr>
      <w:r>
        <w:rPr>
          <w:rFonts w:ascii="Times New Roman" w:cs="Times New Roman" w:eastAsia="Times New Roman" w:hAnsi="Times New Roman"/>
          <w:sz w:val="18"/>
          <w:szCs w:val="18"/>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162"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On March 15, 2011, we entered into the Administration Agreement with our Adviser. The Administration Agreement was subsequently amended on February 22, 2017 to make certain clarifications to the agreement to provide greater detail regarding the scope of the reimbursable costs and expenses of the Administrator’s services.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“—Payment of Our Expenses” below. In addition, the Adviser is permitted to delegate its duties under the Administration Agreement to affiliates or third parties and we pay or reimburse the Adviser expenses incurred by any such affiliates or third parties for work done on our behalf. For the years ended December 31, 2017, we incurred expenses of $3.5 million for administrative services payable under the terms of the Administration Agreement.</w:t>
      </w:r>
    </w:p>
    <w:p>
      <w:pPr>
        <w:spacing w:after="0" w:line="189" w:lineRule="exact"/>
        <w:rPr>
          <w:sz w:val="20"/>
          <w:szCs w:val="20"/>
          <w:color w:val="auto"/>
        </w:rPr>
      </w:pPr>
    </w:p>
    <w:p>
      <w:pPr>
        <w:ind w:left="200" w:right="200" w:firstLine="441"/>
        <w:spacing w:after="0" w:line="266" w:lineRule="auto"/>
        <w:rPr>
          <w:sz w:val="20"/>
          <w:szCs w:val="20"/>
          <w:color w:val="auto"/>
        </w:rPr>
      </w:pPr>
      <w:r>
        <w:rPr>
          <w:rFonts w:ascii="Times New Roman" w:cs="Times New Roman" w:eastAsia="Times New Roman" w:hAnsi="Times New Roman"/>
          <w:sz w:val="18"/>
          <w:szCs w:val="18"/>
          <w:color w:val="auto"/>
        </w:rPr>
        <w:t>From time to time, the Adviser may pay amounts owed by us to third-party providers of goods or services, including the Board, and we will subsequently reimburse the Adviser for such amounts paid on our behalf. Amounts payable to the Adviser are settled in the normal course of business without formal payment terms.</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00"/>
          </w:cols>
          <w:pgMar w:left="240" w:top="455" w:right="45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61" w:lineRule="auto"/>
        <w:rPr>
          <w:sz w:val="20"/>
          <w:szCs w:val="20"/>
          <w:color w:val="auto"/>
        </w:rPr>
      </w:pPr>
      <w:r>
        <w:rPr>
          <w:rFonts w:ascii="Times New Roman" w:cs="Times New Roman" w:eastAsia="Times New Roman" w:hAnsi="Times New Roman"/>
          <w:sz w:val="18"/>
          <w:szCs w:val="18"/>
          <w:color w:val="auto"/>
        </w:rPr>
        <w:t>In November 2017, the Board renewed the Administration Agreement. Unless earlier terminated as described below, the Administration Agreement will remain in effect until November 2018, and may be extended subject to required approvals. The Administration Agreement may be terminated by either party without penalty on 60 days’ written notice to the other party. See “Risk Factors—Risks Related to Our Business and Structure —We are dependent upon management personnel of the Adviser for our future success.”</w:t>
      </w:r>
    </w:p>
    <w:p>
      <w:pPr>
        <w:spacing w:after="0" w:line="180" w:lineRule="exact"/>
        <w:rPr>
          <w:sz w:val="20"/>
          <w:szCs w:val="20"/>
          <w:color w:val="auto"/>
        </w:rPr>
      </w:pPr>
    </w:p>
    <w:p>
      <w:pPr>
        <w:jc w:val="both"/>
        <w:ind w:left="200" w:firstLine="441"/>
        <w:spacing w:after="0" w:line="258" w:lineRule="auto"/>
        <w:rPr>
          <w:sz w:val="20"/>
          <w:szCs w:val="20"/>
          <w:color w:val="auto"/>
        </w:rPr>
      </w:pPr>
      <w:r>
        <w:rPr>
          <w:rFonts w:ascii="Times New Roman" w:cs="Times New Roman" w:eastAsia="Times New Roman" w:hAnsi="Times New Roman"/>
          <w:sz w:val="18"/>
          <w:szCs w:val="18"/>
          <w:color w:val="auto"/>
        </w:rPr>
        <w:t>No person who is an officer, director or employee of the Adviser or its affiliates and who serves as our director receives any compensation from us for his or her services as a director. However, we reimburse the Adviser or its affiliates for an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Directors who are not affiliated with the Adviser receive compensation for their services and reimbursement of expenses incurred to attend meetings.</w:t>
      </w:r>
    </w:p>
    <w:p>
      <w:pPr>
        <w:spacing w:after="0" w:line="184" w:lineRule="exact"/>
        <w:rPr>
          <w:sz w:val="20"/>
          <w:szCs w:val="20"/>
          <w:color w:val="auto"/>
        </w:rPr>
      </w:pPr>
    </w:p>
    <w:p>
      <w:pPr>
        <w:ind w:left="200" w:firstLine="441"/>
        <w:spacing w:after="0" w:line="253" w:lineRule="auto"/>
        <w:rPr>
          <w:sz w:val="20"/>
          <w:szCs w:val="20"/>
          <w:color w:val="auto"/>
        </w:rPr>
      </w:pPr>
      <w:r>
        <w:rPr>
          <w:rFonts w:ascii="Times New Roman" w:cs="Times New Roman" w:eastAsia="Times New Roman" w:hAnsi="Times New Roman"/>
          <w:sz w:val="18"/>
          <w:szCs w:val="18"/>
          <w:color w:val="auto"/>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VIII of our certificate of incorporation.</w:t>
      </w:r>
    </w:p>
    <w:p>
      <w:pPr>
        <w:spacing w:after="0" w:line="191" w:lineRule="exact"/>
        <w:rPr>
          <w:sz w:val="20"/>
          <w:szCs w:val="20"/>
          <w:color w:val="auto"/>
        </w:rPr>
      </w:pPr>
    </w:p>
    <w:p>
      <w:pPr>
        <w:ind w:left="200" w:right="180" w:firstLine="441"/>
        <w:spacing w:after="0" w:line="266" w:lineRule="auto"/>
        <w:rPr>
          <w:sz w:val="20"/>
          <w:szCs w:val="20"/>
          <w:color w:val="auto"/>
        </w:rPr>
      </w:pPr>
      <w:r>
        <w:rPr>
          <w:rFonts w:ascii="Times New Roman" w:cs="Times New Roman" w:eastAsia="Times New Roman" w:hAnsi="Times New Roman"/>
          <w:sz w:val="18"/>
          <w:szCs w:val="18"/>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176" w:lineRule="exact"/>
        <w:rPr>
          <w:sz w:val="20"/>
          <w:szCs w:val="20"/>
          <w:color w:val="auto"/>
        </w:rPr>
      </w:pPr>
    </w:p>
    <w:p>
      <w:pPr>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We also have a license agreement with an affiliate of TPG, pursuant to which we have been granted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20"/>
          </w:cols>
          <w:pgMar w:left="240" w:top="455" w:right="43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is a graphical representation of the calculation of the income-related portion of the Incentive Fee:</w:t>
      </w:r>
    </w:p>
    <w:p>
      <w:pPr>
        <w:spacing w:after="0" w:line="329" w:lineRule="exact"/>
        <w:rPr>
          <w:sz w:val="20"/>
          <w:szCs w:val="20"/>
          <w:color w:val="auto"/>
        </w:rPr>
      </w:pPr>
    </w:p>
    <w:p>
      <w:pPr>
        <w:ind w:left="640" w:right="2299" w:firstLine="2863"/>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Quarterly Incentive Fee Based on Net Investment Income </w:t>
      </w:r>
      <w:r>
        <w:rPr>
          <w:rFonts w:ascii="Times New Roman" w:cs="Times New Roman" w:eastAsia="Times New Roman" w:hAnsi="Times New Roman"/>
          <w:sz w:val="18"/>
          <w:szCs w:val="18"/>
          <w:color w:val="auto"/>
        </w:rPr>
        <w:t>Pre-Incentive Fee Net Investment Income (expressed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69215</wp:posOffset>
            </wp:positionV>
            <wp:extent cx="4519295" cy="8318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51929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Percentage of pre-Incentive Fee net investment income allocated to income-related portion of Incentive Fee</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Examples of Quarterly Incentive Fee Calculation:</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Example 1: Income Related Portion of Incentive Fee (*):</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Alternative 1</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Investment income (including interest, dividends, fees, etc.) = 2%</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Hurdle rate</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 1.5%</w:t>
      </w:r>
    </w:p>
    <w:p>
      <w:pPr>
        <w:spacing w:after="0" w:line="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Management fee</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 0.375%</w:t>
      </w:r>
    </w:p>
    <w:p>
      <w:pPr>
        <w:spacing w:after="0" w:line="9" w:lineRule="exact"/>
        <w:rPr>
          <w:sz w:val="20"/>
          <w:szCs w:val="20"/>
          <w:color w:val="auto"/>
        </w:rPr>
      </w:pPr>
    </w:p>
    <w:p>
      <w:pPr>
        <w:ind w:left="640" w:right="4039"/>
        <w:spacing w:after="0" w:line="251" w:lineRule="auto"/>
        <w:rPr>
          <w:sz w:val="20"/>
          <w:szCs w:val="20"/>
          <w:color w:val="auto"/>
        </w:rPr>
      </w:pPr>
      <w:r>
        <w:rPr>
          <w:rFonts w:ascii="Times New Roman" w:cs="Times New Roman" w:eastAsia="Times New Roman" w:hAnsi="Times New Roman"/>
          <w:sz w:val="18"/>
          <w:szCs w:val="18"/>
          <w:color w:val="auto"/>
        </w:rPr>
        <w:t>Other expenses (legal, accounting, custodian, transfer agent, etc.)</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xml:space="preserve"> = 0.20% Pre-Incentive Fee net investment income</w:t>
      </w:r>
    </w:p>
    <w:p>
      <w:pPr>
        <w:ind w:left="640"/>
        <w:spacing w:after="0"/>
        <w:rPr>
          <w:sz w:val="20"/>
          <w:szCs w:val="20"/>
          <w:color w:val="auto"/>
        </w:rPr>
      </w:pPr>
      <w:r>
        <w:rPr>
          <w:rFonts w:ascii="Times New Roman" w:cs="Times New Roman" w:eastAsia="Times New Roman" w:hAnsi="Times New Roman"/>
          <w:sz w:val="18"/>
          <w:szCs w:val="18"/>
          <w:color w:val="auto"/>
        </w:rPr>
        <w:t>(investment income—(management fee + other expenses)) = 1.425%</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Pre-Incentive Fee net investment income does not exceed hurdle rate, therefore there is no Incentive Fee.</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Alternative 2</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Investment income (including interest, dividends, fees, etc.) = 2.375%</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Hurdle rate</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 1.5%</w:t>
      </w:r>
    </w:p>
    <w:p>
      <w:pPr>
        <w:spacing w:after="0" w:line="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Management fee</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 0.375%</w:t>
      </w:r>
    </w:p>
    <w:p>
      <w:pPr>
        <w:spacing w:after="0" w:line="9" w:lineRule="exact"/>
        <w:rPr>
          <w:sz w:val="20"/>
          <w:szCs w:val="20"/>
          <w:color w:val="auto"/>
        </w:rPr>
      </w:pPr>
    </w:p>
    <w:p>
      <w:pPr>
        <w:ind w:left="640" w:right="4039"/>
        <w:spacing w:after="0" w:line="251" w:lineRule="auto"/>
        <w:rPr>
          <w:sz w:val="20"/>
          <w:szCs w:val="20"/>
          <w:color w:val="auto"/>
        </w:rPr>
      </w:pPr>
      <w:r>
        <w:rPr>
          <w:rFonts w:ascii="Times New Roman" w:cs="Times New Roman" w:eastAsia="Times New Roman" w:hAnsi="Times New Roman"/>
          <w:sz w:val="18"/>
          <w:szCs w:val="18"/>
          <w:color w:val="auto"/>
        </w:rPr>
        <w:t>Other expenses (legal, accounting, custodian, transfer agent, etc.)</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xml:space="preserve"> = 0.20% Pre-Incentive Fee net investment income</w:t>
      </w:r>
    </w:p>
    <w:p>
      <w:pPr>
        <w:ind w:left="1080"/>
        <w:spacing w:after="0"/>
        <w:rPr>
          <w:sz w:val="20"/>
          <w:szCs w:val="20"/>
          <w:color w:val="auto"/>
        </w:rPr>
      </w:pPr>
      <w:r>
        <w:rPr>
          <w:rFonts w:ascii="Times New Roman" w:cs="Times New Roman" w:eastAsia="Times New Roman" w:hAnsi="Times New Roman"/>
          <w:sz w:val="18"/>
          <w:szCs w:val="18"/>
          <w:color w:val="auto"/>
        </w:rPr>
        <w:t>(investment income—(management fee + other expenses)) = 1.8%</w:t>
      </w:r>
    </w:p>
    <w:p>
      <w:pPr>
        <w:spacing w:after="0" w:line="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Incentive Fee = 100% × pre-Incentive Fee net investment income, subject to the “catch-up”</w:t>
      </w:r>
      <w:r>
        <w:rPr>
          <w:rFonts w:ascii="Times New Roman" w:cs="Times New Roman" w:eastAsia="Times New Roman" w:hAnsi="Times New Roman"/>
          <w:sz w:val="15"/>
          <w:szCs w:val="15"/>
          <w:color w:val="auto"/>
        </w:rPr>
        <w:t>(4)</w:t>
      </w:r>
    </w:p>
    <w:p>
      <w:pPr>
        <w:spacing w:after="0" w:line="10" w:lineRule="exact"/>
        <w:rPr>
          <w:sz w:val="20"/>
          <w:szCs w:val="20"/>
          <w:color w:val="auto"/>
        </w:rPr>
      </w:pPr>
    </w:p>
    <w:p>
      <w:pPr>
        <w:ind w:left="1240" w:hanging="155"/>
        <w:spacing w:after="0"/>
        <w:tabs>
          <w:tab w:leader="none" w:pos="12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 (1.8% – 1.5%)</w:t>
      </w:r>
    </w:p>
    <w:p>
      <w:pPr>
        <w:spacing w:after="0" w:line="9" w:lineRule="exact"/>
        <w:rPr>
          <w:rFonts w:ascii="Times New Roman" w:cs="Times New Roman" w:eastAsia="Times New Roman" w:hAnsi="Times New Roman"/>
          <w:sz w:val="18"/>
          <w:szCs w:val="18"/>
          <w:color w:val="auto"/>
        </w:rPr>
      </w:pPr>
    </w:p>
    <w:p>
      <w:pPr>
        <w:ind w:left="1240" w:hanging="155"/>
        <w:spacing w:after="0"/>
        <w:tabs>
          <w:tab w:leader="none" w:pos="12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w:t>
      </w:r>
    </w:p>
    <w:p>
      <w:pPr>
        <w:spacing w:after="0" w:line="1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0219"/>
          </w:cols>
          <w:pgMar w:left="240" w:top="455" w:right="1440"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Alternative 3</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Investment income (including interest, dividends, fees, etc.) = 3.5%</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Hurdle rate</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 1.5%</w:t>
      </w:r>
    </w:p>
    <w:p>
      <w:pPr>
        <w:spacing w:after="0" w:line="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Management fee</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 0.375%</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Other expenses (legal, accounting, custodian, transfer agent, etc.)</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xml:space="preserve"> = 0.20%</w:t>
      </w:r>
    </w:p>
    <w:p>
      <w:pPr>
        <w:spacing w:after="0" w:line="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Pre-Incentive Fee net investment income</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(investment income—(management fee + other expenses)) = 2.925%</w:t>
      </w:r>
    </w:p>
    <w:p>
      <w:pPr>
        <w:spacing w:after="0" w:line="8" w:lineRule="exact"/>
        <w:rPr>
          <w:sz w:val="20"/>
          <w:szCs w:val="20"/>
          <w:color w:val="auto"/>
        </w:rPr>
      </w:pPr>
    </w:p>
    <w:p>
      <w:pPr>
        <w:ind w:left="640" w:right="3300"/>
        <w:spacing w:after="0" w:line="251" w:lineRule="auto"/>
        <w:rPr>
          <w:sz w:val="20"/>
          <w:szCs w:val="20"/>
          <w:color w:val="auto"/>
        </w:rPr>
      </w:pPr>
      <w:r>
        <w:rPr>
          <w:rFonts w:ascii="Times New Roman" w:cs="Times New Roman" w:eastAsia="Times New Roman" w:hAnsi="Times New Roman"/>
          <w:sz w:val="18"/>
          <w:szCs w:val="18"/>
          <w:color w:val="auto"/>
        </w:rPr>
        <w:t>Incentive Fee = 17.5% × pre-Incentive Fee net investment income, subject to “catch-up”</w:t>
      </w:r>
      <w:r>
        <w:rPr>
          <w:rFonts w:ascii="Times New Roman" w:cs="Times New Roman" w:eastAsia="Times New Roman" w:hAnsi="Times New Roman"/>
          <w:sz w:val="15"/>
          <w:szCs w:val="15"/>
          <w:color w:val="auto"/>
        </w:rPr>
        <w:t>(4)</w:t>
      </w:r>
      <w:r>
        <w:rPr>
          <w:rFonts w:ascii="Times New Roman" w:cs="Times New Roman" w:eastAsia="Times New Roman" w:hAnsi="Times New Roman"/>
          <w:sz w:val="18"/>
          <w:szCs w:val="18"/>
          <w:color w:val="auto"/>
        </w:rPr>
        <w:t xml:space="preserve"> Incentive Fee = 100% × “catch-up” + (17.5% × (pre-Incentive Fee net investment income – 1.82%)) Catch-up = 1.82% – 1.5% = 0.32%</w:t>
      </w:r>
    </w:p>
    <w:p>
      <w:pPr>
        <w:ind w:left="640"/>
        <w:spacing w:after="0"/>
        <w:rPr>
          <w:sz w:val="20"/>
          <w:szCs w:val="20"/>
          <w:color w:val="auto"/>
        </w:rPr>
      </w:pPr>
      <w:r>
        <w:rPr>
          <w:rFonts w:ascii="Times New Roman" w:cs="Times New Roman" w:eastAsia="Times New Roman" w:hAnsi="Times New Roman"/>
          <w:sz w:val="18"/>
          <w:szCs w:val="18"/>
          <w:color w:val="auto"/>
        </w:rPr>
        <w:t>Incentive Fee = (100% × 0.32%) + (17.5% × (2.925% – 1.82%))</w:t>
      </w:r>
    </w:p>
    <w:p>
      <w:pPr>
        <w:spacing w:after="0" w:line="9" w:lineRule="exact"/>
        <w:rPr>
          <w:sz w:val="20"/>
          <w:szCs w:val="20"/>
          <w:color w:val="auto"/>
        </w:rPr>
      </w:pPr>
    </w:p>
    <w:p>
      <w:pPr>
        <w:ind w:left="1240" w:hanging="155"/>
        <w:spacing w:after="0"/>
        <w:tabs>
          <w:tab w:leader="none" w:pos="12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0.32% + (17.5% × 1.105%)</w:t>
      </w:r>
    </w:p>
    <w:p>
      <w:pPr>
        <w:spacing w:after="0" w:line="9" w:lineRule="exact"/>
        <w:rPr>
          <w:rFonts w:ascii="Times New Roman" w:cs="Times New Roman" w:eastAsia="Times New Roman" w:hAnsi="Times New Roman"/>
          <w:sz w:val="18"/>
          <w:szCs w:val="18"/>
          <w:color w:val="auto"/>
        </w:rPr>
      </w:pPr>
    </w:p>
    <w:p>
      <w:pPr>
        <w:ind w:left="1240" w:hanging="155"/>
        <w:spacing w:after="0"/>
        <w:tabs>
          <w:tab w:leader="none" w:pos="12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0.32% + 0.193%</w:t>
      </w:r>
    </w:p>
    <w:p>
      <w:pPr>
        <w:spacing w:after="0" w:line="9" w:lineRule="exact"/>
        <w:rPr>
          <w:rFonts w:ascii="Times New Roman" w:cs="Times New Roman" w:eastAsia="Times New Roman" w:hAnsi="Times New Roman"/>
          <w:sz w:val="18"/>
          <w:szCs w:val="18"/>
          <w:color w:val="auto"/>
        </w:rPr>
      </w:pPr>
    </w:p>
    <w:p>
      <w:pPr>
        <w:ind w:left="1240" w:hanging="155"/>
        <w:spacing w:after="0"/>
        <w:tabs>
          <w:tab w:leader="none" w:pos="12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0.513%</w:t>
      </w:r>
    </w:p>
    <w:p>
      <w:pPr>
        <w:spacing w:after="0" w:line="233"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6.0% annualized hurdle rate.</w:t>
      </w:r>
    </w:p>
    <w:p>
      <w:pPr>
        <w:spacing w:after="0" w:line="27" w:lineRule="exact"/>
        <w:rPr>
          <w:rFonts w:ascii="Times New Roman" w:cs="Times New Roman" w:eastAsia="Times New Roman" w:hAnsi="Times New Roman"/>
          <w:sz w:val="18"/>
          <w:szCs w:val="18"/>
          <w:color w:val="auto"/>
        </w:rPr>
      </w:pPr>
    </w:p>
    <w:p>
      <w:pPr>
        <w:ind w:left="640" w:right="20" w:hanging="436"/>
        <w:spacing w:after="0" w:line="250" w:lineRule="auto"/>
        <w:tabs>
          <w:tab w:leader="none" w:pos="6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1.5% annualized management fee. For the purposes of these examples the management fee is assumed to be based on net assets, rather than gross assets.</w:t>
      </w:r>
    </w:p>
    <w:p>
      <w:pPr>
        <w:ind w:left="640" w:hanging="436"/>
        <w:spacing w:after="0"/>
        <w:tabs>
          <w:tab w:leader="none" w:pos="6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organizational and offering expenses.</w:t>
      </w:r>
    </w:p>
    <w:p>
      <w:pPr>
        <w:spacing w:after="0" w:line="9" w:lineRule="exact"/>
        <w:rPr>
          <w:rFonts w:ascii="Times New Roman" w:cs="Times New Roman" w:eastAsia="Times New Roman" w:hAnsi="Times New Roman"/>
          <w:sz w:val="18"/>
          <w:szCs w:val="18"/>
          <w:color w:val="auto"/>
        </w:rPr>
      </w:pPr>
    </w:p>
    <w:p>
      <w:pPr>
        <w:ind w:left="640" w:hanging="436"/>
        <w:spacing w:after="0" w:line="250" w:lineRule="auto"/>
        <w:tabs>
          <w:tab w:leader="none" w:pos="6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“catch-up” provision is intended to provide the Adviser with an Incentive Fee of 17.5% on all of our pre-Incentive Fee net investment income as if a hurdle rate did not apply when our net investment income exceeds 1.5% in any calendar quarter and is not applied once the Adviser has received 17.5% of investment income in a quarter. The “catch-up” portion of our pre-Incentive Fee Net Investment Income is the portion that exceeds the 1.5% hurdle rate but is less than or equal to approximately 1.82% (that is, 1.5% divided by (1 – 0.175)) in any fiscal quarter.</w:t>
      </w:r>
    </w:p>
    <w:p>
      <w:pPr>
        <w:spacing w:after="0" w:line="2" w:lineRule="exact"/>
        <w:rPr>
          <w:sz w:val="20"/>
          <w:szCs w:val="20"/>
          <w:color w:val="auto"/>
        </w:rPr>
      </w:pPr>
    </w:p>
    <w:p>
      <w:pPr>
        <w:ind w:left="640" w:hanging="436"/>
        <w:spacing w:after="0"/>
        <w:tabs>
          <w:tab w:leader="none" w:pos="6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hypothetical amount of pre-Incentive Fee net investment income shown is based on a percentage of total net assets.</w:t>
      </w:r>
    </w:p>
    <w:p>
      <w:pPr>
        <w:spacing w:after="0" w:line="3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Example 2: Capital Gains Portion of Incentive Fee:</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133" w:lineRule="exact"/>
        <w:rPr>
          <w:sz w:val="20"/>
          <w:szCs w:val="20"/>
          <w:color w:val="auto"/>
        </w:rPr>
      </w:pPr>
    </w:p>
    <w:p>
      <w:pPr>
        <w:ind w:left="1060" w:right="420" w:hanging="316"/>
        <w:spacing w:after="0" w:line="266" w:lineRule="auto"/>
        <w:tabs>
          <w:tab w:leader="none" w:pos="10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1: $10 million investment made in Company A (“Investment A”), $10 million investment made in Company B (“Investment B”), $10 million investment made in Company C (“Investment C”), $10 million investment made in Company D (“Investment D”) and $10 million investment made in Company E (“Investment E”).</w:t>
      </w:r>
    </w:p>
    <w:p>
      <w:pPr>
        <w:spacing w:after="0" w:line="81" w:lineRule="exact"/>
        <w:rPr>
          <w:rFonts w:ascii="Times New Roman" w:cs="Times New Roman" w:eastAsia="Times New Roman" w:hAnsi="Times New Roman"/>
          <w:sz w:val="18"/>
          <w:szCs w:val="18"/>
          <w:color w:val="auto"/>
        </w:rPr>
      </w:pPr>
    </w:p>
    <w:p>
      <w:pPr>
        <w:ind w:left="1060" w:right="120" w:hanging="316"/>
        <w:spacing w:after="0" w:line="282" w:lineRule="auto"/>
        <w:tabs>
          <w:tab w:leader="none" w:pos="10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2: Investment A sold for $20 million, fair market value (“FMV”) of Investment B determined to be $8 million, FMV of Investment C determined to be $12 million, and FMV of Investments D and E each determined to be $10 million.</w:t>
      </w:r>
    </w:p>
    <w:p>
      <w:pPr>
        <w:spacing w:after="0" w:line="67" w:lineRule="exact"/>
        <w:rPr>
          <w:rFonts w:ascii="Times New Roman" w:cs="Times New Roman" w:eastAsia="Times New Roman" w:hAnsi="Times New Roman"/>
          <w:sz w:val="18"/>
          <w:szCs w:val="18"/>
          <w:color w:val="auto"/>
        </w:rPr>
      </w:pPr>
    </w:p>
    <w:p>
      <w:pPr>
        <w:ind w:left="1060" w:right="80" w:hanging="316"/>
        <w:spacing w:after="0" w:line="282" w:lineRule="auto"/>
        <w:tabs>
          <w:tab w:leader="none" w:pos="10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3: IPO of the Company occurs. At IPO, FMV of Investment of B determined to be $8 million, FMV of Investment C determined to be $14 million, FMV of Investment D determined to be $14 million and FMV of Investment E determined to be $16 million.</w:t>
      </w:r>
    </w:p>
    <w:p>
      <w:pPr>
        <w:spacing w:after="0" w:line="67" w:lineRule="exact"/>
        <w:rPr>
          <w:rFonts w:ascii="Times New Roman" w:cs="Times New Roman" w:eastAsia="Times New Roman" w:hAnsi="Times New Roman"/>
          <w:sz w:val="18"/>
          <w:szCs w:val="18"/>
          <w:color w:val="auto"/>
        </w:rPr>
      </w:pPr>
    </w:p>
    <w:p>
      <w:pPr>
        <w:ind w:left="1060" w:right="20" w:hanging="316"/>
        <w:spacing w:after="0" w:line="282" w:lineRule="auto"/>
        <w:tabs>
          <w:tab w:leader="none" w:pos="10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4: $10 million investment made in Company F (“Investment F”), Investment D sold for $12 million, FMV of Investment B determined to be $10 million, FMV of Investment C determined to be $16 million and FMV of Investment E determined to be $14 million.</w:t>
      </w:r>
    </w:p>
    <w:p>
      <w:pPr>
        <w:spacing w:after="0" w:line="67" w:lineRule="exact"/>
        <w:rPr>
          <w:rFonts w:ascii="Times New Roman" w:cs="Times New Roman" w:eastAsia="Times New Roman" w:hAnsi="Times New Roman"/>
          <w:sz w:val="18"/>
          <w:szCs w:val="18"/>
          <w:color w:val="auto"/>
        </w:rPr>
      </w:pPr>
    </w:p>
    <w:p>
      <w:pPr>
        <w:ind w:left="1060" w:right="360" w:hanging="316"/>
        <w:spacing w:after="0" w:line="282" w:lineRule="auto"/>
        <w:tabs>
          <w:tab w:leader="none" w:pos="10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5: Investment C sold for $20 million, FMV of Investment B determined to be $14 million, FMV of Investment E determined to be $10 million and FMV of Investment F determined to $12 million.</w:t>
      </w:r>
    </w:p>
    <w:p>
      <w:pPr>
        <w:spacing w:after="0" w:line="67" w:lineRule="exact"/>
        <w:rPr>
          <w:rFonts w:ascii="Times New Roman" w:cs="Times New Roman" w:eastAsia="Times New Roman" w:hAnsi="Times New Roman"/>
          <w:sz w:val="18"/>
          <w:szCs w:val="18"/>
          <w:color w:val="auto"/>
        </w:rPr>
      </w:pPr>
    </w:p>
    <w:p>
      <w:pPr>
        <w:ind w:left="1060" w:right="200" w:hanging="316"/>
        <w:spacing w:after="0" w:line="282" w:lineRule="auto"/>
        <w:tabs>
          <w:tab w:leader="none" w:pos="10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6: Investment B sold for $16 million, FMV of Investment E determined to be $8 million and FMV of Investment F determined to be $15 million.</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80"/>
          </w:cols>
          <w:pgMar w:left="240" w:top="455" w:right="47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7: Investment E sold for $8 million and FMV of Investment F determined to be $17 million.</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8: Investment F sold for $18 million.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These assumptions are summarized in the following chart:</w:t>
      </w:r>
    </w:p>
    <w:p>
      <w:pPr>
        <w:spacing w:after="0" w:line="236"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Cumulative</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Cumulative</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Cumulative</w:t>
            </w:r>
          </w:p>
        </w:tc>
      </w:tr>
      <w:tr>
        <w:trPr>
          <w:trHeight w:val="135"/>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8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Realized</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Realized</w:t>
            </w:r>
          </w:p>
        </w:tc>
      </w:tr>
      <w:tr>
        <w:trPr>
          <w:trHeight w:val="135"/>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9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Investment</w:t>
            </w:r>
          </w:p>
        </w:tc>
        <w:tc>
          <w:tcPr>
            <w:tcW w:w="10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Investment</w:t>
            </w:r>
          </w:p>
        </w:tc>
        <w:tc>
          <w:tcPr>
            <w:tcW w:w="10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Investment</w:t>
            </w:r>
          </w:p>
        </w:tc>
        <w:tc>
          <w:tcPr>
            <w:tcW w:w="10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Investment</w:t>
            </w:r>
          </w:p>
        </w:tc>
        <w:tc>
          <w:tcPr>
            <w:tcW w:w="10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Investment</w:t>
            </w:r>
          </w:p>
        </w:tc>
        <w:tc>
          <w:tcPr>
            <w:tcW w:w="9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Investment</w:t>
            </w:r>
          </w:p>
        </w:tc>
        <w:tc>
          <w:tcPr>
            <w:tcW w:w="9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8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Capital</w:t>
            </w:r>
          </w:p>
        </w:tc>
      </w:tr>
      <w:tr>
        <w:trPr>
          <w:trHeight w:val="155"/>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84"/>
              </w:rPr>
              <w:t>A</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B</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84"/>
              </w:rPr>
              <w:t>C</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84"/>
              </w:rPr>
              <w:t>D</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E</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F</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Depreciation</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Gains</w:t>
            </w:r>
          </w:p>
        </w:tc>
      </w:tr>
      <w:tr>
        <w:trPr>
          <w:trHeight w:val="138"/>
        </w:trPr>
        <w:tc>
          <w:tcPr>
            <w:tcW w:w="20" w:type="dxa"/>
            <w:vAlign w:val="bottom"/>
          </w:tcPr>
          <w:p>
            <w:pPr>
              <w:spacing w:after="0"/>
              <w:rPr>
                <w:sz w:val="12"/>
                <w:szCs w:val="12"/>
                <w:color w:val="auto"/>
              </w:rPr>
            </w:pPr>
          </w:p>
        </w:tc>
        <w:tc>
          <w:tcPr>
            <w:tcW w:w="2300" w:type="dxa"/>
            <w:vAlign w:val="bottom"/>
            <w:tcBorders>
              <w:top w:val="single" w:sz="8" w:color="CCEEFF"/>
            </w:tcBorders>
            <w:shd w:val="clear" w:color="auto" w:fill="CCEEFF"/>
          </w:tcPr>
          <w:p>
            <w:pPr>
              <w:spacing w:after="0" w:line="138" w:lineRule="exact"/>
              <w:rPr>
                <w:sz w:val="20"/>
                <w:szCs w:val="20"/>
                <w:color w:val="auto"/>
              </w:rPr>
            </w:pPr>
            <w:r>
              <w:rPr>
                <w:rFonts w:ascii="Times New Roman" w:cs="Times New Roman" w:eastAsia="Times New Roman" w:hAnsi="Times New Roman"/>
                <w:sz w:val="15"/>
                <w:szCs w:val="15"/>
                <w:color w:val="auto"/>
              </w:rPr>
              <w:t>Year 1</w:t>
            </w:r>
          </w:p>
        </w:tc>
        <w:tc>
          <w:tcPr>
            <w:tcW w:w="860" w:type="dxa"/>
            <w:vAlign w:val="bottom"/>
            <w:tcBorders>
              <w:top w:val="single" w:sz="8" w:color="auto"/>
            </w:tcBorders>
            <w:shd w:val="clear" w:color="auto" w:fill="CCEEFF"/>
          </w:tcPr>
          <w:p>
            <w:pPr>
              <w:jc w:val="center"/>
              <w:spacing w:after="0" w:line="138" w:lineRule="exact"/>
              <w:rPr>
                <w:sz w:val="20"/>
                <w:szCs w:val="20"/>
                <w:color w:val="auto"/>
              </w:rPr>
            </w:pPr>
            <w:r>
              <w:rPr>
                <w:rFonts w:ascii="Times New Roman" w:cs="Times New Roman" w:eastAsia="Times New Roman" w:hAnsi="Times New Roman"/>
                <w:sz w:val="15"/>
                <w:szCs w:val="15"/>
                <w:color w:val="auto"/>
              </w:rPr>
              <w:t>$10 million</w:t>
            </w: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center"/>
              <w:spacing w:after="0" w:line="138" w:lineRule="exact"/>
              <w:rPr>
                <w:sz w:val="20"/>
                <w:szCs w:val="20"/>
                <w:color w:val="auto"/>
              </w:rPr>
            </w:pPr>
            <w:r>
              <w:rPr>
                <w:rFonts w:ascii="Times New Roman" w:cs="Times New Roman" w:eastAsia="Times New Roman" w:hAnsi="Times New Roman"/>
                <w:sz w:val="15"/>
                <w:szCs w:val="15"/>
                <w:color w:val="auto"/>
              </w:rPr>
              <w:t>$10 million</w:t>
            </w: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center"/>
              <w:spacing w:after="0" w:line="138" w:lineRule="exact"/>
              <w:rPr>
                <w:sz w:val="20"/>
                <w:szCs w:val="20"/>
                <w:color w:val="auto"/>
              </w:rPr>
            </w:pPr>
            <w:r>
              <w:rPr>
                <w:rFonts w:ascii="Times New Roman" w:cs="Times New Roman" w:eastAsia="Times New Roman" w:hAnsi="Times New Roman"/>
                <w:sz w:val="15"/>
                <w:szCs w:val="15"/>
                <w:color w:val="auto"/>
              </w:rPr>
              <w:t>$10 million</w:t>
            </w:r>
          </w:p>
        </w:tc>
        <w:tc>
          <w:tcPr>
            <w:tcW w:w="1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center"/>
              <w:spacing w:after="0" w:line="138" w:lineRule="exact"/>
              <w:rPr>
                <w:sz w:val="20"/>
                <w:szCs w:val="20"/>
                <w:color w:val="auto"/>
              </w:rPr>
            </w:pPr>
            <w:r>
              <w:rPr>
                <w:rFonts w:ascii="Times New Roman" w:cs="Times New Roman" w:eastAsia="Times New Roman" w:hAnsi="Times New Roman"/>
                <w:sz w:val="15"/>
                <w:szCs w:val="15"/>
                <w:color w:val="auto"/>
              </w:rPr>
              <w:t>$10 million</w:t>
            </w: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center"/>
              <w:spacing w:after="0" w:line="138" w:lineRule="exact"/>
              <w:rPr>
                <w:sz w:val="20"/>
                <w:szCs w:val="20"/>
                <w:color w:val="auto"/>
              </w:rPr>
            </w:pPr>
            <w:r>
              <w:rPr>
                <w:rFonts w:ascii="Times New Roman" w:cs="Times New Roman" w:eastAsia="Times New Roman" w:hAnsi="Times New Roman"/>
                <w:sz w:val="15"/>
                <w:szCs w:val="15"/>
                <w:color w:val="auto"/>
              </w:rPr>
              <w:t>$10 million</w:t>
            </w: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r>
      <w:tr>
        <w:trPr>
          <w:trHeight w:val="193"/>
        </w:trPr>
        <w:tc>
          <w:tcPr>
            <w:tcW w:w="20" w:type="dxa"/>
            <w:vAlign w:val="bottom"/>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(cost basis)</w:t>
            </w: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(cost basis)</w:t>
            </w: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(cost basis)</w:t>
            </w: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(cost basis)</w:t>
            </w: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(cost basis)</w:t>
            </w:r>
          </w:p>
        </w:tc>
        <w:tc>
          <w:tcPr>
            <w:tcW w:w="9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w:t>
            </w:r>
          </w:p>
        </w:tc>
      </w:tr>
      <w:tr>
        <w:trPr>
          <w:trHeight w:val="149"/>
        </w:trPr>
        <w:tc>
          <w:tcPr>
            <w:tcW w:w="2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Year 2</w:t>
            </w: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5"/>
                <w:szCs w:val="15"/>
                <w:color w:val="auto"/>
              </w:rPr>
              <w:t>$20 million</w:t>
            </w: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5"/>
                <w:szCs w:val="15"/>
                <w:color w:val="auto"/>
                <w:w w:val="99"/>
              </w:rPr>
              <w:t>$8 million</w:t>
            </w: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5"/>
                <w:szCs w:val="15"/>
                <w:color w:val="auto"/>
              </w:rPr>
              <w:t>$12 million</w:t>
            </w: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5"/>
                <w:szCs w:val="15"/>
                <w:color w:val="auto"/>
              </w:rPr>
              <w:t>$10 million</w:t>
            </w: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5"/>
                <w:szCs w:val="15"/>
                <w:color w:val="auto"/>
              </w:rPr>
              <w:t>$10 million</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9"/>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(sale price)</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FMV</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8"/>
              </w:rPr>
              <w:t>FMV</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w w:val="98"/>
              </w:rPr>
              <w:t>FMV</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FMV</w:t>
            </w: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$2 million</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 million</w:t>
            </w:r>
          </w:p>
        </w:tc>
      </w:tr>
      <w:tr>
        <w:trPr>
          <w:trHeight w:val="145"/>
        </w:trPr>
        <w:tc>
          <w:tcPr>
            <w:tcW w:w="20" w:type="dxa"/>
            <w:vAlign w:val="bottom"/>
          </w:tcPr>
          <w:p>
            <w:pPr>
              <w:spacing w:after="0"/>
              <w:rPr>
                <w:sz w:val="12"/>
                <w:szCs w:val="12"/>
                <w:color w:val="auto"/>
              </w:rPr>
            </w:pPr>
          </w:p>
        </w:tc>
        <w:tc>
          <w:tcPr>
            <w:tcW w:w="23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Year 3 (IPO)</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120"/>
              <w:spacing w:after="0" w:line="145" w:lineRule="exact"/>
              <w:rPr>
                <w:sz w:val="20"/>
                <w:szCs w:val="20"/>
                <w:color w:val="auto"/>
              </w:rPr>
            </w:pPr>
            <w:r>
              <w:rPr>
                <w:rFonts w:ascii="Times New Roman" w:cs="Times New Roman" w:eastAsia="Times New Roman" w:hAnsi="Times New Roman"/>
                <w:sz w:val="15"/>
                <w:szCs w:val="15"/>
                <w:color w:val="auto"/>
                <w:w w:val="99"/>
              </w:rPr>
              <w:t>$8 million</w:t>
            </w:r>
          </w:p>
        </w:tc>
        <w:tc>
          <w:tcPr>
            <w:tcW w:w="1040" w:type="dxa"/>
            <w:vAlign w:val="bottom"/>
            <w:gridSpan w:val="2"/>
            <w:shd w:val="clear" w:color="auto" w:fill="CCEEFF"/>
          </w:tcPr>
          <w:p>
            <w:pPr>
              <w:jc w:val="center"/>
              <w:ind w:right="120"/>
              <w:spacing w:after="0" w:line="145" w:lineRule="exact"/>
              <w:rPr>
                <w:sz w:val="20"/>
                <w:szCs w:val="20"/>
                <w:color w:val="auto"/>
              </w:rPr>
            </w:pPr>
            <w:r>
              <w:rPr>
                <w:rFonts w:ascii="Times New Roman" w:cs="Times New Roman" w:eastAsia="Times New Roman" w:hAnsi="Times New Roman"/>
                <w:sz w:val="15"/>
                <w:szCs w:val="15"/>
                <w:color w:val="auto"/>
              </w:rPr>
              <w:t>$14 million</w:t>
            </w:r>
          </w:p>
        </w:tc>
        <w:tc>
          <w:tcPr>
            <w:tcW w:w="1020" w:type="dxa"/>
            <w:vAlign w:val="bottom"/>
            <w:gridSpan w:val="2"/>
            <w:shd w:val="clear" w:color="auto" w:fill="CCEEFF"/>
          </w:tcPr>
          <w:p>
            <w:pPr>
              <w:jc w:val="center"/>
              <w:ind w:right="140"/>
              <w:spacing w:after="0" w:line="145" w:lineRule="exact"/>
              <w:rPr>
                <w:sz w:val="20"/>
                <w:szCs w:val="20"/>
                <w:color w:val="auto"/>
              </w:rPr>
            </w:pPr>
            <w:r>
              <w:rPr>
                <w:rFonts w:ascii="Times New Roman" w:cs="Times New Roman" w:eastAsia="Times New Roman" w:hAnsi="Times New Roman"/>
                <w:sz w:val="15"/>
                <w:szCs w:val="15"/>
                <w:color w:val="auto"/>
              </w:rPr>
              <w:t>$14 million</w:t>
            </w:r>
          </w:p>
        </w:tc>
        <w:tc>
          <w:tcPr>
            <w:tcW w:w="1020" w:type="dxa"/>
            <w:vAlign w:val="bottom"/>
            <w:gridSpan w:val="2"/>
            <w:shd w:val="clear" w:color="auto" w:fill="CCEEFF"/>
          </w:tcPr>
          <w:p>
            <w:pPr>
              <w:jc w:val="center"/>
              <w:ind w:right="120"/>
              <w:spacing w:after="0" w:line="145" w:lineRule="exact"/>
              <w:rPr>
                <w:sz w:val="20"/>
                <w:szCs w:val="20"/>
                <w:color w:val="auto"/>
              </w:rPr>
            </w:pPr>
            <w:r>
              <w:rPr>
                <w:rFonts w:ascii="Times New Roman" w:cs="Times New Roman" w:eastAsia="Times New Roman" w:hAnsi="Times New Roman"/>
                <w:sz w:val="15"/>
                <w:szCs w:val="15"/>
                <w:color w:val="auto"/>
              </w:rPr>
              <w:t>$16 million</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79"/>
        </w:trPr>
        <w:tc>
          <w:tcPr>
            <w:tcW w:w="20" w:type="dxa"/>
            <w:vAlign w:val="bottom"/>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FMV at IPO</w:t>
            </w: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FMV at IPO</w:t>
            </w:r>
          </w:p>
        </w:tc>
        <w:tc>
          <w:tcPr>
            <w:tcW w:w="10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5"/>
                <w:szCs w:val="15"/>
                <w:color w:val="auto"/>
              </w:rPr>
              <w:t>FMV at IPO</w:t>
            </w: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FMV at IPO</w:t>
            </w:r>
          </w:p>
        </w:tc>
        <w:tc>
          <w:tcPr>
            <w:tcW w:w="9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$2 million</w:t>
            </w:r>
          </w:p>
        </w:tc>
        <w:tc>
          <w:tcPr>
            <w:tcW w:w="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 million</w:t>
            </w:r>
          </w:p>
        </w:tc>
      </w:tr>
      <w:tr>
        <w:trPr>
          <w:trHeight w:val="149"/>
        </w:trPr>
        <w:tc>
          <w:tcPr>
            <w:tcW w:w="2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Year 4</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5"/>
                <w:szCs w:val="15"/>
                <w:color w:val="auto"/>
              </w:rPr>
              <w:t>$10 million</w:t>
            </w: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5"/>
                <w:szCs w:val="15"/>
                <w:color w:val="auto"/>
              </w:rPr>
              <w:t>$16 million</w:t>
            </w: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5"/>
                <w:szCs w:val="15"/>
                <w:color w:val="auto"/>
              </w:rPr>
              <w:t>$12 million</w:t>
            </w: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5"/>
                <w:szCs w:val="15"/>
                <w:color w:val="auto"/>
              </w:rPr>
              <w:t>$14 million</w:t>
            </w: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5"/>
                <w:szCs w:val="15"/>
                <w:color w:val="auto"/>
              </w:rPr>
              <w:t>$10 million</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9"/>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FMV</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8"/>
              </w:rPr>
              <w:t>FMV</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(sale price)</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FMV</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(cost basis)</w:t>
            </w: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 million</w:t>
            </w: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auto"/>
              </w:rPr>
              <w:t>Year 5</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5"/>
                <w:szCs w:val="15"/>
                <w:color w:val="auto"/>
              </w:rPr>
              <w:t>$14 million</w:t>
            </w:r>
          </w:p>
        </w:tc>
        <w:tc>
          <w:tcPr>
            <w:tcW w:w="104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5"/>
                <w:szCs w:val="15"/>
                <w:color w:val="auto"/>
              </w:rPr>
              <w:t>$20 million</w:t>
            </w: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5"/>
                <w:szCs w:val="15"/>
                <w:color w:val="auto"/>
              </w:rPr>
              <w:t>$10 million</w:t>
            </w:r>
          </w:p>
        </w:tc>
        <w:tc>
          <w:tcPr>
            <w:tcW w:w="96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5"/>
                <w:szCs w:val="15"/>
                <w:color w:val="auto"/>
              </w:rPr>
              <w:t>$12 million</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89"/>
        </w:trPr>
        <w:tc>
          <w:tcPr>
            <w:tcW w:w="20" w:type="dxa"/>
            <w:vAlign w:val="bottom"/>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FMV</w:t>
            </w: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(sale price)</w:t>
            </w:r>
          </w:p>
        </w:tc>
        <w:tc>
          <w:tcPr>
            <w:tcW w:w="10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FMV</w:t>
            </w:r>
          </w:p>
        </w:tc>
        <w:tc>
          <w:tcPr>
            <w:tcW w:w="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w w:val="98"/>
              </w:rPr>
              <w:t>FMV</w:t>
            </w:r>
          </w:p>
        </w:tc>
        <w:tc>
          <w:tcPr>
            <w:tcW w:w="9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$22 million</w:t>
            </w:r>
          </w:p>
        </w:tc>
      </w:tr>
      <w:tr>
        <w:trPr>
          <w:trHeight w:val="149"/>
        </w:trPr>
        <w:tc>
          <w:tcPr>
            <w:tcW w:w="2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Year 6</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5"/>
                <w:szCs w:val="15"/>
                <w:color w:val="auto"/>
              </w:rPr>
              <w:t>$16 million</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5"/>
                <w:szCs w:val="15"/>
                <w:color w:val="auto"/>
                <w:w w:val="99"/>
              </w:rPr>
              <w:t>$8 million</w:t>
            </w: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5"/>
                <w:szCs w:val="15"/>
                <w:color w:val="auto"/>
              </w:rPr>
              <w:t>$15 million</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9"/>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(sale price)</w:t>
            </w:r>
          </w:p>
        </w:tc>
        <w:tc>
          <w:tcPr>
            <w:tcW w:w="104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FMV</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8"/>
              </w:rPr>
              <w:t>FMV</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$2 million</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$28 million</w:t>
            </w: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auto"/>
              </w:rPr>
              <w:t>Year 7</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5"/>
                <w:szCs w:val="15"/>
                <w:color w:val="auto"/>
                <w:w w:val="99"/>
              </w:rPr>
              <w:t>$8 million</w:t>
            </w:r>
          </w:p>
        </w:tc>
        <w:tc>
          <w:tcPr>
            <w:tcW w:w="96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5"/>
                <w:szCs w:val="15"/>
                <w:color w:val="auto"/>
              </w:rPr>
              <w:t>$17 million</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89"/>
        </w:trPr>
        <w:tc>
          <w:tcPr>
            <w:tcW w:w="20" w:type="dxa"/>
            <w:vAlign w:val="bottom"/>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(sale price)</w:t>
            </w:r>
          </w:p>
        </w:tc>
        <w:tc>
          <w:tcPr>
            <w:tcW w:w="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w w:val="98"/>
              </w:rPr>
              <w:t>FMV</w:t>
            </w:r>
          </w:p>
        </w:tc>
        <w:tc>
          <w:tcPr>
            <w:tcW w:w="9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$2 million</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$28 million</w:t>
            </w:r>
          </w:p>
        </w:tc>
      </w:tr>
      <w:tr>
        <w:trPr>
          <w:trHeight w:val="145"/>
        </w:trPr>
        <w:tc>
          <w:tcPr>
            <w:tcW w:w="20" w:type="dxa"/>
            <w:vAlign w:val="bottom"/>
          </w:tcPr>
          <w:p>
            <w:pPr>
              <w:spacing w:after="0"/>
              <w:rPr>
                <w:sz w:val="12"/>
                <w:szCs w:val="12"/>
                <w:color w:val="auto"/>
              </w:rPr>
            </w:pPr>
          </w:p>
        </w:tc>
        <w:tc>
          <w:tcPr>
            <w:tcW w:w="230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Year 8</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5"/>
                <w:szCs w:val="15"/>
                <w:color w:val="auto"/>
              </w:rPr>
              <w:t>$18 million</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12"/>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(sale price)</w:t>
            </w: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$2 million</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$36 million</w:t>
            </w:r>
          </w:p>
        </w:tc>
      </w:tr>
    </w:tbl>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capital gains portion of the Incentive Fee would be:</w:t>
      </w:r>
    </w:p>
    <w:p>
      <w:pPr>
        <w:spacing w:after="0" w:line="131" w:lineRule="exact"/>
        <w:rPr>
          <w:sz w:val="20"/>
          <w:szCs w:val="20"/>
          <w:color w:val="auto"/>
        </w:rPr>
      </w:pPr>
    </w:p>
    <w:p>
      <w:pPr>
        <w:ind w:left="1060" w:hanging="316"/>
        <w:spacing w:after="0"/>
        <w:tabs>
          <w:tab w:leader="none" w:pos="10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1: None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2:</w:t>
      </w:r>
    </w:p>
    <w:p>
      <w:pPr>
        <w:spacing w:after="0" w:line="117" w:lineRule="exact"/>
        <w:rPr>
          <w:sz w:val="20"/>
          <w:szCs w:val="20"/>
          <w:color w:val="auto"/>
        </w:rPr>
      </w:pPr>
    </w:p>
    <w:p>
      <w:pPr>
        <w:ind w:left="1640" w:right="40"/>
        <w:spacing w:after="0" w:line="282" w:lineRule="auto"/>
        <w:rPr>
          <w:sz w:val="20"/>
          <w:szCs w:val="20"/>
          <w:color w:val="auto"/>
        </w:rPr>
      </w:pPr>
      <w:r>
        <w:rPr>
          <w:rFonts w:ascii="Times New Roman" w:cs="Times New Roman" w:eastAsia="Times New Roman" w:hAnsi="Times New Roman"/>
          <w:sz w:val="18"/>
          <w:szCs w:val="18"/>
          <w:color w:val="auto"/>
        </w:rPr>
        <w:t xml:space="preserve">Capital Gains Fee = 15% multiplied by ($10 million realized capital gains on sale of Investment A less $2 million cumulative capital depreciation) = </w:t>
      </w:r>
      <w:r>
        <w:rPr>
          <w:rFonts w:ascii="Times New Roman" w:cs="Times New Roman" w:eastAsia="Times New Roman" w:hAnsi="Times New Roman"/>
          <w:sz w:val="18"/>
          <w:szCs w:val="18"/>
          <w:b w:val="1"/>
          <w:bCs w:val="1"/>
          <w:color w:val="auto"/>
        </w:rPr>
        <w:t>$1.2 million</w:t>
      </w:r>
    </w:p>
    <w:p>
      <w:pPr>
        <w:spacing w:after="0" w:line="67" w:lineRule="exact"/>
        <w:rPr>
          <w:sz w:val="20"/>
          <w:szCs w:val="20"/>
          <w:color w:val="auto"/>
        </w:rPr>
      </w:pPr>
    </w:p>
    <w:p>
      <w:pPr>
        <w:ind w:left="1060" w:hanging="316"/>
        <w:spacing w:after="0"/>
        <w:tabs>
          <w:tab w:leader="none" w:pos="10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3:</w:t>
      </w:r>
    </w:p>
    <w:p>
      <w:pPr>
        <w:spacing w:after="0" w:line="117" w:lineRule="exact"/>
        <w:rPr>
          <w:sz w:val="20"/>
          <w:szCs w:val="20"/>
          <w:color w:val="auto"/>
        </w:rPr>
      </w:pPr>
    </w:p>
    <w:p>
      <w:pPr>
        <w:ind w:left="1640" w:right="240"/>
        <w:spacing w:after="0" w:line="313" w:lineRule="auto"/>
        <w:rPr>
          <w:sz w:val="20"/>
          <w:szCs w:val="20"/>
          <w:color w:val="auto"/>
        </w:rPr>
      </w:pPr>
      <w:r>
        <w:rPr>
          <w:rFonts w:ascii="Times New Roman" w:cs="Times New Roman" w:eastAsia="Times New Roman" w:hAnsi="Times New Roman"/>
          <w:sz w:val="17"/>
          <w:szCs w:val="17"/>
          <w:color w:val="auto"/>
        </w:rPr>
        <w:t xml:space="preserve">Capital Gains Fee = (Weighted Percentage multiplied by ($10 million cumulative realized capital gains less $2 million cumulative capital depreciation)) less $1.2 million cumulative Capital Gains Fee previously paid = $1.2 million less $1.2 million = </w:t>
      </w:r>
      <w:r>
        <w:rPr>
          <w:rFonts w:ascii="Times New Roman" w:cs="Times New Roman" w:eastAsia="Times New Roman" w:hAnsi="Times New Roman"/>
          <w:sz w:val="17"/>
          <w:szCs w:val="17"/>
          <w:b w:val="1"/>
          <w:bCs w:val="1"/>
          <w:color w:val="auto"/>
        </w:rPr>
        <w:t>$0.00</w:t>
      </w:r>
    </w:p>
    <w:p>
      <w:pPr>
        <w:spacing w:after="0" w:line="30" w:lineRule="exact"/>
        <w:rPr>
          <w:sz w:val="20"/>
          <w:szCs w:val="20"/>
          <w:color w:val="auto"/>
        </w:rPr>
      </w:pPr>
    </w:p>
    <w:p>
      <w:pPr>
        <w:ind w:left="1640" w:right="240"/>
        <w:spacing w:after="0" w:line="282" w:lineRule="auto"/>
        <w:rPr>
          <w:sz w:val="20"/>
          <w:szCs w:val="20"/>
          <w:color w:val="auto"/>
        </w:rPr>
      </w:pPr>
      <w:r>
        <w:rPr>
          <w:rFonts w:ascii="Times New Roman" w:cs="Times New Roman" w:eastAsia="Times New Roman" w:hAnsi="Times New Roman"/>
          <w:sz w:val="18"/>
          <w:szCs w:val="18"/>
          <w:color w:val="auto"/>
        </w:rPr>
        <w:t xml:space="preserve">Weighted Percentage = (15% multiplied by ($10 million Pre-IPO Gain Amount divided by $10 million Total Gain Amount )) plus (17.5% multiplied by ($0 Post-IPO Gain Amount divided by $10 million Total Gain Amount)) = </w:t>
      </w:r>
      <w:r>
        <w:rPr>
          <w:rFonts w:ascii="Times New Roman" w:cs="Times New Roman" w:eastAsia="Times New Roman" w:hAnsi="Times New Roman"/>
          <w:sz w:val="18"/>
          <w:szCs w:val="18"/>
          <w:b w:val="1"/>
          <w:bCs w:val="1"/>
          <w:color w:val="auto"/>
        </w:rPr>
        <w:t>15%</w:t>
      </w:r>
    </w:p>
    <w:p>
      <w:pPr>
        <w:spacing w:after="0" w:line="67" w:lineRule="exact"/>
        <w:rPr>
          <w:sz w:val="20"/>
          <w:szCs w:val="20"/>
          <w:color w:val="auto"/>
        </w:rPr>
      </w:pPr>
    </w:p>
    <w:p>
      <w:pPr>
        <w:ind w:left="1060" w:hanging="316"/>
        <w:spacing w:after="0"/>
        <w:tabs>
          <w:tab w:leader="none" w:pos="10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4:</w:t>
      </w:r>
    </w:p>
    <w:p>
      <w:pPr>
        <w:spacing w:after="0" w:line="117" w:lineRule="exact"/>
        <w:rPr>
          <w:sz w:val="20"/>
          <w:szCs w:val="20"/>
          <w:color w:val="auto"/>
        </w:rPr>
      </w:pPr>
    </w:p>
    <w:p>
      <w:pPr>
        <w:ind w:left="1640" w:right="820"/>
        <w:spacing w:after="0" w:line="282" w:lineRule="auto"/>
        <w:rPr>
          <w:sz w:val="20"/>
          <w:szCs w:val="20"/>
          <w:color w:val="auto"/>
        </w:rPr>
      </w:pPr>
      <w:r>
        <w:rPr>
          <w:rFonts w:ascii="Times New Roman" w:cs="Times New Roman" w:eastAsia="Times New Roman" w:hAnsi="Times New Roman"/>
          <w:sz w:val="18"/>
          <w:szCs w:val="18"/>
          <w:color w:val="auto"/>
        </w:rPr>
        <w:t xml:space="preserve">Capital Gains Fee = (Weighted Percentage multiplied by ($12 million cumulative realized capital gains)) less $1.2 million cumulative Capital Gains Fee previously paid = $1.8 million less $1.2 million = </w:t>
      </w:r>
      <w:r>
        <w:rPr>
          <w:rFonts w:ascii="Times New Roman" w:cs="Times New Roman" w:eastAsia="Times New Roman" w:hAnsi="Times New Roman"/>
          <w:sz w:val="18"/>
          <w:szCs w:val="18"/>
          <w:b w:val="1"/>
          <w:bCs w:val="1"/>
          <w:color w:val="auto"/>
        </w:rPr>
        <w:t>$0.6 million</w:t>
      </w:r>
    </w:p>
    <w:p>
      <w:pPr>
        <w:spacing w:after="0" w:line="54" w:lineRule="exact"/>
        <w:rPr>
          <w:sz w:val="20"/>
          <w:szCs w:val="20"/>
          <w:color w:val="auto"/>
        </w:rPr>
      </w:pPr>
    </w:p>
    <w:p>
      <w:pPr>
        <w:ind w:left="1640" w:right="300"/>
        <w:spacing w:after="0" w:line="282" w:lineRule="auto"/>
        <w:rPr>
          <w:sz w:val="20"/>
          <w:szCs w:val="20"/>
          <w:color w:val="auto"/>
        </w:rPr>
      </w:pPr>
      <w:r>
        <w:rPr>
          <w:rFonts w:ascii="Times New Roman" w:cs="Times New Roman" w:eastAsia="Times New Roman" w:hAnsi="Times New Roman"/>
          <w:sz w:val="18"/>
          <w:szCs w:val="18"/>
          <w:color w:val="auto"/>
        </w:rPr>
        <w:t xml:space="preserve">Weighted Percentage = (15% multiplied by ($12 million Pre-IPO Gain Amount divided by $12 million Total Gain Amount)) plus (17.5% multiplied by ($0 Post-IPO Gain Amount divided by $10 million Total Gain Amount)) = </w:t>
      </w:r>
      <w:r>
        <w:rPr>
          <w:rFonts w:ascii="Times New Roman" w:cs="Times New Roman" w:eastAsia="Times New Roman" w:hAnsi="Times New Roman"/>
          <w:sz w:val="18"/>
          <w:szCs w:val="18"/>
          <w:b w:val="1"/>
          <w:bCs w:val="1"/>
          <w:color w:val="auto"/>
        </w:rPr>
        <w:t>15%</w:t>
      </w:r>
    </w:p>
    <w:p>
      <w:pPr>
        <w:spacing w:after="0" w:line="67" w:lineRule="exact"/>
        <w:rPr>
          <w:sz w:val="20"/>
          <w:szCs w:val="20"/>
          <w:color w:val="auto"/>
        </w:rPr>
      </w:pPr>
    </w:p>
    <w:p>
      <w:pPr>
        <w:ind w:left="1060" w:hanging="316"/>
        <w:spacing w:after="0"/>
        <w:tabs>
          <w:tab w:leader="none" w:pos="10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5:</w:t>
      </w:r>
    </w:p>
    <w:p>
      <w:pPr>
        <w:spacing w:after="0" w:line="117" w:lineRule="exact"/>
        <w:rPr>
          <w:sz w:val="20"/>
          <w:szCs w:val="20"/>
          <w:color w:val="auto"/>
        </w:rPr>
      </w:pPr>
    </w:p>
    <w:p>
      <w:pPr>
        <w:ind w:left="1640" w:right="820"/>
        <w:spacing w:after="0" w:line="282" w:lineRule="auto"/>
        <w:rPr>
          <w:sz w:val="20"/>
          <w:szCs w:val="20"/>
          <w:color w:val="auto"/>
        </w:rPr>
      </w:pPr>
      <w:r>
        <w:rPr>
          <w:rFonts w:ascii="Times New Roman" w:cs="Times New Roman" w:eastAsia="Times New Roman" w:hAnsi="Times New Roman"/>
          <w:sz w:val="18"/>
          <w:szCs w:val="18"/>
          <w:color w:val="auto"/>
        </w:rPr>
        <w:t xml:space="preserve">Capital Gains Fee = (Weighted Percentage multiplied by ($22 million cumulative realized capital gains)) less $1.8 million cumulative Capital Gains Fee previously paid = $3.45 million less $1.8 million = </w:t>
      </w:r>
      <w:r>
        <w:rPr>
          <w:rFonts w:ascii="Times New Roman" w:cs="Times New Roman" w:eastAsia="Times New Roman" w:hAnsi="Times New Roman"/>
          <w:sz w:val="18"/>
          <w:szCs w:val="18"/>
          <w:b w:val="1"/>
          <w:bCs w:val="1"/>
          <w:color w:val="auto"/>
        </w:rPr>
        <w:t>$1.65 million</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40"/>
          </w:cols>
          <w:pgMar w:left="240" w:top="455" w:right="41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640" w:right="180"/>
        <w:spacing w:after="0" w:line="282" w:lineRule="auto"/>
        <w:rPr>
          <w:sz w:val="20"/>
          <w:szCs w:val="20"/>
          <w:color w:val="auto"/>
        </w:rPr>
      </w:pPr>
      <w:r>
        <w:rPr>
          <w:rFonts w:ascii="Times New Roman" w:cs="Times New Roman" w:eastAsia="Times New Roman" w:hAnsi="Times New Roman"/>
          <w:sz w:val="18"/>
          <w:szCs w:val="18"/>
          <w:color w:val="auto"/>
        </w:rPr>
        <w:t xml:space="preserve">Weighted Percentage = (15% multiplied by ($16 million Pre-IPO Gain Amount divided by $22 million Total Gain Amount)) plus (17.5% multiplied by ($6 million Post-IPO Gain Amount divided by $22 million Total Gain Amount)) = </w:t>
      </w:r>
      <w:r>
        <w:rPr>
          <w:rFonts w:ascii="Times New Roman" w:cs="Times New Roman" w:eastAsia="Times New Roman" w:hAnsi="Times New Roman"/>
          <w:sz w:val="18"/>
          <w:szCs w:val="18"/>
          <w:b w:val="1"/>
          <w:bCs w:val="1"/>
          <w:color w:val="auto"/>
        </w:rPr>
        <w:t>15.68%</w:t>
      </w:r>
    </w:p>
    <w:p>
      <w:pPr>
        <w:spacing w:after="0" w:line="67" w:lineRule="exact"/>
        <w:rPr>
          <w:sz w:val="20"/>
          <w:szCs w:val="20"/>
          <w:color w:val="auto"/>
        </w:rPr>
      </w:pPr>
    </w:p>
    <w:p>
      <w:pPr>
        <w:ind w:left="1060" w:hanging="316"/>
        <w:spacing w:after="0"/>
        <w:tabs>
          <w:tab w:leader="none" w:pos="10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6:</w:t>
      </w:r>
    </w:p>
    <w:p>
      <w:pPr>
        <w:spacing w:after="0" w:line="117" w:lineRule="exact"/>
        <w:rPr>
          <w:sz w:val="20"/>
          <w:szCs w:val="20"/>
          <w:color w:val="auto"/>
        </w:rPr>
      </w:pPr>
    </w:p>
    <w:p>
      <w:pPr>
        <w:ind w:left="1640" w:right="120"/>
        <w:spacing w:after="0" w:line="266" w:lineRule="auto"/>
        <w:rPr>
          <w:sz w:val="20"/>
          <w:szCs w:val="20"/>
          <w:color w:val="auto"/>
        </w:rPr>
      </w:pPr>
      <w:r>
        <w:rPr>
          <w:rFonts w:ascii="Times New Roman" w:cs="Times New Roman" w:eastAsia="Times New Roman" w:hAnsi="Times New Roman"/>
          <w:sz w:val="18"/>
          <w:szCs w:val="18"/>
          <w:color w:val="auto"/>
        </w:rPr>
        <w:t xml:space="preserve">Capital Gains Fee = (Weighted Percentage multiplied by ($28 million cumulative realized capital gains less $2 million cumulative capital depreciation)) less $3.45 million cumulative Capital Gains Fee previously paid = $4.18 million less $3.45 million = </w:t>
      </w:r>
      <w:r>
        <w:rPr>
          <w:rFonts w:ascii="Times New Roman" w:cs="Times New Roman" w:eastAsia="Times New Roman" w:hAnsi="Times New Roman"/>
          <w:sz w:val="18"/>
          <w:szCs w:val="18"/>
          <w:b w:val="1"/>
          <w:bCs w:val="1"/>
          <w:color w:val="auto"/>
        </w:rPr>
        <w:t>$0.73 million</w:t>
      </w:r>
    </w:p>
    <w:p>
      <w:pPr>
        <w:spacing w:after="0" w:line="68" w:lineRule="exact"/>
        <w:rPr>
          <w:sz w:val="20"/>
          <w:szCs w:val="20"/>
          <w:color w:val="auto"/>
        </w:rPr>
      </w:pPr>
    </w:p>
    <w:p>
      <w:pPr>
        <w:ind w:left="1640" w:right="180"/>
        <w:spacing w:after="0" w:line="282" w:lineRule="auto"/>
        <w:rPr>
          <w:sz w:val="20"/>
          <w:szCs w:val="20"/>
          <w:color w:val="auto"/>
        </w:rPr>
      </w:pPr>
      <w:r>
        <w:rPr>
          <w:rFonts w:ascii="Times New Roman" w:cs="Times New Roman" w:eastAsia="Times New Roman" w:hAnsi="Times New Roman"/>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Times New Roman" w:cs="Times New Roman" w:eastAsia="Times New Roman" w:hAnsi="Times New Roman"/>
          <w:sz w:val="18"/>
          <w:szCs w:val="18"/>
          <w:b w:val="1"/>
          <w:bCs w:val="1"/>
          <w:color w:val="auto"/>
        </w:rPr>
        <w:t>16.07%</w:t>
      </w:r>
    </w:p>
    <w:p>
      <w:pPr>
        <w:spacing w:after="0" w:line="67" w:lineRule="exact"/>
        <w:rPr>
          <w:sz w:val="20"/>
          <w:szCs w:val="20"/>
          <w:color w:val="auto"/>
        </w:rPr>
      </w:pPr>
    </w:p>
    <w:p>
      <w:pPr>
        <w:ind w:left="1060" w:hanging="316"/>
        <w:spacing w:after="0"/>
        <w:tabs>
          <w:tab w:leader="none" w:pos="10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7:</w:t>
      </w:r>
    </w:p>
    <w:p>
      <w:pPr>
        <w:spacing w:after="0" w:line="117" w:lineRule="exact"/>
        <w:rPr>
          <w:sz w:val="20"/>
          <w:szCs w:val="20"/>
          <w:color w:val="auto"/>
        </w:rPr>
      </w:pPr>
    </w:p>
    <w:p>
      <w:pPr>
        <w:ind w:left="1640" w:right="40"/>
        <w:spacing w:after="0" w:line="313" w:lineRule="auto"/>
        <w:rPr>
          <w:sz w:val="20"/>
          <w:szCs w:val="20"/>
          <w:color w:val="auto"/>
        </w:rPr>
      </w:pPr>
      <w:r>
        <w:rPr>
          <w:rFonts w:ascii="Times New Roman" w:cs="Times New Roman" w:eastAsia="Times New Roman" w:hAnsi="Times New Roman"/>
          <w:sz w:val="17"/>
          <w:szCs w:val="17"/>
          <w:color w:val="auto"/>
        </w:rPr>
        <w:t xml:space="preserve">Capital Gains Fee = (Weighted Percentage multiplied by ($28 million cumulative realized capital gains less $2 million cumulative realized capital losses)) less $4.18 million cumulative Capital Gains Fee previously paid = $4.18 million less $4.18 million = </w:t>
      </w:r>
      <w:r>
        <w:rPr>
          <w:rFonts w:ascii="Times New Roman" w:cs="Times New Roman" w:eastAsia="Times New Roman" w:hAnsi="Times New Roman"/>
          <w:sz w:val="17"/>
          <w:szCs w:val="17"/>
          <w:b w:val="1"/>
          <w:bCs w:val="1"/>
          <w:color w:val="auto"/>
        </w:rPr>
        <w:t>$0.00</w:t>
      </w:r>
    </w:p>
    <w:p>
      <w:pPr>
        <w:spacing w:after="0" w:line="30" w:lineRule="exact"/>
        <w:rPr>
          <w:sz w:val="20"/>
          <w:szCs w:val="20"/>
          <w:color w:val="auto"/>
        </w:rPr>
      </w:pPr>
    </w:p>
    <w:p>
      <w:pPr>
        <w:ind w:left="1640" w:right="180"/>
        <w:spacing w:after="0" w:line="282" w:lineRule="auto"/>
        <w:rPr>
          <w:sz w:val="20"/>
          <w:szCs w:val="20"/>
          <w:color w:val="auto"/>
        </w:rPr>
      </w:pPr>
      <w:r>
        <w:rPr>
          <w:rFonts w:ascii="Times New Roman" w:cs="Times New Roman" w:eastAsia="Times New Roman" w:hAnsi="Times New Roman"/>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Times New Roman" w:cs="Times New Roman" w:eastAsia="Times New Roman" w:hAnsi="Times New Roman"/>
          <w:sz w:val="18"/>
          <w:szCs w:val="18"/>
          <w:b w:val="1"/>
          <w:bCs w:val="1"/>
          <w:color w:val="auto"/>
        </w:rPr>
        <w:t>16.07%</w:t>
      </w:r>
    </w:p>
    <w:p>
      <w:pPr>
        <w:spacing w:after="0" w:line="67" w:lineRule="exact"/>
        <w:rPr>
          <w:sz w:val="20"/>
          <w:szCs w:val="20"/>
          <w:color w:val="auto"/>
        </w:rPr>
      </w:pPr>
    </w:p>
    <w:p>
      <w:pPr>
        <w:ind w:left="1060" w:hanging="316"/>
        <w:spacing w:after="0"/>
        <w:tabs>
          <w:tab w:leader="none" w:pos="10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8:</w:t>
      </w:r>
    </w:p>
    <w:p>
      <w:pPr>
        <w:spacing w:after="0" w:line="117" w:lineRule="exact"/>
        <w:rPr>
          <w:sz w:val="20"/>
          <w:szCs w:val="20"/>
          <w:color w:val="auto"/>
        </w:rPr>
      </w:pPr>
    </w:p>
    <w:p>
      <w:pPr>
        <w:ind w:left="1640" w:right="120"/>
        <w:spacing w:after="0" w:line="266" w:lineRule="auto"/>
        <w:rPr>
          <w:sz w:val="20"/>
          <w:szCs w:val="20"/>
          <w:color w:val="auto"/>
        </w:rPr>
      </w:pPr>
      <w:r>
        <w:rPr>
          <w:rFonts w:ascii="Times New Roman" w:cs="Times New Roman" w:eastAsia="Times New Roman" w:hAnsi="Times New Roman"/>
          <w:sz w:val="18"/>
          <w:szCs w:val="18"/>
          <w:color w:val="auto"/>
        </w:rPr>
        <w:t xml:space="preserve">Capital Gains Fee = (Weighted Percentage multiplied by ($36 million cumulative realized capital gains less $2 million cumulative realized capital losses)) less $4.18 million cumulative Capital Gains Fee previously paid = $5.57 million less $4.18 million = </w:t>
      </w:r>
      <w:r>
        <w:rPr>
          <w:rFonts w:ascii="Times New Roman" w:cs="Times New Roman" w:eastAsia="Times New Roman" w:hAnsi="Times New Roman"/>
          <w:sz w:val="18"/>
          <w:szCs w:val="18"/>
          <w:b w:val="1"/>
          <w:bCs w:val="1"/>
          <w:color w:val="auto"/>
        </w:rPr>
        <w:t>$1.39 million</w:t>
      </w:r>
    </w:p>
    <w:p>
      <w:pPr>
        <w:spacing w:after="0" w:line="68" w:lineRule="exact"/>
        <w:rPr>
          <w:sz w:val="20"/>
          <w:szCs w:val="20"/>
          <w:color w:val="auto"/>
        </w:rPr>
      </w:pPr>
    </w:p>
    <w:p>
      <w:pPr>
        <w:ind w:left="1640" w:right="180"/>
        <w:spacing w:after="0" w:line="282" w:lineRule="auto"/>
        <w:rPr>
          <w:sz w:val="20"/>
          <w:szCs w:val="20"/>
          <w:color w:val="auto"/>
        </w:rPr>
      </w:pPr>
      <w:r>
        <w:rPr>
          <w:rFonts w:ascii="Times New Roman" w:cs="Times New Roman" w:eastAsia="Times New Roman" w:hAnsi="Times New Roman"/>
          <w:sz w:val="18"/>
          <w:szCs w:val="18"/>
          <w:color w:val="auto"/>
        </w:rPr>
        <w:t xml:space="preserve">Weighted Percentage = (15% multiplied by ($16 million Pre-IPO Gain Amount divided by $36 million Total Gain Amount)) plus (17.5% multiplied by ($20 million Post-IPO Gain Amount divided by $36 million Total Gain Amount)) = </w:t>
      </w:r>
      <w:r>
        <w:rPr>
          <w:rFonts w:ascii="Times New Roman" w:cs="Times New Roman" w:eastAsia="Times New Roman" w:hAnsi="Times New Roman"/>
          <w:sz w:val="18"/>
          <w:szCs w:val="18"/>
          <w:b w:val="1"/>
          <w:bCs w:val="1"/>
          <w:color w:val="auto"/>
        </w:rPr>
        <w:t>16.39%</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Payment of Our Expenses</w:t>
      </w:r>
    </w:p>
    <w:p>
      <w:pPr>
        <w:spacing w:after="0" w:line="121" w:lineRule="exact"/>
        <w:rPr>
          <w:sz w:val="20"/>
          <w:szCs w:val="20"/>
          <w:color w:val="auto"/>
        </w:rPr>
      </w:pPr>
    </w:p>
    <w:p>
      <w:pPr>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The costs associated with our Investment Team and staff of the Adviser, when and to the extent engaged in providing us investment advisory and management services are paid for by the Adviser. We bear all other costs and expenses of our operations, administration and transactions, including those relating to:</w:t>
      </w:r>
    </w:p>
    <w:p>
      <w:pPr>
        <w:spacing w:after="0" w:line="82" w:lineRule="exact"/>
        <w:rPr>
          <w:sz w:val="20"/>
          <w:szCs w:val="20"/>
          <w:color w:val="auto"/>
        </w:rPr>
      </w:pPr>
    </w:p>
    <w:p>
      <w:pPr>
        <w:ind w:left="1060" w:hanging="316"/>
        <w:spacing w:after="0"/>
        <w:tabs>
          <w:tab w:leader="none" w:pos="10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individual asset values and our net asset value (including the cost and expenses of any independent valuation firms);</w:t>
      </w:r>
    </w:p>
    <w:p>
      <w:pPr>
        <w:spacing w:after="0" w:line="130" w:lineRule="exact"/>
        <w:rPr>
          <w:rFonts w:ascii="Times New Roman" w:cs="Times New Roman" w:eastAsia="Times New Roman" w:hAnsi="Times New Roman"/>
          <w:sz w:val="18"/>
          <w:szCs w:val="18"/>
          <w:color w:val="auto"/>
        </w:rPr>
      </w:pPr>
    </w:p>
    <w:p>
      <w:pPr>
        <w:ind w:left="1060" w:hanging="316"/>
        <w:spacing w:after="0" w:line="266" w:lineRule="auto"/>
        <w:tabs>
          <w:tab w:leader="none" w:pos="10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1"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public offerings of our common stock and other securities, including registration and listing fees;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and any Incentive Fee;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and expenses relating to distributions paid on our shares;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our Administration Agreement;</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30" w:lineRule="exact"/>
        <w:rPr>
          <w:rFonts w:ascii="Times New Roman" w:cs="Times New Roman" w:eastAsia="Times New Roman" w:hAnsi="Times New Roman"/>
          <w:sz w:val="18"/>
          <w:szCs w:val="18"/>
          <w:color w:val="auto"/>
        </w:rPr>
      </w:pPr>
    </w:p>
    <w:p>
      <w:pPr>
        <w:ind w:left="5580" w:right="200" w:hanging="4836"/>
        <w:spacing w:after="0" w:line="454" w:lineRule="auto"/>
        <w:tabs>
          <w:tab w:leader="none" w:pos="106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allocable share of costs incurred in providing significant managerial assistance to those portfolio companies that request it; 127</w:t>
      </w:r>
    </w:p>
    <w:p>
      <w:pPr>
        <w:sectPr>
          <w:pgSz w:w="11900" w:h="16838" w:orient="portrait"/>
          <w:cols w:equalWidth="0" w:num="1">
            <w:col w:w="11120"/>
          </w:cols>
          <w:pgMar w:left="240" w:top="455" w:right="53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to third parties relating to, or associated with, making or holding investments;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hedging;</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and other compensation payable to brokers or dealers;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fees and expenses;</w:t>
      </w:r>
    </w:p>
    <w:p>
      <w:pPr>
        <w:spacing w:after="0" w:line="130" w:lineRule="exact"/>
        <w:rPr>
          <w:rFonts w:ascii="Times New Roman" w:cs="Times New Roman" w:eastAsia="Times New Roman" w:hAnsi="Times New Roman"/>
          <w:sz w:val="18"/>
          <w:szCs w:val="18"/>
          <w:color w:val="auto"/>
        </w:rPr>
      </w:pPr>
    </w:p>
    <w:p>
      <w:pPr>
        <w:ind w:left="1060" w:right="80" w:hanging="316"/>
        <w:spacing w:after="0" w:line="258" w:lineRule="auto"/>
        <w:tabs>
          <w:tab w:leader="none" w:pos="10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89" w:lineRule="exact"/>
        <w:rPr>
          <w:rFonts w:ascii="Times New Roman" w:cs="Times New Roman" w:eastAsia="Times New Roman" w:hAnsi="Times New Roman"/>
          <w:sz w:val="18"/>
          <w:szCs w:val="18"/>
          <w:color w:val="auto"/>
        </w:rPr>
      </w:pPr>
    </w:p>
    <w:p>
      <w:pPr>
        <w:ind w:left="1060" w:right="320" w:hanging="316"/>
        <w:spacing w:after="0" w:line="266" w:lineRule="auto"/>
        <w:tabs>
          <w:tab w:leader="none" w:pos="10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81"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fidelity bond;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officers/errors and omissions liability insurance, and any other insurance premiums;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audit, accounting, consulting and legal costs;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left="200" w:right="140" w:firstLine="441"/>
        <w:spacing w:after="0" w:line="258" w:lineRule="auto"/>
        <w:rPr>
          <w:sz w:val="20"/>
          <w:szCs w:val="20"/>
          <w:color w:val="auto"/>
        </w:rPr>
      </w:pPr>
      <w:r>
        <w:rPr>
          <w:rFonts w:ascii="Times New Roman" w:cs="Times New Roman" w:eastAsia="Times New Roman" w:hAnsi="Times New Roman"/>
          <w:sz w:val="18"/>
          <w:szCs w:val="18"/>
          <w:color w:val="auto"/>
        </w:rPr>
        <w:t>In addition, from time to time, the Adviser pays amounts owed by us to third-party providers of goods or services, including the Board. We subsequently reimburse the Adviser for those amounts paid on our behalf. Amounts payable to the Adviser are settled in the normal course of business without formal payment terms.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Duration and Termination</w:t>
      </w:r>
    </w:p>
    <w:p>
      <w:pPr>
        <w:spacing w:after="0" w:line="121"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Unless earlier terminated as described below, both the Investment Advisory Agreement and the Administration Agreement will remain in effect until November 2018,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our Independent Directors. The Investment Advisory Agreement automatically terminates in the event of its assignment, as defined in the 1940 Act, by the Adviser. Each agreement may be terminated by either party without penalty on 60 days’ written notice to the other party. The holders of a majority of our outstanding voting securities may also terminate each agreement without penalty on 60 days’ written notice. See “Risk Factors—Risks Related to Our Business and Structure—We are dependent upon management personnel of the Adviser, TSSP, TPG and their affiliates for our future success.”</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The Investment Advisory Agreement and the Administration Agreement provide that the Adviser and its members, managers, officers, employees, agents, controlling persons and any other person or entity affiliated</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00"/>
          </w:cols>
          <w:pgMar w:left="240" w:top="455" w:right="45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3" w:lineRule="auto"/>
        <w:rPr>
          <w:sz w:val="20"/>
          <w:szCs w:val="20"/>
          <w:color w:val="auto"/>
        </w:rPr>
      </w:pPr>
      <w:r>
        <w:rPr>
          <w:rFonts w:ascii="Times New Roman" w:cs="Times New Roman" w:eastAsia="Times New Roman" w:hAnsi="Times New Roman"/>
          <w:sz w:val="18"/>
          <w:szCs w:val="18"/>
          <w:color w:val="auto"/>
        </w:rPr>
        <w:t>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2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Board Approval of the Investment Advisory Agreement</w:t>
      </w:r>
    </w:p>
    <w:p>
      <w:pPr>
        <w:spacing w:after="0" w:line="121" w:lineRule="exact"/>
        <w:rPr>
          <w:sz w:val="20"/>
          <w:szCs w:val="20"/>
          <w:color w:val="auto"/>
        </w:rPr>
      </w:pPr>
    </w:p>
    <w:p>
      <w:pPr>
        <w:ind w:left="200" w:right="500" w:firstLine="441"/>
        <w:spacing w:after="0" w:line="261" w:lineRule="auto"/>
        <w:rPr>
          <w:sz w:val="20"/>
          <w:szCs w:val="20"/>
          <w:color w:val="auto"/>
        </w:rPr>
      </w:pPr>
      <w:r>
        <w:rPr>
          <w:rFonts w:ascii="Times New Roman" w:cs="Times New Roman" w:eastAsia="Times New Roman" w:hAnsi="Times New Roman"/>
          <w:sz w:val="18"/>
          <w:szCs w:val="18"/>
          <w:color w:val="auto"/>
        </w:rPr>
        <w:t>Our Board, including our Independent Directors, and holders of a majority of our outstanding securities, approved our Investment Advisory Agreement in December 2011. Our Board, including a majority of the Independent Directors, renewed the Investment Advisory Agreement in November 2017. A discussion regarding the basis for our Board’s approval and renewal of the Investment Advisory Agreement is available in our Annual Report on Form 10-K for the fiscal year ended December 31, 2017.</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20"/>
          </w:cols>
          <w:pgMar w:left="240" w:top="455" w:right="43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RELATED-PARTY TRANSACTIONS AND CERTAIN RELATIONSHIPS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TPG</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investment activities are managed by our Adviser, which is responsible for sourcing, researching and structuring potential investments,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monitoring our portfolio companies and providing operating, managerial and administrative assistance to us and to our portfolio companies as required.</w:t>
      </w:r>
    </w:p>
    <w:p>
      <w:pPr>
        <w:spacing w:after="0" w:line="207"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The Adviser is registered under the Advisers Act and is an affiliate of TSSP and TPG. Other affiliates of TSSP and TPG are also registered investment advisers and provide investment advisory services to a number of private investment funds. In addition, TSSP, TPG and their affiliates engage in a broad range of other investment activities, including pursuing investments for their own account and for the account of associated funds and providing other services to these funds and their portfolio companies. The Adviser held 2,732,307 shares, or 4.3%, of our common stock as of March 26, 2018.</w:t>
      </w:r>
    </w:p>
    <w:p>
      <w:pPr>
        <w:spacing w:after="0" w:line="184"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We believe we benefit from the Adviser’s relationships with TSSP and TPG. The Adviser has access to the contacts and industry knowledge of TSSP’s and TPG’s investment professionals, and is also able to consult with TSSP and TPG investment professionals on specific industry issues, trends and other matters to complement our investment process. However, the Adviser and members of the Investment Review Committee are expected to face a number of actual and potential conflicts of interest involving us, TSSP, TPG and other private investment funds affiliated with TSSP and TPG, including conflicts in the allocation of investment opportunities among us and other TSSP and TPG vehicles, as well as in their time and attention requirements as to these other vehicles. Additionally, various potential and actual conflicts of interest may arise from the overall advisory, investment and other activities of the Adviser, its affiliates, including TSSP and TPG, and their respective clients.</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Allocations of Loan Origination Investment Opportunities</w:t>
      </w:r>
    </w:p>
    <w:p>
      <w:pPr>
        <w:spacing w:after="0" w:line="121" w:lineRule="exact"/>
        <w:rPr>
          <w:sz w:val="20"/>
          <w:szCs w:val="20"/>
          <w:color w:val="auto"/>
        </w:rPr>
      </w:pPr>
    </w:p>
    <w:p>
      <w:pPr>
        <w:ind w:left="200" w:right="60" w:firstLine="441"/>
        <w:spacing w:after="0" w:line="253" w:lineRule="auto"/>
        <w:rPr>
          <w:sz w:val="20"/>
          <w:szCs w:val="20"/>
          <w:color w:val="auto"/>
        </w:rPr>
      </w:pPr>
      <w:r>
        <w:rPr>
          <w:rFonts w:ascii="Times New Roman" w:cs="Times New Roman" w:eastAsia="Times New Roman" w:hAnsi="Times New Roman"/>
          <w:sz w:val="18"/>
          <w:szCs w:val="18"/>
          <w:color w:val="auto"/>
        </w:rPr>
        <w:t>Certain members of the Adviser’s senior management and the Investment Review Committee are and will continue to be active in other investment funds affiliated with TSSP and TPG that pursue investment opportunities that could overlap with those pursued by us. However, the Adviser and its affiliates intend to allocate investment opportunities in a fair and equitable manner in accordance with their allocation principles. In particular,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determine an appropriate size for our investment.</w:t>
      </w:r>
    </w:p>
    <w:p>
      <w:pPr>
        <w:spacing w:after="0" w:line="2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Exemptive Order</w:t>
      </w:r>
    </w:p>
    <w:p>
      <w:pPr>
        <w:spacing w:after="0" w:line="121" w:lineRule="exact"/>
        <w:rPr>
          <w:sz w:val="20"/>
          <w:szCs w:val="20"/>
          <w:color w:val="auto"/>
        </w:rPr>
      </w:pPr>
    </w:p>
    <w:p>
      <w:pPr>
        <w:ind w:left="200" w:right="120" w:firstLine="441"/>
        <w:spacing w:after="0" w:line="261" w:lineRule="auto"/>
        <w:rPr>
          <w:sz w:val="20"/>
          <w:szCs w:val="20"/>
          <w:color w:val="auto"/>
        </w:rPr>
      </w:pPr>
      <w:r>
        <w:rPr>
          <w:rFonts w:ascii="Times New Roman" w:cs="Times New Roman" w:eastAsia="Times New Roman" w:hAnsi="Times New Roman"/>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80" w:lineRule="exact"/>
        <w:rPr>
          <w:sz w:val="20"/>
          <w:szCs w:val="20"/>
          <w:color w:val="auto"/>
        </w:rPr>
      </w:pPr>
    </w:p>
    <w:p>
      <w:pPr>
        <w:ind w:left="200" w:right="360" w:firstLine="441"/>
        <w:spacing w:after="0" w:line="282" w:lineRule="auto"/>
        <w:rPr>
          <w:sz w:val="20"/>
          <w:szCs w:val="20"/>
          <w:color w:val="auto"/>
        </w:rPr>
      </w:pPr>
      <w:r>
        <w:rPr>
          <w:rFonts w:ascii="Times New Roman" w:cs="Times New Roman" w:eastAsia="Times New Roman" w:hAnsi="Times New Roman"/>
          <w:sz w:val="18"/>
          <w:szCs w:val="18"/>
          <w:color w:val="auto"/>
        </w:rPr>
        <w:t>On December 16, 2014, we were granted an exemptive order from the SEC that allows us to co-invest, subject to certain conditions and to the extent the size of an investment opportunity exceeds the amount our</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220"/>
          </w:cols>
          <w:pgMar w:left="240" w:top="455" w:right="43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6" w:lineRule="auto"/>
        <w:rPr>
          <w:sz w:val="20"/>
          <w:szCs w:val="20"/>
          <w:color w:val="auto"/>
        </w:rPr>
      </w:pPr>
      <w:r>
        <w:rPr>
          <w:rFonts w:ascii="Times New Roman" w:cs="Times New Roman" w:eastAsia="Times New Roman" w:hAnsi="Times New Roman"/>
          <w:sz w:val="18"/>
          <w:szCs w:val="18"/>
          <w:color w:val="auto"/>
        </w:rPr>
        <w:t>Adviser has independently determined is appropriate for us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76" w:lineRule="exact"/>
        <w:rPr>
          <w:sz w:val="20"/>
          <w:szCs w:val="20"/>
          <w:color w:val="auto"/>
        </w:rPr>
      </w:pPr>
    </w:p>
    <w:p>
      <w:pPr>
        <w:ind w:left="200" w:right="160" w:firstLine="441"/>
        <w:spacing w:after="0" w:line="261" w:lineRule="auto"/>
        <w:rPr>
          <w:sz w:val="20"/>
          <w:szCs w:val="20"/>
          <w:color w:val="auto"/>
        </w:rPr>
      </w:pPr>
      <w:r>
        <w:rPr>
          <w:rFonts w:ascii="Times New Roman" w:cs="Times New Roman" w:eastAsia="Times New Roman" w:hAnsi="Times New Roman"/>
          <w:sz w:val="18"/>
          <w:szCs w:val="18"/>
          <w:color w:val="auto"/>
        </w:rPr>
        <w:t>We believe our ability to co-invest with TSSP and TPG affiliates is particularly useful where we identify larger capital commitments than otherwise would be appropriate for us. We expect that with the ability to co-invest with TSSP and TPG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0" w:lineRule="exact"/>
        <w:rPr>
          <w:sz w:val="20"/>
          <w:szCs w:val="20"/>
          <w:color w:val="auto"/>
        </w:rPr>
      </w:pPr>
    </w:p>
    <w:p>
      <w:pPr>
        <w:ind w:left="200" w:right="80" w:firstLine="441"/>
        <w:spacing w:after="0" w:line="282" w:lineRule="auto"/>
        <w:rPr>
          <w:sz w:val="20"/>
          <w:szCs w:val="20"/>
          <w:color w:val="auto"/>
        </w:rPr>
      </w:pPr>
      <w:r>
        <w:rPr>
          <w:rFonts w:ascii="Times New Roman" w:cs="Times New Roman" w:eastAsia="Times New Roman" w:hAnsi="Times New Roman"/>
          <w:sz w:val="18"/>
          <w:szCs w:val="18"/>
          <w:color w:val="auto"/>
        </w:rPr>
        <w:t>Further, in accordance with the exemptive order, we have undertaken that, in connection with any commitment to a co-investment or follow-on investment, a “required majority” (as defined in Section 57(o) of the 1940 Act) of Independent Directors must make certain conclusions, including that:</w:t>
      </w:r>
    </w:p>
    <w:p>
      <w:pPr>
        <w:spacing w:after="0" w:line="67" w:lineRule="exact"/>
        <w:rPr>
          <w:sz w:val="20"/>
          <w:szCs w:val="20"/>
          <w:color w:val="auto"/>
        </w:rPr>
      </w:pPr>
    </w:p>
    <w:p>
      <w:pPr>
        <w:ind w:left="1060" w:right="180" w:hanging="316"/>
        <w:spacing w:after="0" w:line="282" w:lineRule="auto"/>
        <w:tabs>
          <w:tab w:leader="none" w:pos="10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proposed transaction (including the consideration to be paid) are reasonable and fair to us and our stockholders and do not involve overreaching of us or our stockholders on the part of any person concerned;</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consistent with the interests of our stockholders and our investment strategies and policies;</w:t>
      </w:r>
    </w:p>
    <w:p>
      <w:pPr>
        <w:spacing w:after="0" w:line="130" w:lineRule="exact"/>
        <w:rPr>
          <w:rFonts w:ascii="Times New Roman" w:cs="Times New Roman" w:eastAsia="Times New Roman" w:hAnsi="Times New Roman"/>
          <w:sz w:val="18"/>
          <w:szCs w:val="18"/>
          <w:color w:val="auto"/>
        </w:rPr>
      </w:pPr>
    </w:p>
    <w:p>
      <w:pPr>
        <w:ind w:left="1060" w:right="300" w:hanging="316"/>
        <w:spacing w:after="0" w:line="282" w:lineRule="auto"/>
        <w:tabs>
          <w:tab w:leader="none" w:pos="10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by our affiliate would not disadvantage us, and our participation is not on a basis different from or less advantageous than that of our affiliate; and</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will not benefit any affiliate other than the affiliate participating in the investment, and as otherwise permitted by the order.</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Allocation of Non-Loan Origination Investment Opportunities</w:t>
      </w:r>
    </w:p>
    <w:p>
      <w:pPr>
        <w:spacing w:after="0" w:line="121" w:lineRule="exact"/>
        <w:rPr>
          <w:sz w:val="20"/>
          <w:szCs w:val="20"/>
          <w:color w:val="auto"/>
        </w:rPr>
      </w:pPr>
    </w:p>
    <w:p>
      <w:pPr>
        <w:ind w:left="200" w:right="340" w:firstLine="441"/>
        <w:spacing w:after="0" w:line="255" w:lineRule="auto"/>
        <w:rPr>
          <w:sz w:val="20"/>
          <w:szCs w:val="20"/>
          <w:color w:val="auto"/>
        </w:rPr>
      </w:pPr>
      <w:r>
        <w:rPr>
          <w:rFonts w:ascii="Times New Roman" w:cs="Times New Roman" w:eastAsia="Times New Roman" w:hAnsi="Times New Roman"/>
          <w:sz w:val="18"/>
          <w:szCs w:val="18"/>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w:t>
      </w:r>
    </w:p>
    <w:p>
      <w:pPr>
        <w:spacing w:after="0" w:line="3" w:lineRule="exact"/>
        <w:rPr>
          <w:sz w:val="20"/>
          <w:szCs w:val="20"/>
          <w:color w:val="auto"/>
        </w:rPr>
      </w:pPr>
    </w:p>
    <w:p>
      <w:pPr>
        <w:ind w:left="200" w:right="60"/>
        <w:spacing w:after="0" w:line="253" w:lineRule="auto"/>
        <w:rPr>
          <w:sz w:val="20"/>
          <w:szCs w:val="20"/>
          <w:color w:val="auto"/>
        </w:rPr>
      </w:pPr>
      <w:r>
        <w:rPr>
          <w:rFonts w:ascii="Times New Roman" w:cs="Times New Roman" w:eastAsia="Times New Roman" w:hAnsi="Times New Roman"/>
          <w:sz w:val="18"/>
          <w:szCs w:val="18"/>
          <w:color w:val="auto"/>
        </w:rPr>
        <w:t>$250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87"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Our ability to pursue investment opportunities other than those for middle-market loan originations for companies domiciled in the United States is subject to the allocation decisions by TSSP and TPG senior professionals. Such non-loan origination opportunities may be required to be offered to, or may be otherwise suitable for, other TPG funds or investment vehicles, including TSSP funds and investment vehicles. As a result, the Adviser and its affiliates may face conflicts in allocating investment opportunities between us and those other entities. It is possible that we may not be given the opportunity to participate in certain investments made by TSSP or TPG vehicles that would otherwise be suitable for us. For example, TSSP has organized a separate investment vehicle, TSL Europe, aimed specifically at European middle-market loan originations and may in the future organize vehicles aimed at other loan origination opportunities outside our primary focus.</w:t>
      </w:r>
    </w:p>
    <w:p>
      <w:pPr>
        <w:spacing w:after="0" w:line="189" w:lineRule="exact"/>
        <w:rPr>
          <w:sz w:val="20"/>
          <w:szCs w:val="20"/>
          <w:color w:val="auto"/>
        </w:rPr>
      </w:pPr>
    </w:p>
    <w:p>
      <w:pPr>
        <w:ind w:left="200" w:right="160" w:firstLine="441"/>
        <w:spacing w:after="0" w:line="282" w:lineRule="auto"/>
        <w:rPr>
          <w:sz w:val="20"/>
          <w:szCs w:val="20"/>
          <w:color w:val="auto"/>
        </w:rPr>
      </w:pPr>
      <w:r>
        <w:rPr>
          <w:rFonts w:ascii="Times New Roman" w:cs="Times New Roman" w:eastAsia="Times New Roman" w:hAnsi="Times New Roman"/>
          <w:sz w:val="18"/>
          <w:szCs w:val="18"/>
          <w:color w:val="auto"/>
        </w:rPr>
        <w:t>If TPG and the Adviser were to determine that an investment that is not a middle-market loan origination for a company domiciled in the United States is appropriate both for us and for one or more other TSSP or TPG</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220"/>
          </w:cols>
          <w:pgMar w:left="240" w:top="455" w:right="43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82" w:lineRule="auto"/>
        <w:rPr>
          <w:sz w:val="20"/>
          <w:szCs w:val="20"/>
          <w:color w:val="auto"/>
        </w:rPr>
      </w:pPr>
      <w:r>
        <w:rPr>
          <w:rFonts w:ascii="Times New Roman" w:cs="Times New Roman" w:eastAsia="Times New Roman" w:hAnsi="Times New Roman"/>
          <w:sz w:val="18"/>
          <w:szCs w:val="18"/>
          <w:color w:val="auto"/>
        </w:rPr>
        <w:t>vehicles, we would only be able to make the investment in conjunction with another such vehicle if we receive an order from the SEC permitting us to do so or the investment is otherwise permitted under relevant SEC guidance.</w:t>
      </w:r>
    </w:p>
    <w:p>
      <w:pPr>
        <w:spacing w:after="0" w:line="162" w:lineRule="exact"/>
        <w:rPr>
          <w:sz w:val="20"/>
          <w:szCs w:val="20"/>
          <w:color w:val="auto"/>
        </w:rPr>
      </w:pPr>
    </w:p>
    <w:p>
      <w:pPr>
        <w:ind w:left="200" w:right="120" w:firstLine="441"/>
        <w:spacing w:after="0" w:line="261" w:lineRule="auto"/>
        <w:rPr>
          <w:sz w:val="20"/>
          <w:szCs w:val="20"/>
          <w:color w:val="auto"/>
        </w:rPr>
      </w:pPr>
      <w:r>
        <w:rPr>
          <w:rFonts w:ascii="Times New Roman" w:cs="Times New Roman" w:eastAsia="Times New Roman" w:hAnsi="Times New Roman"/>
          <w:sz w:val="18"/>
          <w:szCs w:val="18"/>
          <w:color w:val="auto"/>
        </w:rPr>
        <w:t>The Adviser believes this allocation system is fair and equitable, and consistent with its fiduciary duty to us. In particular, we have disclosed to investors that TSSP and TPG will refer to us all middle-market loan origination activities for companies domiciled in the United States. In addition, we have disclosed how allocation determinations are made among TSSP and TPG vehicles in connection with other opportunities, including those circumstances in which the Adviser may be required to offer them to these affiliated vehicles.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Administrator</w:t>
      </w:r>
    </w:p>
    <w:p>
      <w:pPr>
        <w:spacing w:after="0" w:line="121"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The Adviser also serves as our administrator. The administrator, on behalf of us and at our expense, may retain one or more service providers that may also be affiliates of TPG to serve as sub-administrator, custodian, accounting agent, investor services agent, transfer agent or other service provider for us. Any fees we pay, or indemnification obligations we undertake, in respect of the administrator and those other service providers that are TPG affiliates, will be set at arm’s length and approved by the Independent Directors.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Fees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the course of our investing activities, we pay fees to the Adviser, incur direct expenses and reimburse the Adviser for certain expenses it incurs.</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Certain Business Relationships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Certain of our current directors and officers are directors or officers of the Adviser or its affiliates. See “Management—Biographical Information.”</w:t>
      </w:r>
    </w:p>
    <w:p>
      <w:pPr>
        <w:spacing w:after="0" w:line="3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Related-Party Transactions</w:t>
      </w:r>
    </w:p>
    <w:p>
      <w:pPr>
        <w:spacing w:after="0" w:line="121" w:lineRule="exact"/>
        <w:rPr>
          <w:sz w:val="20"/>
          <w:szCs w:val="20"/>
          <w:color w:val="auto"/>
        </w:rPr>
      </w:pPr>
    </w:p>
    <w:p>
      <w:pPr>
        <w:ind w:left="200" w:right="600" w:firstLine="441"/>
        <w:spacing w:after="0" w:line="282" w:lineRule="auto"/>
        <w:rPr>
          <w:sz w:val="20"/>
          <w:szCs w:val="20"/>
          <w:color w:val="auto"/>
        </w:rPr>
      </w:pPr>
      <w:r>
        <w:rPr>
          <w:rFonts w:ascii="Times New Roman" w:cs="Times New Roman" w:eastAsia="Times New Roman" w:hAnsi="Times New Roman"/>
          <w:sz w:val="18"/>
          <w:szCs w:val="18"/>
          <w:color w:val="auto"/>
        </w:rPr>
        <w:t>For a discussion of our Investment Advisory Agreement, Administration Agreement and License Agreement, see “Management and Other Agreements—Investment Advisory Agreement; Administration Agreement; License Agreement.”</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Review, Approval or Ratification of Transactions with Related Persons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Audit Committee is required to review and approve any transactions with related persons (as such term is defined in Item 404 of Regulation</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S-K).</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220"/>
          </w:cols>
          <w:pgMar w:left="240" w:top="455" w:right="43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CONTROL PERSONS AND PRINCIPAL STOCKHOLDERS</w:t>
      </w:r>
    </w:p>
    <w:p>
      <w:pPr>
        <w:spacing w:after="0" w:line="229" w:lineRule="exact"/>
        <w:rPr>
          <w:sz w:val="20"/>
          <w:szCs w:val="20"/>
          <w:color w:val="auto"/>
        </w:rPr>
      </w:pPr>
    </w:p>
    <w:p>
      <w:pPr>
        <w:ind w:left="200" w:right="80" w:firstLine="441"/>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March 26, 2018, the beneficial ownership as indicated in our books and records of each current director, our Named Executive Officers, our executive officers and directors as a group, and each person known to us to beneficially own 5% or more of the outstanding shares of our common stock. With respect to persons known to us to beneficially own 5% or more of the outstanding shares of our common stock, we base such knowledge on beneficial ownership filings made by the holders with the SEC.</w:t>
      </w:r>
    </w:p>
    <w:p>
      <w:pPr>
        <w:spacing w:after="0" w:line="188" w:lineRule="exact"/>
        <w:rPr>
          <w:sz w:val="20"/>
          <w:szCs w:val="20"/>
          <w:color w:val="auto"/>
        </w:rPr>
      </w:pPr>
    </w:p>
    <w:p>
      <w:pPr>
        <w:ind w:left="200" w:right="140" w:firstLine="441"/>
        <w:spacing w:after="0" w:line="261" w:lineRule="auto"/>
        <w:rPr>
          <w:sz w:val="20"/>
          <w:szCs w:val="20"/>
          <w:color w:val="auto"/>
        </w:rPr>
      </w:pPr>
      <w:r>
        <w:rPr>
          <w:rFonts w:ascii="Times New Roman" w:cs="Times New Roman" w:eastAsia="Times New Roman" w:hAnsi="Times New Roman"/>
          <w:sz w:val="18"/>
          <w:szCs w:val="18"/>
          <w:color w:val="auto"/>
        </w:rPr>
        <w:t>The percentage ownership is based on 64,150,496 shares of common stock outstanding as of March 26, 2018. To our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301 Commerce Street, Suite 3300, Fort Worth, TX 76102.</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6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86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080" w:type="dxa"/>
            <w:vAlign w:val="bottom"/>
            <w:gridSpan w:val="2"/>
          </w:tcPr>
          <w:p>
            <w:pPr>
              <w:jc w:val="center"/>
              <w:ind w:left="1031"/>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6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64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Name of Individual or Identity of Group</w:t>
            </w:r>
          </w:p>
        </w:tc>
        <w:tc>
          <w:tcPr>
            <w:tcW w:w="1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780" w:type="dxa"/>
            <w:vAlign w:val="bottom"/>
            <w:gridSpan w:val="3"/>
          </w:tcPr>
          <w:p>
            <w:pPr>
              <w:jc w:val="center"/>
              <w:ind w:left="571"/>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6460" w:type="dxa"/>
            <w:vAlign w:val="bottom"/>
            <w:gridSpan w:val="3"/>
            <w:vMerge w:val="continue"/>
          </w:tcPr>
          <w:p>
            <w:pPr>
              <w:spacing w:after="0"/>
              <w:rPr>
                <w:sz w:val="15"/>
                <w:szCs w:val="15"/>
                <w:color w:val="auto"/>
              </w:rPr>
            </w:pPr>
          </w:p>
        </w:tc>
        <w:tc>
          <w:tcPr>
            <w:tcW w:w="11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2"/>
                <w:szCs w:val="12"/>
                <w:b w:val="1"/>
                <w:bCs w:val="1"/>
                <w:color w:val="auto"/>
              </w:rPr>
              <w:t>(1)</w:t>
            </w:r>
          </w:p>
        </w:tc>
        <w:tc>
          <w:tcPr>
            <w:tcW w:w="86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4"/>
              </w:rPr>
              <w:t>Directors and Executive Officers:</w:t>
            </w:r>
          </w:p>
        </w:tc>
        <w:tc>
          <w:tcPr>
            <w:tcW w:w="38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Interested Directors</w:t>
            </w: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Joshua Easterly</w:t>
            </w:r>
            <w:r>
              <w:rPr>
                <w:rFonts w:ascii="Times New Roman" w:cs="Times New Roman" w:eastAsia="Times New Roman" w:hAnsi="Times New Roman"/>
                <w:sz w:val="15"/>
                <w:szCs w:val="15"/>
                <w:color w:val="auto"/>
              </w:rPr>
              <w:t>(2)</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35,414</w:t>
            </w:r>
          </w:p>
        </w:tc>
        <w:tc>
          <w:tcPr>
            <w:tcW w:w="1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Michael Fishman</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36,366</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Independent Directors</w:t>
            </w:r>
          </w:p>
        </w:tc>
        <w:tc>
          <w:tcPr>
            <w:tcW w:w="1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Richard Higginbotham</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John Ross</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22,701</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Ronald Tanemura</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86,516</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Named Executive Officers Who Are Not Directors</w:t>
            </w:r>
          </w:p>
        </w:tc>
        <w:tc>
          <w:tcPr>
            <w:tcW w:w="1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Ian Simmonds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Robert (Bo) Stanley</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(13 persons)</w:t>
            </w:r>
            <w:r>
              <w:rPr>
                <w:rFonts w:ascii="Times New Roman" w:cs="Times New Roman" w:eastAsia="Times New Roman" w:hAnsi="Times New Roman"/>
                <w:sz w:val="15"/>
                <w:szCs w:val="15"/>
                <w:color w:val="auto"/>
              </w:rPr>
              <w:t>(3)(4)</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2,945,164</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Five-Percent Stockholders:</w:t>
            </w:r>
          </w:p>
        </w:tc>
        <w:tc>
          <w:tcPr>
            <w:tcW w:w="1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Teachers Retirement Board of Ohio</w:t>
            </w:r>
            <w:r>
              <w:rPr>
                <w:rFonts w:ascii="Times New Roman" w:cs="Times New Roman" w:eastAsia="Times New Roman" w:hAnsi="Times New Roman"/>
                <w:sz w:val="15"/>
                <w:szCs w:val="15"/>
                <w:color w:val="auto"/>
              </w:rPr>
              <w:t>(5)</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4,770,420</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Division of Investment, Department of Treasury, State of New Jersey</w:t>
            </w:r>
            <w:r>
              <w:rPr>
                <w:rFonts w:ascii="Times New Roman" w:cs="Times New Roman" w:eastAsia="Times New Roman" w:hAnsi="Times New Roman"/>
                <w:sz w:val="15"/>
                <w:szCs w:val="15"/>
                <w:color w:val="auto"/>
              </w:rPr>
              <w:t>(6)</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4,750,000</w:t>
            </w:r>
          </w:p>
        </w:tc>
        <w:tc>
          <w:tcPr>
            <w:tcW w:w="1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&amp; Company</w:t>
            </w:r>
            <w:r>
              <w:rPr>
                <w:rFonts w:ascii="Times New Roman" w:cs="Times New Roman" w:eastAsia="Times New Roman" w:hAnsi="Times New Roman"/>
                <w:sz w:val="15"/>
                <w:szCs w:val="15"/>
                <w:color w:val="auto"/>
              </w:rPr>
              <w:t>(7)</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4,316,213</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Universities Superannuation Scheme Ltd.</w:t>
            </w:r>
            <w:r>
              <w:rPr>
                <w:rFonts w:ascii="Times New Roman" w:cs="Times New Roman" w:eastAsia="Times New Roman" w:hAnsi="Times New Roman"/>
                <w:sz w:val="15"/>
                <w:szCs w:val="15"/>
                <w:color w:val="auto"/>
              </w:rPr>
              <w:t>(8)</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3,488,476</w:t>
            </w:r>
          </w:p>
        </w:tc>
        <w:tc>
          <w:tcPr>
            <w:tcW w:w="1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459"/>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Represents less than 0.1%.</w:t>
            </w: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40" w:hanging="436"/>
        <w:spacing w:after="0" w:line="255" w:lineRule="auto"/>
        <w:tabs>
          <w:tab w:leader="none" w:pos="6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 of more than five percent of our common stock and each director and executive officer has sole voting and/or investment power over the shares reported.</w:t>
      </w:r>
    </w:p>
    <w:p>
      <w:pPr>
        <w:spacing w:after="0" w:line="11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220"/>
          </w:cols>
          <w:pgMar w:left="240" w:top="455" w:right="43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right="240" w:hanging="436"/>
        <w:spacing w:after="0" w:line="261" w:lineRule="auto"/>
        <w:tabs>
          <w:tab w:leader="none" w:pos="6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9,745 shares of common stock beneficially owned by Mr. Easterly have been pledged as security in connection with a line of credit with a third party financial institution unaffiliated with the Company.</w:t>
      </w:r>
    </w:p>
    <w:p>
      <w:pPr>
        <w:ind w:left="640" w:right="160" w:hanging="436"/>
        <w:spacing w:after="0" w:line="250" w:lineRule="auto"/>
        <w:tabs>
          <w:tab w:leader="none" w:pos="6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owned by officers that are not “Named Executive Officers,” as defined in Item 402 of Regulation S-K, as promulgated under the Securities Act. 15,289 shares of common stock beneficially owned by certain officers have been pledged as security in connection with lines of credit with a third party financial institution unaffiliated with the Company.</w:t>
      </w:r>
    </w:p>
    <w:p>
      <w:pPr>
        <w:spacing w:after="0" w:line="1"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TSL Advisers holds 2,732,307 shares of common stock, or the TSL Advisers Shares.</w:t>
      </w:r>
    </w:p>
    <w:p>
      <w:pPr>
        <w:spacing w:after="0" w:line="98" w:lineRule="exact"/>
        <w:rPr>
          <w:rFonts w:ascii="Times New Roman" w:cs="Times New Roman" w:eastAsia="Times New Roman" w:hAnsi="Times New Roman"/>
          <w:sz w:val="18"/>
          <w:szCs w:val="18"/>
          <w:color w:val="auto"/>
        </w:rPr>
      </w:pPr>
    </w:p>
    <w:p>
      <w:pPr>
        <w:ind w:left="6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and affairs of TSL Advisers are managed by TSSP HoldCo Management, LLC, a Delaware limited liability company, the managing member of TSL Advisers. TSSP HoldCo Management is managed by its board of directors, whose members are David Bonderman, James Coulter and Alan Waxman. Any decision or determination by the board of directors of TSSP HoldCo Management requires unanimous approval of the directors in attendance once a quorum is established.</w:t>
      </w:r>
    </w:p>
    <w:p>
      <w:pPr>
        <w:spacing w:after="0" w:line="71" w:lineRule="exact"/>
        <w:rPr>
          <w:rFonts w:ascii="Times New Roman" w:cs="Times New Roman" w:eastAsia="Times New Roman" w:hAnsi="Times New Roman"/>
          <w:sz w:val="18"/>
          <w:szCs w:val="18"/>
          <w:color w:val="auto"/>
        </w:rPr>
      </w:pPr>
    </w:p>
    <w:p>
      <w:pPr>
        <w:ind w:left="640"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Waxman is a Vice President of TSLX. Because Mr. Waxman is a member of the board of directors of TSSP HoldCo Management, he may be deemed to beneficially own the TSL Advisers Shares. Mr. Waxman disclaims beneficial ownership of the TSL Advisers Shares except to the extent of his pecuniary interest therein.</w:t>
      </w:r>
    </w:p>
    <w:p>
      <w:pPr>
        <w:spacing w:after="0" w:line="81"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State Teachers Retirement Board of Ohio is 275 East Broad Street, Columbus, OH 43215.</w:t>
      </w:r>
    </w:p>
    <w:p>
      <w:pPr>
        <w:spacing w:after="0" w:line="130" w:lineRule="exact"/>
        <w:rPr>
          <w:rFonts w:ascii="Times New Roman" w:cs="Times New Roman" w:eastAsia="Times New Roman" w:hAnsi="Times New Roman"/>
          <w:sz w:val="18"/>
          <w:szCs w:val="18"/>
          <w:color w:val="auto"/>
        </w:rPr>
      </w:pPr>
    </w:p>
    <w:p>
      <w:pPr>
        <w:ind w:left="640" w:right="120" w:hanging="436"/>
        <w:spacing w:after="0" w:line="282" w:lineRule="auto"/>
        <w:tabs>
          <w:tab w:leader="none" w:pos="6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Division of Investment, Department of Treasury, State of New Jersey is 50 West State Street, 9th Floor, PO Box 290, Trenton, NJ 08625.</w:t>
      </w:r>
    </w:p>
    <w:p>
      <w:pPr>
        <w:spacing w:after="0" w:line="67" w:lineRule="exact"/>
        <w:rPr>
          <w:rFonts w:ascii="Times New Roman" w:cs="Times New Roman" w:eastAsia="Times New Roman" w:hAnsi="Times New Roman"/>
          <w:sz w:val="18"/>
          <w:szCs w:val="18"/>
          <w:color w:val="auto"/>
        </w:rPr>
      </w:pPr>
    </w:p>
    <w:p>
      <w:pPr>
        <w:ind w:left="640" w:right="540" w:hanging="436"/>
        <w:spacing w:after="0" w:line="282" w:lineRule="auto"/>
        <w:tabs>
          <w:tab w:leader="none" w:pos="6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 Schedule 13G filed with the SEC on January 29, 2018 by Wells Fargo &amp; Company on its own behalf and on behalf of certain subsidiaries. The address of Wells Fargo &amp; Company is 420 Montgomery Street, San Francisco, CA 94163.</w:t>
      </w:r>
    </w:p>
    <w:p>
      <w:pPr>
        <w:spacing w:after="0" w:line="67" w:lineRule="exact"/>
        <w:rPr>
          <w:rFonts w:ascii="Times New Roman" w:cs="Times New Roman" w:eastAsia="Times New Roman" w:hAnsi="Times New Roman"/>
          <w:sz w:val="18"/>
          <w:szCs w:val="18"/>
          <w:color w:val="auto"/>
        </w:rPr>
      </w:pPr>
    </w:p>
    <w:p>
      <w:pPr>
        <w:ind w:left="640" w:right="140" w:hanging="436"/>
        <w:spacing w:after="0" w:line="258" w:lineRule="auto"/>
        <w:tabs>
          <w:tab w:leader="none" w:pos="6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 Schedule 13G filed with the SEC on February 17, 2015 by Universities Superannuation Scheme Ltd, or USSL, as trustee for Universities Superannuation Scheme, or USS, and USS Investment Management Limited, or USSIM. USSIM serves as investment manager to USS and has discretionary and voting power over the shares held by USSL. Accordingly, USSIM may be deemed to be the beneficial owner of 3,488,476 shares, all of which are held by USSL. USSIM disclaims beneficial ownership of the shares held by USSL, except to the extent of any pecuniary interest therefrom. The address of each of USSL and USSIM is Royal Liver Building, Liverpool L3 1PY, United Kingdom.</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Equity Owned by Directors in the Company</w:t>
      </w:r>
    </w:p>
    <w:p>
      <w:pPr>
        <w:spacing w:after="0" w:line="121" w:lineRule="exact"/>
        <w:rPr>
          <w:sz w:val="20"/>
          <w:szCs w:val="20"/>
          <w:color w:val="auto"/>
        </w:rPr>
      </w:pPr>
    </w:p>
    <w:p>
      <w:pPr>
        <w:ind w:left="200" w:right="16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dollar range of our equity securities beneficially owned by each director as of March 26, 2018. We are not part of a “family of investment companies,” as that term is defined in the 1940 Act.</w:t>
      </w:r>
    </w:p>
    <w:p>
      <w:pPr>
        <w:spacing w:after="0" w:line="170"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7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Dollar Range of our</w:t>
            </w:r>
          </w:p>
        </w:tc>
      </w:tr>
      <w:tr>
        <w:trPr>
          <w:trHeight w:val="149"/>
        </w:trPr>
        <w:tc>
          <w:tcPr>
            <w:tcW w:w="3860" w:type="dxa"/>
            <w:vAlign w:val="bottom"/>
          </w:tcPr>
          <w:p>
            <w:pPr>
              <w:spacing w:after="0"/>
              <w:rPr>
                <w:sz w:val="12"/>
                <w:szCs w:val="12"/>
                <w:color w:val="auto"/>
              </w:rPr>
            </w:pPr>
          </w:p>
        </w:tc>
        <w:tc>
          <w:tcPr>
            <w:tcW w:w="3620" w:type="dxa"/>
            <w:vAlign w:val="bottom"/>
            <w:gridSpan w:val="4"/>
          </w:tcPr>
          <w:p>
            <w:pPr>
              <w:ind w:left="18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 Beneficially</w:t>
            </w:r>
          </w:p>
        </w:tc>
      </w:tr>
      <w:tr>
        <w:trPr>
          <w:trHeight w:val="173"/>
        </w:trPr>
        <w:tc>
          <w:tcPr>
            <w:tcW w:w="38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2"/>
                <w:szCs w:val="12"/>
                <w:b w:val="1"/>
                <w:bCs w:val="1"/>
                <w:color w:val="auto"/>
              </w:rPr>
              <w:t>(1)(2)</w:t>
            </w:r>
          </w:p>
        </w:tc>
      </w:tr>
      <w:tr>
        <w:trPr>
          <w:trHeight w:val="196"/>
        </w:trPr>
        <w:tc>
          <w:tcPr>
            <w:tcW w:w="38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Interested Directors</w:t>
            </w:r>
          </w:p>
        </w:tc>
        <w:tc>
          <w:tcPr>
            <w:tcW w:w="18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Joshua Easterly</w:t>
            </w:r>
          </w:p>
        </w:tc>
        <w:tc>
          <w:tcPr>
            <w:tcW w:w="232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over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tcPr>
          <w:p>
            <w:pPr>
              <w:spacing w:after="0"/>
              <w:rPr>
                <w:sz w:val="18"/>
                <w:szCs w:val="18"/>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Michael Fishman</w:t>
            </w:r>
          </w:p>
        </w:tc>
        <w:tc>
          <w:tcPr>
            <w:tcW w:w="2320" w:type="dxa"/>
            <w:vAlign w:val="bottom"/>
            <w:gridSpan w:val="2"/>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over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Independent Directors</w:t>
            </w:r>
          </w:p>
        </w:tc>
        <w:tc>
          <w:tcPr>
            <w:tcW w:w="1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Richard Higginbotham</w:t>
            </w:r>
          </w:p>
        </w:tc>
        <w:tc>
          <w:tcPr>
            <w:tcW w:w="2320" w:type="dxa"/>
            <w:vAlign w:val="bottom"/>
            <w:gridSpan w:val="2"/>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over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shd w:val="clear" w:color="auto" w:fill="CCEEFF"/>
          </w:tcPr>
          <w:p>
            <w:pPr>
              <w:spacing w:after="0"/>
              <w:rPr>
                <w:sz w:val="18"/>
                <w:szCs w:val="18"/>
                <w:color w:val="auto"/>
              </w:rPr>
            </w:pPr>
          </w:p>
        </w:tc>
      </w:tr>
      <w:tr>
        <w:trPr>
          <w:trHeight w:val="216"/>
        </w:trPr>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John Ross</w:t>
            </w:r>
          </w:p>
        </w:tc>
        <w:tc>
          <w:tcPr>
            <w:tcW w:w="232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over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tcPr>
          <w:p>
            <w:pPr>
              <w:spacing w:after="0"/>
              <w:rPr>
                <w:sz w:val="18"/>
                <w:szCs w:val="18"/>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Ronald Tanemura</w:t>
            </w:r>
          </w:p>
        </w:tc>
        <w:tc>
          <w:tcPr>
            <w:tcW w:w="2320" w:type="dxa"/>
            <w:vAlign w:val="bottom"/>
            <w:gridSpan w:val="2"/>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over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shd w:val="clear" w:color="auto" w:fill="CCEEFF"/>
          </w:tcPr>
          <w:p>
            <w:pPr>
              <w:spacing w:after="0"/>
              <w:rPr>
                <w:sz w:val="18"/>
                <w:szCs w:val="18"/>
                <w:color w:val="auto"/>
              </w:rPr>
            </w:pPr>
          </w:p>
        </w:tc>
      </w:tr>
    </w:tbl>
    <w:p>
      <w:pPr>
        <w:spacing w:after="0" w:line="225" w:lineRule="exact"/>
        <w:rPr>
          <w:sz w:val="20"/>
          <w:szCs w:val="20"/>
          <w:color w:val="auto"/>
        </w:rPr>
      </w:pPr>
    </w:p>
    <w:p>
      <w:pPr>
        <w:ind w:left="640" w:hanging="436"/>
        <w:spacing w:after="0"/>
        <w:tabs>
          <w:tab w:leader="none" w:pos="6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ranges used in the above table are $1—$10,000, $10,001—$50,000, $50,001—$100,000, or over $100,000.</w:t>
      </w:r>
    </w:p>
    <w:p>
      <w:pPr>
        <w:spacing w:after="0" w:line="252" w:lineRule="exact"/>
        <w:rPr>
          <w:rFonts w:ascii="Times New Roman" w:cs="Times New Roman" w:eastAsia="Times New Roman" w:hAnsi="Times New Roman"/>
          <w:sz w:val="18"/>
          <w:szCs w:val="18"/>
          <w:color w:val="auto"/>
        </w:rPr>
      </w:pPr>
    </w:p>
    <w:p>
      <w:pPr>
        <w:ind w:left="640" w:right="160" w:hanging="436"/>
        <w:spacing w:after="0" w:line="282" w:lineRule="auto"/>
        <w:tabs>
          <w:tab w:leader="none" w:pos="6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were determined using the number of shares that are beneficially owned as of March 26, 2018, multiplied by the closing sale price of our common stock as reported on the NYSE as of March 26, 2018.</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00"/>
          </w:cols>
          <w:pgMar w:left="240" w:top="455" w:right="45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DETERMINATION OF NET ASSET VALUE</w:t>
      </w:r>
    </w:p>
    <w:p>
      <w:pPr>
        <w:spacing w:after="0" w:line="229" w:lineRule="exact"/>
        <w:rPr>
          <w:sz w:val="20"/>
          <w:szCs w:val="20"/>
          <w:color w:val="auto"/>
        </w:rPr>
      </w:pPr>
    </w:p>
    <w:p>
      <w:pPr>
        <w:ind w:left="200" w:right="100" w:firstLine="441"/>
        <w:spacing w:after="0" w:line="289" w:lineRule="auto"/>
        <w:rPr>
          <w:sz w:val="20"/>
          <w:szCs w:val="20"/>
          <w:color w:val="auto"/>
        </w:rPr>
      </w:pPr>
      <w:r>
        <w:rPr>
          <w:rFonts w:ascii="Times New Roman" w:cs="Times New Roman" w:eastAsia="Times New Roman" w:hAnsi="Times New Roman"/>
          <w:sz w:val="17"/>
          <w:szCs w:val="17"/>
          <w:color w:val="auto"/>
        </w:rPr>
        <w:t>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w:t>
      </w:r>
    </w:p>
    <w:p>
      <w:pPr>
        <w:spacing w:after="0" w:line="2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Determinations in Connection with Offerings</w:t>
      </w:r>
    </w:p>
    <w:p>
      <w:pPr>
        <w:spacing w:after="0" w:line="121" w:lineRule="exact"/>
        <w:rPr>
          <w:sz w:val="20"/>
          <w:szCs w:val="20"/>
          <w:color w:val="auto"/>
        </w:rPr>
      </w:pPr>
    </w:p>
    <w:p>
      <w:pPr>
        <w:jc w:val="both"/>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certain future offerings of shares of our common stock, our Board or an authorized committee of our Board will be required to make the determination that we are not selling shares of our common stock at a price below the then-current net asset value of our common stock at the time at which the sale is made. Our Board or an authorized committee will consider the following factors, among others, in making a determination:</w:t>
      </w:r>
    </w:p>
    <w:p>
      <w:pPr>
        <w:spacing w:after="0" w:line="82" w:lineRule="exact"/>
        <w:rPr>
          <w:sz w:val="20"/>
          <w:szCs w:val="20"/>
          <w:color w:val="auto"/>
        </w:rPr>
      </w:pPr>
    </w:p>
    <w:p>
      <w:pPr>
        <w:ind w:left="1060" w:hanging="316"/>
        <w:spacing w:after="0"/>
        <w:tabs>
          <w:tab w:leader="none" w:pos="10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 value of our common stock disclosed in the most recent periodic report that we filed with the SEC;</w:t>
      </w:r>
    </w:p>
    <w:p>
      <w:pPr>
        <w:spacing w:after="0" w:line="130" w:lineRule="exact"/>
        <w:rPr>
          <w:rFonts w:ascii="Times New Roman" w:cs="Times New Roman" w:eastAsia="Times New Roman" w:hAnsi="Times New Roman"/>
          <w:sz w:val="18"/>
          <w:szCs w:val="18"/>
          <w:color w:val="auto"/>
        </w:rPr>
      </w:pPr>
    </w:p>
    <w:p>
      <w:pPr>
        <w:ind w:left="1060" w:hanging="316"/>
        <w:spacing w:after="0" w:line="266" w:lineRule="auto"/>
        <w:tabs>
          <w:tab w:leader="none" w:pos="10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81" w:lineRule="exact"/>
        <w:rPr>
          <w:rFonts w:ascii="Times New Roman" w:cs="Times New Roman" w:eastAsia="Times New Roman" w:hAnsi="Times New Roman"/>
          <w:sz w:val="18"/>
          <w:szCs w:val="18"/>
          <w:color w:val="auto"/>
        </w:rPr>
      </w:pPr>
    </w:p>
    <w:p>
      <w:pPr>
        <w:ind w:left="1060" w:hanging="316"/>
        <w:spacing w:after="0" w:line="258" w:lineRule="auto"/>
        <w:tabs>
          <w:tab w:leader="none" w:pos="10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84" w:lineRule="exact"/>
        <w:rPr>
          <w:sz w:val="20"/>
          <w:szCs w:val="20"/>
          <w:color w:val="auto"/>
        </w:rPr>
      </w:pPr>
    </w:p>
    <w:p>
      <w:pPr>
        <w:ind w:left="200" w:right="300" w:firstLine="441"/>
        <w:spacing w:after="0" w:line="282" w:lineRule="auto"/>
        <w:rPr>
          <w:sz w:val="20"/>
          <w:szCs w:val="20"/>
          <w:color w:val="auto"/>
        </w:rPr>
      </w:pPr>
      <w:r>
        <w:rPr>
          <w:rFonts w:ascii="Times New Roman" w:cs="Times New Roman" w:eastAsia="Times New Roman" w:hAnsi="Times New Roman"/>
          <w:sz w:val="18"/>
          <w:szCs w:val="18"/>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200"/>
          </w:cols>
          <w:pgMar w:left="240" w:top="455" w:right="45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SALES OF COMMON STOCK BELOW NET ASSET VALUE</w:t>
      </w:r>
    </w:p>
    <w:p>
      <w:pPr>
        <w:spacing w:after="0" w:line="229"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Pursuant to approval granted at a special meeting of stockholders held on May 18, 2017, we are currently permitted to sell or otherwise issue shares of our common stock at a price below our then-current net asset value per share, subject to the approval of our Board and certain other conditions. Such stockholder approval expires on May 18, 2018. On March 16, 2018, we filed a preliminary proxy statement for a special meeting of stockholders, currently expected to take place on May 17, 2018. The preliminary proxy statement sets forth a proposal to be voted upon at the special meeting that, if approved by stockholders, would have the effect of extending this approval to the one-year anniversary of the date of the special meeting.</w:t>
      </w:r>
    </w:p>
    <w:p>
      <w:pPr>
        <w:spacing w:after="0" w:line="184" w:lineRule="exact"/>
        <w:rPr>
          <w:sz w:val="20"/>
          <w:szCs w:val="20"/>
          <w:color w:val="auto"/>
        </w:rPr>
      </w:pPr>
    </w:p>
    <w:p>
      <w:pPr>
        <w:ind w:left="200" w:right="40" w:firstLine="441"/>
        <w:spacing w:after="0" w:line="261" w:lineRule="auto"/>
        <w:rPr>
          <w:sz w:val="20"/>
          <w:szCs w:val="20"/>
          <w:color w:val="auto"/>
        </w:rPr>
      </w:pPr>
      <w:r>
        <w:rPr>
          <w:rFonts w:ascii="Times New Roman" w:cs="Times New Roman" w:eastAsia="Times New Roman" w:hAnsi="Times New Roman"/>
          <w:sz w:val="18"/>
          <w:szCs w:val="18"/>
          <w:color w:val="auto"/>
        </w:rPr>
        <w:t>Except for such authorizations as otherwise may be required with respect to a particular issuance under applicable law, New York Stock Exchange rules or our certificate of incorporation, no further authorization from stockholders will be solicited or required prior to a sale or other issuance of shares of common stock at a price below net asset value per share in accordance with the terms of the approval. However, will would only issue shares of our common stock at a price below net asset value per share if the following conditions are met:</w:t>
      </w:r>
    </w:p>
    <w:p>
      <w:pPr>
        <w:spacing w:after="0" w:line="86" w:lineRule="exact"/>
        <w:rPr>
          <w:sz w:val="20"/>
          <w:szCs w:val="20"/>
          <w:color w:val="auto"/>
        </w:rPr>
      </w:pPr>
    </w:p>
    <w:p>
      <w:pPr>
        <w:ind w:left="1060" w:hanging="316"/>
        <w:spacing w:after="0"/>
        <w:tabs>
          <w:tab w:leader="none" w:pos="10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“required majority” of our directors have determined that any such sale would be in the best interests of us and our stockholders;</w:t>
      </w:r>
    </w:p>
    <w:p>
      <w:pPr>
        <w:spacing w:after="0" w:line="130" w:lineRule="exact"/>
        <w:rPr>
          <w:rFonts w:ascii="Times New Roman" w:cs="Times New Roman" w:eastAsia="Times New Roman" w:hAnsi="Times New Roman"/>
          <w:sz w:val="18"/>
          <w:szCs w:val="18"/>
          <w:color w:val="auto"/>
        </w:rPr>
      </w:pPr>
    </w:p>
    <w:p>
      <w:pPr>
        <w:ind w:left="1060" w:right="100" w:hanging="316"/>
        <w:spacing w:after="0" w:line="258" w:lineRule="auto"/>
        <w:tabs>
          <w:tab w:leader="none" w:pos="10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“required majority” of our directors, in consultation with any underwriter or underwriters of the offering if it is to be underwritten, have determined in good faith, and as of a time immediately prior to the first solicitation by us or on our behalf of firm commitments to purchase such common stock or immediately prior to the issuance of such common stock, that the price at which such shares of common stock are to be sold is not less than a price which closely approximates the market value of those shares of common stock, less any distributing commission or discount; and</w:t>
      </w:r>
    </w:p>
    <w:p>
      <w:pPr>
        <w:spacing w:after="0" w:line="89"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to be issued does not exceed 25% of our then-outstanding common stock immediately prior to each such offering.</w:t>
      </w:r>
    </w:p>
    <w:p>
      <w:pPr>
        <w:spacing w:after="0" w:line="225" w:lineRule="exact"/>
        <w:rPr>
          <w:sz w:val="20"/>
          <w:szCs w:val="20"/>
          <w:color w:val="auto"/>
        </w:rPr>
      </w:pPr>
    </w:p>
    <w:p>
      <w:pPr>
        <w:jc w:val="both"/>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Under the 1940 Act, a “required majority” of directors means both a majority of our directors who have no financial interest in the transaction and a majority of our independent directors. For these purposes, directors will not be deemed to have a financial interest solely by reason of their ownership of our common stock.</w:t>
      </w:r>
    </w:p>
    <w:p>
      <w:pPr>
        <w:spacing w:after="0" w:line="176" w:lineRule="exact"/>
        <w:rPr>
          <w:sz w:val="20"/>
          <w:szCs w:val="20"/>
          <w:color w:val="auto"/>
        </w:rPr>
      </w:pPr>
    </w:p>
    <w:p>
      <w:pPr>
        <w:ind w:left="200" w:right="260" w:firstLine="441"/>
        <w:spacing w:after="0" w:line="282" w:lineRule="auto"/>
        <w:rPr>
          <w:sz w:val="20"/>
          <w:szCs w:val="20"/>
          <w:color w:val="auto"/>
        </w:rPr>
      </w:pPr>
      <w:r>
        <w:rPr>
          <w:rFonts w:ascii="Times New Roman" w:cs="Times New Roman" w:eastAsia="Times New Roman" w:hAnsi="Times New Roman"/>
          <w:sz w:val="18"/>
          <w:szCs w:val="18"/>
          <w:color w:val="auto"/>
        </w:rPr>
        <w:t>There is no limit on the percentage below net asset value per share at which shares may be sold by us or the number of offerings, each for up to 25% of our then-outstanding common stock, that we may conduct under the approval for the one-year period that authorization is granted.</w:t>
      </w:r>
    </w:p>
    <w:p>
      <w:pPr>
        <w:spacing w:after="0" w:line="162" w:lineRule="exact"/>
        <w:rPr>
          <w:sz w:val="20"/>
          <w:szCs w:val="20"/>
          <w:color w:val="auto"/>
        </w:rPr>
      </w:pPr>
    </w:p>
    <w:p>
      <w:pPr>
        <w:ind w:left="200" w:right="20" w:firstLine="441"/>
        <w:spacing w:after="0" w:line="282" w:lineRule="auto"/>
        <w:rPr>
          <w:sz w:val="20"/>
          <w:szCs w:val="20"/>
          <w:color w:val="auto"/>
        </w:rPr>
      </w:pPr>
      <w:r>
        <w:rPr>
          <w:rFonts w:ascii="Times New Roman" w:cs="Times New Roman" w:eastAsia="Times New Roman" w:hAnsi="Times New Roman"/>
          <w:sz w:val="18"/>
          <w:szCs w:val="18"/>
          <w:color w:val="auto"/>
        </w:rPr>
        <w:t>In making a determination that an offering of common stock at a price below its net asset value per share pursuant to the approval is in our and our stockholders’ best interests, our Board will consider a variety of factors including:</w:t>
      </w:r>
    </w:p>
    <w:p>
      <w:pPr>
        <w:spacing w:after="0" w:line="67" w:lineRule="exact"/>
        <w:rPr>
          <w:sz w:val="20"/>
          <w:szCs w:val="20"/>
          <w:color w:val="auto"/>
        </w:rPr>
      </w:pPr>
    </w:p>
    <w:p>
      <w:pPr>
        <w:ind w:left="1060" w:right="240" w:hanging="316"/>
        <w:spacing w:after="0" w:line="282" w:lineRule="auto"/>
        <w:tabs>
          <w:tab w:leader="none" w:pos="10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that an offering at a price below net asset value per share would have on our stockholders, including the potential dilution to the net asset value per share of our common stock our stockholders would experience as a result of the offering;</w:t>
      </w:r>
    </w:p>
    <w:p>
      <w:pPr>
        <w:spacing w:after="0" w:line="67" w:lineRule="exact"/>
        <w:rPr>
          <w:rFonts w:ascii="Times New Roman" w:cs="Times New Roman" w:eastAsia="Times New Roman" w:hAnsi="Times New Roman"/>
          <w:sz w:val="18"/>
          <w:szCs w:val="18"/>
          <w:color w:val="auto"/>
        </w:rPr>
      </w:pPr>
    </w:p>
    <w:p>
      <w:pPr>
        <w:ind w:left="1060" w:right="360" w:hanging="316"/>
        <w:spacing w:after="0" w:line="282" w:lineRule="auto"/>
        <w:tabs>
          <w:tab w:leader="none" w:pos="10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per share by which the offering price per share and the net proceeds per share are less than our most recently determined net asset value per share;</w:t>
      </w:r>
    </w:p>
    <w:p>
      <w:pPr>
        <w:spacing w:after="0" w:line="67" w:lineRule="exact"/>
        <w:rPr>
          <w:rFonts w:ascii="Times New Roman" w:cs="Times New Roman" w:eastAsia="Times New Roman" w:hAnsi="Times New Roman"/>
          <w:sz w:val="18"/>
          <w:szCs w:val="18"/>
          <w:color w:val="auto"/>
        </w:rPr>
      </w:pPr>
    </w:p>
    <w:p>
      <w:pPr>
        <w:ind w:left="1060" w:right="420" w:hanging="316"/>
        <w:spacing w:after="0" w:line="282" w:lineRule="auto"/>
        <w:tabs>
          <w:tab w:leader="none" w:pos="10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of recent market prices of our common stock to net asset value per share and the potential impact of the offering on the market price per share of our common stock;</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estimated offering price would closely approximate the market value of shares of our common stock;</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market impact of being able to raise capital during the current financial market difficulties;</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220"/>
          </w:cols>
          <w:pgMar w:left="240" w:top="455" w:right="43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any new investors anticipated to acquire shares of our common stock in the offering;</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rate of return on and quality, type and availability of investments;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leverage available to us.</w:t>
      </w:r>
    </w:p>
    <w:p>
      <w:pPr>
        <w:spacing w:after="0" w:line="225" w:lineRule="exact"/>
        <w:rPr>
          <w:sz w:val="20"/>
          <w:szCs w:val="20"/>
          <w:color w:val="auto"/>
        </w:rPr>
      </w:pPr>
    </w:p>
    <w:p>
      <w:pPr>
        <w:ind w:left="200" w:right="300" w:firstLine="441"/>
        <w:spacing w:after="0" w:line="266" w:lineRule="auto"/>
        <w:rPr>
          <w:sz w:val="20"/>
          <w:szCs w:val="20"/>
          <w:color w:val="auto"/>
        </w:rPr>
      </w:pPr>
      <w:r>
        <w:rPr>
          <w:rFonts w:ascii="Times New Roman" w:cs="Times New Roman" w:eastAsia="Times New Roman" w:hAnsi="Times New Roman"/>
          <w:sz w:val="18"/>
          <w:szCs w:val="18"/>
          <w:color w:val="auto"/>
        </w:rPr>
        <w:t>Our Board will also consider any possible conflict of interest due to the fact that the proceeds from the issuance of additional shares of our common stock would increase the management fees that we pay to the Adviser, as such fees are based on the amount of our gross assets, as it would regardless of whether we offer shares of common stock at a price below our net asset value per share or above our net asset value per share.</w:t>
      </w:r>
    </w:p>
    <w:p>
      <w:pPr>
        <w:spacing w:after="0" w:line="176" w:lineRule="exact"/>
        <w:rPr>
          <w:sz w:val="20"/>
          <w:szCs w:val="20"/>
          <w:color w:val="auto"/>
        </w:rPr>
      </w:pPr>
    </w:p>
    <w:p>
      <w:pPr>
        <w:ind w:left="200" w:right="200" w:firstLine="441"/>
        <w:spacing w:after="0" w:line="254" w:lineRule="auto"/>
        <w:rPr>
          <w:sz w:val="20"/>
          <w:szCs w:val="20"/>
          <w:color w:val="auto"/>
        </w:rPr>
      </w:pPr>
      <w:r>
        <w:rPr>
          <w:rFonts w:ascii="Times New Roman" w:cs="Times New Roman" w:eastAsia="Times New Roman" w:hAnsi="Times New Roman"/>
          <w:sz w:val="18"/>
          <w:szCs w:val="18"/>
          <w:color w:val="auto"/>
        </w:rPr>
        <w:t>We will not sell shares of our common stock under this prospectus or an accompanying prospectus supplement without first filing a new post-effective amendment to the registration statement if the cumulative dilution to our net asset value per share from offerings under the registration statement, as amended by any post-effective amendments, exceeds 15%. This limit will be measured separately for each offering pursuant to the registration statement, as amended by any post-effective amendments, by calculating the percentage dilution or accretion to aggregate net asset value from that offering and then summing the percentage from each offering. For example, if our most recently determined net asset value per share at the time of the first offering is $16.00 and we have 60 million shares of common stock outstanding, the sale of 12 million shares of common stock at net proceeds to us of $8.00 per share (a 50% discount) would produce dilution of 8.33%. If we subsequently determined that our net asset value per share increased to $17.00 on the then 72 million shares of common stock outstanding and then made an additional offering, we could, for example, sell approximately an additional 11.07 million shares of common stock at net proceeds to us of $8.50 per share, which would produce dilution of 6.67%, before we would reach the aggregate 15% limit.</w:t>
      </w:r>
    </w:p>
    <w:p>
      <w:pPr>
        <w:spacing w:after="0" w:line="186"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Sales by us of our common stock at a discount from net asset value per share pose potential risks for our existing stockholders whether or not they participate in the offering, as well as for new investors who participate in the offering. Any sale of common stock at a price below net asset value per share would result in an immediate dilution to existing common stockholders who do not participate in such sale on at least a pro rata basis.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Examples of Dilutive Effect of the Issuance of Shares Below NAV</w:t>
      </w:r>
    </w:p>
    <w:p>
      <w:pPr>
        <w:spacing w:after="0" w:line="121" w:lineRule="exact"/>
        <w:rPr>
          <w:sz w:val="20"/>
          <w:szCs w:val="20"/>
          <w:color w:val="auto"/>
        </w:rPr>
      </w:pPr>
    </w:p>
    <w:p>
      <w:pPr>
        <w:ind w:left="200" w:right="480" w:firstLine="441"/>
        <w:spacing w:after="0" w:line="282" w:lineRule="auto"/>
        <w:rPr>
          <w:sz w:val="20"/>
          <w:szCs w:val="20"/>
          <w:color w:val="auto"/>
        </w:rPr>
      </w:pPr>
      <w:r>
        <w:rPr>
          <w:rFonts w:ascii="Times New Roman" w:cs="Times New Roman" w:eastAsia="Times New Roman" w:hAnsi="Times New Roman"/>
          <w:sz w:val="18"/>
          <w:szCs w:val="18"/>
          <w:color w:val="auto"/>
        </w:rPr>
        <w:t>The following three headings and accompanying tables explain and provide hypothetical examples on the impact of a public offering of our common stock at a price less than net asset value per share on three different types of investors:</w:t>
      </w:r>
    </w:p>
    <w:p>
      <w:pPr>
        <w:spacing w:after="0" w:line="67" w:lineRule="exact"/>
        <w:rPr>
          <w:sz w:val="20"/>
          <w:szCs w:val="20"/>
          <w:color w:val="auto"/>
        </w:rPr>
      </w:pPr>
    </w:p>
    <w:p>
      <w:pPr>
        <w:ind w:left="1060" w:hanging="316"/>
        <w:spacing w:after="0"/>
        <w:tabs>
          <w:tab w:leader="none" w:pos="10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who do not purchase any shares in the offering;</w:t>
      </w:r>
    </w:p>
    <w:p>
      <w:pPr>
        <w:spacing w:after="0" w:line="130" w:lineRule="exact"/>
        <w:rPr>
          <w:rFonts w:ascii="Times New Roman" w:cs="Times New Roman" w:eastAsia="Times New Roman" w:hAnsi="Times New Roman"/>
          <w:sz w:val="18"/>
          <w:szCs w:val="18"/>
          <w:color w:val="auto"/>
        </w:rPr>
      </w:pPr>
    </w:p>
    <w:p>
      <w:pPr>
        <w:ind w:left="1060" w:right="80" w:hanging="316"/>
        <w:spacing w:after="0" w:line="282" w:lineRule="auto"/>
        <w:tabs>
          <w:tab w:leader="none" w:pos="10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who purchase a relatively small amount of shares in the offering or a relatively large amount of shares in the offering; and</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investors who become stockholders by purchasing shares in the offering.</w:t>
      </w:r>
    </w:p>
    <w:p>
      <w:pPr>
        <w:spacing w:after="0" w:line="3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Impact on Existing Stockholders Who Do Not Participate in the Offering</w:t>
      </w:r>
    </w:p>
    <w:p>
      <w:pPr>
        <w:spacing w:after="0" w:line="119" w:lineRule="exact"/>
        <w:rPr>
          <w:sz w:val="20"/>
          <w:szCs w:val="20"/>
          <w:color w:val="auto"/>
        </w:rPr>
      </w:pPr>
    </w:p>
    <w:p>
      <w:pPr>
        <w:ind w:left="200" w:right="60" w:firstLine="441"/>
        <w:spacing w:after="0" w:line="255" w:lineRule="auto"/>
        <w:rPr>
          <w:sz w:val="20"/>
          <w:szCs w:val="20"/>
          <w:color w:val="auto"/>
        </w:rPr>
      </w:pPr>
      <w:r>
        <w:rPr>
          <w:rFonts w:ascii="Times New Roman" w:cs="Times New Roman" w:eastAsia="Times New Roman" w:hAnsi="Times New Roman"/>
          <w:sz w:val="18"/>
          <w:szCs w:val="18"/>
          <w:color w:val="auto"/>
        </w:rPr>
        <w:t>Our existing stockholders who do not participate in an offering of our common stock at a price below our net asset value per share or who do not buy additional shares in the secondary market at the same or lower price as we obtain in the offering (after expenses and commissions) face the greatest potential risks. These stockholders will experience an immediate decrease in the net asset value of the shares they hold and their net asset value per share. These stockholders will also experience a disproportionately greater decrease in their participation in our earnings and assets and their voting power than the increase we will experience in our assets, potential earning power and voting interests due to the offering. These stockholders may also experience a decline in the market price of their shares, which often reflects to some degree announced or potential increases and decreases in net asset value per share. This decrease could be more pronounced as the size of the offering and level of discounts increase. There is no maximum level of discount from net asset value per share at which we may sell shares pursuant to such authority.</w:t>
      </w:r>
    </w:p>
    <w:p>
      <w:pPr>
        <w:spacing w:after="0" w:line="11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80"/>
          </w:cols>
          <w:pgMar w:left="240" w:top="455" w:right="47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40" w:firstLine="441"/>
        <w:spacing w:after="0" w:line="266" w:lineRule="auto"/>
        <w:rPr>
          <w:sz w:val="20"/>
          <w:szCs w:val="20"/>
          <w:color w:val="auto"/>
        </w:rPr>
      </w:pPr>
      <w:r>
        <w:rPr>
          <w:rFonts w:ascii="Times New Roman" w:cs="Times New Roman" w:eastAsia="Times New Roman" w:hAnsi="Times New Roman"/>
          <w:sz w:val="18"/>
          <w:szCs w:val="18"/>
          <w:color w:val="auto"/>
        </w:rPr>
        <w:t>The following chart illustrates the level of net asset value per share dilution that would be experienced by a nonparticipating stockholder in four different hypothetical offerings of different sizes and levels of discount from net asset value per share. It is not possible to predict the level of market price decline that may occur. Actual sales prices and discounts may differ from the presentation below.</w:t>
      </w:r>
    </w:p>
    <w:p>
      <w:pPr>
        <w:spacing w:after="0" w:line="176" w:lineRule="exact"/>
        <w:rPr>
          <w:sz w:val="20"/>
          <w:szCs w:val="20"/>
          <w:color w:val="auto"/>
        </w:rPr>
      </w:pPr>
    </w:p>
    <w:p>
      <w:pPr>
        <w:ind w:left="200" w:right="120" w:firstLine="441"/>
        <w:spacing w:after="0" w:line="254" w:lineRule="auto"/>
        <w:rPr>
          <w:sz w:val="20"/>
          <w:szCs w:val="20"/>
          <w:color w:val="auto"/>
        </w:rPr>
      </w:pPr>
      <w:r>
        <w:rPr>
          <w:rFonts w:ascii="Times New Roman" w:cs="Times New Roman" w:eastAsia="Times New Roman" w:hAnsi="Times New Roman"/>
          <w:sz w:val="18"/>
          <w:szCs w:val="18"/>
          <w:color w:val="auto"/>
        </w:rPr>
        <w:t>The example assumes that we have 60.2 million shares outstanding, $1.7 billion in total assets and $0.8 billion in total liabilities (all figures correspond to actual data as of December 31, 2017). The current net asset value and net asset value per share are thus $1.0 billion and $16.09 per share. The chart illustrates the dilutive effect on Stockholder A of (a) an offering of 3.0 million shares of common stock (5% of the outstanding shares) at $15.29 per share after offering expenses and commissions (a 5% discount from net asset value per share), (b) an offering of 6.0 million shares of common stock (10% of the outstanding shares) at $14.48 per share after offering expenses and commissions (a 10% discount from net asset value per share), (c) an offering of 12.0 million shares of common stock (20% of the outstanding shares) at $12.87 per share after offering expenses and commissions (a 20% discount from net asset value per share), and (d) an offering of 15.1 million shares of common stock (25% of the outstanding shares) at $12.07 per share after offering expenses and commissions (a 25% discount from net asset value per share). The prospectus supplement pursuant to which any discounted offering is made will include a chart based on the actual number of shares of common stock in such offering and the actual discount to the most recently determined net asset value per share. It is not possible to predict the level of market price decline that may occur.</w:t>
      </w:r>
    </w:p>
    <w:p>
      <w:pPr>
        <w:spacing w:after="0" w:line="211" w:lineRule="exact"/>
        <w:rPr>
          <w:sz w:val="20"/>
          <w:szCs w:val="20"/>
          <w:color w:val="auto"/>
        </w:rPr>
      </w:pPr>
    </w:p>
    <w:tbl>
      <w:tblPr>
        <w:tblLayout w:type="fixed"/>
        <w:tblInd w:w="20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center"/>
              <w:ind w:left="272"/>
              <w:spacing w:after="0"/>
              <w:rPr>
                <w:sz w:val="20"/>
                <w:szCs w:val="20"/>
                <w:color w:val="auto"/>
              </w:rPr>
            </w:pPr>
            <w:r>
              <w:rPr>
                <w:rFonts w:ascii="Times New Roman" w:cs="Times New Roman" w:eastAsia="Times New Roman" w:hAnsi="Times New Roman"/>
                <w:sz w:val="13"/>
                <w:szCs w:val="13"/>
                <w:b w:val="1"/>
                <w:bCs w:val="1"/>
                <w:color w:val="auto"/>
                <w:w w:val="95"/>
              </w:rPr>
              <w:t>Example 1</w:t>
            </w:r>
          </w:p>
        </w:tc>
        <w:tc>
          <w:tcPr>
            <w:tcW w:w="4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center"/>
              <w:ind w:left="292"/>
              <w:spacing w:after="0"/>
              <w:rPr>
                <w:sz w:val="20"/>
                <w:szCs w:val="20"/>
                <w:color w:val="auto"/>
              </w:rPr>
            </w:pPr>
            <w:r>
              <w:rPr>
                <w:rFonts w:ascii="Times New Roman" w:cs="Times New Roman" w:eastAsia="Times New Roman" w:hAnsi="Times New Roman"/>
                <w:sz w:val="13"/>
                <w:szCs w:val="13"/>
                <w:b w:val="1"/>
                <w:bCs w:val="1"/>
                <w:color w:val="auto"/>
                <w:w w:val="98"/>
              </w:rPr>
              <w:t>Example 2</w:t>
            </w: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center"/>
              <w:ind w:left="292"/>
              <w:spacing w:after="0"/>
              <w:rPr>
                <w:sz w:val="20"/>
                <w:szCs w:val="20"/>
                <w:color w:val="auto"/>
              </w:rPr>
            </w:pPr>
            <w:r>
              <w:rPr>
                <w:rFonts w:ascii="Times New Roman" w:cs="Times New Roman" w:eastAsia="Times New Roman" w:hAnsi="Times New Roman"/>
                <w:sz w:val="13"/>
                <w:szCs w:val="13"/>
                <w:b w:val="1"/>
                <w:bCs w:val="1"/>
                <w:color w:val="auto"/>
                <w:w w:val="98"/>
              </w:rPr>
              <w:t>Example 3</w:t>
            </w: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center"/>
              <w:ind w:left="272"/>
              <w:spacing w:after="0"/>
              <w:rPr>
                <w:sz w:val="20"/>
                <w:szCs w:val="20"/>
                <w:color w:val="auto"/>
              </w:rPr>
            </w:pPr>
            <w:r>
              <w:rPr>
                <w:rFonts w:ascii="Times New Roman" w:cs="Times New Roman" w:eastAsia="Times New Roman" w:hAnsi="Times New Roman"/>
                <w:sz w:val="13"/>
                <w:szCs w:val="13"/>
                <w:b w:val="1"/>
                <w:bCs w:val="1"/>
                <w:color w:val="auto"/>
                <w:w w:val="95"/>
              </w:rPr>
              <w:t>Example 4</w:t>
            </w: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3"/>
          </w:tcPr>
          <w:p>
            <w:pPr>
              <w:jc w:val="center"/>
              <w:ind w:right="31"/>
              <w:spacing w:after="0" w:line="109" w:lineRule="exact"/>
              <w:rPr>
                <w:sz w:val="20"/>
                <w:szCs w:val="20"/>
                <w:color w:val="auto"/>
              </w:rPr>
            </w:pPr>
            <w:r>
              <w:rPr>
                <w:rFonts w:ascii="Times New Roman" w:cs="Times New Roman" w:eastAsia="Times New Roman" w:hAnsi="Times New Roman"/>
                <w:sz w:val="12"/>
                <w:szCs w:val="12"/>
                <w:b w:val="1"/>
                <w:bCs w:val="1"/>
                <w:color w:val="auto"/>
              </w:rPr>
              <w:t>5% Offering at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380" w:type="dxa"/>
            <w:vAlign w:val="bottom"/>
            <w:gridSpan w:val="4"/>
          </w:tcPr>
          <w:p>
            <w:pPr>
              <w:jc w:val="center"/>
              <w:ind w:right="60"/>
              <w:spacing w:after="0" w:line="109" w:lineRule="exact"/>
              <w:rPr>
                <w:sz w:val="20"/>
                <w:szCs w:val="20"/>
                <w:color w:val="auto"/>
              </w:rPr>
            </w:pPr>
            <w:r>
              <w:rPr>
                <w:rFonts w:ascii="Times New Roman" w:cs="Times New Roman" w:eastAsia="Times New Roman" w:hAnsi="Times New Roman"/>
                <w:sz w:val="12"/>
                <w:szCs w:val="12"/>
                <w:b w:val="1"/>
                <w:bCs w:val="1"/>
                <w:color w:val="auto"/>
              </w:rPr>
              <w:t>10% Offering at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380" w:type="dxa"/>
            <w:vAlign w:val="bottom"/>
            <w:gridSpan w:val="4"/>
          </w:tcPr>
          <w:p>
            <w:pPr>
              <w:jc w:val="center"/>
              <w:ind w:right="100"/>
              <w:spacing w:after="0" w:line="109" w:lineRule="exact"/>
              <w:rPr>
                <w:sz w:val="20"/>
                <w:szCs w:val="20"/>
                <w:color w:val="auto"/>
              </w:rPr>
            </w:pPr>
            <w:r>
              <w:rPr>
                <w:rFonts w:ascii="Times New Roman" w:cs="Times New Roman" w:eastAsia="Times New Roman" w:hAnsi="Times New Roman"/>
                <w:sz w:val="12"/>
                <w:szCs w:val="12"/>
                <w:b w:val="1"/>
                <w:bCs w:val="1"/>
                <w:color w:val="auto"/>
              </w:rPr>
              <w:t>20% Offering at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gridSpan w:val="4"/>
          </w:tcPr>
          <w:p>
            <w:pPr>
              <w:jc w:val="center"/>
              <w:ind w:right="100"/>
              <w:spacing w:after="0" w:line="109" w:lineRule="exact"/>
              <w:rPr>
                <w:sz w:val="20"/>
                <w:szCs w:val="20"/>
                <w:color w:val="auto"/>
              </w:rPr>
            </w:pPr>
            <w:r>
              <w:rPr>
                <w:rFonts w:ascii="Times New Roman" w:cs="Times New Roman" w:eastAsia="Times New Roman" w:hAnsi="Times New Roman"/>
                <w:sz w:val="12"/>
                <w:szCs w:val="12"/>
                <w:b w:val="1"/>
                <w:bCs w:val="1"/>
                <w:color w:val="auto"/>
              </w:rPr>
              <w:t>25% Offering at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7"/>
              </w:rPr>
              <w:t>Prior to Sale</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4"/>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5% Discount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20" w:type="dxa"/>
            <w:vAlign w:val="bottom"/>
            <w:gridSpan w:val="5"/>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10% Discount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0" w:type="dxa"/>
            <w:vAlign w:val="bottom"/>
            <w:gridSpan w:val="5"/>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20% Discount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left="272"/>
              <w:spacing w:after="0"/>
              <w:rPr>
                <w:sz w:val="20"/>
                <w:szCs w:val="20"/>
                <w:color w:val="auto"/>
              </w:rPr>
            </w:pPr>
            <w:r>
              <w:rPr>
                <w:rFonts w:ascii="Times New Roman" w:cs="Times New Roman" w:eastAsia="Times New Roman" w:hAnsi="Times New Roman"/>
                <w:sz w:val="13"/>
                <w:szCs w:val="13"/>
                <w:b w:val="1"/>
                <w:bCs w:val="1"/>
                <w:color w:val="auto"/>
                <w:w w:val="96"/>
              </w:rPr>
              <w:t>25% Discount</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gridSpan w:val="2"/>
          </w:tcPr>
          <w:p>
            <w:pPr>
              <w:jc w:val="right"/>
              <w:ind w:right="360"/>
              <w:spacing w:after="0" w:line="109" w:lineRule="exact"/>
              <w:rPr>
                <w:sz w:val="20"/>
                <w:szCs w:val="20"/>
                <w:color w:val="auto"/>
              </w:rPr>
            </w:pPr>
            <w:r>
              <w:rPr>
                <w:rFonts w:ascii="Times New Roman" w:cs="Times New Roman" w:eastAsia="Times New Roman" w:hAnsi="Times New Roman"/>
                <w:sz w:val="12"/>
                <w:szCs w:val="12"/>
                <w:b w:val="1"/>
                <w:bCs w:val="1"/>
                <w:color w:val="auto"/>
              </w:rPr>
              <w:t>Following</w:t>
            </w:r>
          </w:p>
        </w:tc>
        <w:tc>
          <w:tcPr>
            <w:tcW w:w="420" w:type="dxa"/>
            <w:vAlign w:val="bottom"/>
            <w:tcBorders>
              <w:top w:val="single" w:sz="8" w:color="auto"/>
            </w:tcBorders>
          </w:tcPr>
          <w:p>
            <w:pPr>
              <w:jc w:val="right"/>
              <w:ind w:right="71"/>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2"/>
          </w:tcPr>
          <w:p>
            <w:pPr>
              <w:jc w:val="right"/>
              <w:ind w:right="380"/>
              <w:spacing w:after="0" w:line="109" w:lineRule="exact"/>
              <w:rPr>
                <w:sz w:val="20"/>
                <w:szCs w:val="20"/>
                <w:color w:val="auto"/>
              </w:rPr>
            </w:pPr>
            <w:r>
              <w:rPr>
                <w:rFonts w:ascii="Times New Roman" w:cs="Times New Roman" w:eastAsia="Times New Roman" w:hAnsi="Times New Roman"/>
                <w:sz w:val="12"/>
                <w:szCs w:val="12"/>
                <w:b w:val="1"/>
                <w:bCs w:val="1"/>
                <w:color w:val="auto"/>
              </w:rPr>
              <w:t>Following</w:t>
            </w:r>
          </w:p>
        </w:tc>
        <w:tc>
          <w:tcPr>
            <w:tcW w:w="440" w:type="dxa"/>
            <w:vAlign w:val="bottom"/>
            <w:tcBorders>
              <w:top w:val="single" w:sz="8" w:color="auto"/>
            </w:tcBorders>
            <w:gridSpan w:val="2"/>
          </w:tcPr>
          <w:p>
            <w:pPr>
              <w:jc w:val="right"/>
              <w:ind w:right="160"/>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2"/>
          </w:tcPr>
          <w:p>
            <w:pPr>
              <w:jc w:val="right"/>
              <w:ind w:right="380"/>
              <w:spacing w:after="0" w:line="109" w:lineRule="exact"/>
              <w:rPr>
                <w:sz w:val="20"/>
                <w:szCs w:val="20"/>
                <w:color w:val="auto"/>
              </w:rPr>
            </w:pPr>
            <w:r>
              <w:rPr>
                <w:rFonts w:ascii="Times New Roman" w:cs="Times New Roman" w:eastAsia="Times New Roman" w:hAnsi="Times New Roman"/>
                <w:sz w:val="12"/>
                <w:szCs w:val="12"/>
                <w:b w:val="1"/>
                <w:bCs w:val="1"/>
                <w:color w:val="auto"/>
              </w:rPr>
              <w:t>Following</w:t>
            </w:r>
          </w:p>
        </w:tc>
        <w:tc>
          <w:tcPr>
            <w:tcW w:w="440" w:type="dxa"/>
            <w:vAlign w:val="bottom"/>
            <w:tcBorders>
              <w:top w:val="single" w:sz="8" w:color="auto"/>
            </w:tcBorders>
            <w:gridSpan w:val="2"/>
          </w:tcPr>
          <w:p>
            <w:pPr>
              <w:jc w:val="right"/>
              <w:ind w:right="160"/>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gridSpan w:val="2"/>
          </w:tcPr>
          <w:p>
            <w:pPr>
              <w:jc w:val="right"/>
              <w:ind w:right="540"/>
              <w:spacing w:after="0" w:line="109" w:lineRule="exact"/>
              <w:rPr>
                <w:sz w:val="20"/>
                <w:szCs w:val="20"/>
                <w:color w:val="auto"/>
              </w:rPr>
            </w:pPr>
            <w:r>
              <w:rPr>
                <w:rFonts w:ascii="Times New Roman" w:cs="Times New Roman" w:eastAsia="Times New Roman" w:hAnsi="Times New Roman"/>
                <w:sz w:val="12"/>
                <w:szCs w:val="12"/>
                <w:b w:val="1"/>
                <w:bCs w:val="1"/>
                <w:color w:val="auto"/>
              </w:rPr>
              <w:t>Following</w:t>
            </w:r>
          </w:p>
        </w:tc>
        <w:tc>
          <w:tcPr>
            <w:tcW w:w="440" w:type="dxa"/>
            <w:vAlign w:val="bottom"/>
            <w:tcBorders>
              <w:top w:val="single" w:sz="8" w:color="auto"/>
            </w:tcBorders>
            <w:gridSpan w:val="2"/>
          </w:tcPr>
          <w:p>
            <w:pPr>
              <w:jc w:val="right"/>
              <w:ind w:right="160"/>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Below NAV</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Sale</w:t>
            </w: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Sale</w:t>
            </w:r>
          </w:p>
        </w:tc>
        <w:tc>
          <w:tcPr>
            <w:tcW w:w="68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Sale</w:t>
            </w:r>
          </w:p>
        </w:tc>
        <w:tc>
          <w:tcPr>
            <w:tcW w:w="66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3"/>
              </w:rPr>
              <w:t>Change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Sale</w:t>
            </w:r>
          </w:p>
        </w:tc>
        <w:tc>
          <w:tcPr>
            <w:tcW w:w="66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3"/>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Price per Share to Public</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16.09</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15.24</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13.55</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12.70</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Proceeds per Share to Issuer</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15.29</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14.48</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12.87</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12.07</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Decrease/Increase to Net Asset Value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Shares Outstanding</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60,247,201</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63,259,561</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66,271,921</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72,296,641</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75,309,001</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Asset Value per Share</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16.09</w:t>
            </w:r>
          </w:p>
        </w:tc>
        <w:tc>
          <w:tcPr>
            <w:tcW w:w="260" w:type="dxa"/>
            <w:vAlign w:val="bottom"/>
          </w:tcPr>
          <w:p>
            <w:pPr>
              <w:spacing w:after="0"/>
              <w:rPr>
                <w:sz w:val="12"/>
                <w:szCs w:val="12"/>
                <w:color w:val="auto"/>
              </w:rPr>
            </w:pPr>
          </w:p>
        </w:tc>
        <w:tc>
          <w:tcPr>
            <w:tcW w:w="2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16.05</w:t>
            </w:r>
          </w:p>
        </w:tc>
        <w:tc>
          <w:tcPr>
            <w:tcW w:w="24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(0.25)%</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15.94</w:t>
            </w:r>
          </w:p>
        </w:tc>
        <w:tc>
          <w:tcPr>
            <w:tcW w:w="280" w:type="dxa"/>
            <w:vAlign w:val="bottom"/>
          </w:tcPr>
          <w:p>
            <w:pPr>
              <w:spacing w:after="0"/>
              <w:rPr>
                <w:sz w:val="12"/>
                <w:szCs w:val="12"/>
                <w:color w:val="auto"/>
              </w:rPr>
            </w:pPr>
          </w:p>
        </w:tc>
        <w:tc>
          <w:tcPr>
            <w:tcW w:w="6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(0.92)%</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15.55</w:t>
            </w:r>
          </w:p>
        </w:tc>
        <w:tc>
          <w:tcPr>
            <w:tcW w:w="280" w:type="dxa"/>
            <w:vAlign w:val="bottom"/>
          </w:tcPr>
          <w:p>
            <w:pPr>
              <w:spacing w:after="0"/>
              <w:rPr>
                <w:sz w:val="12"/>
                <w:szCs w:val="12"/>
                <w:color w:val="auto"/>
              </w:rPr>
            </w:pPr>
          </w:p>
        </w:tc>
        <w:tc>
          <w:tcPr>
            <w:tcW w:w="6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(3.34)%</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15.28</w:t>
            </w:r>
          </w:p>
        </w:tc>
        <w:tc>
          <w:tcPr>
            <w:tcW w:w="440" w:type="dxa"/>
            <w:vAlign w:val="bottom"/>
          </w:tcPr>
          <w:p>
            <w:pPr>
              <w:spacing w:after="0"/>
              <w:rPr>
                <w:sz w:val="12"/>
                <w:szCs w:val="12"/>
                <w:color w:val="auto"/>
              </w:rPr>
            </w:pPr>
          </w:p>
        </w:tc>
        <w:tc>
          <w:tcPr>
            <w:tcW w:w="6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Dilution to Nonparticipating Stockholder</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Held by Stockholder A</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60,247</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60,247</w:t>
            </w:r>
          </w:p>
        </w:tc>
        <w:tc>
          <w:tcPr>
            <w:tcW w:w="24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60,247</w:t>
            </w:r>
          </w:p>
        </w:tc>
        <w:tc>
          <w:tcPr>
            <w:tcW w:w="280" w:type="dxa"/>
            <w:vAlign w:val="bottom"/>
          </w:tcPr>
          <w:p>
            <w:pPr>
              <w:spacing w:after="0"/>
              <w:rPr>
                <w:sz w:val="12"/>
                <w:szCs w:val="12"/>
                <w:color w:val="auto"/>
              </w:rPr>
            </w:pPr>
          </w:p>
        </w:tc>
        <w:tc>
          <w:tcPr>
            <w:tcW w:w="6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60,247</w:t>
            </w:r>
          </w:p>
        </w:tc>
        <w:tc>
          <w:tcPr>
            <w:tcW w:w="280" w:type="dxa"/>
            <w:vAlign w:val="bottom"/>
          </w:tcPr>
          <w:p>
            <w:pPr>
              <w:spacing w:after="0"/>
              <w:rPr>
                <w:sz w:val="12"/>
                <w:szCs w:val="12"/>
                <w:color w:val="auto"/>
              </w:rPr>
            </w:pPr>
          </w:p>
        </w:tc>
        <w:tc>
          <w:tcPr>
            <w:tcW w:w="66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60,247</w:t>
            </w:r>
          </w:p>
        </w:tc>
        <w:tc>
          <w:tcPr>
            <w:tcW w:w="440" w:type="dxa"/>
            <w:vAlign w:val="bottom"/>
          </w:tcPr>
          <w:p>
            <w:pPr>
              <w:spacing w:after="0"/>
              <w:rPr>
                <w:sz w:val="12"/>
                <w:szCs w:val="12"/>
                <w:color w:val="auto"/>
              </w:rPr>
            </w:pPr>
          </w:p>
        </w:tc>
        <w:tc>
          <w:tcPr>
            <w:tcW w:w="6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Percentage Held by Stockholder A</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0.10%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0.10%</w:t>
            </w: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(4.76)%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68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(9.09)%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66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(16.67)%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66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Total Net Asset Value Held by</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969,283</w:t>
            </w:r>
          </w:p>
        </w:tc>
        <w:tc>
          <w:tcPr>
            <w:tcW w:w="260" w:type="dxa"/>
            <w:vAlign w:val="bottom"/>
          </w:tcPr>
          <w:p>
            <w:pPr>
              <w:spacing w:after="0"/>
              <w:rPr>
                <w:sz w:val="10"/>
                <w:szCs w:val="10"/>
                <w:color w:val="auto"/>
              </w:rPr>
            </w:pP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966,977</w:t>
            </w:r>
          </w:p>
        </w:tc>
        <w:tc>
          <w:tcPr>
            <w:tcW w:w="240" w:type="dxa"/>
            <w:vAlign w:val="bottom"/>
          </w:tcPr>
          <w:p>
            <w:pPr>
              <w:spacing w:after="0"/>
              <w:rPr>
                <w:sz w:val="10"/>
                <w:szCs w:val="10"/>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(0.24)%</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960,476</w:t>
            </w:r>
          </w:p>
        </w:tc>
        <w:tc>
          <w:tcPr>
            <w:tcW w:w="280" w:type="dxa"/>
            <w:vAlign w:val="bottom"/>
          </w:tcPr>
          <w:p>
            <w:pPr>
              <w:spacing w:after="0"/>
              <w:rPr>
                <w:sz w:val="10"/>
                <w:szCs w:val="10"/>
                <w:color w:val="auto"/>
              </w:rPr>
            </w:pPr>
          </w:p>
        </w:tc>
        <w:tc>
          <w:tcPr>
            <w:tcW w:w="6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(0.91)%</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936,983</w:t>
            </w:r>
          </w:p>
        </w:tc>
        <w:tc>
          <w:tcPr>
            <w:tcW w:w="280" w:type="dxa"/>
            <w:vAlign w:val="bottom"/>
          </w:tcPr>
          <w:p>
            <w:pPr>
              <w:spacing w:after="0"/>
              <w:rPr>
                <w:sz w:val="10"/>
                <w:szCs w:val="10"/>
                <w:color w:val="auto"/>
              </w:rPr>
            </w:pPr>
          </w:p>
        </w:tc>
        <w:tc>
          <w:tcPr>
            <w:tcW w:w="6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(3.33)%</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920,830</w:t>
            </w:r>
          </w:p>
        </w:tc>
        <w:tc>
          <w:tcPr>
            <w:tcW w:w="440" w:type="dxa"/>
            <w:vAlign w:val="bottom"/>
          </w:tcPr>
          <w:p>
            <w:pPr>
              <w:spacing w:after="0"/>
              <w:rPr>
                <w:sz w:val="10"/>
                <w:szCs w:val="10"/>
                <w:color w:val="auto"/>
              </w:rPr>
            </w:pPr>
          </w:p>
        </w:tc>
        <w:tc>
          <w:tcPr>
            <w:tcW w:w="6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Stockholder A</w:t>
            </w:r>
          </w:p>
        </w:tc>
        <w:tc>
          <w:tcPr>
            <w:tcW w:w="20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Total Investment by Stockholder A</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969,283</w:t>
            </w:r>
          </w:p>
        </w:tc>
        <w:tc>
          <w:tcPr>
            <w:tcW w:w="26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969,283</w:t>
            </w: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969,283</w:t>
            </w: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969,283</w:t>
            </w: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969,283</w:t>
            </w: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(Assumed to be $16.09 per Share)</w:t>
            </w:r>
          </w:p>
        </w:tc>
        <w:tc>
          <w:tcPr>
            <w:tcW w:w="20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Total Dilution to Stockholder A (Total Net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(2,307)</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(8,807)</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(32,300)</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color w:val="auto"/>
              </w:rPr>
              <w:t>(48,453)</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Asset Value Less Total Investment)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Investment per Share Held by Stockholder A</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(Assumed to be $16.09 per Share on</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w:t>
            </w:r>
          </w:p>
        </w:tc>
        <w:tc>
          <w:tcPr>
            <w:tcW w:w="26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w:t>
            </w:r>
          </w:p>
        </w:tc>
        <w:tc>
          <w:tcPr>
            <w:tcW w:w="2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w:t>
            </w:r>
          </w:p>
        </w:tc>
        <w:tc>
          <w:tcPr>
            <w:tcW w:w="28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w:t>
            </w:r>
          </w:p>
        </w:tc>
        <w:tc>
          <w:tcPr>
            <w:tcW w:w="28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w:t>
            </w:r>
          </w:p>
        </w:tc>
        <w:tc>
          <w:tcPr>
            <w:tcW w:w="44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Shares Held Prior to Sale)</w:t>
            </w:r>
          </w:p>
        </w:tc>
        <w:tc>
          <w:tcPr>
            <w:tcW w:w="20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gridSpan w:val="3"/>
            <w:vMerge w:val="continue"/>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gridSpan w:val="3"/>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6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240"/>
          </w:cols>
          <w:pgMar w:left="240" w:top="456" w:right="419" w:bottom="1440" w:gutter="0" w:footer="0" w:header="0"/>
        </w:sectPr>
      </w:pPr>
    </w:p>
    <w:bookmarkStart w:id="144" w:name="page145"/>
    <w:bookmarkEnd w:id="14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220"/>
          </w:cols>
          <w:pgMar w:left="24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Net Asset Value per Share Held by Stockholder A</w:t>
      </w:r>
    </w:p>
    <w:p>
      <w:pPr>
        <w:spacing w:after="0" w:line="17" w:lineRule="exact"/>
        <w:rPr>
          <w:sz w:val="20"/>
          <w:szCs w:val="20"/>
          <w:color w:val="auto"/>
        </w:rPr>
      </w:pPr>
    </w:p>
    <w:p>
      <w:pPr>
        <w:ind w:left="340" w:hanging="143"/>
        <w:spacing w:after="0" w:line="221" w:lineRule="auto"/>
        <w:rPr>
          <w:sz w:val="20"/>
          <w:szCs w:val="20"/>
          <w:color w:val="auto"/>
        </w:rPr>
      </w:pPr>
      <w:r>
        <w:rPr>
          <w:rFonts w:ascii="Times New Roman" w:cs="Times New Roman" w:eastAsia="Times New Roman" w:hAnsi="Times New Roman"/>
          <w:sz w:val="14"/>
          <w:szCs w:val="14"/>
          <w:color w:val="auto"/>
        </w:rPr>
        <w:t>Dilution per Share Held by Stockholder A (Net Asset Value per Share Less Investment per Share)</w:t>
      </w:r>
    </w:p>
    <w:p>
      <w:pPr>
        <w:spacing w:after="0" w:line="1" w:lineRule="exact"/>
        <w:rPr>
          <w:sz w:val="20"/>
          <w:szCs w:val="20"/>
          <w:color w:val="auto"/>
        </w:rPr>
      </w:pPr>
    </w:p>
    <w:p>
      <w:pPr>
        <w:ind w:left="340" w:right="120" w:hanging="143"/>
        <w:spacing w:after="0" w:line="239" w:lineRule="auto"/>
        <w:rPr>
          <w:sz w:val="20"/>
          <w:szCs w:val="20"/>
          <w:color w:val="auto"/>
        </w:rPr>
      </w:pPr>
      <w:r>
        <w:rPr>
          <w:rFonts w:ascii="Times New Roman" w:cs="Times New Roman" w:eastAsia="Times New Roman" w:hAnsi="Times New Roman"/>
          <w:sz w:val="14"/>
          <w:szCs w:val="14"/>
          <w:color w:val="auto"/>
        </w:rPr>
        <w:t>Percentage Dilution to Stockholder A (Dilution per Share Divided by Investment per Share)</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5"/>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Example 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5"/>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5"/>
              </w:rPr>
              <w:t>Example 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5"/>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5"/>
              </w:rPr>
              <w:t>Example 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left="275"/>
              <w:spacing w:after="0"/>
              <w:rPr>
                <w:sz w:val="20"/>
                <w:szCs w:val="20"/>
                <w:color w:val="auto"/>
              </w:rPr>
            </w:pPr>
            <w:r>
              <w:rPr>
                <w:rFonts w:ascii="Times New Roman" w:cs="Times New Roman" w:eastAsia="Times New Roman" w:hAnsi="Times New Roman"/>
                <w:sz w:val="13"/>
                <w:szCs w:val="13"/>
                <w:b w:val="1"/>
                <w:bCs w:val="1"/>
                <w:color w:val="auto"/>
                <w:w w:val="95"/>
              </w:rPr>
              <w:t>Example 4</w:t>
            </w: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gridSpan w:val="4"/>
          </w:tcPr>
          <w:p>
            <w:pPr>
              <w:jc w:val="center"/>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5% Offering at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gridSpan w:val="4"/>
          </w:tcPr>
          <w:p>
            <w:pPr>
              <w:jc w:val="center"/>
              <w:ind w:right="100"/>
              <w:spacing w:after="0" w:line="109" w:lineRule="exact"/>
              <w:rPr>
                <w:sz w:val="20"/>
                <w:szCs w:val="20"/>
                <w:color w:val="auto"/>
              </w:rPr>
            </w:pPr>
            <w:r>
              <w:rPr>
                <w:rFonts w:ascii="Times New Roman" w:cs="Times New Roman" w:eastAsia="Times New Roman" w:hAnsi="Times New Roman"/>
                <w:sz w:val="12"/>
                <w:szCs w:val="12"/>
                <w:b w:val="1"/>
                <w:bCs w:val="1"/>
                <w:color w:val="auto"/>
              </w:rPr>
              <w:t>10% Offering at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gridSpan w:val="4"/>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20% Offering at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gridSpan w:val="4"/>
          </w:tcPr>
          <w:p>
            <w:pPr>
              <w:jc w:val="center"/>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25% Offering at</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Prior to</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5"/>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5% Discount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5"/>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10% Discount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5"/>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20% Discount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5"/>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25% Discount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Sale</w:t>
            </w:r>
          </w:p>
        </w:tc>
        <w:tc>
          <w:tcPr>
            <w:tcW w:w="1020" w:type="dxa"/>
            <w:vAlign w:val="bottom"/>
            <w:gridSpan w:val="4"/>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5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1"/>
                <w:szCs w:val="11"/>
                <w:color w:val="auto"/>
              </w:rPr>
            </w:pPr>
          </w:p>
        </w:tc>
        <w:tc>
          <w:tcPr>
            <w:tcW w:w="800" w:type="dxa"/>
            <w:vAlign w:val="bottom"/>
            <w:gridSpan w:val="4"/>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5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1"/>
                <w:szCs w:val="11"/>
                <w:color w:val="auto"/>
              </w:rPr>
            </w:pPr>
          </w:p>
        </w:tc>
        <w:tc>
          <w:tcPr>
            <w:tcW w:w="800" w:type="dxa"/>
            <w:vAlign w:val="bottom"/>
            <w:gridSpan w:val="4"/>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5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1"/>
                <w:szCs w:val="11"/>
                <w:color w:val="auto"/>
              </w:rPr>
            </w:pPr>
          </w:p>
        </w:tc>
        <w:tc>
          <w:tcPr>
            <w:tcW w:w="1120" w:type="dxa"/>
            <w:vAlign w:val="bottom"/>
            <w:gridSpan w:val="4"/>
          </w:tcPr>
          <w:p>
            <w:pPr>
              <w:jc w:val="right"/>
              <w:ind w:right="520"/>
              <w:spacing w:after="0" w:line="135"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Below NAV</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Sale</w:t>
            </w:r>
          </w:p>
        </w:tc>
        <w:tc>
          <w:tcPr>
            <w:tcW w:w="74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3"/>
              </w:rPr>
              <w:t>Change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Sale</w:t>
            </w:r>
          </w:p>
        </w:tc>
        <w:tc>
          <w:tcPr>
            <w:tcW w:w="8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Sale</w:t>
            </w:r>
          </w:p>
        </w:tc>
        <w:tc>
          <w:tcPr>
            <w:tcW w:w="8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Sale</w:t>
            </w:r>
          </w:p>
        </w:tc>
        <w:tc>
          <w:tcPr>
            <w:tcW w:w="6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3"/>
              </w:rPr>
              <w:t>Change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15.55</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15.28</w:t>
            </w: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(0.04)</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(0.15)</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(0.54)</w:t>
            </w: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(0.81)</w:t>
            </w: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(0.25)%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(0.92)%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(3.34)%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-2291080</wp:posOffset>
            </wp:positionH>
            <wp:positionV relativeFrom="paragraph">
              <wp:posOffset>-490220</wp:posOffset>
            </wp:positionV>
            <wp:extent cx="6997700" cy="1028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7700" cy="102870"/>
                    </a:xfrm>
                    <a:prstGeom prst="rect">
                      <a:avLst/>
                    </a:prstGeom>
                    <a:noFill/>
                  </pic:spPr>
                </pic:pic>
              </a:graphicData>
            </a:graphic>
          </wp:anchor>
        </w:drawing>
        <w:drawing>
          <wp:anchor simplePos="0" relativeHeight="251657728" behindDoc="1" locked="0" layoutInCell="0" allowOverlap="1">
            <wp:simplePos x="0" y="0"/>
            <wp:positionH relativeFrom="column">
              <wp:posOffset>-2291080</wp:posOffset>
            </wp:positionH>
            <wp:positionV relativeFrom="paragraph">
              <wp:posOffset>-198755</wp:posOffset>
            </wp:positionV>
            <wp:extent cx="6997700"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770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540"/>
            <w:col w:w="7400"/>
          </w:cols>
          <w:pgMar w:left="240" w:top="455" w:right="439" w:bottom="1440" w:gutter="0" w:footer="0" w:header="0"/>
          <w:type w:val="continuous"/>
        </w:sectPr>
      </w:pPr>
    </w:p>
    <w:p>
      <w:pPr>
        <w:spacing w:after="0" w:line="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Impact on Existing Stockholders Who Do Participate in the Offering</w:t>
      </w:r>
    </w:p>
    <w:p>
      <w:pPr>
        <w:spacing w:after="0" w:line="119" w:lineRule="exact"/>
        <w:rPr>
          <w:sz w:val="20"/>
          <w:szCs w:val="20"/>
          <w:color w:val="auto"/>
        </w:rPr>
      </w:pPr>
    </w:p>
    <w:p>
      <w:pPr>
        <w:ind w:left="200" w:firstLine="441"/>
        <w:spacing w:after="0" w:line="252" w:lineRule="auto"/>
        <w:rPr>
          <w:sz w:val="20"/>
          <w:szCs w:val="20"/>
          <w:color w:val="auto"/>
        </w:rPr>
      </w:pPr>
      <w:r>
        <w:rPr>
          <w:rFonts w:ascii="Times New Roman" w:cs="Times New Roman" w:eastAsia="Times New Roman" w:hAnsi="Times New Roman"/>
          <w:sz w:val="18"/>
          <w:szCs w:val="18"/>
          <w:color w:val="auto"/>
        </w:rPr>
        <w:t>Our existing stockholders who participate in an offering at a price below net asset value per share or who buy additional shares in the secondary market at the same or lower price as we obtain in the offering (after expenses and commissions) will experience the same types of net asset value dilution as the nonparticipating stockholders, albeit at a lower level, to the extent they purchase less than the same percentage of the discounted offering as their interest in shares of our common stock immediately prior to the offering. The level of net asset value dilution will decrease as the number of shares such stockholders purchase increases. Existing stockholders who buy more than such percentage will experience net asset value dilution on their existing shares but will, in contrast to existing stockholders who purchase less than their proportionate share of the offering, experience an increase (often called accretion) in average net asset value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net asset value dilution as described above in such subsequent offerings. These stockholders may also experience a decline in the market price of their shares, which often reflects to some degree announced or potential decreases in net asset value per share. This decrease could be more pronounced as the size of the offering and level of discounts increases. There is no maximum level of discount from net asset value per share at which we may sell shares pursuant to such authority.</w:t>
      </w:r>
    </w:p>
    <w:p>
      <w:pPr>
        <w:spacing w:after="0" w:line="199" w:lineRule="exact"/>
        <w:rPr>
          <w:sz w:val="20"/>
          <w:szCs w:val="20"/>
          <w:color w:val="auto"/>
        </w:rPr>
      </w:pPr>
    </w:p>
    <w:p>
      <w:pPr>
        <w:ind w:left="200" w:right="120" w:firstLine="441"/>
        <w:spacing w:after="0" w:line="258" w:lineRule="auto"/>
        <w:rPr>
          <w:sz w:val="20"/>
          <w:szCs w:val="20"/>
          <w:color w:val="auto"/>
        </w:rPr>
      </w:pPr>
      <w:r>
        <w:rPr>
          <w:rFonts w:ascii="Times New Roman" w:cs="Times New Roman" w:eastAsia="Times New Roman" w:hAnsi="Times New Roman"/>
          <w:sz w:val="18"/>
          <w:szCs w:val="18"/>
          <w:color w:val="auto"/>
        </w:rPr>
        <w:t>The following chart illustrates the level of dilution and accretion in the hypothetical 20% discount offering from the prior chart (Example 3) for a stockholder that acquires shares equal to (a) 50% of its proportionate share of the offering (i.e., 0.05% of an offering of 12.0 million shares) rather than its 0.10% proportionate share and (b) 150% of such percentage (i.e., 0.15% of an offering of 12.0 million shares rather than its 0.10% proportionate share). The prospectus supplement pursuant to which any discounted offering is made will include a chart for these examples based on the actual number of shares in such offering and the actual discount from the most</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220"/>
          </w:cols>
          <w:pgMar w:left="240" w:top="455" w:right="439" w:bottom="1440" w:gutter="0" w:footer="0" w:header="0"/>
          <w:type w:val="continuous"/>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recently determined net asset value per share. It is not possible to predict the level of market price decline that may occur.</w:t>
      </w: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Prior to</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50% Participation</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150% Participation</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Sale Below</w:t>
            </w:r>
          </w:p>
        </w:tc>
        <w:tc>
          <w:tcPr>
            <w:tcW w:w="138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Following Sale</w:t>
            </w:r>
          </w:p>
        </w:tc>
        <w:tc>
          <w:tcPr>
            <w:tcW w:w="6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Following Sale</w:t>
            </w:r>
          </w:p>
        </w:tc>
        <w:tc>
          <w:tcPr>
            <w:tcW w:w="7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NAV</w:t>
            </w:r>
          </w:p>
        </w:tc>
        <w:tc>
          <w:tcPr>
            <w:tcW w:w="1380" w:type="dxa"/>
            <w:vAlign w:val="bottom"/>
            <w:gridSpan w:val="4"/>
            <w:vMerge w:val="continue"/>
          </w:tcPr>
          <w:p>
            <w:pPr>
              <w:spacing w:after="0"/>
              <w:rPr>
                <w:sz w:val="15"/>
                <w:szCs w:val="15"/>
                <w:color w:val="auto"/>
              </w:rPr>
            </w:pP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80" w:type="dxa"/>
            <w:vAlign w:val="bottom"/>
            <w:gridSpan w:val="4"/>
            <w:vMerge w:val="continue"/>
          </w:tcPr>
          <w:p>
            <w:pPr>
              <w:spacing w:after="0"/>
              <w:rPr>
                <w:sz w:val="15"/>
                <w:szCs w:val="15"/>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Offering Price</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Price per Share to Public</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per Share to Issuer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Decrease/Increase to Net Asset Value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Outstanding</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60,247,201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72,296,641</w:t>
            </w:r>
          </w:p>
        </w:tc>
        <w:tc>
          <w:tcPr>
            <w:tcW w:w="3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72,296,641</w:t>
            </w:r>
          </w:p>
        </w:tc>
        <w:tc>
          <w:tcPr>
            <w:tcW w:w="4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Share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30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32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(3.34)%</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40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Dilution/Accretion to Participating Stockholder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Shares Held by Stockholder A</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60,247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66,272</w:t>
            </w:r>
          </w:p>
        </w:tc>
        <w:tc>
          <w:tcPr>
            <w:tcW w:w="32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78,321</w:t>
            </w:r>
          </w:p>
        </w:tc>
        <w:tc>
          <w:tcPr>
            <w:tcW w:w="40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Held by Stockholder A</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0.09%</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0.11%</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 Net Asset Value Held by Stockholder A</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969,283</w:t>
            </w:r>
          </w:p>
        </w:tc>
        <w:tc>
          <w:tcPr>
            <w:tcW w:w="30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1,030,682</w:t>
            </w:r>
          </w:p>
        </w:tc>
        <w:tc>
          <w:tcPr>
            <w:tcW w:w="32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6.33%</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1,218,079</w:t>
            </w:r>
          </w:p>
        </w:tc>
        <w:tc>
          <w:tcPr>
            <w:tcW w:w="40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25.67%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Investment by Stockholder A (Assumed to be $16.09</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per Share on Shares Held Prior to Sale)</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969,283</w:t>
            </w:r>
          </w:p>
        </w:tc>
        <w:tc>
          <w:tcPr>
            <w:tcW w:w="3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1,050,915</w:t>
            </w: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1,214,179</w:t>
            </w:r>
          </w:p>
        </w:tc>
        <w:tc>
          <w:tcPr>
            <w:tcW w:w="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Dilution/Accretion to Stockholder A (Total Net Asset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Value Less Total Investment)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(20,233)</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Investment per Share Held by Stockholder A (Assumed to be</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$16.09 per Share on Shares Held Prior to Sale)</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3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3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4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Share Held by Stockholder A</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Dilution/Accretion per Share Held by Stockholder A (Net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 Value per Share Less Investment per Share)</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(0.31)</w:t>
            </w: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Percentage Dilution/Accretion to Stockholder A (Dilution per</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 Divided by Investment per Share)</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Impact on New Investors</w:t>
      </w:r>
    </w:p>
    <w:p>
      <w:pPr>
        <w:spacing w:after="0" w:line="119" w:lineRule="exact"/>
        <w:rPr>
          <w:sz w:val="20"/>
          <w:szCs w:val="20"/>
          <w:color w:val="auto"/>
        </w:rPr>
      </w:pPr>
    </w:p>
    <w:p>
      <w:pPr>
        <w:ind w:left="200" w:right="20" w:firstLine="441"/>
        <w:spacing w:after="0" w:line="253" w:lineRule="auto"/>
        <w:rPr>
          <w:sz w:val="20"/>
          <w:szCs w:val="20"/>
          <w:color w:val="auto"/>
        </w:rPr>
      </w:pPr>
      <w:r>
        <w:rPr>
          <w:rFonts w:ascii="Times New Roman" w:cs="Times New Roman" w:eastAsia="Times New Roman" w:hAnsi="Times New Roman"/>
          <w:sz w:val="18"/>
          <w:szCs w:val="18"/>
          <w:color w:val="auto"/>
        </w:rPr>
        <w:t>Investors who are not currently stockholders and who participate in an offering of shares of our common stock at a price below net asset value per share, but whose investment per share is greater than the resulting net asset value per share due to selling compensation and expenses paid by us, will experience an immediate decrease, although small, in the net asset value of their shares and their net asset value per share compared to the price they pay for their shares. Investors who are not currently stockholders and who participate in an offering of shares of our common stock at a price below net asset value per share and whose investment per share is also less than the resulting net asset value per share due to selling compensation and expenses paid by us being significantly less than the discount per share, will experience an immediate increase in the net asset value of their shares and their net asset value per share compared to the price they pay for their shares. These investors will experience a disproportionately greater participation in our earnings and assets and their voting power than our increase in assets, potential earning power and voting interests due to such offering.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w:t>
      </w:r>
    </w:p>
    <w:p>
      <w:pPr>
        <w:spacing w:after="0" w:line="1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240"/>
          </w:cols>
          <w:pgMar w:left="240" w:top="455" w:right="41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6" w:lineRule="auto"/>
        <w:rPr>
          <w:sz w:val="20"/>
          <w:szCs w:val="20"/>
          <w:color w:val="auto"/>
        </w:rPr>
      </w:pPr>
      <w:r>
        <w:rPr>
          <w:rFonts w:ascii="Times New Roman" w:cs="Times New Roman" w:eastAsia="Times New Roman" w:hAnsi="Times New Roman"/>
          <w:sz w:val="18"/>
          <w:szCs w:val="18"/>
          <w:color w:val="auto"/>
        </w:rPr>
        <w:t>often reflects to some degree announced or potential increases and decreases in net asset value per share. This decrease could be more pronounced as the size of the offering and level of discounts increases. There is no maximum level of discount from net asset value per share at which we may sell shares pursuant to such authority.</w:t>
      </w:r>
    </w:p>
    <w:p>
      <w:pPr>
        <w:spacing w:after="0" w:line="176" w:lineRule="exact"/>
        <w:rPr>
          <w:sz w:val="20"/>
          <w:szCs w:val="20"/>
          <w:color w:val="auto"/>
        </w:rPr>
      </w:pPr>
    </w:p>
    <w:p>
      <w:pPr>
        <w:ind w:left="200" w:right="60" w:firstLine="441"/>
        <w:spacing w:after="0" w:line="256" w:lineRule="auto"/>
        <w:rPr>
          <w:sz w:val="20"/>
          <w:szCs w:val="20"/>
          <w:color w:val="auto"/>
        </w:rPr>
      </w:pPr>
      <w:r>
        <w:rPr>
          <w:rFonts w:ascii="Times New Roman" w:cs="Times New Roman" w:eastAsia="Times New Roman" w:hAnsi="Times New Roman"/>
          <w:sz w:val="18"/>
          <w:szCs w:val="18"/>
          <w:color w:val="auto"/>
        </w:rPr>
        <w:t>The following chart illustrates the level of dilution or accretion for new investors that would be experienced by a new investor in the same hypothetical 5%, 10%, 20% and 25% discounted offerings as described in the first chart above. The illustration is for a new investor who purchases the same percentage (0.10%) of the shares in the offering as Stockholder A in the prior examples held immediately prior to the offering. The prospectus supplement pursuant to which any discounted offering is made will include a chart for these examples based on the actual number of shares in such offering and the actual discount from the most recently determined net asset value per share. It is not possible to predict the level of market price decline that may occur.</w:t>
      </w:r>
    </w:p>
    <w:p>
      <w:pPr>
        <w:spacing w:after="0" w:line="213" w:lineRule="exact"/>
        <w:rPr>
          <w:sz w:val="20"/>
          <w:szCs w:val="20"/>
          <w:color w:val="auto"/>
        </w:rPr>
      </w:pPr>
    </w:p>
    <w:tbl>
      <w:tblPr>
        <w:tblLayout w:type="fixed"/>
        <w:tblInd w:w="20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5"/>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8"/>
              </w:rPr>
              <w:t>Example 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0" w:type="dxa"/>
            <w:vAlign w:val="bottom"/>
            <w:gridSpan w:val="5"/>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Example 2</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20" w:type="dxa"/>
            <w:vAlign w:val="bottom"/>
            <w:gridSpan w:val="5"/>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5"/>
              </w:rPr>
              <w:t>Example 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left="291"/>
              <w:spacing w:after="0"/>
              <w:rPr>
                <w:sz w:val="20"/>
                <w:szCs w:val="20"/>
                <w:color w:val="auto"/>
              </w:rPr>
            </w:pPr>
            <w:r>
              <w:rPr>
                <w:rFonts w:ascii="Times New Roman" w:cs="Times New Roman" w:eastAsia="Times New Roman" w:hAnsi="Times New Roman"/>
                <w:sz w:val="13"/>
                <w:szCs w:val="13"/>
                <w:b w:val="1"/>
                <w:bCs w:val="1"/>
                <w:color w:val="auto"/>
                <w:w w:val="98"/>
              </w:rPr>
              <w:t>Example 4</w:t>
            </w: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320" w:type="dxa"/>
            <w:vAlign w:val="bottom"/>
            <w:tcBorders>
              <w:top w:val="single" w:sz="8" w:color="auto"/>
            </w:tcBorders>
            <w:gridSpan w:val="4"/>
          </w:tcPr>
          <w:p>
            <w:pPr>
              <w:jc w:val="center"/>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5% Offering at 5%</w:t>
            </w: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320" w:type="dxa"/>
            <w:vAlign w:val="bottom"/>
            <w:tcBorders>
              <w:top w:val="single" w:sz="8" w:color="auto"/>
            </w:tcBorders>
            <w:gridSpan w:val="4"/>
          </w:tcPr>
          <w:p>
            <w:pPr>
              <w:jc w:val="center"/>
              <w:ind w:right="80"/>
              <w:spacing w:after="0" w:line="109" w:lineRule="exact"/>
              <w:rPr>
                <w:sz w:val="20"/>
                <w:szCs w:val="20"/>
                <w:color w:val="auto"/>
              </w:rPr>
            </w:pPr>
            <w:r>
              <w:rPr>
                <w:rFonts w:ascii="Times New Roman" w:cs="Times New Roman" w:eastAsia="Times New Roman" w:hAnsi="Times New Roman"/>
                <w:sz w:val="12"/>
                <w:szCs w:val="12"/>
                <w:b w:val="1"/>
                <w:bCs w:val="1"/>
                <w:color w:val="auto"/>
              </w:rPr>
              <w:t>10% Offering at</w:t>
            </w: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320" w:type="dxa"/>
            <w:vAlign w:val="bottom"/>
            <w:tcBorders>
              <w:top w:val="single" w:sz="8" w:color="auto"/>
            </w:tcBorders>
            <w:gridSpan w:val="4"/>
          </w:tcPr>
          <w:p>
            <w:pPr>
              <w:jc w:val="center"/>
              <w:ind w:right="80"/>
              <w:spacing w:after="0" w:line="109" w:lineRule="exact"/>
              <w:rPr>
                <w:sz w:val="20"/>
                <w:szCs w:val="20"/>
                <w:color w:val="auto"/>
              </w:rPr>
            </w:pPr>
            <w:r>
              <w:rPr>
                <w:rFonts w:ascii="Times New Roman" w:cs="Times New Roman" w:eastAsia="Times New Roman" w:hAnsi="Times New Roman"/>
                <w:sz w:val="12"/>
                <w:szCs w:val="12"/>
                <w:b w:val="1"/>
                <w:bCs w:val="1"/>
                <w:color w:val="auto"/>
              </w:rPr>
              <w:t>20% Offering at</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gridSpan w:val="4"/>
          </w:tcPr>
          <w:p>
            <w:pPr>
              <w:jc w:val="center"/>
              <w:ind w:right="80"/>
              <w:spacing w:after="0" w:line="109" w:lineRule="exact"/>
              <w:rPr>
                <w:sz w:val="20"/>
                <w:szCs w:val="20"/>
                <w:color w:val="auto"/>
              </w:rPr>
            </w:pPr>
            <w:r>
              <w:rPr>
                <w:rFonts w:ascii="Times New Roman" w:cs="Times New Roman" w:eastAsia="Times New Roman" w:hAnsi="Times New Roman"/>
                <w:sz w:val="12"/>
                <w:szCs w:val="12"/>
                <w:b w:val="1"/>
                <w:bCs w:val="1"/>
                <w:color w:val="auto"/>
              </w:rPr>
              <w:t>25% Offering at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Prior to</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left="291"/>
              <w:spacing w:after="0"/>
              <w:rPr>
                <w:sz w:val="20"/>
                <w:szCs w:val="20"/>
                <w:color w:val="auto"/>
              </w:rPr>
            </w:pPr>
            <w:r>
              <w:rPr>
                <w:rFonts w:ascii="Times New Roman" w:cs="Times New Roman" w:eastAsia="Times New Roman" w:hAnsi="Times New Roman"/>
                <w:sz w:val="13"/>
                <w:szCs w:val="13"/>
                <w:b w:val="1"/>
                <w:bCs w:val="1"/>
                <w:color w:val="auto"/>
                <w:w w:val="93"/>
              </w:rPr>
              <w:t>Discount</w:t>
            </w: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0" w:type="dxa"/>
            <w:vAlign w:val="bottom"/>
            <w:gridSpan w:val="5"/>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10% Discount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20" w:type="dxa"/>
            <w:vAlign w:val="bottom"/>
            <w:gridSpan w:val="5"/>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20% Discount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5"/>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25% Discount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2"/>
          </w:tcPr>
          <w:p>
            <w:pPr>
              <w:jc w:val="center"/>
              <w:ind w:right="320"/>
              <w:spacing w:after="0" w:line="109" w:lineRule="exact"/>
              <w:rPr>
                <w:sz w:val="20"/>
                <w:szCs w:val="20"/>
                <w:color w:val="auto"/>
              </w:rPr>
            </w:pPr>
            <w:r>
              <w:rPr>
                <w:rFonts w:ascii="Times New Roman" w:cs="Times New Roman" w:eastAsia="Times New Roman" w:hAnsi="Times New Roman"/>
                <w:sz w:val="12"/>
                <w:szCs w:val="12"/>
                <w:b w:val="1"/>
                <w:bCs w:val="1"/>
                <w:color w:val="auto"/>
              </w:rPr>
              <w:t>Sale</w:t>
            </w: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gridSpan w:val="2"/>
          </w:tcPr>
          <w:p>
            <w:pPr>
              <w:jc w:val="right"/>
              <w:ind w:right="320"/>
              <w:spacing w:after="0" w:line="109" w:lineRule="exact"/>
              <w:rPr>
                <w:sz w:val="20"/>
                <w:szCs w:val="20"/>
                <w:color w:val="auto"/>
              </w:rPr>
            </w:pPr>
            <w:r>
              <w:rPr>
                <w:rFonts w:ascii="Times New Roman" w:cs="Times New Roman" w:eastAsia="Times New Roman" w:hAnsi="Times New Roman"/>
                <w:sz w:val="12"/>
                <w:szCs w:val="12"/>
                <w:b w:val="1"/>
                <w:bCs w:val="1"/>
                <w:color w:val="auto"/>
              </w:rPr>
              <w:t>Following</w:t>
            </w:r>
          </w:p>
        </w:tc>
        <w:tc>
          <w:tcPr>
            <w:tcW w:w="460" w:type="dxa"/>
            <w:vAlign w:val="bottom"/>
            <w:tcBorders>
              <w:top w:val="single" w:sz="8" w:color="auto"/>
            </w:tcBorders>
            <w:gridSpan w:val="2"/>
          </w:tcPr>
          <w:p>
            <w:pPr>
              <w:jc w:val="right"/>
              <w:ind w:right="160"/>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gridSpan w:val="2"/>
          </w:tcPr>
          <w:p>
            <w:pPr>
              <w:jc w:val="right"/>
              <w:ind w:right="280"/>
              <w:spacing w:after="0" w:line="109" w:lineRule="exact"/>
              <w:rPr>
                <w:sz w:val="20"/>
                <w:szCs w:val="20"/>
                <w:color w:val="auto"/>
              </w:rPr>
            </w:pPr>
            <w:r>
              <w:rPr>
                <w:rFonts w:ascii="Times New Roman" w:cs="Times New Roman" w:eastAsia="Times New Roman" w:hAnsi="Times New Roman"/>
                <w:sz w:val="12"/>
                <w:szCs w:val="12"/>
                <w:b w:val="1"/>
                <w:bCs w:val="1"/>
                <w:color w:val="auto"/>
              </w:rPr>
              <w:t>Following</w:t>
            </w:r>
          </w:p>
        </w:tc>
        <w:tc>
          <w:tcPr>
            <w:tcW w:w="480" w:type="dxa"/>
            <w:vAlign w:val="bottom"/>
            <w:tcBorders>
              <w:top w:val="single" w:sz="8" w:color="auto"/>
            </w:tcBorders>
            <w:gridSpan w:val="2"/>
          </w:tcPr>
          <w:p>
            <w:pPr>
              <w:jc w:val="right"/>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gridSpan w:val="2"/>
          </w:tcPr>
          <w:p>
            <w:pPr>
              <w:jc w:val="right"/>
              <w:ind w:right="280"/>
              <w:spacing w:after="0" w:line="109" w:lineRule="exact"/>
              <w:rPr>
                <w:sz w:val="20"/>
                <w:szCs w:val="20"/>
                <w:color w:val="auto"/>
              </w:rPr>
            </w:pPr>
            <w:r>
              <w:rPr>
                <w:rFonts w:ascii="Times New Roman" w:cs="Times New Roman" w:eastAsia="Times New Roman" w:hAnsi="Times New Roman"/>
                <w:sz w:val="12"/>
                <w:szCs w:val="12"/>
                <w:b w:val="1"/>
                <w:bCs w:val="1"/>
                <w:color w:val="auto"/>
              </w:rPr>
              <w:t>Following</w:t>
            </w:r>
          </w:p>
        </w:tc>
        <w:tc>
          <w:tcPr>
            <w:tcW w:w="480" w:type="dxa"/>
            <w:vAlign w:val="bottom"/>
            <w:tcBorders>
              <w:top w:val="single" w:sz="8" w:color="auto"/>
            </w:tcBorders>
            <w:gridSpan w:val="2"/>
          </w:tcPr>
          <w:p>
            <w:pPr>
              <w:jc w:val="right"/>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gridSpan w:val="2"/>
          </w:tcPr>
          <w:p>
            <w:pPr>
              <w:jc w:val="right"/>
              <w:ind w:right="440"/>
              <w:spacing w:after="0" w:line="109" w:lineRule="exact"/>
              <w:rPr>
                <w:sz w:val="20"/>
                <w:szCs w:val="20"/>
                <w:color w:val="auto"/>
              </w:rPr>
            </w:pPr>
            <w:r>
              <w:rPr>
                <w:rFonts w:ascii="Times New Roman" w:cs="Times New Roman" w:eastAsia="Times New Roman" w:hAnsi="Times New Roman"/>
                <w:sz w:val="12"/>
                <w:szCs w:val="12"/>
                <w:b w:val="1"/>
                <w:bCs w:val="1"/>
                <w:color w:val="auto"/>
              </w:rPr>
              <w:t>Following</w:t>
            </w:r>
          </w:p>
        </w:tc>
        <w:tc>
          <w:tcPr>
            <w:tcW w:w="460" w:type="dxa"/>
            <w:vAlign w:val="bottom"/>
            <w:tcBorders>
              <w:top w:val="single" w:sz="8" w:color="auto"/>
            </w:tcBorders>
            <w:gridSpan w:val="2"/>
          </w:tcPr>
          <w:p>
            <w:pPr>
              <w:jc w:val="right"/>
              <w:ind w:right="160"/>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Below NAV</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Sale</w:t>
            </w:r>
          </w:p>
        </w:tc>
        <w:tc>
          <w:tcPr>
            <w:tcW w:w="74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Sale</w:t>
            </w:r>
          </w:p>
        </w:tc>
        <w:tc>
          <w:tcPr>
            <w:tcW w:w="76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Sale</w:t>
            </w:r>
          </w:p>
        </w:tc>
        <w:tc>
          <w:tcPr>
            <w:tcW w:w="78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Sale</w:t>
            </w:r>
          </w:p>
        </w:tc>
        <w:tc>
          <w:tcPr>
            <w:tcW w:w="68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3"/>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Price per Share to Public</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16.09</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12.70</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Proceeds per Share to Issuer</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15.29</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12.87</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12.07</w:t>
            </w: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70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Decrease/Increase to Net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 Value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Shares Outstanding</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60,247,201</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63,259,561</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66,271,921</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72,296,641</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75,309,001</w:t>
            </w: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Asset Value per Share</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16.09</w:t>
            </w:r>
          </w:p>
        </w:tc>
        <w:tc>
          <w:tcPr>
            <w:tcW w:w="240" w:type="dxa"/>
            <w:vAlign w:val="bottom"/>
          </w:tcPr>
          <w:p>
            <w:pPr>
              <w:spacing w:after="0"/>
              <w:rPr>
                <w:sz w:val="12"/>
                <w:szCs w:val="12"/>
                <w:color w:val="auto"/>
              </w:rPr>
            </w:pPr>
          </w:p>
        </w:tc>
        <w:tc>
          <w:tcPr>
            <w:tcW w:w="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16.05</w:t>
            </w:r>
          </w:p>
        </w:tc>
        <w:tc>
          <w:tcPr>
            <w:tcW w:w="220" w:type="dxa"/>
            <w:vAlign w:val="bottom"/>
          </w:tcPr>
          <w:p>
            <w:pPr>
              <w:spacing w:after="0"/>
              <w:rPr>
                <w:sz w:val="12"/>
                <w:szCs w:val="12"/>
                <w:color w:val="auto"/>
              </w:rPr>
            </w:pPr>
          </w:p>
        </w:tc>
        <w:tc>
          <w:tcPr>
            <w:tcW w:w="74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(0.25)%</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15.94</w:t>
            </w:r>
          </w:p>
        </w:tc>
        <w:tc>
          <w:tcPr>
            <w:tcW w:w="180" w:type="dxa"/>
            <w:vAlign w:val="bottom"/>
          </w:tcPr>
          <w:p>
            <w:pPr>
              <w:spacing w:after="0"/>
              <w:rPr>
                <w:sz w:val="12"/>
                <w:szCs w:val="12"/>
                <w:color w:val="auto"/>
              </w:rPr>
            </w:pPr>
          </w:p>
        </w:tc>
        <w:tc>
          <w:tcPr>
            <w:tcW w:w="7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(0.92)%</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15.55</w:t>
            </w:r>
          </w:p>
        </w:tc>
        <w:tc>
          <w:tcPr>
            <w:tcW w:w="180" w:type="dxa"/>
            <w:vAlign w:val="bottom"/>
          </w:tcPr>
          <w:p>
            <w:pPr>
              <w:spacing w:after="0"/>
              <w:rPr>
                <w:sz w:val="12"/>
                <w:szCs w:val="12"/>
                <w:color w:val="auto"/>
              </w:rPr>
            </w:pPr>
          </w:p>
        </w:tc>
        <w:tc>
          <w:tcPr>
            <w:tcW w:w="78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(3.34)%</w:t>
            </w:r>
          </w:p>
        </w:tc>
        <w:tc>
          <w:tcPr>
            <w:tcW w:w="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15.28</w:t>
            </w:r>
          </w:p>
        </w:tc>
        <w:tc>
          <w:tcPr>
            <w:tcW w:w="320" w:type="dxa"/>
            <w:vAlign w:val="bottom"/>
          </w:tcPr>
          <w:p>
            <w:pPr>
              <w:spacing w:after="0"/>
              <w:rPr>
                <w:sz w:val="12"/>
                <w:szCs w:val="12"/>
                <w:color w:val="auto"/>
              </w:rPr>
            </w:pPr>
          </w:p>
        </w:tc>
        <w:tc>
          <w:tcPr>
            <w:tcW w:w="6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Dilution/Accretion to New Investor A</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Held by Investor A</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3,012</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6,025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12,049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15,062</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Percentage Held by Investor A</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0.02%</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0.02%</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Net Asset Value Held by Investor A</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240" w:type="dxa"/>
            <w:vAlign w:val="bottom"/>
          </w:tcPr>
          <w:p>
            <w:pPr>
              <w:spacing w:after="0"/>
              <w:rPr>
                <w:sz w:val="12"/>
                <w:szCs w:val="12"/>
                <w:color w:val="auto"/>
              </w:rPr>
            </w:pPr>
          </w:p>
        </w:tc>
        <w:tc>
          <w:tcPr>
            <w:tcW w:w="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48,349</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96,048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187,397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230,208</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Total Investment by Investor A (At Price to</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48,469</w:t>
            </w: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91,836</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163,264</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191,324</w:t>
            </w:r>
          </w:p>
        </w:tc>
        <w:tc>
          <w:tcPr>
            <w:tcW w:w="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Public)</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Total Dilution/Accretion to Investor A (Total</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(120)</w:t>
            </w: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4,212</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24,134</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38,884</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Asset Value Less Total Investment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Investment per Share Held by Investor A</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16.09</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15.24</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13.55</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12.70</w:t>
            </w: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Asset Value per Share Held by Investor</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15.94</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15.55</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15.28</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Dilution/Accretion per Share Held by</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Investor A (Net Asset Value per Share</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(0.04)</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Less Investment per Share)</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Percentage Dilution/Accretion to Investor A</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(Dilution per Share Divided by Investment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(0.25)%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4.59%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14.78%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per Share)</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240"/>
          </w:cols>
          <w:pgMar w:left="240" w:top="455" w:right="41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229" w:lineRule="exact"/>
        <w:rPr>
          <w:sz w:val="20"/>
          <w:szCs w:val="20"/>
          <w:color w:val="auto"/>
        </w:rPr>
      </w:pPr>
    </w:p>
    <w:p>
      <w:pPr>
        <w:jc w:val="both"/>
        <w:ind w:left="200" w:right="220" w:firstLine="441"/>
        <w:spacing w:after="0" w:line="261" w:lineRule="auto"/>
        <w:rPr>
          <w:sz w:val="20"/>
          <w:szCs w:val="20"/>
          <w:color w:val="auto"/>
        </w:rPr>
      </w:pPr>
      <w:r>
        <w:rPr>
          <w:rFonts w:ascii="Times New Roman" w:cs="Times New Roman" w:eastAsia="Times New Roman" w:hAnsi="Times New Roman"/>
          <w:sz w:val="18"/>
          <w:szCs w:val="18"/>
          <w:color w:val="auto"/>
        </w:rPr>
        <w:t>We have adopted a dividend reinvestment plan, pursuant to which we will reinvest all cash dividends or distributions declared by the Board on behalf of investors who do not elect to receive their cash dividends or distributions in cash as provided below. As a result, if the Board authorizes, and we declare, a cash dividend or distribution, then our stockholders who have not elected to “opt out” of our dividend reinvestment plan will have their cash dividends or distributions automatically reinvested in additional common stock as described below.</w:t>
      </w:r>
    </w:p>
    <w:p>
      <w:pPr>
        <w:spacing w:after="0" w:line="180" w:lineRule="exact"/>
        <w:rPr>
          <w:sz w:val="20"/>
          <w:szCs w:val="20"/>
          <w:color w:val="auto"/>
        </w:rPr>
      </w:pPr>
    </w:p>
    <w:p>
      <w:pPr>
        <w:ind w:left="200" w:right="160" w:firstLine="441"/>
        <w:spacing w:after="0" w:line="258" w:lineRule="auto"/>
        <w:rPr>
          <w:sz w:val="20"/>
          <w:szCs w:val="20"/>
          <w:color w:val="auto"/>
        </w:rPr>
      </w:pPr>
      <w:r>
        <w:rPr>
          <w:rFonts w:ascii="Times New Roman" w:cs="Times New Roman" w:eastAsia="Times New Roman" w:hAnsi="Times New Roman"/>
          <w:sz w:val="18"/>
          <w:szCs w:val="18"/>
          <w:color w:val="auto"/>
        </w:rPr>
        <w:t>No action is required on the part of a registered stockholder to have its cash dividend or other distribution reinvested in our common stock. A registered stockholder is able to elect to receive an entire cash dividend or distribution in cash by notifying State Street Bank and Trust Company, the plan administrator and our transfer agent and registrar, in writing, so that notice is received by the plan administrator no later than 10 days prior to the record date for the cash dividend or distributions to the stockholders. The plan administrator has set up an account for shares acquired through the plan for each stockholder who has not elected to receive cash dividends or distributions in cash and hold the shares in non-certificated form.</w:t>
      </w:r>
    </w:p>
    <w:p>
      <w:pPr>
        <w:spacing w:after="0" w:line="184" w:lineRule="exact"/>
        <w:rPr>
          <w:sz w:val="20"/>
          <w:szCs w:val="20"/>
          <w:color w:val="auto"/>
        </w:rPr>
      </w:pPr>
    </w:p>
    <w:p>
      <w:pPr>
        <w:ind w:left="200" w:right="200" w:firstLine="441"/>
        <w:spacing w:after="0" w:line="282" w:lineRule="auto"/>
        <w:rPr>
          <w:sz w:val="20"/>
          <w:szCs w:val="20"/>
          <w:color w:val="auto"/>
        </w:rPr>
      </w:pPr>
      <w:r>
        <w:rPr>
          <w:rFonts w:ascii="Times New Roman" w:cs="Times New Roman" w:eastAsia="Times New Roman" w:hAnsi="Times New Roman"/>
          <w:sz w:val="18"/>
          <w:szCs w:val="18"/>
          <w:color w:val="auto"/>
        </w:rPr>
        <w:t>Those stockholders whose shares are held by a broker or other financial intermediary may receive cash dividends and other distributions in cash by notifying their broker or other financial intermediary of their election.</w:t>
      </w:r>
    </w:p>
    <w:p>
      <w:pPr>
        <w:spacing w:after="0" w:line="162"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We expect to use primarily newly issued shares to implement the plan, whether our shares are trading at a premium or at a discount to net asset value. We reserve the right to purchase shares in the open market in connection with our implementation of the plan. The number of shares to be issued to a stockholder is determined by dividing the total dollar amount of the cash dividend or distribution payable to a stockholder by the market price per share of our common stock at the close of regular trading on the New York Stock Exchange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we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6"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The number of shares of our common stock that will be outstanding after giving effect to payment of a cash dividend or distribution cannot be established until the value per share at which additional shares will be issued has been determined and elections of our stockholders have been tabulated. The number of shares to be issued to a stockholder pursuant to the foregoing will be rounded down to the nearest whole share to avoid the issuance of fractional shares, with any fractional shares being paid in cash. For non-U.S. stockholders, the number of shares to be issued to the stockholder will be the amount equal to the total dollar amount of the cash dividend or distribution payable, net of applicable withholding taxes.</w:t>
      </w:r>
    </w:p>
    <w:p>
      <w:pPr>
        <w:spacing w:after="0" w:line="184" w:lineRule="exact"/>
        <w:rPr>
          <w:sz w:val="20"/>
          <w:szCs w:val="20"/>
          <w:color w:val="auto"/>
        </w:rPr>
      </w:pPr>
    </w:p>
    <w:p>
      <w:pPr>
        <w:ind w:left="200" w:right="120" w:firstLine="441"/>
        <w:spacing w:after="0" w:line="258" w:lineRule="auto"/>
        <w:rPr>
          <w:sz w:val="20"/>
          <w:szCs w:val="20"/>
          <w:color w:val="auto"/>
        </w:rPr>
      </w:pPr>
      <w:r>
        <w:rPr>
          <w:rFonts w:ascii="Times New Roman" w:cs="Times New Roman" w:eastAsia="Times New Roman" w:hAnsi="Times New Roman"/>
          <w:sz w:val="18"/>
          <w:szCs w:val="18"/>
          <w:color w:val="auto"/>
        </w:rPr>
        <w:t>There are no brokerage charges or other charges to stockholders who participate in the plan. The plan is terminable by us upon notice in writing mailed to each stockholder of record at least 30 days prior to any record date for the payment of any cash dividend or distribution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w:t>
      </w:r>
    </w:p>
    <w:p>
      <w:pPr>
        <w:spacing w:after="0" w:line="184" w:lineRule="exact"/>
        <w:rPr>
          <w:sz w:val="20"/>
          <w:szCs w:val="20"/>
          <w:color w:val="auto"/>
        </w:rPr>
      </w:pPr>
    </w:p>
    <w:p>
      <w:pPr>
        <w:ind w:left="200" w:right="140" w:firstLine="441"/>
        <w:spacing w:after="0" w:line="266" w:lineRule="auto"/>
        <w:rPr>
          <w:sz w:val="20"/>
          <w:szCs w:val="20"/>
          <w:color w:val="auto"/>
        </w:rPr>
      </w:pPr>
      <w:r>
        <w:rPr>
          <w:rFonts w:ascii="Times New Roman" w:cs="Times New Roman" w:eastAsia="Times New Roman" w:hAnsi="Times New Roman"/>
          <w:sz w:val="18"/>
          <w:szCs w:val="18"/>
          <w:color w:val="auto"/>
        </w:rPr>
        <w:t>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220"/>
          </w:cols>
          <w:pgMar w:left="240" w:top="455" w:right="43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Times New Roman" w:cs="Times New Roman" w:eastAsia="Times New Roman" w:hAnsi="Times New Roman"/>
          <w:sz w:val="18"/>
          <w:szCs w:val="18"/>
          <w:color w:val="auto"/>
        </w:rPr>
        <w:t>reinvesting that net cash for additional shares of our stock. Such a stockholder is subject to the same U.S. federal income tax consequences as stockholders who elect to receive their cash dividends or distributions in cash; 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w:t>
      </w:r>
    </w:p>
    <w:p>
      <w:pPr>
        <w:spacing w:after="0" w:line="189" w:lineRule="exact"/>
        <w:rPr>
          <w:sz w:val="20"/>
          <w:szCs w:val="20"/>
          <w:color w:val="auto"/>
        </w:rPr>
      </w:pPr>
    </w:p>
    <w:p>
      <w:pPr>
        <w:ind w:left="200" w:right="120" w:firstLine="441"/>
        <w:spacing w:after="0" w:line="282" w:lineRule="auto"/>
        <w:rPr>
          <w:sz w:val="20"/>
          <w:szCs w:val="20"/>
          <w:color w:val="auto"/>
        </w:rPr>
      </w:pPr>
      <w:r>
        <w:rPr>
          <w:rFonts w:ascii="Times New Roman" w:cs="Times New Roman" w:eastAsia="Times New Roman" w:hAnsi="Times New Roman"/>
          <w:sz w:val="18"/>
          <w:szCs w:val="18"/>
          <w:color w:val="auto"/>
        </w:rPr>
        <w:t>All correspondence concerning the plan should be directed to the plan administrator by mail at State Street Corporation, Transfer Agency—TPG Specialty Lending, Box 5493, Boston, Massachusetts, 02206-5433.</w:t>
      </w:r>
    </w:p>
    <w:p>
      <w:pPr>
        <w:spacing w:after="0" w:line="162" w:lineRule="exact"/>
        <w:rPr>
          <w:sz w:val="20"/>
          <w:szCs w:val="20"/>
          <w:color w:val="auto"/>
        </w:rPr>
      </w:pPr>
    </w:p>
    <w:p>
      <w:pPr>
        <w:ind w:left="200" w:right="160" w:firstLine="441"/>
        <w:spacing w:after="0" w:line="282" w:lineRule="auto"/>
        <w:rPr>
          <w:sz w:val="20"/>
          <w:szCs w:val="20"/>
          <w:color w:val="auto"/>
        </w:rPr>
      </w:pPr>
      <w:r>
        <w:rPr>
          <w:rFonts w:ascii="Times New Roman" w:cs="Times New Roman" w:eastAsia="Times New Roman" w:hAnsi="Times New Roman"/>
          <w:sz w:val="18"/>
          <w:szCs w:val="18"/>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80"/>
          </w:cols>
          <w:pgMar w:left="240" w:top="455" w:right="47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ind w:left="200" w:right="160" w:firstLine="441"/>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applicable to us and to an investment in shares of our common stock or preferred stock. This summary deals only with beneficial owners (referred to in this summary as “stockholders”) of shares of our common stock or preferred stock that hold their shares as capital assets. This summary does not purport to be a complete description of the income tax considerations applicable to such an investment. For example, we have not described tax consequences that may be relevant to certain types of stockholders that are subject to special treatment under U.S. federal income tax laws, including:</w:t>
      </w:r>
    </w:p>
    <w:p>
      <w:pPr>
        <w:spacing w:after="0" w:line="89" w:lineRule="exact"/>
        <w:rPr>
          <w:sz w:val="20"/>
          <w:szCs w:val="20"/>
          <w:color w:val="auto"/>
        </w:rPr>
      </w:pPr>
    </w:p>
    <w:p>
      <w:pPr>
        <w:ind w:left="1060" w:hanging="316"/>
        <w:spacing w:after="0"/>
        <w:tabs>
          <w:tab w:leader="none" w:pos="10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subject to the alternative minimum tax;</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(except as discussed below);</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securities holdings;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 (except as discussed below);</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(except as discussed below);</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taxed as partnerships or partners therein;</w:t>
      </w:r>
    </w:p>
    <w:p>
      <w:pPr>
        <w:spacing w:after="0" w:line="130" w:lineRule="exact"/>
        <w:rPr>
          <w:rFonts w:ascii="Times New Roman" w:cs="Times New Roman" w:eastAsia="Times New Roman" w:hAnsi="Times New Roman"/>
          <w:sz w:val="18"/>
          <w:szCs w:val="18"/>
          <w:color w:val="auto"/>
        </w:rPr>
      </w:pPr>
    </w:p>
    <w:p>
      <w:pPr>
        <w:ind w:left="1060" w:hanging="316"/>
        <w:spacing w:after="0" w:line="282" w:lineRule="auto"/>
        <w:tabs>
          <w:tab w:leader="none" w:pos="10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shares of common stock or preferred stock as part of a “straddle,” “hedge,” “conversion transaction,” “synthetic security” or other integrated investment;</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received our stock as compensation;</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stock on behalf of another person as a nominee;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stockholders (as defined below) who have a “functional currency” other than the U.S. dollar.</w:t>
      </w:r>
    </w:p>
    <w:p>
      <w:pPr>
        <w:spacing w:after="0" w:line="225" w:lineRule="exact"/>
        <w:rPr>
          <w:sz w:val="20"/>
          <w:szCs w:val="20"/>
          <w:color w:val="auto"/>
        </w:rPr>
      </w:pPr>
    </w:p>
    <w:p>
      <w:pPr>
        <w:ind w:left="200" w:right="200" w:firstLine="441"/>
        <w:spacing w:after="0" w:line="282" w:lineRule="auto"/>
        <w:rPr>
          <w:sz w:val="20"/>
          <w:szCs w:val="20"/>
          <w:color w:val="auto"/>
        </w:rPr>
      </w:pPr>
      <w:r>
        <w:rPr>
          <w:rFonts w:ascii="Times New Roman" w:cs="Times New Roman" w:eastAsia="Times New Roman" w:hAnsi="Times New Roman"/>
          <w:sz w:val="18"/>
          <w:szCs w:val="18"/>
          <w:color w:val="auto"/>
        </w:rPr>
        <w:t>Finally, this summary does not address other U.S. federal tax consequences (such as estate, gift and Medicare contribution tax consequences) or any state, local or foreign tax consequences.</w:t>
      </w:r>
    </w:p>
    <w:p>
      <w:pPr>
        <w:spacing w:after="0" w:line="162"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The discussion below is based upon the provisions of the Code, and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stockholders in light of their personal circumstances.</w:t>
      </w:r>
    </w:p>
    <w:p>
      <w:pPr>
        <w:spacing w:after="0" w:line="180" w:lineRule="exact"/>
        <w:rPr>
          <w:sz w:val="20"/>
          <w:szCs w:val="20"/>
          <w:color w:val="auto"/>
        </w:rPr>
      </w:pPr>
    </w:p>
    <w:p>
      <w:pPr>
        <w:ind w:left="200" w:right="220" w:firstLine="441"/>
        <w:spacing w:after="0" w:line="256" w:lineRule="auto"/>
        <w:rPr>
          <w:sz w:val="20"/>
          <w:szCs w:val="20"/>
          <w:color w:val="auto"/>
        </w:rPr>
      </w:pPr>
      <w:r>
        <w:rPr>
          <w:rFonts w:ascii="Times New Roman" w:cs="Times New Roman" w:eastAsia="Times New Roman" w:hAnsi="Times New Roman"/>
          <w:sz w:val="18"/>
          <w:szCs w:val="18"/>
          <w:color w:val="auto"/>
        </w:rPr>
        <w:t>If we issue preferred stock that may be convertible into or exercisable or exchangeable for securities or other property or preferred stock with other terms that may have different U.S. federal income tax consequences than those described in this summary, the U.S. federal income tax consequences of such preferred stock will be described in the relevant prospectus supplement. This summary does not discuss the consequences of an investment in our subscription rights, debt securities or warrants representing rights to purchase shares of our preferred stock, common stock or debt securities or as units in combination with such securities. The U.S. federal income tax consequences of such an investment will be discussed in the relevant prospectus supplement.</w:t>
      </w:r>
    </w:p>
    <w:p>
      <w:pPr>
        <w:spacing w:after="0" w:line="188" w:lineRule="exact"/>
        <w:rPr>
          <w:sz w:val="20"/>
          <w:szCs w:val="20"/>
          <w:color w:val="auto"/>
        </w:rPr>
      </w:pPr>
    </w:p>
    <w:p>
      <w:pPr>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For purposes of this discussion under the heading “Material U.S. Federal Income Tax Considerations,” a “U.S. stockholder” is a beneficial owner of shares of our common stock or preferred stock that is, for U.S. federal income tax purposes, an individual who is a citizen or resident of the United States or a domestic corporation or otherwise subject to U.S. federal income tax on a net income basis in respect of our stock.</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200"/>
          </w:cols>
          <w:pgMar w:left="240" w:top="455" w:right="45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82" w:lineRule="auto"/>
        <w:rPr>
          <w:sz w:val="20"/>
          <w:szCs w:val="20"/>
          <w:color w:val="auto"/>
        </w:rPr>
      </w:pPr>
      <w:r>
        <w:rPr>
          <w:rFonts w:ascii="Times New Roman" w:cs="Times New Roman" w:eastAsia="Times New Roman" w:hAnsi="Times New Roman"/>
          <w:sz w:val="18"/>
          <w:szCs w:val="18"/>
          <w:color w:val="auto"/>
        </w:rPr>
        <w:t>A “Non-U.S. stockholder” is a beneficial owner of shares of our common stock or preferred stock that is not a U.S. stockholder and not an entity taxed as a partnership.</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Regulated Investment Company Classification</w:t>
      </w:r>
    </w:p>
    <w:p>
      <w:pPr>
        <w:spacing w:after="0" w:line="121" w:lineRule="exact"/>
        <w:rPr>
          <w:sz w:val="20"/>
          <w:szCs w:val="20"/>
          <w:color w:val="auto"/>
        </w:rPr>
      </w:pPr>
    </w:p>
    <w:p>
      <w:pPr>
        <w:ind w:left="200" w:right="160" w:firstLine="441"/>
        <w:spacing w:after="0" w:line="266" w:lineRule="auto"/>
        <w:rPr>
          <w:sz w:val="20"/>
          <w:szCs w:val="20"/>
          <w:color w:val="auto"/>
        </w:rPr>
      </w:pPr>
      <w:r>
        <w:rPr>
          <w:rFonts w:ascii="Times New Roman" w:cs="Times New Roman" w:eastAsia="Times New Roman" w:hAnsi="Times New Roman"/>
          <w:sz w:val="18"/>
          <w:szCs w:val="18"/>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 maintain our status as a RIC, we must, among other things:</w:t>
      </w:r>
    </w:p>
    <w:p>
      <w:pPr>
        <w:spacing w:after="0" w:line="131" w:lineRule="exact"/>
        <w:rPr>
          <w:sz w:val="20"/>
          <w:szCs w:val="20"/>
          <w:color w:val="auto"/>
        </w:rPr>
      </w:pPr>
    </w:p>
    <w:p>
      <w:pPr>
        <w:ind w:left="1060" w:hanging="316"/>
        <w:spacing w:after="0"/>
        <w:tabs>
          <w:tab w:leader="none" w:pos="10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election under the 1940 Act to be treated as a BDC;</w:t>
      </w:r>
    </w:p>
    <w:p>
      <w:pPr>
        <w:spacing w:after="0" w:line="130" w:lineRule="exact"/>
        <w:rPr>
          <w:rFonts w:ascii="Times New Roman" w:cs="Times New Roman" w:eastAsia="Times New Roman" w:hAnsi="Times New Roman"/>
          <w:sz w:val="18"/>
          <w:szCs w:val="18"/>
          <w:color w:val="auto"/>
        </w:rPr>
      </w:pPr>
    </w:p>
    <w:p>
      <w:pPr>
        <w:ind w:left="1060" w:right="320" w:hanging="316"/>
        <w:spacing w:after="0" w:line="282" w:lineRule="auto"/>
        <w:tabs>
          <w:tab w:leader="none" w:pos="10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diversified holdings so that, subject to certain exceptions and cure periods, at the end of each quarter of our taxable year:</w:t>
      </w:r>
    </w:p>
    <w:p>
      <w:pPr>
        <w:spacing w:after="0" w:line="130" w:lineRule="exact"/>
        <w:rPr>
          <w:rFonts w:ascii="Times New Roman" w:cs="Times New Roman" w:eastAsia="Times New Roman" w:hAnsi="Times New Roman"/>
          <w:sz w:val="18"/>
          <w:szCs w:val="18"/>
          <w:color w:val="auto"/>
        </w:rPr>
      </w:pPr>
    </w:p>
    <w:p>
      <w:pPr>
        <w:ind w:left="1620" w:right="60" w:hanging="430"/>
        <w:spacing w:after="0" w:line="261" w:lineRule="auto"/>
        <w:tabs>
          <w:tab w:leader="none" w:pos="16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85" w:lineRule="exact"/>
        <w:rPr>
          <w:rFonts w:ascii="Times New Roman" w:cs="Times New Roman" w:eastAsia="Times New Roman" w:hAnsi="Times New Roman"/>
          <w:sz w:val="18"/>
          <w:szCs w:val="18"/>
          <w:color w:val="auto"/>
        </w:rPr>
      </w:pPr>
    </w:p>
    <w:p>
      <w:pPr>
        <w:jc w:val="both"/>
        <w:ind w:left="1620" w:hanging="430"/>
        <w:spacing w:after="0" w:line="266" w:lineRule="auto"/>
        <w:tabs>
          <w:tab w:leader="none" w:pos="16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76"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93" w:lineRule="exact"/>
        <w:rPr>
          <w:sz w:val="20"/>
          <w:szCs w:val="20"/>
          <w:color w:val="auto"/>
        </w:rPr>
      </w:pPr>
    </w:p>
    <w:p>
      <w:pPr>
        <w:ind w:left="1060" w:hanging="316"/>
        <w:spacing w:after="0"/>
        <w:tabs>
          <w:tab w:leader="none" w:pos="10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a calendar year;</w:t>
      </w:r>
    </w:p>
    <w:p>
      <w:pPr>
        <w:spacing w:after="0" w:line="130" w:lineRule="exact"/>
        <w:rPr>
          <w:rFonts w:ascii="Times New Roman" w:cs="Times New Roman" w:eastAsia="Times New Roman" w:hAnsi="Times New Roman"/>
          <w:sz w:val="18"/>
          <w:szCs w:val="18"/>
          <w:color w:val="auto"/>
        </w:rPr>
      </w:pPr>
    </w:p>
    <w:p>
      <w:pPr>
        <w:ind w:left="1060" w:right="420" w:hanging="316"/>
        <w:spacing w:after="0" w:line="282" w:lineRule="auto"/>
        <w:tabs>
          <w:tab w:leader="none" w:pos="10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80"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We generally expect to distribute substantially all of our earnings on a quarterly basis, but will reinvest dividends on behalf of those investors that do not elect to receive their dividends in cash. See “Price Range of</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200"/>
          </w:cols>
          <w:pgMar w:left="240" w:top="455" w:right="45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440"/>
        <w:spacing w:after="0" w:line="282" w:lineRule="auto"/>
        <w:rPr>
          <w:sz w:val="20"/>
          <w:szCs w:val="20"/>
          <w:color w:val="auto"/>
        </w:rPr>
      </w:pPr>
      <w:r>
        <w:rPr>
          <w:rFonts w:ascii="Times New Roman" w:cs="Times New Roman" w:eastAsia="Times New Roman" w:hAnsi="Times New Roman"/>
          <w:sz w:val="18"/>
          <w:szCs w:val="18"/>
          <w:color w:val="auto"/>
        </w:rPr>
        <w:t>Common Stock and Distributions” and “Dividend Reinvestment Plan” for a description of our dividend policy and obligations. One or more of the considerations described below, however, could result in the deferral of dividend distributions until the end of the fiscal year:</w:t>
      </w:r>
    </w:p>
    <w:p>
      <w:pPr>
        <w:spacing w:after="0" w:line="67" w:lineRule="exact"/>
        <w:rPr>
          <w:sz w:val="20"/>
          <w:szCs w:val="20"/>
          <w:color w:val="auto"/>
        </w:rPr>
      </w:pPr>
    </w:p>
    <w:p>
      <w:pPr>
        <w:ind w:left="1060" w:right="60" w:hanging="316"/>
        <w:spacing w:after="0" w:line="261" w:lineRule="auto"/>
        <w:tabs>
          <w:tab w:leader="none" w:pos="10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w:t>
      </w:r>
    </w:p>
    <w:p>
      <w:pPr>
        <w:spacing w:after="0" w:line="85" w:lineRule="exact"/>
        <w:rPr>
          <w:rFonts w:ascii="Times New Roman" w:cs="Times New Roman" w:eastAsia="Times New Roman" w:hAnsi="Times New Roman"/>
          <w:sz w:val="18"/>
          <w:szCs w:val="18"/>
          <w:color w:val="auto"/>
        </w:rPr>
      </w:pPr>
    </w:p>
    <w:p>
      <w:pPr>
        <w:ind w:left="1060" w:right="60" w:hanging="316"/>
        <w:spacing w:after="0" w:line="282" w:lineRule="auto"/>
        <w:tabs>
          <w:tab w:leader="none" w:pos="10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62" w:lineRule="exact"/>
        <w:rPr>
          <w:sz w:val="20"/>
          <w:szCs w:val="20"/>
          <w:color w:val="auto"/>
        </w:rPr>
      </w:pPr>
    </w:p>
    <w:p>
      <w:pPr>
        <w:ind w:left="200" w:right="60" w:firstLine="441"/>
        <w:spacing w:after="0" w:line="258" w:lineRule="auto"/>
        <w:rPr>
          <w:sz w:val="20"/>
          <w:szCs w:val="20"/>
          <w:color w:val="auto"/>
        </w:rPr>
      </w:pPr>
      <w:r>
        <w:rPr>
          <w:rFonts w:ascii="Times New Roman" w:cs="Times New Roman" w:eastAsia="Times New Roman" w:hAnsi="Times New Roman"/>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84"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85" w:lineRule="exact"/>
        <w:rPr>
          <w:sz w:val="20"/>
          <w:szCs w:val="20"/>
          <w:color w:val="auto"/>
        </w:rPr>
      </w:pPr>
    </w:p>
    <w:p>
      <w:pPr>
        <w:ind w:left="200" w:right="200" w:firstLine="441"/>
        <w:spacing w:after="0" w:line="282" w:lineRule="auto"/>
        <w:rPr>
          <w:sz w:val="20"/>
          <w:szCs w:val="20"/>
          <w:color w:val="auto"/>
        </w:rPr>
      </w:pPr>
      <w:r>
        <w:rPr>
          <w:rFonts w:ascii="Times New Roman" w:cs="Times New Roman" w:eastAsia="Times New Roman" w:hAnsi="Times New Roman"/>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Taxation of U.S. Stockholders</w:t>
      </w:r>
    </w:p>
    <w:p>
      <w:pPr>
        <w:spacing w:after="0" w:line="121"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In this regard, it is anticipated that our distributions generally will not be attributable to dividends received by us and, therefore, generally will not qualify for the reduced rates that may be applicable to qualified dividend income. Distributions generally will not be eligible for the dividends received deduction allowed to corporate stockholders. Distributions derived from our net capital gains (which generally is the excess of our net long-term capital gain over net short-term capital loss) which we have reported as capital gain dividends will be taxable to U.S. stockholders as long-term capital gain regardless of how long particular U.S. stockholders have held their shares. Distributions in excess of our current and accumulated earnings and profits first will reduce a U.S.</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200"/>
          </w:cols>
          <w:pgMar w:left="240" w:top="455" w:right="45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82" w:lineRule="auto"/>
        <w:rPr>
          <w:sz w:val="20"/>
          <w:szCs w:val="20"/>
          <w:color w:val="auto"/>
        </w:rPr>
      </w:pPr>
      <w:r>
        <w:rPr>
          <w:rFonts w:ascii="Times New Roman" w:cs="Times New Roman" w:eastAsia="Times New Roman" w:hAnsi="Times New Roman"/>
          <w:sz w:val="18"/>
          <w:szCs w:val="18"/>
          <w:color w:val="auto"/>
        </w:rPr>
        <w:t>stockholder’s adjusted tax basis in such U.S. stockholder’s common stock or preferred stock and, after the adjusted tax basis is reduced to zero, will constitute capital gains to such U.S. stockholder.</w:t>
      </w:r>
    </w:p>
    <w:p>
      <w:pPr>
        <w:spacing w:after="0" w:line="162" w:lineRule="exact"/>
        <w:rPr>
          <w:sz w:val="20"/>
          <w:szCs w:val="20"/>
          <w:color w:val="auto"/>
        </w:rPr>
      </w:pPr>
    </w:p>
    <w:p>
      <w:pPr>
        <w:jc w:val="both"/>
        <w:ind w:left="200" w:right="160" w:firstLine="441"/>
        <w:spacing w:after="0" w:line="261" w:lineRule="auto"/>
        <w:rPr>
          <w:sz w:val="20"/>
          <w:szCs w:val="20"/>
          <w:color w:val="auto"/>
        </w:rPr>
      </w:pPr>
      <w:r>
        <w:rPr>
          <w:rFonts w:ascii="Times New Roman" w:cs="Times New Roman" w:eastAsia="Times New Roman" w:hAnsi="Times New Roman"/>
          <w:sz w:val="18"/>
          <w:szCs w:val="18"/>
          <w:color w:val="auto"/>
        </w:rPr>
        <w:t>Any dividends declared by us in October, November, or December of any calendar year, payable to stockholders of record on a specified date in such a month, which are actually paid during January of the following calendar year, will be treated as if paid by us and received by such stockholders during the quarter ended December 31 of the previous calendar year. In addition, we may elect to relate any undistributed investment company taxable income or net capital gains eligible for distribution as a dividend back to our immediately prior taxable year if we:</w:t>
      </w:r>
    </w:p>
    <w:p>
      <w:pPr>
        <w:spacing w:after="0" w:line="86" w:lineRule="exact"/>
        <w:rPr>
          <w:sz w:val="20"/>
          <w:szCs w:val="20"/>
          <w:color w:val="auto"/>
        </w:rPr>
      </w:pPr>
    </w:p>
    <w:p>
      <w:pPr>
        <w:ind w:left="1060" w:right="540" w:hanging="316"/>
        <w:spacing w:after="0" w:line="282" w:lineRule="auto"/>
        <w:tabs>
          <w:tab w:leader="none" w:pos="10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such amount in the 12-month period following the close of such prior taxable year; and</w:t>
      </w:r>
    </w:p>
    <w:p>
      <w:pPr>
        <w:spacing w:after="0" w:line="130" w:lineRule="exact"/>
        <w:rPr>
          <w:rFonts w:ascii="Times New Roman" w:cs="Times New Roman" w:eastAsia="Times New Roman" w:hAnsi="Times New Roman"/>
          <w:sz w:val="18"/>
          <w:szCs w:val="18"/>
          <w:color w:val="auto"/>
        </w:rPr>
      </w:pPr>
    </w:p>
    <w:p>
      <w:pPr>
        <w:ind w:left="1060" w:right="500" w:hanging="316"/>
        <w:spacing w:after="0" w:line="282" w:lineRule="auto"/>
        <w:tabs>
          <w:tab w:leader="none" w:pos="10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 election in our U.S. federal corporate income tax return for the taxable year in which such undistributed investment company taxable income or net capital gains were recognized.</w:t>
      </w:r>
    </w:p>
    <w:p>
      <w:pPr>
        <w:spacing w:after="0" w:line="162" w:lineRule="exact"/>
        <w:rPr>
          <w:sz w:val="20"/>
          <w:szCs w:val="20"/>
          <w:color w:val="auto"/>
        </w:rPr>
      </w:pPr>
    </w:p>
    <w:p>
      <w:pPr>
        <w:ind w:left="200" w:right="360" w:firstLine="441"/>
        <w:spacing w:after="0" w:line="282" w:lineRule="auto"/>
        <w:rPr>
          <w:sz w:val="20"/>
          <w:szCs w:val="20"/>
          <w:color w:val="auto"/>
        </w:rPr>
      </w:pPr>
      <w:r>
        <w:rPr>
          <w:rFonts w:ascii="Times New Roman" w:cs="Times New Roman" w:eastAsia="Times New Roman" w:hAnsi="Times New Roman"/>
          <w:sz w:val="18"/>
          <w:szCs w:val="18"/>
          <w:color w:val="auto"/>
        </w:rPr>
        <w:t>Any such election will not alter the general rule that a U.S. stockholder will be treated as receiving a dividend in the taxable year in which the dividend is distributed, subject to the October, November, or December dividend declaration rule discussed immediately above.</w:t>
      </w:r>
    </w:p>
    <w:p>
      <w:pPr>
        <w:spacing w:after="0" w:line="162" w:lineRule="exact"/>
        <w:rPr>
          <w:sz w:val="20"/>
          <w:szCs w:val="20"/>
          <w:color w:val="auto"/>
        </w:rPr>
      </w:pPr>
    </w:p>
    <w:p>
      <w:pPr>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w:t>
      </w:r>
    </w:p>
    <w:p>
      <w:pPr>
        <w:spacing w:after="0" w:line="180" w:lineRule="exact"/>
        <w:rPr>
          <w:sz w:val="20"/>
          <w:szCs w:val="20"/>
          <w:color w:val="auto"/>
        </w:rPr>
      </w:pPr>
    </w:p>
    <w:p>
      <w:pPr>
        <w:ind w:left="200" w:firstLine="441"/>
        <w:spacing w:after="0" w:line="253" w:lineRule="auto"/>
        <w:rPr>
          <w:sz w:val="20"/>
          <w:szCs w:val="20"/>
          <w:color w:val="auto"/>
        </w:rPr>
      </w:pPr>
      <w:r>
        <w:rPr>
          <w:rFonts w:ascii="Times New Roman" w:cs="Times New Roman" w:eastAsia="Times New Roman" w:hAnsi="Times New Roman"/>
          <w:sz w:val="18"/>
          <w:szCs w:val="18"/>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 its allocable share of the tax paid on the deemed distribution by us. The amount of the deemed distribution net of such tax will be added to the U.S. stockholder’s tax basis for their common stock or preferred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89" w:lineRule="exact"/>
        <w:rPr>
          <w:sz w:val="20"/>
          <w:szCs w:val="20"/>
          <w:color w:val="auto"/>
        </w:rPr>
      </w:pPr>
    </w:p>
    <w:p>
      <w:pPr>
        <w:jc w:val="both"/>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If an investor purchases shares of our common stock or preferred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176" w:lineRule="exact"/>
        <w:rPr>
          <w:sz w:val="20"/>
          <w:szCs w:val="20"/>
          <w:color w:val="auto"/>
        </w:rPr>
      </w:pPr>
    </w:p>
    <w:p>
      <w:pPr>
        <w:ind w:left="200" w:right="20" w:firstLine="441"/>
        <w:spacing w:after="0" w:line="282" w:lineRule="auto"/>
        <w:rPr>
          <w:sz w:val="20"/>
          <w:szCs w:val="20"/>
          <w:color w:val="auto"/>
        </w:rPr>
      </w:pPr>
      <w:r>
        <w:rPr>
          <w:rFonts w:ascii="Times New Roman" w:cs="Times New Roman" w:eastAsia="Times New Roman" w:hAnsi="Times New Roman"/>
          <w:sz w:val="18"/>
          <w:szCs w:val="18"/>
          <w:color w:val="auto"/>
        </w:rPr>
        <w:t>If a U.S. stockholder sells or otherwise disposes of shares of our common stock or preferred stock, the U.S. stockholder will recognize gain or loss equal to the difference between its adjusted tax basis in the shares sold or</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220"/>
          </w:cols>
          <w:pgMar w:left="240" w:top="455" w:right="43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7" w:lineRule="auto"/>
        <w:rPr>
          <w:sz w:val="20"/>
          <w:szCs w:val="20"/>
          <w:color w:val="auto"/>
        </w:rPr>
      </w:pPr>
      <w:r>
        <w:rPr>
          <w:rFonts w:ascii="Times New Roman" w:cs="Times New Roman" w:eastAsia="Times New Roman" w:hAnsi="Times New Roman"/>
          <w:sz w:val="18"/>
          <w:szCs w:val="18"/>
          <w:color w:val="auto"/>
        </w:rPr>
        <w:t>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w:t>
      </w:r>
    </w:p>
    <w:p>
      <w:pPr>
        <w:spacing w:after="0" w:line="2" w:lineRule="exact"/>
        <w:rPr>
          <w:sz w:val="20"/>
          <w:szCs w:val="20"/>
          <w:color w:val="auto"/>
        </w:rPr>
      </w:pPr>
    </w:p>
    <w:p>
      <w:pPr>
        <w:ind w:left="200" w:right="100"/>
        <w:spacing w:after="0" w:line="255" w:lineRule="auto"/>
        <w:rPr>
          <w:sz w:val="20"/>
          <w:szCs w:val="20"/>
          <w:color w:val="auto"/>
        </w:rPr>
      </w:pPr>
      <w:r>
        <w:rPr>
          <w:rFonts w:ascii="Times New Roman" w:cs="Times New Roman" w:eastAsia="Times New Roman" w:hAnsi="Times New Roman"/>
          <w:sz w:val="18"/>
          <w:szCs w:val="18"/>
          <w:color w:val="auto"/>
        </w:rPr>
        <w:t>received) thereon. In addition, all or a portion of any loss recognized upon a disposition of shares of our common stock or preferred stock may be disallowed if other shares of our common stock or preferred stock are purchased (whether through reinvestment of distributions or otherwise) within 30 days before or after the disposition.</w:t>
      </w:r>
    </w:p>
    <w:p>
      <w:pPr>
        <w:spacing w:after="0" w:line="186" w:lineRule="exact"/>
        <w:rPr>
          <w:sz w:val="20"/>
          <w:szCs w:val="20"/>
          <w:color w:val="auto"/>
        </w:rPr>
      </w:pPr>
    </w:p>
    <w:p>
      <w:pPr>
        <w:ind w:left="200" w:right="260" w:firstLine="441"/>
        <w:spacing w:after="0" w:line="261" w:lineRule="auto"/>
        <w:rPr>
          <w:sz w:val="20"/>
          <w:szCs w:val="20"/>
          <w:color w:val="auto"/>
        </w:rPr>
      </w:pPr>
      <w:r>
        <w:rPr>
          <w:rFonts w:ascii="Times New Roman" w:cs="Times New Roman" w:eastAsia="Times New Roman" w:hAnsi="Times New Roman"/>
          <w:sz w:val="18"/>
          <w:szCs w:val="18"/>
          <w:color w:val="auto"/>
        </w:rPr>
        <w:t>We will send to each of our U.S. stockholders, as promptly as possible after the end of each calendar year, a notice detailing, on a per share and per distribution basis, the amounts of such distributions includible in such U.S. stockholder’s taxable income for such year as ordinary dividends and capital gain dividends. In addition, the federal tax status of each year’s distributions generally will be reported to the IRS. Distributions may also be subject to additional state, local and foreign taxes depending on a U.S. stockholder’s particular situation.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Under applicable U.S. Treasury regulations, if a U.S. stockholder recognizes a loss with respect to our common stock or preferred stock of</w:t>
      </w:r>
    </w:p>
    <w:p>
      <w:pPr>
        <w:spacing w:after="0" w:line="27" w:lineRule="exact"/>
        <w:rPr>
          <w:sz w:val="20"/>
          <w:szCs w:val="20"/>
          <w:color w:val="auto"/>
        </w:rPr>
      </w:pPr>
    </w:p>
    <w:p>
      <w:pPr>
        <w:ind w:left="200"/>
        <w:spacing w:after="0" w:line="252" w:lineRule="auto"/>
        <w:rPr>
          <w:sz w:val="20"/>
          <w:szCs w:val="20"/>
          <w:color w:val="auto"/>
        </w:rPr>
      </w:pPr>
      <w:r>
        <w:rPr>
          <w:rFonts w:ascii="Times New Roman" w:cs="Times New Roman" w:eastAsia="Times New Roman" w:hAnsi="Times New Roman"/>
          <w:sz w:val="18"/>
          <w:szCs w:val="18"/>
          <w:color w:val="auto"/>
        </w:rPr>
        <w:t>$2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exempted from this reporting requirement, but under current guidance, U.S. stockholders of a RIC are not exempted.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advisers to determine the applicability of these U.S. Treasury regulations in light of their individual circumstances.</w:t>
      </w:r>
    </w:p>
    <w:p>
      <w:pPr>
        <w:spacing w:after="0" w:line="189" w:lineRule="exact"/>
        <w:rPr>
          <w:sz w:val="20"/>
          <w:szCs w:val="20"/>
          <w:color w:val="auto"/>
        </w:rPr>
      </w:pPr>
    </w:p>
    <w:p>
      <w:pPr>
        <w:ind w:left="200" w:right="80" w:firstLine="441"/>
        <w:spacing w:after="0" w:line="256" w:lineRule="auto"/>
        <w:rPr>
          <w:sz w:val="20"/>
          <w:szCs w:val="20"/>
          <w:color w:val="auto"/>
        </w:rPr>
      </w:pPr>
      <w:r>
        <w:rPr>
          <w:rFonts w:ascii="Times New Roman" w:cs="Times New Roman" w:eastAsia="Times New Roman" w:hAnsi="Times New Roman"/>
          <w:sz w:val="18"/>
          <w:szCs w:val="18"/>
          <w:color w:val="auto"/>
        </w:rPr>
        <w:t>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Potential Limitation with Respect to Certain U.S. Stockholders on Deductions for Certain Fees and Expenses</w:t>
      </w:r>
    </w:p>
    <w:p>
      <w:pPr>
        <w:spacing w:after="0" w:line="121" w:lineRule="exact"/>
        <w:rPr>
          <w:sz w:val="20"/>
          <w:szCs w:val="20"/>
          <w:color w:val="auto"/>
        </w:rPr>
      </w:pPr>
    </w:p>
    <w:p>
      <w:pPr>
        <w:ind w:left="200" w:right="40" w:firstLine="441"/>
        <w:spacing w:after="0" w:line="254" w:lineRule="auto"/>
        <w:rPr>
          <w:sz w:val="20"/>
          <w:szCs w:val="20"/>
          <w:color w:val="auto"/>
        </w:rPr>
      </w:pPr>
      <w:r>
        <w:rPr>
          <w:rFonts w:ascii="Times New Roman" w:cs="Times New Roman" w:eastAsia="Times New Roman" w:hAnsi="Times New Roman"/>
          <w:sz w:val="18"/>
          <w:szCs w:val="18"/>
          <w:color w:val="auto"/>
        </w:rPr>
        <w:t>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 stockholder’s allocable share of these fees and expenses will be treated as miscellaneous itemized deductions by such U.S. stockholder. In addition, we would be required to report the relevant income and expenses, including the Management Fee, on Form 1099-DIV. Miscellaneous itemized deductions generally are not deductible by individuals, trusts or estates for taxable years beginning after December 31, 2017 and before January 1, 2026.</w:t>
      </w:r>
    </w:p>
    <w:p>
      <w:pPr>
        <w:spacing w:after="0" w:line="1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220"/>
          </w:cols>
          <w:pgMar w:left="240" w:top="456" w:right="43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Taxation of Tax-Exempt U.S. Stockholders</w:t>
      </w:r>
    </w:p>
    <w:p>
      <w:pPr>
        <w:spacing w:after="0" w:line="121" w:lineRule="exact"/>
        <w:rPr>
          <w:sz w:val="20"/>
          <w:szCs w:val="20"/>
          <w:color w:val="auto"/>
        </w:rPr>
      </w:pPr>
    </w:p>
    <w:p>
      <w:pPr>
        <w:ind w:left="200" w:right="180" w:firstLine="441"/>
        <w:spacing w:after="0" w:line="272" w:lineRule="auto"/>
        <w:rPr>
          <w:sz w:val="20"/>
          <w:szCs w:val="20"/>
          <w:color w:val="auto"/>
        </w:rPr>
      </w:pPr>
      <w:r>
        <w:rPr>
          <w:rFonts w:ascii="Times New Roman" w:cs="Times New Roman" w:eastAsia="Times New Roman" w:hAnsi="Times New Roman"/>
          <w:sz w:val="17"/>
          <w:szCs w:val="17"/>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w:t>
      </w:r>
    </w:p>
    <w:p>
      <w:pPr>
        <w:spacing w:after="0" w:line="2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Taxation of Non-U.S. Stockholders</w:t>
      </w:r>
    </w:p>
    <w:p>
      <w:pPr>
        <w:spacing w:after="0" w:line="121"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Whether an investment in the shares of our common stock or preferred stock is appropriate for a Non-U.S. stockholder will depend upon that person’s particular circumstances. An investment in the shares of our common stock or preferred stock by a Non-U.S. stockholder may have adverse tax consequences as compared to a direct investment in the assets in which we will invest. Non-U.S. stockholders should consult their tax advisors before investing in our common stock or preferred stock.</w:t>
      </w:r>
    </w:p>
    <w:p>
      <w:pPr>
        <w:spacing w:after="0" w:line="180" w:lineRule="exact"/>
        <w:rPr>
          <w:sz w:val="20"/>
          <w:szCs w:val="20"/>
          <w:color w:val="auto"/>
        </w:rPr>
      </w:pPr>
    </w:p>
    <w:p>
      <w:pPr>
        <w:ind w:left="200" w:right="140" w:firstLine="441"/>
        <w:spacing w:after="0" w:line="258" w:lineRule="auto"/>
        <w:rPr>
          <w:sz w:val="20"/>
          <w:szCs w:val="20"/>
          <w:color w:val="auto"/>
        </w:rPr>
      </w:pPr>
      <w:r>
        <w:rPr>
          <w:rFonts w:ascii="Times New Roman" w:cs="Times New Roman" w:eastAsia="Times New Roman" w:hAnsi="Times New Roman"/>
          <w:sz w:val="18"/>
          <w:szCs w:val="18"/>
          <w:color w:val="auto"/>
        </w:rPr>
        <w:t>Distributions of our investment company taxable income that we pay to a Non-U.S. stockholder will be subject to U.S. withholding tax at a 30% rate to the extent of our current or accumulated earnings and profits unless (i) such dividends qualify for the pass-through rules described below, and such stockholder could have received the underlying income free of tax; (ii) such stockholder qualifies for, and complies with the procedures for claiming, an exemption or reduced rate under an applicable income tax treaty; or (iii) such stockholder qualifies, and complies with the procedures for claiming, an exemption by reason of its status as a foreign government-related entity.</w:t>
      </w:r>
    </w:p>
    <w:p>
      <w:pPr>
        <w:spacing w:after="0" w:line="184"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88" w:lineRule="exact"/>
        <w:rPr>
          <w:sz w:val="20"/>
          <w:szCs w:val="20"/>
          <w:color w:val="auto"/>
        </w:rPr>
      </w:pPr>
    </w:p>
    <w:p>
      <w:pPr>
        <w:ind w:left="200" w:firstLine="441"/>
        <w:spacing w:after="0" w:line="253" w:lineRule="auto"/>
        <w:rPr>
          <w:sz w:val="20"/>
          <w:szCs w:val="20"/>
          <w:color w:val="auto"/>
        </w:rPr>
      </w:pPr>
      <w:r>
        <w:rPr>
          <w:rFonts w:ascii="Times New Roman" w:cs="Times New Roman" w:eastAsia="Times New Roman" w:hAnsi="Times New Roman"/>
          <w:sz w:val="18"/>
          <w:szCs w:val="18"/>
          <w:color w:val="auto"/>
        </w:rPr>
        <w:t>At the end of 2015, Congress permanently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paid in connection with our “qualified short-term capital gains” (generally, the excess of our net short-term capital gain over our net long-term capital loss for such taxable year) qualify for an exemption from U.S. withholding tax. As a result, dividends that we designate as “interest-related dividends” or “short-term capital gain dividends” generally will be exempt from U.S. withholding tax if the underlying income is U.S.-source and the Non-U.S. stockholder could have received the underlying income free of tax. To the extent dividends are paid that do not qualify for this exemption (e.g., dividends related to foreign-source income or other income not treated as qualified net interest income or qualified short-term capital gains),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their eligibility for a reduced rate or exemption as described above.</w:t>
      </w:r>
    </w:p>
    <w:p>
      <w:pPr>
        <w:spacing w:after="0" w:line="1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80"/>
          </w:cols>
          <w:pgMar w:left="240" w:top="456" w:right="47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58" w:lineRule="auto"/>
        <w:rPr>
          <w:sz w:val="20"/>
          <w:szCs w:val="20"/>
          <w:color w:val="auto"/>
        </w:rPr>
      </w:pPr>
      <w:r>
        <w:rPr>
          <w:rFonts w:ascii="Times New Roman" w:cs="Times New Roman" w:eastAsia="Times New Roman" w:hAnsi="Times New Roman"/>
          <w:sz w:val="18"/>
          <w:szCs w:val="18"/>
          <w:color w:val="auto"/>
        </w:rPr>
        <w:t>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W-8BEN-E or other applicable tax certification establishing its entitlement to the exemption or reduced rate, or otherwise establishing an exemption from backup withholding.</w:t>
      </w:r>
    </w:p>
    <w:p>
      <w:pPr>
        <w:spacing w:after="0" w:line="184" w:lineRule="exact"/>
        <w:rPr>
          <w:sz w:val="20"/>
          <w:szCs w:val="20"/>
          <w:color w:val="auto"/>
        </w:rPr>
      </w:pPr>
    </w:p>
    <w:p>
      <w:pPr>
        <w:ind w:left="200" w:right="40" w:firstLine="441"/>
        <w:spacing w:after="0" w:line="254" w:lineRule="auto"/>
        <w:rPr>
          <w:sz w:val="20"/>
          <w:szCs w:val="20"/>
          <w:color w:val="auto"/>
        </w:rPr>
      </w:pPr>
      <w:r>
        <w:rPr>
          <w:rFonts w:ascii="Times New Roman" w:cs="Times New Roman" w:eastAsia="Times New Roman" w:hAnsi="Times New Roman"/>
          <w:sz w:val="18"/>
          <w:szCs w:val="18"/>
          <w:color w:val="auto"/>
        </w:rPr>
        <w:t>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w:t>
      </w:r>
    </w:p>
    <w:p>
      <w:pPr>
        <w:spacing w:after="0" w:line="189"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In the case of distributions made by the Company, and in the case of gross proceeds from the sale or other of shares of our common stock or preferred stock paid on or after January 1, 2019, additional requirements will apply to Non-U.S. stockholders that are considered for U.S. federal income tax purposes to be a foreign financial institution or non-financial foreign entity, as well as to Non-U.S. stockholders that hold their shares through such an institution or entity. In general, an exemption from U.S. withholding tax will be available only if the foreign financial institution, under an agreement it has entered into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w:t>
      </w:r>
    </w:p>
    <w:p>
      <w:pPr>
        <w:spacing w:after="0" w:line="186" w:lineRule="exact"/>
        <w:rPr>
          <w:sz w:val="20"/>
          <w:szCs w:val="20"/>
          <w:color w:val="auto"/>
        </w:rPr>
      </w:pPr>
    </w:p>
    <w:p>
      <w:pPr>
        <w:ind w:left="200" w:right="200" w:firstLine="441"/>
        <w:spacing w:after="0" w:line="282" w:lineRule="auto"/>
        <w:rPr>
          <w:sz w:val="20"/>
          <w:szCs w:val="20"/>
          <w:color w:val="auto"/>
        </w:rPr>
      </w:pPr>
      <w:r>
        <w:rPr>
          <w:rFonts w:ascii="Times New Roman" w:cs="Times New Roman" w:eastAsia="Times New Roman" w:hAnsi="Times New Roman"/>
          <w:sz w:val="18"/>
          <w:szCs w:val="18"/>
          <w:color w:val="auto"/>
        </w:rPr>
        <w:t>A RIC is a corporation for U.S. federal income tax purposes. Under current law, a Non-U.S. stockholder will not be considered to be engaged in the conduct of a business in the United States solely by reason of its ownership in a RIC.</w:t>
      </w:r>
    </w:p>
    <w:p>
      <w:pPr>
        <w:spacing w:after="0" w:line="162" w:lineRule="exact"/>
        <w:rPr>
          <w:sz w:val="20"/>
          <w:szCs w:val="20"/>
          <w:color w:val="auto"/>
        </w:rPr>
      </w:pPr>
    </w:p>
    <w:p>
      <w:pPr>
        <w:ind w:left="200" w:right="120" w:firstLine="441"/>
        <w:spacing w:after="0" w:line="282" w:lineRule="auto"/>
        <w:rPr>
          <w:sz w:val="20"/>
          <w:szCs w:val="20"/>
          <w:color w:val="auto"/>
        </w:rPr>
      </w:pPr>
      <w:r>
        <w:rPr>
          <w:rFonts w:ascii="Times New Roman" w:cs="Times New Roman" w:eastAsia="Times New Roman" w:hAnsi="Times New Roman"/>
          <w:sz w:val="18"/>
          <w:szCs w:val="18"/>
          <w:color w:val="auto"/>
        </w:rPr>
        <w:t>Non-U.S. stockholders should consult their own tax advisors with respect to the U.S. federal income tax and withholding tax, and state, local and foreign tax consequences of an investment in the shares of our common stock or preferred stock.</w:t>
      </w:r>
    </w:p>
    <w:p>
      <w:pPr>
        <w:spacing w:after="0" w:line="162"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U.S. information reporting requirements will apply and backup withholding will not apply to dividends paid on our shares to a Non-U.S. stockholder, provided the Non-U.S. stockholder provides to the applicable withholding agent a Form W-8BEN-E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w:t>
      </w:r>
    </w:p>
    <w:p>
      <w:pPr>
        <w:spacing w:after="0" w:line="11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220"/>
          </w:cols>
          <w:pgMar w:left="240" w:top="455" w:right="43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18"/>
          <w:szCs w:val="18"/>
          <w:color w:val="auto"/>
        </w:rPr>
        <w:t>documentary evidence in its records that the holder is a Non-U.S. stockholder and certain conditions are met, or 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w:t>
      </w:r>
    </w:p>
    <w:p>
      <w:pPr>
        <w:spacing w:after="0" w:line="1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40"/>
          </w:cols>
          <w:pgMar w:left="240" w:top="455" w:right="51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OUR SECURITIES</w:t>
      </w:r>
    </w:p>
    <w:p>
      <w:pPr>
        <w:spacing w:after="0" w:line="229" w:lineRule="exact"/>
        <w:rPr>
          <w:sz w:val="20"/>
          <w:szCs w:val="20"/>
          <w:color w:val="auto"/>
        </w:rPr>
      </w:pPr>
    </w:p>
    <w:p>
      <w:pPr>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This prospectus contains a summary of our common stock, preferred stock, subscription rights, debt securities and warrants. These summaries are not meant to be a complete description of each security. However, this prospectus and the accompanying prospectus supplement will describe the material terms and conditions for each security.</w:t>
      </w:r>
    </w:p>
    <w:p>
      <w:pPr>
        <w:spacing w:after="0" w:line="3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OUR CAPITAL STOCK</w:t>
      </w:r>
    </w:p>
    <w:p>
      <w:pPr>
        <w:spacing w:after="0" w:line="229" w:lineRule="exact"/>
        <w:rPr>
          <w:sz w:val="20"/>
          <w:szCs w:val="20"/>
          <w:color w:val="auto"/>
        </w:rPr>
      </w:pPr>
    </w:p>
    <w:p>
      <w:pPr>
        <w:ind w:left="200" w:right="300" w:firstLine="441"/>
        <w:spacing w:after="0" w:line="266" w:lineRule="auto"/>
        <w:rPr>
          <w:sz w:val="20"/>
          <w:szCs w:val="20"/>
          <w:color w:val="auto"/>
        </w:rPr>
      </w:pPr>
      <w:r>
        <w:rPr>
          <w:rFonts w:ascii="Times New Roman" w:cs="Times New Roman" w:eastAsia="Times New Roman" w:hAnsi="Times New Roman"/>
          <w:sz w:val="18"/>
          <w:szCs w:val="18"/>
          <w:color w:val="auto"/>
        </w:rPr>
        <w:t>The following description is based on relevant portions of the DGCL and on our certificate of incorporation and bylaws. This summary is not necessarily complete, and we refer you to the DGCL and our certificate of incorporation and bylaws for a more detailed description of the provisions summarized below.</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121" w:lineRule="exact"/>
        <w:rPr>
          <w:sz w:val="20"/>
          <w:szCs w:val="20"/>
          <w:color w:val="auto"/>
        </w:rPr>
      </w:pPr>
    </w:p>
    <w:p>
      <w:pPr>
        <w:jc w:val="both"/>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Under the terms of our certificate of incorporation, which was adopted on March 8, 2011 and amended on March 10, 2014, our authorized capital stock consists of 400,000,000 shares of common stock, par value $0.01 per share, of which 64,150,496 shares are outstanding as of March 26, 2018, and 100,000,000 shares of preferred stock, par value $0.01 per share, of which no shares are outstanding as of March 26, 2018.</w:t>
      </w:r>
    </w:p>
    <w:p>
      <w:pPr>
        <w:spacing w:after="0" w:line="176" w:lineRule="exact"/>
        <w:rPr>
          <w:sz w:val="20"/>
          <w:szCs w:val="20"/>
          <w:color w:val="auto"/>
        </w:rPr>
      </w:pPr>
    </w:p>
    <w:p>
      <w:pPr>
        <w:ind w:left="200" w:right="160" w:firstLine="441"/>
        <w:spacing w:after="0" w:line="261" w:lineRule="auto"/>
        <w:rPr>
          <w:sz w:val="20"/>
          <w:szCs w:val="20"/>
          <w:color w:val="auto"/>
        </w:rPr>
      </w:pPr>
      <w:r>
        <w:rPr>
          <w:rFonts w:ascii="Times New Roman" w:cs="Times New Roman" w:eastAsia="Times New Roman" w:hAnsi="Times New Roman"/>
          <w:sz w:val="18"/>
          <w:szCs w:val="18"/>
          <w:color w:val="auto"/>
        </w:rPr>
        <w:t>On December 3, 2013, our Board approved a stock split in the form of a stock dividend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w:t>
      </w:r>
    </w:p>
    <w:p>
      <w:pPr>
        <w:spacing w:after="0" w:line="180" w:lineRule="exact"/>
        <w:rPr>
          <w:sz w:val="20"/>
          <w:szCs w:val="20"/>
          <w:color w:val="auto"/>
        </w:rPr>
      </w:pPr>
    </w:p>
    <w:p>
      <w:pPr>
        <w:jc w:val="both"/>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presents our outstanding classes of securities as of March 26, 2018:</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Held by Us or for Our</w:t>
            </w:r>
          </w:p>
        </w:tc>
        <w:tc>
          <w:tcPr>
            <w:tcW w:w="3220" w:type="dxa"/>
            <w:vAlign w:val="bottom"/>
            <w:gridSpan w:val="3"/>
          </w:tcPr>
          <w:p>
            <w:pPr>
              <w:jc w:val="center"/>
              <w:ind w:left="908"/>
              <w:spacing w:after="0"/>
              <w:rPr>
                <w:sz w:val="20"/>
                <w:szCs w:val="20"/>
                <w:color w:val="auto"/>
              </w:rPr>
            </w:pPr>
            <w:r>
              <w:rPr>
                <w:rFonts w:ascii="Times New Roman" w:cs="Times New Roman" w:eastAsia="Times New Roman" w:hAnsi="Times New Roman"/>
                <w:sz w:val="14"/>
                <w:szCs w:val="14"/>
                <w:b w:val="1"/>
                <w:bCs w:val="1"/>
                <w:color w:val="auto"/>
              </w:rPr>
              <w:t>Amount Outstanding Exclusive of</w:t>
            </w:r>
          </w:p>
        </w:tc>
        <w:tc>
          <w:tcPr>
            <w:tcW w:w="0" w:type="dxa"/>
            <w:vAlign w:val="bottom"/>
          </w:tcPr>
          <w:p>
            <w:pPr>
              <w:spacing w:after="0"/>
              <w:rPr>
                <w:sz w:val="1"/>
                <w:szCs w:val="1"/>
                <w:color w:val="auto"/>
              </w:rPr>
            </w:pPr>
          </w:p>
        </w:tc>
      </w:tr>
      <w:tr>
        <w:trPr>
          <w:trHeight w:val="149"/>
        </w:trPr>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2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Authorized</w:t>
            </w:r>
          </w:p>
        </w:tc>
        <w:tc>
          <w:tcPr>
            <w:tcW w:w="2980" w:type="dxa"/>
            <w:vAlign w:val="bottom"/>
            <w:gridSpan w:val="2"/>
            <w:vMerge w:val="continue"/>
          </w:tcPr>
          <w:p>
            <w:pPr>
              <w:spacing w:after="0"/>
              <w:rPr>
                <w:sz w:val="12"/>
                <w:szCs w:val="12"/>
                <w:color w:val="auto"/>
              </w:rPr>
            </w:pPr>
          </w:p>
        </w:tc>
        <w:tc>
          <w:tcPr>
            <w:tcW w:w="1060" w:type="dxa"/>
            <w:vAlign w:val="bottom"/>
          </w:tcPr>
          <w:p>
            <w:pPr>
              <w:spacing w:after="0"/>
              <w:rPr>
                <w:sz w:val="12"/>
                <w:szCs w:val="12"/>
                <w:color w:val="auto"/>
              </w:rPr>
            </w:pPr>
          </w:p>
        </w:tc>
        <w:tc>
          <w:tcPr>
            <w:tcW w:w="21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Amount Held by Us or for Our</w:t>
            </w:r>
          </w:p>
        </w:tc>
        <w:tc>
          <w:tcPr>
            <w:tcW w:w="0" w:type="dxa"/>
            <w:vAlign w:val="bottom"/>
          </w:tcPr>
          <w:p>
            <w:pPr>
              <w:spacing w:after="0"/>
              <w:rPr>
                <w:sz w:val="1"/>
                <w:szCs w:val="1"/>
                <w:color w:val="auto"/>
              </w:rPr>
            </w:pPr>
          </w:p>
        </w:tc>
      </w:tr>
      <w:tr>
        <w:trPr>
          <w:trHeight w:val="193"/>
        </w:trPr>
        <w:tc>
          <w:tcPr>
            <w:tcW w:w="2360" w:type="dxa"/>
            <w:vAlign w:val="bottom"/>
            <w:gridSpan w:val="3"/>
            <w:vMerge w:val="continue"/>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1080" w:type="dxa"/>
            <w:vAlign w:val="bottom"/>
          </w:tcPr>
          <w:p>
            <w:pPr>
              <w:spacing w:after="0"/>
              <w:rPr>
                <w:sz w:val="16"/>
                <w:szCs w:val="16"/>
                <w:color w:val="auto"/>
              </w:rPr>
            </w:pPr>
          </w:p>
        </w:tc>
        <w:tc>
          <w:tcPr>
            <w:tcW w:w="190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1060" w:type="dxa"/>
            <w:vAlign w:val="bottom"/>
          </w:tcPr>
          <w:p>
            <w:pPr>
              <w:spacing w:after="0"/>
              <w:rPr>
                <w:sz w:val="16"/>
                <w:szCs w:val="16"/>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8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Common</w:t>
            </w:r>
          </w:p>
        </w:tc>
        <w:tc>
          <w:tcPr>
            <w:tcW w:w="156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Stock</w:t>
            </w:r>
          </w:p>
        </w:tc>
        <w:tc>
          <w:tcPr>
            <w:tcW w:w="126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400,000,000</w:t>
            </w:r>
          </w:p>
        </w:tc>
        <w:tc>
          <w:tcPr>
            <w:tcW w:w="108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89,080</w:t>
            </w:r>
          </w:p>
        </w:tc>
        <w:tc>
          <w:tcPr>
            <w:tcW w:w="1060" w:type="dxa"/>
            <w:vAlign w:val="bottom"/>
            <w:tcBorders>
              <w:top w:val="single" w:sz="8" w:color="CCEEFF"/>
            </w:tcBorders>
            <w:shd w:val="clear" w:color="auto" w:fill="CCEEFF"/>
          </w:tcPr>
          <w:p>
            <w:pPr>
              <w:spacing w:after="0"/>
              <w:rPr>
                <w:sz w:val="16"/>
                <w:szCs w:val="16"/>
                <w:color w:val="auto"/>
              </w:rPr>
            </w:pPr>
          </w:p>
        </w:tc>
        <w:tc>
          <w:tcPr>
            <w:tcW w:w="21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64,150,496</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0" w:right="120" w:firstLine="441"/>
        <w:spacing w:after="0" w:line="258" w:lineRule="auto"/>
        <w:rPr>
          <w:sz w:val="20"/>
          <w:szCs w:val="20"/>
          <w:color w:val="auto"/>
        </w:rPr>
      </w:pPr>
      <w:r>
        <w:rPr>
          <w:rFonts w:ascii="Times New Roman" w:cs="Times New Roman" w:eastAsia="Times New Roman" w:hAnsi="Times New Roman"/>
          <w:sz w:val="18"/>
          <w:szCs w:val="18"/>
          <w:color w:val="auto"/>
        </w:rPr>
        <w:t>Prior to our IPO, we conducted private offerings of our common stock to investors in reliance on the exemptions from the registration requirements of the Securities Act. At the closing of each private offering, investors made capital commitments to purchase our common stock from time to time at net asset value. On January 31, 2013, we reached a $1.5 billion cap on private offering commitments agreed to with our pre-IPO investors, which included a $100 million capital commitment by our Adviser. Our pre-IPO investors’ obligations to purchase additional shares from the undrawn portion of their capital commitments terminated upon the completion of the IPO.</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200" w:right="180" w:firstLine="441"/>
        <w:spacing w:after="0" w:line="266" w:lineRule="auto"/>
        <w:rPr>
          <w:sz w:val="20"/>
          <w:szCs w:val="20"/>
          <w:color w:val="auto"/>
        </w:rPr>
      </w:pPr>
      <w:r>
        <w:rPr>
          <w:rFonts w:ascii="Times New Roman" w:cs="Times New Roman" w:eastAsia="Times New Roman" w:hAnsi="Times New Roman"/>
          <w:sz w:val="18"/>
          <w:szCs w:val="18"/>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240"/>
          </w:cols>
          <w:pgMar w:left="240" w:top="455" w:right="41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6" w:lineRule="auto"/>
        <w:rPr>
          <w:sz w:val="20"/>
          <w:szCs w:val="20"/>
          <w:color w:val="auto"/>
        </w:rPr>
      </w:pPr>
      <w:r>
        <w:rPr>
          <w:rFonts w:ascii="Times New Roman" w:cs="Times New Roman" w:eastAsia="Times New Roman" w:hAnsi="Times New Roman"/>
          <w:sz w:val="18"/>
          <w:szCs w:val="18"/>
          <w:color w:val="auto"/>
        </w:rPr>
        <w:t>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200" w:right="620" w:firstLine="441"/>
        <w:spacing w:after="0" w:line="282" w:lineRule="auto"/>
        <w:rPr>
          <w:sz w:val="20"/>
          <w:szCs w:val="20"/>
          <w:color w:val="auto"/>
        </w:rPr>
      </w:pPr>
      <w:r>
        <w:rPr>
          <w:rFonts w:ascii="Times New Roman" w:cs="Times New Roman" w:eastAsia="Times New Roman" w:hAnsi="Times New Roman"/>
          <w:sz w:val="18"/>
          <w:szCs w:val="18"/>
          <w:color w:val="auto"/>
        </w:rPr>
        <w:t>Under the terms of our certificate of incorporation, our Board is authorized to issue shares of preferred stock in one or more series without stockholder approval. See “Description of Our Preferred Stock.”</w:t>
      </w:r>
    </w:p>
    <w:p>
      <w:pPr>
        <w:spacing w:after="0" w:line="162"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certification of incorporation limits our directors’ liability to the fullest extent permitted under Delaware corporate law and the 1940 Act.</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Specifically, our directors will not be personally liable to us or our stockholders for any breach of fiduciary duty as a director, except for any liability:</w:t>
      </w:r>
    </w:p>
    <w:p>
      <w:pPr>
        <w:spacing w:after="0" w:line="112" w:lineRule="exact"/>
        <w:rPr>
          <w:sz w:val="20"/>
          <w:szCs w:val="20"/>
          <w:color w:val="auto"/>
        </w:rPr>
      </w:pPr>
    </w:p>
    <w:p>
      <w:pPr>
        <w:ind w:left="1060" w:hanging="424"/>
        <w:spacing w:after="0"/>
        <w:tabs>
          <w:tab w:leader="none" w:pos="10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us or our stockholders,</w:t>
      </w:r>
    </w:p>
    <w:p>
      <w:pPr>
        <w:spacing w:after="0" w:line="130" w:lineRule="exact"/>
        <w:rPr>
          <w:rFonts w:ascii="Times New Roman" w:cs="Times New Roman" w:eastAsia="Times New Roman" w:hAnsi="Times New Roman"/>
          <w:sz w:val="18"/>
          <w:szCs w:val="18"/>
          <w:color w:val="auto"/>
        </w:rPr>
      </w:pPr>
    </w:p>
    <w:p>
      <w:pPr>
        <w:ind w:left="1060" w:right="360" w:hanging="424"/>
        <w:spacing w:after="0" w:line="282" w:lineRule="auto"/>
        <w:tabs>
          <w:tab w:leader="none" w:pos="10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willful misconduct, gross negligence, bad faith, reckless disregard or a knowing violation of law,</w:t>
      </w:r>
    </w:p>
    <w:p>
      <w:pPr>
        <w:spacing w:after="0" w:line="67"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which relates to unlawful payment of dividends or unlawful stock purchases or redemptions, or</w:t>
      </w:r>
    </w:p>
    <w:p>
      <w:pPr>
        <w:spacing w:after="0" w:line="130" w:lineRule="exact"/>
        <w:rPr>
          <w:rFonts w:ascii="Times New Roman" w:cs="Times New Roman" w:eastAsia="Times New Roman" w:hAnsi="Times New Roman"/>
          <w:sz w:val="18"/>
          <w:szCs w:val="18"/>
          <w:color w:val="auto"/>
        </w:rPr>
      </w:pPr>
    </w:p>
    <w:p>
      <w:pPr>
        <w:ind w:left="1060" w:hanging="424"/>
        <w:spacing w:after="0"/>
        <w:tabs>
          <w:tab w:leader="none" w:pos="10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225"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If the DGCL is amended to permit further elimination or limitation of the personal liability of directors, then the liability of our directors will be eliminated or limited to the fullest extent permitted by the DGCL. So long as we are registered or regulated under the 1940 Act, any limitation of liability of our directors and officers as described above is limited to the extent prohibited by the 1940 Act or by any valid rule, regulation or order of the SEC.</w:t>
      </w:r>
    </w:p>
    <w:p>
      <w:pPr>
        <w:spacing w:after="0" w:line="180" w:lineRule="exact"/>
        <w:rPr>
          <w:sz w:val="20"/>
          <w:szCs w:val="20"/>
          <w:color w:val="auto"/>
        </w:rPr>
      </w:pPr>
    </w:p>
    <w:p>
      <w:pPr>
        <w:ind w:left="200" w:right="100" w:firstLine="441"/>
        <w:spacing w:after="0" w:line="255" w:lineRule="auto"/>
        <w:rPr>
          <w:sz w:val="20"/>
          <w:szCs w:val="20"/>
          <w:color w:val="auto"/>
        </w:rPr>
      </w:pPr>
      <w:r>
        <w:rPr>
          <w:rFonts w:ascii="Times New Roman" w:cs="Times New Roman" w:eastAsia="Times New Roman" w:hAnsi="Times New Roman"/>
          <w:sz w:val="18"/>
          <w:szCs w:val="18"/>
          <w:color w:val="auto"/>
        </w:rPr>
        <w:t>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w:t>
      </w:r>
    </w:p>
    <w:p>
      <w:pPr>
        <w:spacing w:after="0" w:line="11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220"/>
          </w:cols>
          <w:pgMar w:left="240" w:top="456" w:right="43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80" w:lineRule="exact"/>
        <w:rPr>
          <w:sz w:val="20"/>
          <w:szCs w:val="20"/>
          <w:color w:val="auto"/>
        </w:rPr>
      </w:pPr>
    </w:p>
    <w:p>
      <w:pPr>
        <w:jc w:val="both"/>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w:t>
      </w:r>
    </w:p>
    <w:p>
      <w:pPr>
        <w:spacing w:after="0" w:line="176" w:lineRule="exact"/>
        <w:rPr>
          <w:sz w:val="20"/>
          <w:szCs w:val="20"/>
          <w:color w:val="auto"/>
        </w:rPr>
      </w:pPr>
    </w:p>
    <w:p>
      <w:pPr>
        <w:ind w:left="200" w:right="200" w:firstLine="441"/>
        <w:spacing w:after="0" w:line="258" w:lineRule="auto"/>
        <w:rPr>
          <w:sz w:val="20"/>
          <w:szCs w:val="20"/>
          <w:color w:val="auto"/>
        </w:rPr>
      </w:pPr>
      <w:r>
        <w:rPr>
          <w:rFonts w:ascii="Times New Roman" w:cs="Times New Roman" w:eastAsia="Times New Roman" w:hAnsi="Times New Roman"/>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the repeal or modification with respect to any acts or omissions occurring prior to the repeal or modification.</w:t>
      </w:r>
    </w:p>
    <w:p>
      <w:pPr>
        <w:spacing w:after="0" w:line="184" w:lineRule="exact"/>
        <w:rPr>
          <w:sz w:val="20"/>
          <w:szCs w:val="20"/>
          <w:color w:val="auto"/>
        </w:rPr>
      </w:pPr>
    </w:p>
    <w:p>
      <w:pPr>
        <w:ind w:left="200" w:right="640" w:firstLine="441"/>
        <w:spacing w:after="0" w:line="282" w:lineRule="auto"/>
        <w:rPr>
          <w:sz w:val="20"/>
          <w:szCs w:val="20"/>
          <w:color w:val="auto"/>
        </w:rPr>
      </w:pPr>
      <w:r>
        <w:rPr>
          <w:rFonts w:ascii="Times New Roman" w:cs="Times New Roman" w:eastAsia="Times New Roman" w:hAnsi="Times New Roman"/>
          <w:sz w:val="18"/>
          <w:szCs w:val="18"/>
          <w:color w:val="auto"/>
        </w:rPr>
        <w:t>Under the Investment Advisory Agreement, we have, to the extent permitted by applicable law, indemnified the Adviser and certain of its affiliates, as described under “Management and Other Agreements—Indemnification.”</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21"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185"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certificate of incorporation and bylaws provide that:</w:t>
      </w:r>
    </w:p>
    <w:p>
      <w:pPr>
        <w:spacing w:after="0" w:line="131" w:lineRule="exact"/>
        <w:rPr>
          <w:sz w:val="20"/>
          <w:szCs w:val="20"/>
          <w:color w:val="auto"/>
        </w:rPr>
      </w:pPr>
    </w:p>
    <w:p>
      <w:pPr>
        <w:ind w:left="1060" w:hanging="316"/>
        <w:spacing w:after="0" w:line="282" w:lineRule="auto"/>
        <w:tabs>
          <w:tab w:leader="none" w:pos="10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 divided into three classes, as nearly equal in size as possible, with staggered three-year terms (and the number of directors shall not be fewer than four or greater than nine);</w:t>
      </w:r>
    </w:p>
    <w:p>
      <w:pPr>
        <w:spacing w:after="0" w:line="67" w:lineRule="exact"/>
        <w:rPr>
          <w:rFonts w:ascii="Times New Roman" w:cs="Times New Roman" w:eastAsia="Times New Roman" w:hAnsi="Times New Roman"/>
          <w:sz w:val="18"/>
          <w:szCs w:val="18"/>
          <w:color w:val="auto"/>
        </w:rPr>
      </w:pPr>
    </w:p>
    <w:p>
      <w:pPr>
        <w:ind w:left="1060" w:right="160" w:hanging="316"/>
        <w:spacing w:after="0" w:line="282" w:lineRule="auto"/>
        <w:tabs>
          <w:tab w:leader="none" w:pos="10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200"/>
          </w:cols>
          <w:pgMar w:left="240" w:top="456" w:right="45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line="282" w:lineRule="auto"/>
        <w:tabs>
          <w:tab w:leader="none" w:pos="10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w:t>
      </w:r>
    </w:p>
    <w:p>
      <w:pPr>
        <w:spacing w:after="0" w:line="162" w:lineRule="exact"/>
        <w:rPr>
          <w:sz w:val="20"/>
          <w:szCs w:val="20"/>
          <w:color w:val="auto"/>
        </w:rPr>
      </w:pPr>
    </w:p>
    <w:p>
      <w:pPr>
        <w:ind w:left="200" w:right="180" w:firstLine="441"/>
        <w:spacing w:after="0" w:line="266" w:lineRule="auto"/>
        <w:rPr>
          <w:sz w:val="20"/>
          <w:szCs w:val="20"/>
          <w:color w:val="auto"/>
        </w:rPr>
      </w:pPr>
      <w:r>
        <w:rPr>
          <w:rFonts w:ascii="Times New Roman" w:cs="Times New Roman" w:eastAsia="Times New Roman" w:hAnsi="Times New Roman"/>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bylaws also provide that:</w:t>
      </w:r>
    </w:p>
    <w:p>
      <w:pPr>
        <w:spacing w:after="0" w:line="131" w:lineRule="exact"/>
        <w:rPr>
          <w:sz w:val="20"/>
          <w:szCs w:val="20"/>
          <w:color w:val="auto"/>
        </w:rPr>
      </w:pPr>
    </w:p>
    <w:p>
      <w:pPr>
        <w:ind w:left="1060" w:right="100" w:hanging="316"/>
        <w:spacing w:after="0" w:line="282" w:lineRule="auto"/>
        <w:tabs>
          <w:tab w:leader="none" w:pos="10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required or permitted to be taken by the stockholders at an annual meeting or special meeting of stockholders may only be taken if it is properly brought before such meeting; and</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the stockholders may only be called by our Board, Chairman, or a Chief Executive Officer.</w:t>
      </w:r>
    </w:p>
    <w:p>
      <w:pPr>
        <w:spacing w:after="0" w:line="225" w:lineRule="exact"/>
        <w:rPr>
          <w:sz w:val="20"/>
          <w:szCs w:val="20"/>
          <w:color w:val="auto"/>
        </w:rPr>
      </w:pPr>
    </w:p>
    <w:p>
      <w:pPr>
        <w:ind w:left="200" w:right="80" w:firstLine="441"/>
        <w:spacing w:after="0" w:line="254" w:lineRule="auto"/>
        <w:rPr>
          <w:sz w:val="20"/>
          <w:szCs w:val="20"/>
          <w:color w:val="auto"/>
        </w:rPr>
      </w:pPr>
      <w:r>
        <w:rPr>
          <w:rFonts w:ascii="Times New Roman" w:cs="Times New Roman" w:eastAsia="Times New Roman" w:hAnsi="Times New Roman"/>
          <w:sz w:val="18"/>
          <w:szCs w:val="18"/>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89"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84" w:lineRule="exact"/>
        <w:rPr>
          <w:sz w:val="20"/>
          <w:szCs w:val="20"/>
          <w:color w:val="auto"/>
        </w:rPr>
      </w:pPr>
    </w:p>
    <w:p>
      <w:pPr>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76" w:lineRule="exact"/>
        <w:rPr>
          <w:sz w:val="20"/>
          <w:szCs w:val="20"/>
          <w:color w:val="auto"/>
        </w:rPr>
      </w:pPr>
    </w:p>
    <w:p>
      <w:pPr>
        <w:ind w:left="200" w:right="120" w:firstLine="441"/>
        <w:spacing w:after="0" w:line="282" w:lineRule="auto"/>
        <w:rPr>
          <w:sz w:val="20"/>
          <w:szCs w:val="20"/>
          <w:color w:val="auto"/>
        </w:rPr>
      </w:pPr>
      <w:r>
        <w:rPr>
          <w:rFonts w:ascii="Times New Roman" w:cs="Times New Roman" w:eastAsia="Times New Roman" w:hAnsi="Times New Roman"/>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62" w:lineRule="exact"/>
        <w:rPr>
          <w:sz w:val="20"/>
          <w:szCs w:val="20"/>
          <w:color w:val="auto"/>
        </w:rPr>
      </w:pPr>
    </w:p>
    <w:p>
      <w:pPr>
        <w:ind w:left="200" w:right="80" w:firstLine="441"/>
        <w:spacing w:after="0" w:line="258" w:lineRule="auto"/>
        <w:rPr>
          <w:sz w:val="20"/>
          <w:szCs w:val="20"/>
          <w:color w:val="auto"/>
        </w:rPr>
      </w:pPr>
      <w:r>
        <w:rPr>
          <w:rFonts w:ascii="Times New Roman" w:cs="Times New Roman" w:eastAsia="Times New Roman" w:hAnsi="Times New Roman"/>
          <w:sz w:val="18"/>
          <w:szCs w:val="18"/>
          <w:color w:val="auto"/>
        </w:rPr>
        <w:t>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 these provisions, a 10% or greater holder of our outstanding common stock, or a principal stockholder, refers to</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200"/>
          </w:cols>
          <w:pgMar w:left="240" w:top="456" w:right="45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320"/>
        <w:spacing w:after="0" w:line="282" w:lineRule="auto"/>
        <w:rPr>
          <w:sz w:val="20"/>
          <w:szCs w:val="20"/>
          <w:color w:val="auto"/>
        </w:rPr>
      </w:pPr>
      <w:r>
        <w:rPr>
          <w:rFonts w:ascii="Times New Roman" w:cs="Times New Roman" w:eastAsia="Times New Roman" w:hAnsi="Times New Roman"/>
          <w:sz w:val="18"/>
          <w:szCs w:val="18"/>
          <w:color w:val="auto"/>
        </w:rPr>
        <w:t>any person who, whether directly or indirectly and whether alone or together with its affiliates and associates, beneficially owns 10% or more of the outstanding shares of our common stock.</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10% holder transactions subject to these special approval requirements are:</w:t>
      </w:r>
    </w:p>
    <w:p>
      <w:pPr>
        <w:spacing w:after="0" w:line="131" w:lineRule="exact"/>
        <w:rPr>
          <w:sz w:val="20"/>
          <w:szCs w:val="20"/>
          <w:color w:val="auto"/>
        </w:rPr>
      </w:pPr>
    </w:p>
    <w:p>
      <w:pPr>
        <w:ind w:left="1060" w:hanging="316"/>
        <w:spacing w:after="0"/>
        <w:tabs>
          <w:tab w:leader="none" w:pos="10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us or any subsidiary of ours with or into any principal stockholder;</w:t>
      </w:r>
    </w:p>
    <w:p>
      <w:pPr>
        <w:spacing w:after="0" w:line="130" w:lineRule="exact"/>
        <w:rPr>
          <w:rFonts w:ascii="Times New Roman" w:cs="Times New Roman" w:eastAsia="Times New Roman" w:hAnsi="Times New Roman"/>
          <w:sz w:val="18"/>
          <w:szCs w:val="18"/>
          <w:color w:val="auto"/>
        </w:rPr>
      </w:pPr>
    </w:p>
    <w:p>
      <w:pPr>
        <w:ind w:left="1060" w:right="180" w:hanging="316"/>
        <w:spacing w:after="0" w:line="266" w:lineRule="auto"/>
        <w:tabs>
          <w:tab w:leader="none" w:pos="10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w:t>
      </w:r>
    </w:p>
    <w:p>
      <w:pPr>
        <w:spacing w:after="0" w:line="81" w:lineRule="exact"/>
        <w:rPr>
          <w:rFonts w:ascii="Times New Roman" w:cs="Times New Roman" w:eastAsia="Times New Roman" w:hAnsi="Times New Roman"/>
          <w:sz w:val="18"/>
          <w:szCs w:val="18"/>
          <w:color w:val="auto"/>
        </w:rPr>
      </w:pPr>
    </w:p>
    <w:p>
      <w:pPr>
        <w:ind w:left="1060" w:right="120" w:hanging="316"/>
        <w:spacing w:after="0" w:line="266" w:lineRule="auto"/>
        <w:tabs>
          <w:tab w:leader="none" w:pos="10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81" w:lineRule="exact"/>
        <w:rPr>
          <w:rFonts w:ascii="Times New Roman" w:cs="Times New Roman" w:eastAsia="Times New Roman" w:hAnsi="Times New Roman"/>
          <w:sz w:val="18"/>
          <w:szCs w:val="18"/>
          <w:color w:val="auto"/>
        </w:rPr>
      </w:pPr>
    </w:p>
    <w:p>
      <w:pPr>
        <w:jc w:val="both"/>
        <w:ind w:left="1060" w:right="60" w:hanging="316"/>
        <w:spacing w:after="0" w:line="266" w:lineRule="auto"/>
        <w:tabs>
          <w:tab w:leader="none" w:pos="10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76" w:lineRule="exact"/>
        <w:rPr>
          <w:sz w:val="20"/>
          <w:szCs w:val="20"/>
          <w:color w:val="auto"/>
        </w:rPr>
      </w:pPr>
    </w:p>
    <w:p>
      <w:pPr>
        <w:ind w:left="200" w:firstLine="441"/>
        <w:spacing w:after="0" w:line="253" w:lineRule="auto"/>
        <w:rPr>
          <w:sz w:val="20"/>
          <w:szCs w:val="20"/>
          <w:color w:val="auto"/>
        </w:rPr>
      </w:pPr>
      <w:r>
        <w:rPr>
          <w:rFonts w:ascii="Times New Roman" w:cs="Times New Roman" w:eastAsia="Times New Roman" w:hAnsi="Times New Roman"/>
          <w:sz w:val="18"/>
          <w:szCs w:val="18"/>
          <w:color w:val="auto"/>
        </w:rPr>
        <w:t>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1940 Act defines “a majority of the outstanding voting securities” as the lesser of:</w:t>
      </w:r>
    </w:p>
    <w:p>
      <w:pPr>
        <w:spacing w:after="0" w:line="131" w:lineRule="exact"/>
        <w:rPr>
          <w:sz w:val="20"/>
          <w:szCs w:val="20"/>
          <w:color w:val="auto"/>
        </w:rPr>
      </w:pPr>
    </w:p>
    <w:p>
      <w:pPr>
        <w:ind w:left="1060" w:right="160" w:hanging="316"/>
        <w:spacing w:after="0" w:line="282" w:lineRule="auto"/>
        <w:tabs>
          <w:tab w:leader="none" w:pos="10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or more of the company’s voting stock present at a meeting if more than 50% of the outstanding voting securities of the company are present or represented by proxy; and</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outstanding voting securities of the company.</w:t>
      </w:r>
    </w:p>
    <w:p>
      <w:pPr>
        <w:spacing w:after="0" w:line="225"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180" w:lineRule="exact"/>
        <w:rPr>
          <w:sz w:val="20"/>
          <w:szCs w:val="20"/>
          <w:color w:val="auto"/>
        </w:rPr>
      </w:pPr>
    </w:p>
    <w:p>
      <w:pPr>
        <w:ind w:left="200" w:right="480" w:firstLine="441"/>
        <w:spacing w:after="0" w:line="282" w:lineRule="auto"/>
        <w:rPr>
          <w:sz w:val="20"/>
          <w:szCs w:val="20"/>
          <w:color w:val="auto"/>
        </w:rPr>
      </w:pPr>
      <w:r>
        <w:rPr>
          <w:rFonts w:ascii="Times New Roman" w:cs="Times New Roman" w:eastAsia="Times New Roman" w:hAnsi="Times New Roman"/>
          <w:sz w:val="18"/>
          <w:szCs w:val="18"/>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80"/>
          </w:cols>
          <w:pgMar w:left="240" w:top="455" w:right="47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DESCRIPTION OF OUR PREFERRED STOCK</w:t>
      </w:r>
    </w:p>
    <w:p>
      <w:pPr>
        <w:spacing w:after="0" w:line="229" w:lineRule="exact"/>
        <w:rPr>
          <w:sz w:val="20"/>
          <w:szCs w:val="20"/>
          <w:color w:val="auto"/>
        </w:rPr>
      </w:pPr>
    </w:p>
    <w:p>
      <w:pPr>
        <w:ind w:left="200" w:right="100" w:firstLine="441"/>
        <w:spacing w:after="0" w:line="274" w:lineRule="auto"/>
        <w:rPr>
          <w:sz w:val="20"/>
          <w:szCs w:val="20"/>
          <w:color w:val="auto"/>
        </w:rPr>
      </w:pPr>
      <w:r>
        <w:rPr>
          <w:rFonts w:ascii="Times New Roman" w:cs="Times New Roman" w:eastAsia="Times New Roman" w:hAnsi="Times New Roman"/>
          <w:sz w:val="17"/>
          <w:szCs w:val="17"/>
          <w:color w:val="auto"/>
        </w:rPr>
        <w:t>In addition to shares of common stock, we have 100,000,000 shares of preferred stock authorized under our certificate of incorporation, par value $0.01 per share, of which no shares are currently outstanding.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Delaware law and by our certificate of incorporation to set the terms,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w:t>
      </w:r>
    </w:p>
    <w:p>
      <w:pPr>
        <w:spacing w:after="0" w:line="174" w:lineRule="exact"/>
        <w:rPr>
          <w:sz w:val="20"/>
          <w:szCs w:val="20"/>
          <w:color w:val="auto"/>
        </w:rPr>
      </w:pPr>
    </w:p>
    <w:p>
      <w:pPr>
        <w:ind w:left="200" w:right="240" w:firstLine="441"/>
        <w:spacing w:after="0" w:line="258" w:lineRule="auto"/>
        <w:rPr>
          <w:sz w:val="20"/>
          <w:szCs w:val="20"/>
          <w:color w:val="auto"/>
        </w:rPr>
      </w:pPr>
      <w:r>
        <w:rPr>
          <w:rFonts w:ascii="Times New Roman" w:cs="Times New Roman" w:eastAsia="Times New Roman" w:hAnsi="Times New Roman"/>
          <w:sz w:val="18"/>
          <w:szCs w:val="18"/>
          <w:color w:val="auto"/>
        </w:rPr>
        <w:t>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 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89" w:lineRule="exact"/>
        <w:rPr>
          <w:sz w:val="20"/>
          <w:szCs w:val="20"/>
          <w:color w:val="auto"/>
        </w:rPr>
      </w:pPr>
    </w:p>
    <w:p>
      <w:pPr>
        <w:ind w:left="1060" w:right="120" w:hanging="316"/>
        <w:spacing w:after="0" w:line="282" w:lineRule="auto"/>
        <w:tabs>
          <w:tab w:leader="none" w:pos="10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issuance and before any distribution is made with respect to common stock, we must meet a coverage ratio of total assets (less total liabilities other than indebtedness) to total indebtedness plus preferred stock, of at least 200%; and</w:t>
      </w:r>
    </w:p>
    <w:p>
      <w:pPr>
        <w:spacing w:after="0" w:line="67" w:lineRule="exact"/>
        <w:rPr>
          <w:rFonts w:ascii="Times New Roman" w:cs="Times New Roman" w:eastAsia="Times New Roman" w:hAnsi="Times New Roman"/>
          <w:sz w:val="18"/>
          <w:szCs w:val="18"/>
          <w:color w:val="auto"/>
        </w:rPr>
      </w:pPr>
    </w:p>
    <w:p>
      <w:pPr>
        <w:ind w:left="1060" w:right="100" w:hanging="316"/>
        <w:spacing w:after="0" w:line="282" w:lineRule="auto"/>
        <w:tabs>
          <w:tab w:leader="none" w:pos="10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features of the preferred stock are further limited by the requirements applicable to RICs under the Code.</w:t>
      </w:r>
    </w:p>
    <w:p>
      <w:pPr>
        <w:spacing w:after="0" w:line="225" w:lineRule="exact"/>
        <w:rPr>
          <w:sz w:val="20"/>
          <w:szCs w:val="20"/>
          <w:color w:val="auto"/>
        </w:rPr>
      </w:pPr>
    </w:p>
    <w:p>
      <w:pPr>
        <w:ind w:left="200" w:right="540" w:firstLine="441"/>
        <w:spacing w:after="0" w:line="282" w:lineRule="auto"/>
        <w:rPr>
          <w:sz w:val="20"/>
          <w:szCs w:val="20"/>
          <w:color w:val="auto"/>
        </w:rPr>
      </w:pPr>
      <w:r>
        <w:rPr>
          <w:rFonts w:ascii="Times New Roman" w:cs="Times New Roman" w:eastAsia="Times New Roman" w:hAnsi="Times New Roman"/>
          <w:sz w:val="18"/>
          <w:szCs w:val="18"/>
          <w:color w:val="auto"/>
        </w:rPr>
        <w:t>For any series of preferred stock that we may issue, our Board will determine and the amendment to our certificate of incorporation and the prospectus supplement relating to such series will describe:</w:t>
      </w:r>
    </w:p>
    <w:p>
      <w:pPr>
        <w:spacing w:after="0" w:line="67" w:lineRule="exact"/>
        <w:rPr>
          <w:sz w:val="20"/>
          <w:szCs w:val="20"/>
          <w:color w:val="auto"/>
        </w:rPr>
      </w:pPr>
    </w:p>
    <w:p>
      <w:pPr>
        <w:ind w:left="1060" w:hanging="316"/>
        <w:spacing w:after="0"/>
        <w:tabs>
          <w:tab w:leader="none" w:pos="10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number of shares of such series;</w:t>
      </w:r>
    </w:p>
    <w:p>
      <w:pPr>
        <w:spacing w:after="0" w:line="130" w:lineRule="exact"/>
        <w:rPr>
          <w:rFonts w:ascii="Times New Roman" w:cs="Times New Roman" w:eastAsia="Times New Roman" w:hAnsi="Times New Roman"/>
          <w:sz w:val="18"/>
          <w:szCs w:val="18"/>
          <w:color w:val="auto"/>
        </w:rPr>
      </w:pPr>
    </w:p>
    <w:p>
      <w:pPr>
        <w:ind w:left="1060" w:right="240" w:hanging="316"/>
        <w:spacing w:after="0" w:line="282" w:lineRule="auto"/>
        <w:tabs>
          <w:tab w:leader="none" w:pos="10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time at which, and the preferences and conditions under which, any dividends will be paid on shares of such series, as well as whether such dividends are participating or non-participating;</w:t>
      </w:r>
    </w:p>
    <w:p>
      <w:pPr>
        <w:spacing w:after="0" w:line="67" w:lineRule="exact"/>
        <w:rPr>
          <w:rFonts w:ascii="Times New Roman" w:cs="Times New Roman" w:eastAsia="Times New Roman" w:hAnsi="Times New Roman"/>
          <w:sz w:val="18"/>
          <w:szCs w:val="18"/>
          <w:color w:val="auto"/>
        </w:rPr>
      </w:pPr>
    </w:p>
    <w:p>
      <w:pPr>
        <w:ind w:left="1060" w:hanging="316"/>
        <w:spacing w:after="0" w:line="282" w:lineRule="auto"/>
        <w:tabs>
          <w:tab w:leader="none" w:pos="10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convertibility or exchangeability of the shares of such series, including adjustments to the conversion price of such series;</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preferences, if any, of holders of shares of such series upon our liquidation, dissolution or winding up of our affairs;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if any, of the holders of shares of such series;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the redemption of the shares of such series;</w:t>
      </w:r>
    </w:p>
    <w:p>
      <w:pPr>
        <w:spacing w:after="0" w:line="130" w:lineRule="exact"/>
        <w:rPr>
          <w:rFonts w:ascii="Times New Roman" w:cs="Times New Roman" w:eastAsia="Times New Roman" w:hAnsi="Times New Roman"/>
          <w:sz w:val="18"/>
          <w:szCs w:val="18"/>
          <w:color w:val="auto"/>
        </w:rPr>
      </w:pPr>
    </w:p>
    <w:p>
      <w:pPr>
        <w:ind w:left="1060" w:right="20" w:hanging="316"/>
        <w:spacing w:after="0" w:line="282" w:lineRule="auto"/>
        <w:tabs>
          <w:tab w:leader="none" w:pos="10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our ability to pay dividends or make distributions on, or acquire or redeem, other securities while shares of such series are outstanding;</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conditions or restrictions on our ability to issue additional shares of such series or other securities;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30" w:lineRule="exact"/>
        <w:rPr>
          <w:rFonts w:ascii="Times New Roman" w:cs="Times New Roman" w:eastAsia="Times New Roman" w:hAnsi="Times New Roman"/>
          <w:sz w:val="18"/>
          <w:szCs w:val="18"/>
          <w:color w:val="auto"/>
        </w:rPr>
      </w:pPr>
    </w:p>
    <w:p>
      <w:pPr>
        <w:ind w:left="1060" w:right="60" w:hanging="316"/>
        <w:spacing w:after="0" w:line="282" w:lineRule="auto"/>
        <w:tabs>
          <w:tab w:leader="none" w:pos="10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powers, preferences and participating, optional or special rights of shares of such series, and the qualifications, limitations or restrictions thereof.</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220"/>
          </w:cols>
          <w:pgMar w:left="240" w:top="456" w:right="43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All shares of preferred stock that we may issue will be identical and of equal rank except as to the particular terms thereof that may be fixed by our Board. All shares of each series of preferred stock will differ only as to the dates from which dividends, if any, thereon will be cumulative.</w:t>
      </w:r>
    </w:p>
    <w:p>
      <w:pPr>
        <w:spacing w:after="0" w:line="9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0940"/>
          </w:cols>
          <w:pgMar w:left="240" w:top="456" w:right="71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DESCRIPTION OF OUR SUBSCRIPTION RIGHTS</w:t>
      </w:r>
    </w:p>
    <w:p>
      <w:pPr>
        <w:spacing w:after="0" w:line="229"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0" w:lineRule="exact"/>
        <w:rPr>
          <w:sz w:val="20"/>
          <w:szCs w:val="20"/>
          <w:color w:val="auto"/>
        </w:rPr>
      </w:pPr>
    </w:p>
    <w:p>
      <w:pPr>
        <w:ind w:left="200" w:right="500" w:firstLine="441"/>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would describe the following terms of subscription rights in respect of which this prospectus is being delivered:</w:t>
      </w:r>
    </w:p>
    <w:p>
      <w:pPr>
        <w:spacing w:after="0" w:line="67" w:lineRule="exact"/>
        <w:rPr>
          <w:sz w:val="20"/>
          <w:szCs w:val="20"/>
          <w:color w:val="auto"/>
        </w:rPr>
      </w:pPr>
    </w:p>
    <w:p>
      <w:pPr>
        <w:ind w:left="1060" w:right="260" w:hanging="316"/>
        <w:spacing w:after="0" w:line="282" w:lineRule="auto"/>
        <w:tabs>
          <w:tab w:leader="none" w:pos="10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time the offering would remain open (which shall be open a minimum number of days such that all record holders would be eligible to participate in the offering and shall not be open longer than 120 days);</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subscription rights;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for such subscription rights (or method of calculation thereof);</w:t>
      </w:r>
    </w:p>
    <w:p>
      <w:pPr>
        <w:spacing w:after="0" w:line="130" w:lineRule="exact"/>
        <w:rPr>
          <w:rFonts w:ascii="Times New Roman" w:cs="Times New Roman" w:eastAsia="Times New Roman" w:hAnsi="Times New Roman"/>
          <w:sz w:val="18"/>
          <w:szCs w:val="18"/>
          <w:color w:val="auto"/>
        </w:rPr>
      </w:pPr>
    </w:p>
    <w:p>
      <w:pPr>
        <w:ind w:left="1060" w:right="40" w:hanging="316"/>
        <w:spacing w:after="0" w:line="282" w:lineRule="auto"/>
        <w:tabs>
          <w:tab w:leader="none" w:pos="10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the offering (which, in the case of transferable rights, will require a minimum of three shares to be held of record before a person is entitled to purchase an additional share);</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such subscription rights issued to each stockholder;</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are transferable and the market on which they may be traded if they are transferable;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applicable to the issuance or exercise of such subscription rights;</w:t>
      </w:r>
    </w:p>
    <w:p>
      <w:pPr>
        <w:spacing w:after="0" w:line="130" w:lineRule="exact"/>
        <w:rPr>
          <w:rFonts w:ascii="Times New Roman" w:cs="Times New Roman" w:eastAsia="Times New Roman" w:hAnsi="Times New Roman"/>
          <w:sz w:val="18"/>
          <w:szCs w:val="18"/>
          <w:color w:val="auto"/>
        </w:rPr>
      </w:pPr>
    </w:p>
    <w:p>
      <w:pPr>
        <w:ind w:left="1060" w:right="20" w:hanging="316"/>
        <w:spacing w:after="0" w:line="282" w:lineRule="auto"/>
        <w:tabs>
          <w:tab w:leader="none" w:pos="10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subscription rights shall commence, and the date on which such right shall expire (subject to any extension);</w:t>
      </w:r>
    </w:p>
    <w:p>
      <w:pPr>
        <w:spacing w:after="0" w:line="67" w:lineRule="exact"/>
        <w:rPr>
          <w:rFonts w:ascii="Times New Roman" w:cs="Times New Roman" w:eastAsia="Times New Roman" w:hAnsi="Times New Roman"/>
          <w:sz w:val="18"/>
          <w:szCs w:val="18"/>
          <w:color w:val="auto"/>
        </w:rPr>
      </w:pPr>
    </w:p>
    <w:p>
      <w:pPr>
        <w:ind w:left="1060" w:right="220" w:hanging="316"/>
        <w:spacing w:after="0" w:line="282" w:lineRule="auto"/>
        <w:tabs>
          <w:tab w:leader="none" w:pos="10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include an over-subscription privilege with respect to unsubscribed securities and the terms of such over-subscription privilege;</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right we may have in connection with such subscription rights offering; and</w:t>
      </w:r>
    </w:p>
    <w:p>
      <w:pPr>
        <w:spacing w:after="0" w:line="130" w:lineRule="exact"/>
        <w:rPr>
          <w:rFonts w:ascii="Times New Roman" w:cs="Times New Roman" w:eastAsia="Times New Roman" w:hAnsi="Times New Roman"/>
          <w:sz w:val="18"/>
          <w:szCs w:val="18"/>
          <w:color w:val="auto"/>
        </w:rPr>
      </w:pPr>
    </w:p>
    <w:p>
      <w:pPr>
        <w:ind w:left="1060" w:right="220" w:hanging="316"/>
        <w:spacing w:after="0" w:line="282" w:lineRule="auto"/>
        <w:tabs>
          <w:tab w:leader="none" w:pos="10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subscription rights, including exercise, settlement and other procedures and limitations relating to the transfer and exercise of such subscription rights.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Exercise of Subscription Rights</w:t>
      </w:r>
    </w:p>
    <w:p>
      <w:pPr>
        <w:spacing w:after="0" w:line="121" w:lineRule="exact"/>
        <w:rPr>
          <w:sz w:val="20"/>
          <w:szCs w:val="20"/>
          <w:color w:val="auto"/>
        </w:rPr>
      </w:pPr>
    </w:p>
    <w:p>
      <w:pPr>
        <w:ind w:left="200" w:right="40" w:firstLine="441"/>
        <w:spacing w:after="0" w:line="261" w:lineRule="auto"/>
        <w:rPr>
          <w:sz w:val="20"/>
          <w:szCs w:val="20"/>
          <w:color w:val="auto"/>
        </w:rPr>
      </w:pPr>
      <w:r>
        <w:rPr>
          <w:rFonts w:ascii="Times New Roman" w:cs="Times New Roman" w:eastAsia="Times New Roman" w:hAnsi="Times New Roman"/>
          <w:sz w:val="18"/>
          <w:szCs w:val="18"/>
          <w:color w:val="auto"/>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spacing w:after="0" w:line="180"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220"/>
          </w:cols>
          <w:pgMar w:left="240" w:top="455" w:right="43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Dilutive Effects</w:t>
      </w:r>
    </w:p>
    <w:p>
      <w:pPr>
        <w:spacing w:after="0" w:line="12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spacing w:after="0" w:line="11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80"/>
          </w:cols>
          <w:pgMar w:left="240" w:top="456" w:right="47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DESCRIPTION OF OUR WARRANTS</w:t>
      </w:r>
    </w:p>
    <w:p>
      <w:pPr>
        <w:spacing w:after="0" w:line="229" w:lineRule="exact"/>
        <w:rPr>
          <w:sz w:val="20"/>
          <w:szCs w:val="20"/>
          <w:color w:val="auto"/>
        </w:rPr>
      </w:pPr>
    </w:p>
    <w:p>
      <w:pPr>
        <w:ind w:left="200" w:right="40" w:firstLine="441"/>
        <w:spacing w:after="0" w:line="282"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62"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1060" w:hanging="316"/>
        <w:spacing w:after="0"/>
        <w:tabs>
          <w:tab w:leader="none" w:pos="10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price of such warrants may be payable;</w:t>
      </w:r>
    </w:p>
    <w:p>
      <w:pPr>
        <w:spacing w:after="0" w:line="130" w:lineRule="exact"/>
        <w:rPr>
          <w:rFonts w:ascii="Times New Roman" w:cs="Times New Roman" w:eastAsia="Times New Roman" w:hAnsi="Times New Roman"/>
          <w:sz w:val="18"/>
          <w:szCs w:val="18"/>
          <w:color w:val="auto"/>
        </w:rPr>
      </w:pPr>
    </w:p>
    <w:p>
      <w:pPr>
        <w:ind w:left="1060" w:right="260" w:hanging="316"/>
        <w:spacing w:after="0" w:line="282" w:lineRule="auto"/>
        <w:tabs>
          <w:tab w:leader="none" w:pos="10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60" w:right="40" w:hanging="316"/>
        <w:spacing w:after="0" w:line="266" w:lineRule="auto"/>
        <w:tabs>
          <w:tab w:leader="none" w:pos="10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1" w:lineRule="exact"/>
        <w:rPr>
          <w:rFonts w:ascii="Times New Roman" w:cs="Times New Roman" w:eastAsia="Times New Roman" w:hAnsi="Times New Roman"/>
          <w:sz w:val="18"/>
          <w:szCs w:val="18"/>
          <w:color w:val="auto"/>
        </w:rPr>
      </w:pPr>
    </w:p>
    <w:p>
      <w:pPr>
        <w:jc w:val="both"/>
        <w:ind w:left="1060" w:right="40" w:hanging="316"/>
        <w:spacing w:after="0" w:line="266" w:lineRule="auto"/>
        <w:tabs>
          <w:tab w:leader="none" w:pos="10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1"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will expire;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warrants will be issued in registered form or bearer form;</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225" w:lineRule="exact"/>
        <w:rPr>
          <w:sz w:val="20"/>
          <w:szCs w:val="20"/>
          <w:color w:val="auto"/>
        </w:rPr>
      </w:pPr>
    </w:p>
    <w:p>
      <w:pPr>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40"/>
          </w:cols>
          <w:pgMar w:left="240" w:top="455" w:right="51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20" w:firstLine="441"/>
        <w:spacing w:after="0" w:line="261" w:lineRule="auto"/>
        <w:rPr>
          <w:sz w:val="20"/>
          <w:szCs w:val="20"/>
          <w:color w:val="auto"/>
        </w:rPr>
      </w:pPr>
      <w:r>
        <w:rPr>
          <w:rFonts w:ascii="Times New Roman" w:cs="Times New Roman" w:eastAsia="Times New Roman" w:hAnsi="Times New Roman"/>
          <w:sz w:val="18"/>
          <w:szCs w:val="18"/>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80"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w:t>
      </w:r>
    </w:p>
    <w:p>
      <w:pPr>
        <w:spacing w:after="0" w:line="1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80"/>
          </w:cols>
          <w:pgMar w:left="240" w:top="456" w:right="47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DESCRIPTION OF OUR DEBT SECURITIES</w:t>
      </w:r>
    </w:p>
    <w:p>
      <w:pPr>
        <w:spacing w:after="0" w:line="229" w:lineRule="exact"/>
        <w:rPr>
          <w:sz w:val="20"/>
          <w:szCs w:val="20"/>
          <w:color w:val="auto"/>
        </w:rPr>
      </w:pPr>
    </w:p>
    <w:p>
      <w:pPr>
        <w:ind w:left="200" w:right="100" w:firstLine="441"/>
        <w:spacing w:after="0" w:line="261" w:lineRule="auto"/>
        <w:rPr>
          <w:sz w:val="20"/>
          <w:szCs w:val="20"/>
          <w:color w:val="auto"/>
        </w:rPr>
      </w:pPr>
      <w:r>
        <w:rPr>
          <w:rFonts w:ascii="Times New Roman" w:cs="Times New Roman" w:eastAsia="Times New Roman" w:hAnsi="Times New Roman"/>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0"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As required by federal law for all bonds and notes of companies that are publicly offered, the debt securities are governed by a document called an “indenture.” An indenture is a contract between us and Wells Fargo Bank, National Association,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 Events of Default—Remedies If an Event of Default Occurs.” Second, the trustee performs certain administrative duties for us.</w:t>
      </w:r>
    </w:p>
    <w:p>
      <w:pPr>
        <w:spacing w:after="0" w:line="184" w:lineRule="exact"/>
        <w:rPr>
          <w:sz w:val="20"/>
          <w:szCs w:val="20"/>
          <w:color w:val="auto"/>
        </w:rPr>
      </w:pPr>
    </w:p>
    <w:p>
      <w:pPr>
        <w:ind w:left="200" w:right="260" w:firstLine="441"/>
        <w:spacing w:after="0" w:line="261" w:lineRule="auto"/>
        <w:rPr>
          <w:sz w:val="20"/>
          <w:szCs w:val="20"/>
          <w:color w:val="auto"/>
        </w:rPr>
      </w:pPr>
      <w:r>
        <w:rPr>
          <w:rFonts w:ascii="Times New Roman" w:cs="Times New Roman" w:eastAsia="Times New Roman" w:hAnsi="Times New Roman"/>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indenture with the SEC. See “Available Information” for information on how to obtain a copy of the indenture.</w:t>
      </w:r>
    </w:p>
    <w:p>
      <w:pPr>
        <w:spacing w:after="0" w:line="180" w:lineRule="exact"/>
        <w:rPr>
          <w:sz w:val="20"/>
          <w:szCs w:val="20"/>
          <w:color w:val="auto"/>
        </w:rPr>
      </w:pPr>
    </w:p>
    <w:p>
      <w:pPr>
        <w:ind w:left="200" w:right="180" w:firstLine="441"/>
        <w:spacing w:after="0" w:line="282" w:lineRule="auto"/>
        <w:rPr>
          <w:sz w:val="20"/>
          <w:szCs w:val="20"/>
          <w:color w:val="auto"/>
        </w:rPr>
      </w:pPr>
      <w:r>
        <w:rPr>
          <w:rFonts w:ascii="Times New Roman" w:cs="Times New Roman" w:eastAsia="Times New Roman" w:hAnsi="Times New Roman"/>
          <w:sz w:val="18"/>
          <w:szCs w:val="18"/>
          <w:color w:val="auto"/>
        </w:rPr>
        <w:t>The prospectus supplement, which will accompany this prospectus, will describe the particular series of debt securities being offered, including, among other things:</w:t>
      </w:r>
    </w:p>
    <w:p>
      <w:pPr>
        <w:spacing w:after="0" w:line="67" w:lineRule="exact"/>
        <w:rPr>
          <w:sz w:val="20"/>
          <w:szCs w:val="20"/>
          <w:color w:val="auto"/>
        </w:rPr>
      </w:pPr>
    </w:p>
    <w:p>
      <w:pPr>
        <w:ind w:left="1060" w:hanging="316"/>
        <w:spacing w:after="0"/>
        <w:tabs>
          <w:tab w:leader="none" w:pos="10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or title of the series of debt securities;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series of debt securities;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series of debt securities will be offered;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will be payable;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either fixed or variable) and/or the method of determining such rate or rates of interest, if any;</w:t>
      </w:r>
    </w:p>
    <w:p>
      <w:pPr>
        <w:spacing w:after="0" w:line="130" w:lineRule="exact"/>
        <w:rPr>
          <w:rFonts w:ascii="Times New Roman" w:cs="Times New Roman" w:eastAsia="Times New Roman" w:hAnsi="Times New Roman"/>
          <w:sz w:val="18"/>
          <w:szCs w:val="18"/>
          <w:color w:val="auto"/>
        </w:rPr>
      </w:pPr>
    </w:p>
    <w:p>
      <w:pPr>
        <w:ind w:left="1060" w:right="240" w:hanging="316"/>
        <w:spacing w:after="0" w:line="282" w:lineRule="auto"/>
        <w:tabs>
          <w:tab w:leader="none" w:pos="10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of determining such date or dates, and the date or dates on which any interest will be payable;</w:t>
      </w:r>
    </w:p>
    <w:p>
      <w:pPr>
        <w:spacing w:after="0" w:line="67" w:lineRule="exact"/>
        <w:rPr>
          <w:rFonts w:ascii="Times New Roman" w:cs="Times New Roman" w:eastAsia="Times New Roman" w:hAnsi="Times New Roman"/>
          <w:sz w:val="18"/>
          <w:szCs w:val="18"/>
          <w:color w:val="auto"/>
        </w:rPr>
      </w:pPr>
    </w:p>
    <w:p>
      <w:pPr>
        <w:ind w:left="1060" w:right="440" w:hanging="316"/>
        <w:spacing w:after="0" w:line="282" w:lineRule="auto"/>
        <w:tabs>
          <w:tab w:leader="none" w:pos="10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interest may be paid by issuing additional securities of the same series in lieu of cash (and the terms upon which any such interest may be paid by issuing additional securities);</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redemption, extension or early repayment, if any;</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currencies in which the series of debt securities are issued and payable;</w:t>
      </w:r>
    </w:p>
    <w:p>
      <w:pPr>
        <w:spacing w:after="0" w:line="130" w:lineRule="exact"/>
        <w:rPr>
          <w:rFonts w:ascii="Times New Roman" w:cs="Times New Roman" w:eastAsia="Times New Roman" w:hAnsi="Times New Roman"/>
          <w:sz w:val="18"/>
          <w:szCs w:val="18"/>
          <w:color w:val="auto"/>
        </w:rPr>
      </w:pPr>
    </w:p>
    <w:p>
      <w:pPr>
        <w:jc w:val="both"/>
        <w:ind w:left="1060" w:right="80" w:hanging="316"/>
        <w:spacing w:after="0" w:line="266" w:lineRule="auto"/>
        <w:tabs>
          <w:tab w:leader="none" w:pos="10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1" w:lineRule="exact"/>
        <w:rPr>
          <w:rFonts w:ascii="Times New Roman" w:cs="Times New Roman" w:eastAsia="Times New Roman" w:hAnsi="Times New Roman"/>
          <w:sz w:val="18"/>
          <w:szCs w:val="18"/>
          <w:color w:val="auto"/>
        </w:rPr>
      </w:pPr>
    </w:p>
    <w:p>
      <w:pPr>
        <w:ind w:left="1060" w:right="140" w:hanging="316"/>
        <w:spacing w:after="0" w:line="282" w:lineRule="auto"/>
        <w:tabs>
          <w:tab w:leader="none" w:pos="10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if any, other than or in addition to the Borough of Manhattan in the City of New York, of payment, transfer, conversion and/or exchange of the debt securities;</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offered debt securities will be issued (if other than $1,000 and any integral multiple thereof);</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any sinking fund;</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200"/>
          </w:cols>
          <w:pgMar w:left="240" w:top="456" w:right="45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restrictive covenants;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series of debt securities is issuable in certificated form;</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defeasance or covenant defeasance;</w:t>
      </w:r>
    </w:p>
    <w:p>
      <w:pPr>
        <w:spacing w:after="0" w:line="130" w:lineRule="exact"/>
        <w:rPr>
          <w:rFonts w:ascii="Times New Roman" w:cs="Times New Roman" w:eastAsia="Times New Roman" w:hAnsi="Times New Roman"/>
          <w:sz w:val="18"/>
          <w:szCs w:val="18"/>
          <w:color w:val="auto"/>
        </w:rPr>
      </w:pPr>
    </w:p>
    <w:p>
      <w:pPr>
        <w:ind w:left="1060" w:right="600" w:hanging="316"/>
        <w:spacing w:after="0" w:line="282" w:lineRule="auto"/>
        <w:tabs>
          <w:tab w:leader="none" w:pos="10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federal income tax implications, including, if applicable, U.S. federal income tax considerations relating to original issue discount;</w:t>
      </w:r>
    </w:p>
    <w:p>
      <w:pPr>
        <w:spacing w:after="0" w:line="67" w:lineRule="exact"/>
        <w:rPr>
          <w:rFonts w:ascii="Times New Roman" w:cs="Times New Roman" w:eastAsia="Times New Roman" w:hAnsi="Times New Roman"/>
          <w:sz w:val="18"/>
          <w:szCs w:val="18"/>
          <w:color w:val="auto"/>
        </w:rPr>
      </w:pPr>
    </w:p>
    <w:p>
      <w:pPr>
        <w:ind w:left="1060" w:right="140" w:hanging="316"/>
        <w:spacing w:after="0" w:line="282" w:lineRule="auto"/>
        <w:tabs>
          <w:tab w:leader="none" w:pos="10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convertibility or exchangeability of the debt securities into or for any other securities;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subject to subordination and the terms of such subordination;</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secured and the terms of any security interest;</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if any, on a securities exchange; and</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w:t>
      </w:r>
    </w:p>
    <w:p>
      <w:pPr>
        <w:spacing w:after="0" w:line="225" w:lineRule="exact"/>
        <w:rPr>
          <w:sz w:val="20"/>
          <w:szCs w:val="20"/>
          <w:color w:val="auto"/>
        </w:rPr>
      </w:pPr>
    </w:p>
    <w:p>
      <w:pPr>
        <w:ind w:left="200" w:right="520" w:firstLine="441"/>
        <w:spacing w:after="0" w:line="282" w:lineRule="auto"/>
        <w:rPr>
          <w:sz w:val="20"/>
          <w:szCs w:val="20"/>
          <w:color w:val="auto"/>
        </w:rPr>
      </w:pPr>
      <w:r>
        <w:rPr>
          <w:rFonts w:ascii="Times New Roman" w:cs="Times New Roman" w:eastAsia="Times New Roman" w:hAnsi="Times New Roman"/>
          <w:sz w:val="18"/>
          <w:szCs w:val="18"/>
          <w:color w:val="auto"/>
        </w:rPr>
        <w:t>The debt securities may be secured or unsecured obligations. Unless the prospectus supplement states otherwise, principal (and premium, if any) and interest, if any, will be paid by us in immediately available funds.</w:t>
      </w:r>
    </w:p>
    <w:p>
      <w:pPr>
        <w:spacing w:after="0" w:line="162"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We are permitted, under specified conditions, to issue multiple classes of indebtedness and one class of shares senior to our common stock if our asset coverage, calculated pursuant to the 1940 Act, is at least equal to 200% immediately after each such issuance. In addition, while any indebtedness and senior securities remain outstanding, we must make provisions to prohibit the distribution to our stockholders or the repurchase of such indebtedness or securities unless we meet the applicable asset coverage ratios at the time of the distribution or repurchase. Specifically, we may be precluded from declaring dividends or repurchasing shares of our common stock unless our asset coverage is at least 200%. We may also borrow amounts up to 5% of the value of our total assets for temporary or emergency purposes without regard to asset coverage. For a discussion of the risks associated with leverage, see “Risk Factors—Risks Relating to Our Business and Structure—Regulations governing our operation as a BDC affect our ability to, and the way in which we, raise additional capital.”</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76" w:lineRule="exact"/>
        <w:rPr>
          <w:sz w:val="20"/>
          <w:szCs w:val="20"/>
          <w:color w:val="auto"/>
        </w:rPr>
      </w:pPr>
    </w:p>
    <w:p>
      <w:pPr>
        <w:ind w:left="200" w:right="580" w:firstLine="441"/>
        <w:spacing w:after="0" w:line="282" w:lineRule="auto"/>
        <w:rPr>
          <w:sz w:val="20"/>
          <w:szCs w:val="20"/>
          <w:color w:val="auto"/>
        </w:rPr>
      </w:pPr>
      <w:r>
        <w:rPr>
          <w:rFonts w:ascii="Times New Roman" w:cs="Times New Roman" w:eastAsia="Times New Roman" w:hAnsi="Times New Roman"/>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62" w:lineRule="exact"/>
        <w:rPr>
          <w:sz w:val="20"/>
          <w:szCs w:val="20"/>
          <w:color w:val="auto"/>
        </w:rPr>
      </w:pPr>
    </w:p>
    <w:p>
      <w:pPr>
        <w:ind w:left="200" w:right="300" w:firstLine="441"/>
        <w:spacing w:after="0" w:line="256"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220"/>
          </w:cols>
          <w:pgMar w:left="240" w:top="455" w:right="43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00"/>
        <w:spacing w:after="0" w:line="266" w:lineRule="auto"/>
        <w:rPr>
          <w:sz w:val="20"/>
          <w:szCs w:val="20"/>
          <w:color w:val="auto"/>
        </w:rPr>
      </w:pPr>
      <w:r>
        <w:rPr>
          <w:rFonts w:ascii="Times New Roman" w:cs="Times New Roman" w:eastAsia="Times New Roman" w:hAnsi="Times New Roman"/>
          <w:sz w:val="18"/>
          <w:szCs w:val="18"/>
          <w:color w:val="auto"/>
        </w:rPr>
        <w:t>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76" w:lineRule="exact"/>
        <w:rPr>
          <w:sz w:val="20"/>
          <w:szCs w:val="20"/>
          <w:color w:val="auto"/>
        </w:rPr>
      </w:pPr>
    </w:p>
    <w:p>
      <w:pPr>
        <w:ind w:left="200" w:right="80" w:firstLine="441"/>
        <w:spacing w:after="0" w:line="282" w:lineRule="auto"/>
        <w:rPr>
          <w:sz w:val="20"/>
          <w:szCs w:val="20"/>
          <w:color w:val="auto"/>
        </w:rPr>
      </w:pPr>
      <w:r>
        <w:rPr>
          <w:rFonts w:ascii="Times New Roman" w:cs="Times New Roman" w:eastAsia="Times New Roman" w:hAnsi="Times New Roman"/>
          <w:sz w:val="18"/>
          <w:szCs w:val="18"/>
          <w:color w:val="auto"/>
        </w:rPr>
        <w:t>The indenture does not contain any provisions that give you protection in the event we issue a large amount of debt or we are acquired by another entity.</w:t>
      </w:r>
    </w:p>
    <w:p>
      <w:pPr>
        <w:spacing w:after="0" w:line="162" w:lineRule="exact"/>
        <w:rPr>
          <w:sz w:val="20"/>
          <w:szCs w:val="20"/>
          <w:color w:val="auto"/>
        </w:rPr>
      </w:pPr>
    </w:p>
    <w:p>
      <w:pPr>
        <w:ind w:left="200" w:right="320" w:firstLine="441"/>
        <w:spacing w:after="0" w:line="313" w:lineRule="auto"/>
        <w:rPr>
          <w:sz w:val="20"/>
          <w:szCs w:val="20"/>
          <w:color w:val="auto"/>
        </w:rPr>
      </w:pPr>
      <w:r>
        <w:rPr>
          <w:rFonts w:ascii="Times New Roman" w:cs="Times New Roman" w:eastAsia="Times New Roman" w:hAnsi="Times New Roman"/>
          <w:sz w:val="17"/>
          <w:szCs w:val="17"/>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38" w:lineRule="exact"/>
        <w:rPr>
          <w:sz w:val="20"/>
          <w:szCs w:val="20"/>
          <w:color w:val="auto"/>
        </w:rPr>
      </w:pPr>
    </w:p>
    <w:p>
      <w:pPr>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expect that we will usually issue debt securities in book-entry only form represented by global securities.</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121"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left="200" w:right="80" w:firstLine="441"/>
        <w:spacing w:after="0" w:line="256" w:lineRule="auto"/>
        <w:rPr>
          <w:sz w:val="20"/>
          <w:szCs w:val="20"/>
          <w:color w:val="auto"/>
        </w:rPr>
      </w:pPr>
      <w:r>
        <w:rPr>
          <w:rFonts w:ascii="Times New Roman" w:cs="Times New Roman" w:eastAsia="Times New Roman" w:hAnsi="Times New Roman"/>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Payments on Global Securities</w:t>
      </w:r>
    </w:p>
    <w:p>
      <w:pPr>
        <w:spacing w:after="0" w:line="121" w:lineRule="exact"/>
        <w:rPr>
          <w:sz w:val="20"/>
          <w:szCs w:val="20"/>
          <w:color w:val="auto"/>
        </w:rPr>
      </w:pPr>
    </w:p>
    <w:p>
      <w:pPr>
        <w:jc w:val="both"/>
        <w:ind w:left="200" w:right="380" w:firstLine="441"/>
        <w:spacing w:after="0" w:line="289" w:lineRule="auto"/>
        <w:rPr>
          <w:sz w:val="20"/>
          <w:szCs w:val="20"/>
          <w:color w:val="auto"/>
        </w:rPr>
      </w:pPr>
      <w:r>
        <w:rPr>
          <w:rFonts w:ascii="Times New Roman" w:cs="Times New Roman" w:eastAsia="Times New Roman" w:hAnsi="Times New Roman"/>
          <w:sz w:val="17"/>
          <w:szCs w:val="17"/>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pacing w:after="0" w:line="2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Payments on Certificated Securities</w:t>
      </w:r>
    </w:p>
    <w:p>
      <w:pPr>
        <w:spacing w:after="0" w:line="121" w:lineRule="exact"/>
        <w:rPr>
          <w:sz w:val="20"/>
          <w:szCs w:val="20"/>
          <w:color w:val="auto"/>
        </w:rPr>
      </w:pPr>
    </w:p>
    <w:p>
      <w:pPr>
        <w:ind w:left="200" w:right="80" w:firstLine="441"/>
        <w:spacing w:after="0" w:line="282" w:lineRule="auto"/>
        <w:rPr>
          <w:sz w:val="20"/>
          <w:szCs w:val="20"/>
          <w:color w:val="auto"/>
        </w:rPr>
      </w:pPr>
      <w:r>
        <w:rPr>
          <w:rFonts w:ascii="Times New Roman" w:cs="Times New Roman" w:eastAsia="Times New Roman" w:hAnsi="Times New Roman"/>
          <w:sz w:val="18"/>
          <w:szCs w:val="18"/>
          <w:color w:val="auto"/>
        </w:rPr>
        <w:t>We will make payments on a certificated debt security as follows. We will pay interest that is due on an interest payment date by check mailed on the interest payment date to the holder at his or her address shown on</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200"/>
          </w:cols>
          <w:pgMar w:left="240" w:top="456" w:right="45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66" w:lineRule="auto"/>
        <w:rPr>
          <w:sz w:val="20"/>
          <w:szCs w:val="20"/>
          <w:color w:val="auto"/>
        </w:rPr>
      </w:pPr>
      <w:r>
        <w:rPr>
          <w:rFonts w:ascii="Times New Roman" w:cs="Times New Roman" w:eastAsia="Times New Roman" w:hAnsi="Times New Roman"/>
          <w:sz w:val="18"/>
          <w:szCs w:val="18"/>
          <w:color w:val="auto"/>
        </w:rPr>
        <w:t>the trustee’s records as of the close of business on the regular record date. We will make all payments of principal and premium, if any, by check at the office of the applicable trustee in New York, NY and/or at other offices that may be specified in the prospectus supplement or in a notice to holders against surrender of the debt security.</w:t>
      </w:r>
    </w:p>
    <w:p>
      <w:pPr>
        <w:spacing w:after="0" w:line="176" w:lineRule="exact"/>
        <w:rPr>
          <w:sz w:val="20"/>
          <w:szCs w:val="20"/>
          <w:color w:val="auto"/>
        </w:rPr>
      </w:pPr>
    </w:p>
    <w:p>
      <w:pPr>
        <w:ind w:left="200" w:right="200" w:firstLine="441"/>
        <w:spacing w:after="0" w:line="258" w:lineRule="auto"/>
        <w:rPr>
          <w:sz w:val="20"/>
          <w:szCs w:val="20"/>
          <w:color w:val="auto"/>
        </w:rPr>
      </w:pPr>
      <w:r>
        <w:rPr>
          <w:rFonts w:ascii="Times New Roman" w:cs="Times New Roman" w:eastAsia="Times New Roman" w:hAnsi="Times New Roman"/>
          <w:sz w:val="18"/>
          <w:szCs w:val="18"/>
          <w:color w:val="auto"/>
        </w:rPr>
        <w:t>Alternatively, if the holder asks us to do so, we will pay any amount that becomes due on the debt security by wire transfer of immediately available funds to an account at a bank in New York City,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Payment When Offices Are Closed</w:t>
      </w:r>
    </w:p>
    <w:p>
      <w:pPr>
        <w:spacing w:after="0" w:line="121"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w:t>
      </w:r>
    </w:p>
    <w:p>
      <w:pPr>
        <w:spacing w:after="0" w:line="184" w:lineRule="exact"/>
        <w:rPr>
          <w:sz w:val="20"/>
          <w:szCs w:val="20"/>
          <w:color w:val="auto"/>
        </w:rPr>
      </w:pPr>
    </w:p>
    <w:p>
      <w:pPr>
        <w:ind w:left="200" w:right="480" w:firstLine="441"/>
        <w:spacing w:after="0" w:line="282" w:lineRule="auto"/>
        <w:rPr>
          <w:sz w:val="20"/>
          <w:szCs w:val="20"/>
          <w:color w:val="auto"/>
        </w:rPr>
      </w:pPr>
      <w:r>
        <w:rPr>
          <w:rFonts w:ascii="Times New Roman" w:cs="Times New Roman" w:eastAsia="Times New Roman" w:hAnsi="Times New Roman"/>
          <w:sz w:val="18"/>
          <w:szCs w:val="18"/>
          <w:color w:val="auto"/>
        </w:rPr>
        <w:t>Book-entry and other indirect holders should consult their banks or brokers for information on how they will receive payments on their debt securities.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200" w:right="640" w:firstLine="441"/>
        <w:spacing w:after="0" w:line="282" w:lineRule="auto"/>
        <w:rPr>
          <w:sz w:val="20"/>
          <w:szCs w:val="20"/>
          <w:color w:val="auto"/>
        </w:rPr>
      </w:pPr>
      <w:r>
        <w:rPr>
          <w:rFonts w:ascii="Times New Roman" w:cs="Times New Roman" w:eastAsia="Times New Roman" w:hAnsi="Times New Roman"/>
          <w:sz w:val="18"/>
          <w:szCs w:val="18"/>
          <w:color w:val="auto"/>
        </w:rPr>
        <w:t>You will have rights if an Event of Default occurs in respect of the debt securities of your series and is not cured, as described later in this subsection.</w:t>
      </w:r>
    </w:p>
    <w:p>
      <w:pPr>
        <w:spacing w:after="0" w:line="162" w:lineRule="exact"/>
        <w:rPr>
          <w:sz w:val="20"/>
          <w:szCs w:val="20"/>
          <w:color w:val="auto"/>
        </w:rPr>
      </w:pPr>
    </w:p>
    <w:p>
      <w:pPr>
        <w:ind w:left="200" w:right="80" w:firstLine="441"/>
        <w:spacing w:after="0" w:line="282" w:lineRule="auto"/>
        <w:rPr>
          <w:sz w:val="20"/>
          <w:szCs w:val="20"/>
          <w:color w:val="auto"/>
        </w:rPr>
      </w:pPr>
      <w:r>
        <w:rPr>
          <w:rFonts w:ascii="Times New Roman" w:cs="Times New Roman" w:eastAsia="Times New Roman" w:hAnsi="Times New Roman"/>
          <w:sz w:val="18"/>
          <w:szCs w:val="18"/>
          <w:color w:val="auto"/>
        </w:rPr>
        <w:t>The term “Event of Default” in respect of the debt securities of your series means any of the following (unless the prospectus supplement relating to such debt securities states otherwise):</w:t>
      </w:r>
    </w:p>
    <w:p>
      <w:pPr>
        <w:spacing w:after="0" w:line="67" w:lineRule="exact"/>
        <w:rPr>
          <w:sz w:val="20"/>
          <w:szCs w:val="20"/>
          <w:color w:val="auto"/>
        </w:rPr>
      </w:pPr>
    </w:p>
    <w:p>
      <w:pPr>
        <w:ind w:left="1060" w:right="460" w:hanging="316"/>
        <w:spacing w:after="0" w:line="282" w:lineRule="auto"/>
        <w:tabs>
          <w:tab w:leader="none" w:pos="10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the principal of, or any premium on, a debt security of the series on its due date, including upon any redemption date or required repurchase date.</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interest on a debt security of the series when due, and such default is not cured within 30 days.</w:t>
      </w:r>
    </w:p>
    <w:p>
      <w:pPr>
        <w:spacing w:after="0" w:line="130" w:lineRule="exact"/>
        <w:rPr>
          <w:rFonts w:ascii="Times New Roman" w:cs="Times New Roman" w:eastAsia="Times New Roman" w:hAnsi="Times New Roman"/>
          <w:sz w:val="18"/>
          <w:szCs w:val="18"/>
          <w:color w:val="auto"/>
        </w:rPr>
      </w:pPr>
    </w:p>
    <w:p>
      <w:pPr>
        <w:ind w:left="1060" w:hanging="316"/>
        <w:spacing w:after="0" w:line="282" w:lineRule="auto"/>
        <w:tabs>
          <w:tab w:leader="none" w:pos="10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deposit any sinking fund payment in respect of debt securities of the series on its due date, and do not cure this default within five days.</w:t>
      </w:r>
    </w:p>
    <w:p>
      <w:pPr>
        <w:spacing w:after="0" w:line="67" w:lineRule="exact"/>
        <w:rPr>
          <w:rFonts w:ascii="Times New Roman" w:cs="Times New Roman" w:eastAsia="Times New Roman" w:hAnsi="Times New Roman"/>
          <w:sz w:val="18"/>
          <w:szCs w:val="18"/>
          <w:color w:val="auto"/>
        </w:rPr>
      </w:pPr>
    </w:p>
    <w:p>
      <w:pPr>
        <w:ind w:left="1060" w:right="220" w:hanging="316"/>
        <w:spacing w:after="0" w:line="266" w:lineRule="auto"/>
        <w:tabs>
          <w:tab w:leader="none" w:pos="10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81" w:lineRule="exact"/>
        <w:rPr>
          <w:rFonts w:ascii="Times New Roman" w:cs="Times New Roman" w:eastAsia="Times New Roman" w:hAnsi="Times New Roman"/>
          <w:sz w:val="18"/>
          <w:szCs w:val="18"/>
          <w:color w:val="auto"/>
        </w:rPr>
      </w:pPr>
    </w:p>
    <w:p>
      <w:pPr>
        <w:ind w:left="1060" w:right="120" w:hanging="316"/>
        <w:spacing w:after="0" w:line="282" w:lineRule="auto"/>
        <w:tabs>
          <w:tab w:leader="none" w:pos="10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file for bankruptcy or certain other events of bankruptcy, insolvency or reorganization occur and remain undischarged or unstayed for a period of 90 days.</w:t>
      </w:r>
    </w:p>
    <w:p>
      <w:pPr>
        <w:spacing w:after="0" w:line="67" w:lineRule="exact"/>
        <w:rPr>
          <w:rFonts w:ascii="Times New Roman" w:cs="Times New Roman" w:eastAsia="Times New Roman" w:hAnsi="Times New Roman"/>
          <w:sz w:val="18"/>
          <w:szCs w:val="18"/>
          <w:color w:val="auto"/>
        </w:rPr>
      </w:pPr>
    </w:p>
    <w:p>
      <w:pPr>
        <w:ind w:left="1060" w:hanging="316"/>
        <w:spacing w:after="0" w:line="258" w:lineRule="auto"/>
        <w:tabs>
          <w:tab w:leader="none" w:pos="10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“significant subsidiaries” (as defined in in Rule 1-02(w) of Regulation S-X, other than subsidiaries that are non-recourse or limited recourse subsidiaries, bankruptcy remote special purpose vehicles and any subsidiaries that are not consolidated with us for GAAP purposes) default, with respect to any mortgage, agreement or other instrument under which there may be outstanding, or by which there may be secured or evidenced, any indebtedness for money borrowed in excess of $50 million in the aggregate of us and/or any such subsidiary, (i) resulting in such indebtedness</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200"/>
          </w:cols>
          <w:pgMar w:left="240" w:top="455" w:right="45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80" w:right="160"/>
        <w:spacing w:after="0" w:line="258" w:lineRule="auto"/>
        <w:rPr>
          <w:sz w:val="20"/>
          <w:szCs w:val="20"/>
          <w:color w:val="auto"/>
        </w:rPr>
      </w:pPr>
      <w:r>
        <w:rPr>
          <w:rFonts w:ascii="Times New Roman" w:cs="Times New Roman" w:eastAsia="Times New Roman" w:hAnsi="Times New Roman"/>
          <w:sz w:val="18"/>
          <w:szCs w:val="18"/>
          <w:color w:val="auto"/>
        </w:rPr>
        <w:t>becoming or being declared due and payable or (ii) constituting a failure to pay the principal or interest of any such debt when due and payable at its stated maturity, upon required repurchase, upon declaration of acceleration or otherwise, unless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debt securities of the series then outstanding.</w:t>
      </w:r>
    </w:p>
    <w:p>
      <w:pPr>
        <w:spacing w:after="0" w:line="89" w:lineRule="exact"/>
        <w:rPr>
          <w:sz w:val="20"/>
          <w:szCs w:val="20"/>
          <w:color w:val="auto"/>
        </w:rPr>
      </w:pPr>
    </w:p>
    <w:p>
      <w:pPr>
        <w:ind w:left="1060" w:right="40" w:hanging="316"/>
        <w:spacing w:after="0" w:line="282" w:lineRule="auto"/>
        <w:tabs>
          <w:tab w:leader="none" w:pos="10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last business day of each of twenty-four consecutive calendar months, we have an asset coverage of less than 100%, giving effect to any amendments to Section 18(a)(1)(C)(ii) and Section 61 of the 1940 Act or to any exemptive relief granted to us by the SEC.</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in respect of debt securities of the series described in the applicable prospectus supplement occurs.</w:t>
      </w:r>
    </w:p>
    <w:p>
      <w:pPr>
        <w:spacing w:after="0" w:line="225" w:lineRule="exact"/>
        <w:rPr>
          <w:sz w:val="20"/>
          <w:szCs w:val="20"/>
          <w:color w:val="auto"/>
        </w:rPr>
      </w:pPr>
    </w:p>
    <w:p>
      <w:pPr>
        <w:ind w:left="200" w:right="220" w:firstLine="441"/>
        <w:spacing w:after="0" w:line="266"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Remedies If an Event of Default Occurs</w:t>
      </w:r>
    </w:p>
    <w:p>
      <w:pPr>
        <w:spacing w:after="0" w:line="121"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If an Event of Default has occurred and has not been cured, the trustee or the holders of at least 25% in principal amount of the debt securities of the affected series may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debt securities of the affected series.</w:t>
      </w:r>
    </w:p>
    <w:p>
      <w:pPr>
        <w:spacing w:after="0" w:line="180" w:lineRule="exact"/>
        <w:rPr>
          <w:sz w:val="20"/>
          <w:szCs w:val="20"/>
          <w:color w:val="auto"/>
        </w:rPr>
      </w:pPr>
    </w:p>
    <w:p>
      <w:pPr>
        <w:ind w:left="200" w:right="80" w:firstLine="441"/>
        <w:spacing w:after="0" w:line="258" w:lineRule="auto"/>
        <w:rPr>
          <w:sz w:val="20"/>
          <w:szCs w:val="20"/>
          <w:color w:val="auto"/>
        </w:rPr>
      </w:pPr>
      <w:r>
        <w:rPr>
          <w:rFonts w:ascii="Times New Roman" w:cs="Times New Roman" w:eastAsia="Times New Roman" w:hAnsi="Times New Roman"/>
          <w:sz w:val="18"/>
          <w:szCs w:val="18"/>
          <w:color w:val="auto"/>
        </w:rPr>
        <w:t>The trustee is not required to take any action under the indenture at the request of any holders unless the holders offer the trustee protection from expenses and liability (called an “indemnity”) (Section 315 of the Trust Indenture Act of 1939). If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84"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67" w:lineRule="exact"/>
        <w:rPr>
          <w:sz w:val="20"/>
          <w:szCs w:val="20"/>
          <w:color w:val="auto"/>
        </w:rPr>
      </w:pPr>
    </w:p>
    <w:p>
      <w:pPr>
        <w:ind w:left="1060" w:hanging="316"/>
        <w:spacing w:after="0"/>
        <w:tabs>
          <w:tab w:leader="none" w:pos="10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give your trustee written notice that an Event of Default has occurred and remains uncured.</w:t>
      </w:r>
    </w:p>
    <w:p>
      <w:pPr>
        <w:spacing w:after="0" w:line="130" w:lineRule="exact"/>
        <w:rPr>
          <w:rFonts w:ascii="Times New Roman" w:cs="Times New Roman" w:eastAsia="Times New Roman" w:hAnsi="Times New Roman"/>
          <w:sz w:val="18"/>
          <w:szCs w:val="18"/>
          <w:color w:val="auto"/>
        </w:rPr>
      </w:pPr>
    </w:p>
    <w:p>
      <w:pPr>
        <w:ind w:left="1060" w:right="60" w:hanging="316"/>
        <w:spacing w:after="0" w:line="282" w:lineRule="auto"/>
        <w:tabs>
          <w:tab w:leader="none" w:pos="10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all outstanding debt securities of the relevant series must make a written request that the trustee take action because of the default and must offer indemnity to the trustee against the cost and other liabilities of taking that action.</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must not have taken action for 60 days after receipt of the above notice and offer of indemnity.</w:t>
      </w:r>
    </w:p>
    <w:p>
      <w:pPr>
        <w:spacing w:after="0" w:line="130" w:lineRule="exact"/>
        <w:rPr>
          <w:rFonts w:ascii="Times New Roman" w:cs="Times New Roman" w:eastAsia="Times New Roman" w:hAnsi="Times New Roman"/>
          <w:sz w:val="18"/>
          <w:szCs w:val="18"/>
          <w:color w:val="auto"/>
        </w:rPr>
      </w:pPr>
    </w:p>
    <w:p>
      <w:pPr>
        <w:ind w:left="1060" w:right="140" w:hanging="316"/>
        <w:spacing w:after="0" w:line="282" w:lineRule="auto"/>
        <w:tabs>
          <w:tab w:leader="none" w:pos="10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principal amount of the debt securities must not have given the trustee a direction inconsistent with the above notice during that 60 day period.</w:t>
      </w:r>
    </w:p>
    <w:p>
      <w:pPr>
        <w:spacing w:after="0" w:line="162" w:lineRule="exact"/>
        <w:rPr>
          <w:sz w:val="20"/>
          <w:szCs w:val="20"/>
          <w:color w:val="auto"/>
        </w:rPr>
      </w:pPr>
    </w:p>
    <w:p>
      <w:pPr>
        <w:jc w:val="center"/>
        <w:ind w:right="200"/>
        <w:spacing w:after="0" w:line="454" w:lineRule="auto"/>
        <w:rPr>
          <w:sz w:val="20"/>
          <w:szCs w:val="20"/>
          <w:color w:val="auto"/>
        </w:rPr>
      </w:pPr>
      <w:r>
        <w:rPr>
          <w:rFonts w:ascii="Times New Roman" w:cs="Times New Roman" w:eastAsia="Times New Roman" w:hAnsi="Times New Roman"/>
          <w:sz w:val="18"/>
          <w:szCs w:val="18"/>
          <w:color w:val="auto"/>
        </w:rPr>
        <w:t>However, you are entitled at any time to bring a lawsuit for the payment of money due on your debt securities on or after the due date. 167</w:t>
      </w:r>
    </w:p>
    <w:p>
      <w:pPr>
        <w:sectPr>
          <w:pgSz w:w="11900" w:h="16838" w:orient="portrait"/>
          <w:cols w:equalWidth="0" w:num="1">
            <w:col w:w="11140"/>
          </w:cols>
          <w:pgMar w:left="240" w:top="456" w:right="51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Holders of a majority in principal amount of the debt securities of the affected series may waive any past defaults other than:</w:t>
      </w:r>
    </w:p>
    <w:p>
      <w:pPr>
        <w:spacing w:after="0" w:line="131" w:lineRule="exact"/>
        <w:rPr>
          <w:sz w:val="20"/>
          <w:szCs w:val="20"/>
          <w:color w:val="auto"/>
        </w:rPr>
      </w:pPr>
    </w:p>
    <w:p>
      <w:pPr>
        <w:ind w:left="1060" w:hanging="316"/>
        <w:spacing w:after="0"/>
        <w:tabs>
          <w:tab w:leader="none" w:pos="10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principal, any premium or interest; or</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that cannot be modified or amended without the consent of each holder.</w:t>
      </w:r>
    </w:p>
    <w:p>
      <w:pPr>
        <w:spacing w:after="0" w:line="221" w:lineRule="exact"/>
        <w:rPr>
          <w:sz w:val="20"/>
          <w:szCs w:val="20"/>
          <w:color w:val="auto"/>
        </w:rPr>
      </w:pPr>
    </w:p>
    <w:p>
      <w:pPr>
        <w:ind w:left="200" w:right="280"/>
        <w:spacing w:after="0" w:line="286"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59" w:lineRule="exact"/>
        <w:rPr>
          <w:sz w:val="20"/>
          <w:szCs w:val="20"/>
          <w:color w:val="auto"/>
        </w:rPr>
      </w:pPr>
    </w:p>
    <w:p>
      <w:pPr>
        <w:ind w:left="200" w:right="320" w:firstLine="441"/>
        <w:spacing w:after="0" w:line="282" w:lineRule="auto"/>
        <w:rPr>
          <w:sz w:val="20"/>
          <w:szCs w:val="20"/>
          <w:color w:val="auto"/>
        </w:rPr>
      </w:pPr>
      <w:r>
        <w:rPr>
          <w:rFonts w:ascii="Times New Roman" w:cs="Times New Roman" w:eastAsia="Times New Roman" w:hAnsi="Times New Roman"/>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Merger, Consolidation or Sale of Assets</w:t>
      </w:r>
    </w:p>
    <w:p>
      <w:pPr>
        <w:spacing w:after="0" w:line="121" w:lineRule="exact"/>
        <w:rPr>
          <w:sz w:val="20"/>
          <w:szCs w:val="20"/>
          <w:color w:val="auto"/>
        </w:rPr>
      </w:pPr>
    </w:p>
    <w:p>
      <w:pPr>
        <w:ind w:left="200" w:right="200" w:firstLine="441"/>
        <w:spacing w:after="0" w:line="266" w:lineRule="auto"/>
        <w:rPr>
          <w:sz w:val="20"/>
          <w:szCs w:val="20"/>
          <w:color w:val="auto"/>
        </w:rPr>
      </w:pPr>
      <w:r>
        <w:rPr>
          <w:rFonts w:ascii="Times New Roman" w:cs="Times New Roman" w:eastAsia="Times New Roman" w:hAnsi="Times New Roman"/>
          <w:sz w:val="18"/>
          <w:szCs w:val="18"/>
          <w:color w:val="auto"/>
        </w:rPr>
        <w:t>Under the terms of the indenture, we are generally permitted to consolidate or merge with another entity. We are also permitted to sell all or substantially all of our assets to another entity. However, unless the prospectus supplement relating to certain debt securities states otherwise, we may not take any of these actions unless all the following conditions are met:</w:t>
      </w:r>
    </w:p>
    <w:p>
      <w:pPr>
        <w:spacing w:after="0" w:line="82" w:lineRule="exact"/>
        <w:rPr>
          <w:sz w:val="20"/>
          <w:szCs w:val="20"/>
          <w:color w:val="auto"/>
        </w:rPr>
      </w:pPr>
    </w:p>
    <w:p>
      <w:pPr>
        <w:ind w:left="1060" w:hanging="316"/>
        <w:spacing w:after="0" w:line="282" w:lineRule="auto"/>
        <w:tabs>
          <w:tab w:leader="none" w:pos="10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we merge out of existence or sell all or substantially all our assets, the resulting entity or transferee must be organized and existing in the United States and must agree to be legally responsible for our obligations under the debt securities.</w:t>
      </w:r>
    </w:p>
    <w:p>
      <w:pPr>
        <w:spacing w:after="0" w:line="67" w:lineRule="exact"/>
        <w:rPr>
          <w:rFonts w:ascii="Times New Roman" w:cs="Times New Roman" w:eastAsia="Times New Roman" w:hAnsi="Times New Roman"/>
          <w:sz w:val="18"/>
          <w:szCs w:val="18"/>
          <w:color w:val="auto"/>
        </w:rPr>
      </w:pPr>
    </w:p>
    <w:p>
      <w:pPr>
        <w:ind w:left="1060" w:right="400" w:hanging="316"/>
        <w:spacing w:after="0" w:line="282" w:lineRule="auto"/>
        <w:tabs>
          <w:tab w:leader="none" w:pos="10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such transaction, no Default or Event of Default shall have happened and be continuing.</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certain certificates and documents to the trustee.</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Other Covenants</w:t>
      </w:r>
    </w:p>
    <w:p>
      <w:pPr>
        <w:spacing w:after="0" w:line="135" w:lineRule="exact"/>
        <w:rPr>
          <w:sz w:val="20"/>
          <w:szCs w:val="20"/>
          <w:color w:val="auto"/>
        </w:rPr>
      </w:pPr>
    </w:p>
    <w:p>
      <w:pPr>
        <w:jc w:val="both"/>
        <w:ind w:left="1060" w:right="40" w:hanging="316"/>
        <w:spacing w:after="0" w:line="266" w:lineRule="auto"/>
        <w:tabs>
          <w:tab w:leader="none" w:pos="10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of time during which debt securities of any series are outstanding, we will not violate, whether or not we are subject thereto, Section 18(a)(1)(A) as modified by Section 61(a)(1) and (2) of the 1940 Act or any successor provisions, but giving effect, in either case, to any exemptive relief granted to us by the SEC.</w:t>
      </w:r>
    </w:p>
    <w:p>
      <w:pPr>
        <w:spacing w:after="0" w:line="81" w:lineRule="exact"/>
        <w:rPr>
          <w:rFonts w:ascii="Times New Roman" w:cs="Times New Roman" w:eastAsia="Times New Roman" w:hAnsi="Times New Roman"/>
          <w:sz w:val="18"/>
          <w:szCs w:val="18"/>
          <w:color w:val="auto"/>
        </w:rPr>
      </w:pPr>
    </w:p>
    <w:p>
      <w:pPr>
        <w:ind w:left="1060" w:right="20" w:hanging="316"/>
        <w:spacing w:after="0" w:line="258" w:lineRule="auto"/>
        <w:tabs>
          <w:tab w:leader="none" w:pos="10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we are not subject to the reporting requirements of Sections 13 or 15(d) of the Exchange Act to file any periodic reports with the SEC, we agree to furnish to holders of the any series of debt securities outstanding and the trustee, for the period of time during which the such debt securities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Modification or Waiver</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There are three types of changes we can make to the indenture and the debt securities issued thereunder.</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Your Approval</w:t>
      </w:r>
    </w:p>
    <w:p>
      <w:pPr>
        <w:spacing w:after="0" w:line="121" w:lineRule="exact"/>
        <w:rPr>
          <w:sz w:val="20"/>
          <w:szCs w:val="20"/>
          <w:color w:val="auto"/>
        </w:rPr>
      </w:pPr>
    </w:p>
    <w:p>
      <w:pPr>
        <w:ind w:left="200" w:right="540" w:firstLine="441"/>
        <w:spacing w:after="0" w:line="282" w:lineRule="auto"/>
        <w:rPr>
          <w:sz w:val="20"/>
          <w:szCs w:val="20"/>
          <w:color w:val="auto"/>
        </w:rPr>
      </w:pPr>
      <w:r>
        <w:rPr>
          <w:rFonts w:ascii="Times New Roman" w:cs="Times New Roman" w:eastAsia="Times New Roman" w:hAnsi="Times New Roman"/>
          <w:sz w:val="18"/>
          <w:szCs w:val="18"/>
          <w:color w:val="auto"/>
        </w:rPr>
        <w:t>First, there are changes that we cannot make to your debt securities without your specific approval. The following is a list of those types of changes:</w:t>
      </w:r>
    </w:p>
    <w:p>
      <w:pPr>
        <w:spacing w:after="0" w:line="67" w:lineRule="exact"/>
        <w:rPr>
          <w:sz w:val="20"/>
          <w:szCs w:val="20"/>
          <w:color w:val="auto"/>
        </w:rPr>
      </w:pPr>
    </w:p>
    <w:p>
      <w:pPr>
        <w:ind w:left="5580" w:right="4740" w:hanging="4836"/>
        <w:spacing w:after="0" w:line="495" w:lineRule="auto"/>
        <w:tabs>
          <w:tab w:leader="none" w:pos="1069"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the stated maturity of the principal of or interest on a debt security; 168</w:t>
      </w:r>
    </w:p>
    <w:p>
      <w:pPr>
        <w:sectPr>
          <w:pgSz w:w="11900" w:h="16838" w:orient="portrait"/>
          <w:cols w:equalWidth="0" w:num="1">
            <w:col w:w="11180"/>
          </w:cols>
          <w:pgMar w:left="240" w:top="456" w:right="47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amounts due on a debt security;</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payable upon acceleration of the maturity of a security following a default;</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of repayment at the holder’s option;</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(except as otherwise described in the prospectus or prospectus supplement) or currency of payment on a debt security;</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your right to sue for payment;</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to convert or exchange a debt security in accordance with its terms;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subordination provisions in the indenture in a manner that is adverse to outstanding holders of the debt securities;</w:t>
      </w:r>
    </w:p>
    <w:p>
      <w:pPr>
        <w:spacing w:after="0" w:line="130"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modify or amend the indenture;</w:t>
      </w:r>
    </w:p>
    <w:p>
      <w:pPr>
        <w:spacing w:after="0" w:line="130" w:lineRule="exact"/>
        <w:rPr>
          <w:rFonts w:ascii="Times New Roman" w:cs="Times New Roman" w:eastAsia="Times New Roman" w:hAnsi="Times New Roman"/>
          <w:sz w:val="18"/>
          <w:szCs w:val="18"/>
          <w:color w:val="auto"/>
        </w:rPr>
      </w:pPr>
    </w:p>
    <w:p>
      <w:pPr>
        <w:ind w:left="1060" w:right="60" w:hanging="316"/>
        <w:spacing w:after="0" w:line="282" w:lineRule="auto"/>
        <w:tabs>
          <w:tab w:leader="none" w:pos="10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waive compliance with certain provisions of the indenture or to waive certain defaults;</w:t>
      </w:r>
    </w:p>
    <w:p>
      <w:pPr>
        <w:spacing w:after="0" w:line="67" w:lineRule="exact"/>
        <w:rPr>
          <w:rFonts w:ascii="Times New Roman" w:cs="Times New Roman" w:eastAsia="Times New Roman" w:hAnsi="Times New Roman"/>
          <w:sz w:val="18"/>
          <w:szCs w:val="18"/>
          <w:color w:val="auto"/>
        </w:rPr>
      </w:pPr>
    </w:p>
    <w:p>
      <w:pPr>
        <w:ind w:left="1060" w:hanging="316"/>
        <w:spacing w:after="0" w:line="282" w:lineRule="auto"/>
        <w:tabs>
          <w:tab w:leader="none" w:pos="10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we have to pay additional amounts.</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Changes Not Requiring Approval</w:t>
      </w:r>
    </w:p>
    <w:p>
      <w:pPr>
        <w:spacing w:after="0" w:line="121"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including adding additional covenants or event of default. We also do not need any approval to make any change that affects only debt securities to be issued under the indenture after the change takes effect.</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Majority Approval</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Any other change to the indenture and the debt securities would require the following approval:</w:t>
      </w:r>
    </w:p>
    <w:p>
      <w:pPr>
        <w:spacing w:after="0" w:line="131" w:lineRule="exact"/>
        <w:rPr>
          <w:sz w:val="20"/>
          <w:szCs w:val="20"/>
          <w:color w:val="auto"/>
        </w:rPr>
      </w:pPr>
    </w:p>
    <w:p>
      <w:pPr>
        <w:ind w:left="1060" w:hanging="316"/>
        <w:spacing w:after="0"/>
        <w:tabs>
          <w:tab w:leader="none" w:pos="10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one series of debt securities, it must be approved by the holders of a majority in principal amount of that series.</w:t>
      </w:r>
    </w:p>
    <w:p>
      <w:pPr>
        <w:spacing w:after="0" w:line="130" w:lineRule="exact"/>
        <w:rPr>
          <w:rFonts w:ascii="Times New Roman" w:cs="Times New Roman" w:eastAsia="Times New Roman" w:hAnsi="Times New Roman"/>
          <w:sz w:val="18"/>
          <w:szCs w:val="18"/>
          <w:color w:val="auto"/>
        </w:rPr>
      </w:pPr>
    </w:p>
    <w:p>
      <w:pPr>
        <w:ind w:left="1060" w:right="60" w:hanging="316"/>
        <w:spacing w:after="0" w:line="282" w:lineRule="auto"/>
        <w:tabs>
          <w:tab w:leader="none" w:pos="10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62" w:lineRule="exact"/>
        <w:rPr>
          <w:sz w:val="20"/>
          <w:szCs w:val="20"/>
          <w:color w:val="auto"/>
        </w:rPr>
      </w:pPr>
    </w:p>
    <w:p>
      <w:pPr>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“—Changes Requiring Your Approval.”</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Further Details Concerning Voting</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1060" w:right="160" w:hanging="316"/>
        <w:spacing w:after="0" w:line="282" w:lineRule="auto"/>
        <w:tabs>
          <w:tab w:leader="none" w:pos="10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60"/>
          </w:cols>
          <w:pgMar w:left="240" w:top="456" w:right="49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60" w:right="260" w:hanging="316"/>
        <w:spacing w:after="0" w:line="282" w:lineRule="auto"/>
        <w:tabs>
          <w:tab w:leader="none" w:pos="10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whose principal amount is not known (for example, because it is based on an index), we will use a special rule for that debt security described in the prospectus supplement.</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denominated in one or more foreign currencies, we will use the U.S. dollar equivalent.</w:t>
      </w:r>
    </w:p>
    <w:p>
      <w:pPr>
        <w:spacing w:after="0" w:line="130" w:lineRule="exact"/>
        <w:rPr>
          <w:rFonts w:ascii="Times New Roman" w:cs="Times New Roman" w:eastAsia="Times New Roman" w:hAnsi="Times New Roman"/>
          <w:sz w:val="18"/>
          <w:szCs w:val="18"/>
          <w:color w:val="auto"/>
        </w:rPr>
      </w:pPr>
    </w:p>
    <w:p>
      <w:pPr>
        <w:ind w:left="1060" w:right="260" w:hanging="316"/>
        <w:spacing w:after="0" w:line="266" w:lineRule="auto"/>
        <w:tabs>
          <w:tab w:leader="none" w:pos="10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 Defeasance—Full Defeasance.”</w:t>
      </w:r>
    </w:p>
    <w:p>
      <w:pPr>
        <w:spacing w:after="0" w:line="176" w:lineRule="exact"/>
        <w:rPr>
          <w:sz w:val="20"/>
          <w:szCs w:val="20"/>
          <w:color w:val="auto"/>
        </w:rPr>
      </w:pPr>
    </w:p>
    <w:p>
      <w:pPr>
        <w:ind w:left="200" w:right="40" w:firstLine="441"/>
        <w:spacing w:after="0" w:line="261" w:lineRule="auto"/>
        <w:rPr>
          <w:sz w:val="20"/>
          <w:szCs w:val="20"/>
          <w:color w:val="auto"/>
        </w:rPr>
      </w:pPr>
      <w:r>
        <w:rPr>
          <w:rFonts w:ascii="Times New Roman" w:cs="Times New Roman" w:eastAsia="Times New Roman" w:hAnsi="Times New Roman"/>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0" w:lineRule="exact"/>
        <w:rPr>
          <w:sz w:val="20"/>
          <w:szCs w:val="20"/>
          <w:color w:val="auto"/>
        </w:rPr>
      </w:pPr>
    </w:p>
    <w:p>
      <w:pPr>
        <w:ind w:left="200" w:right="100" w:firstLine="441"/>
        <w:spacing w:after="0" w:line="282" w:lineRule="auto"/>
        <w:rPr>
          <w:sz w:val="20"/>
          <w:szCs w:val="20"/>
          <w:color w:val="auto"/>
        </w:rPr>
      </w:pPr>
      <w:r>
        <w:rPr>
          <w:rFonts w:ascii="Times New Roman" w:cs="Times New Roman" w:eastAsia="Times New Roman" w:hAnsi="Times New Roman"/>
          <w:sz w:val="18"/>
          <w:szCs w:val="18"/>
          <w:color w:val="auto"/>
        </w:rPr>
        <w:t>Book-entry and other indirect holders should consult their banks or brokers for information on how approval may be granted or denied if we seek to change the indenture or the debt securities or request a waiver.</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ind w:left="200" w:right="520" w:firstLine="441"/>
        <w:spacing w:after="0" w:line="282" w:lineRule="auto"/>
        <w:rPr>
          <w:sz w:val="20"/>
          <w:szCs w:val="20"/>
          <w:color w:val="auto"/>
        </w:rPr>
      </w:pPr>
      <w:r>
        <w:rPr>
          <w:rFonts w:ascii="Times New Roman" w:cs="Times New Roman" w:eastAsia="Times New Roman" w:hAnsi="Times New Roman"/>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Covenant Defeasance</w:t>
      </w:r>
    </w:p>
    <w:p>
      <w:pPr>
        <w:spacing w:after="0" w:line="121"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w:t>
      </w:r>
    </w:p>
    <w:p>
      <w:pPr>
        <w:spacing w:after="0" w:line="89" w:lineRule="exact"/>
        <w:rPr>
          <w:sz w:val="20"/>
          <w:szCs w:val="20"/>
          <w:color w:val="auto"/>
        </w:rPr>
      </w:pPr>
    </w:p>
    <w:p>
      <w:pPr>
        <w:ind w:left="1060" w:right="40" w:hanging="316"/>
        <w:spacing w:after="0" w:line="266" w:lineRule="auto"/>
        <w:tabs>
          <w:tab w:leader="none" w:pos="10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81" w:lineRule="exact"/>
        <w:rPr>
          <w:rFonts w:ascii="Times New Roman" w:cs="Times New Roman" w:eastAsia="Times New Roman" w:hAnsi="Times New Roman"/>
          <w:sz w:val="18"/>
          <w:szCs w:val="18"/>
          <w:color w:val="auto"/>
        </w:rPr>
      </w:pPr>
    </w:p>
    <w:p>
      <w:pPr>
        <w:jc w:val="both"/>
        <w:ind w:left="1060" w:right="140" w:hanging="316"/>
        <w:spacing w:after="0" w:line="266" w:lineRule="auto"/>
        <w:tabs>
          <w:tab w:leader="none" w:pos="10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repaid the debt securities at maturity.</w:t>
      </w:r>
    </w:p>
    <w:p>
      <w:pPr>
        <w:spacing w:after="0" w:line="81" w:lineRule="exact"/>
        <w:rPr>
          <w:rFonts w:ascii="Times New Roman" w:cs="Times New Roman" w:eastAsia="Times New Roman" w:hAnsi="Times New Roman"/>
          <w:sz w:val="18"/>
          <w:szCs w:val="18"/>
          <w:color w:val="auto"/>
        </w:rPr>
      </w:pPr>
    </w:p>
    <w:p>
      <w:pPr>
        <w:ind w:left="1060" w:right="80" w:hanging="316"/>
        <w:spacing w:after="0" w:line="282" w:lineRule="auto"/>
        <w:tabs>
          <w:tab w:leader="none" w:pos="10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and officers’ certificate stating that all conditions precedent to covenant defeasance have been complied with.</w:t>
      </w:r>
    </w:p>
    <w:p>
      <w:pPr>
        <w:spacing w:after="0" w:line="162"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220"/>
          </w:cols>
          <w:pgMar w:left="240" w:top="455" w:right="43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Full Defeasance</w:t>
      </w:r>
    </w:p>
    <w:p>
      <w:pPr>
        <w:spacing w:after="0" w:line="121"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67" w:lineRule="exact"/>
        <w:rPr>
          <w:sz w:val="20"/>
          <w:szCs w:val="20"/>
          <w:color w:val="auto"/>
        </w:rPr>
      </w:pPr>
    </w:p>
    <w:p>
      <w:pPr>
        <w:ind w:left="1060" w:right="20" w:hanging="316"/>
        <w:spacing w:after="0" w:line="266" w:lineRule="auto"/>
        <w:tabs>
          <w:tab w:leader="none" w:pos="10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81" w:lineRule="exact"/>
        <w:rPr>
          <w:rFonts w:ascii="Times New Roman" w:cs="Times New Roman" w:eastAsia="Times New Roman" w:hAnsi="Times New Roman"/>
          <w:sz w:val="18"/>
          <w:szCs w:val="18"/>
          <w:color w:val="auto"/>
        </w:rPr>
      </w:pPr>
    </w:p>
    <w:p>
      <w:pPr>
        <w:ind w:left="1060" w:right="100" w:hanging="316"/>
        <w:spacing w:after="0" w:line="258" w:lineRule="auto"/>
        <w:tabs>
          <w:tab w:leader="none" w:pos="10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89" w:lineRule="exact"/>
        <w:rPr>
          <w:rFonts w:ascii="Times New Roman" w:cs="Times New Roman" w:eastAsia="Times New Roman" w:hAnsi="Times New Roman"/>
          <w:sz w:val="18"/>
          <w:szCs w:val="18"/>
          <w:color w:val="auto"/>
        </w:rPr>
      </w:pPr>
    </w:p>
    <w:p>
      <w:pPr>
        <w:ind w:left="1060" w:right="40" w:hanging="316"/>
        <w:spacing w:after="0" w:line="282" w:lineRule="auto"/>
        <w:tabs>
          <w:tab w:leader="none" w:pos="10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and officers’ certificate stating that all conditions precedent to defeasance have been complied with.</w:t>
      </w:r>
    </w:p>
    <w:p>
      <w:pPr>
        <w:spacing w:after="0" w:line="162"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If we ever accomplished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Provisions—Subordination.”</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Form, Exchange and Transfer of Certificated Registered Securities</w:t>
      </w:r>
    </w:p>
    <w:p>
      <w:pPr>
        <w:spacing w:after="0" w:line="121" w:lineRule="exact"/>
        <w:rPr>
          <w:sz w:val="20"/>
          <w:szCs w:val="20"/>
          <w:color w:val="auto"/>
        </w:rPr>
      </w:pPr>
    </w:p>
    <w:p>
      <w:pPr>
        <w:ind w:left="200" w:right="200" w:firstLine="441"/>
        <w:spacing w:after="0" w:line="282" w:lineRule="auto"/>
        <w:rPr>
          <w:sz w:val="20"/>
          <w:szCs w:val="20"/>
          <w:color w:val="auto"/>
        </w:rPr>
      </w:pPr>
      <w:r>
        <w:rPr>
          <w:rFonts w:ascii="Times New Roman" w:cs="Times New Roman" w:eastAsia="Times New Roman" w:hAnsi="Times New Roman"/>
          <w:sz w:val="18"/>
          <w:szCs w:val="18"/>
          <w:color w:val="auto"/>
        </w:rPr>
        <w:t>Holders may exchange their certificated securities, if any, for debt securities of smaller denominations or combined into fewer debt securities of larger denominations, as long as the total principal amount is not changed.</w:t>
      </w:r>
    </w:p>
    <w:p>
      <w:pPr>
        <w:spacing w:after="0" w:line="162" w:lineRule="exact"/>
        <w:rPr>
          <w:sz w:val="20"/>
          <w:szCs w:val="20"/>
          <w:color w:val="auto"/>
        </w:rPr>
      </w:pPr>
    </w:p>
    <w:p>
      <w:pPr>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76"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w:t>
      </w:r>
    </w:p>
    <w:p>
      <w:pPr>
        <w:spacing w:after="0" w:line="176" w:lineRule="exact"/>
        <w:rPr>
          <w:sz w:val="20"/>
          <w:szCs w:val="20"/>
          <w:color w:val="auto"/>
        </w:rPr>
      </w:pPr>
    </w:p>
    <w:p>
      <w:pPr>
        <w:ind w:left="200" w:right="380" w:firstLine="441"/>
        <w:spacing w:after="0" w:line="266" w:lineRule="auto"/>
        <w:rPr>
          <w:sz w:val="20"/>
          <w:szCs w:val="20"/>
          <w:color w:val="auto"/>
        </w:rPr>
      </w:pPr>
      <w:r>
        <w:rPr>
          <w:rFonts w:ascii="Times New Roman" w:cs="Times New Roman" w:eastAsia="Times New Roman" w:hAnsi="Times New Roman"/>
          <w:sz w:val="18"/>
          <w:szCs w:val="18"/>
          <w:color w:val="auto"/>
        </w:rPr>
        <w:t>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w:t>
      </w:r>
    </w:p>
    <w:p>
      <w:pPr>
        <w:spacing w:after="0" w:line="176" w:lineRule="exact"/>
        <w:rPr>
          <w:sz w:val="20"/>
          <w:szCs w:val="20"/>
          <w:color w:val="auto"/>
        </w:rPr>
      </w:pPr>
    </w:p>
    <w:p>
      <w:pPr>
        <w:ind w:left="200" w:right="40" w:firstLine="441"/>
        <w:spacing w:after="0" w:line="258" w:lineRule="auto"/>
        <w:rPr>
          <w:sz w:val="20"/>
          <w:szCs w:val="20"/>
          <w:color w:val="auto"/>
        </w:rPr>
      </w:pPr>
      <w:r>
        <w:rPr>
          <w:rFonts w:ascii="Times New Roman" w:cs="Times New Roman" w:eastAsia="Times New Roman" w:hAnsi="Times New Roman"/>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200"/>
          </w:cols>
          <w:pgMar w:left="240" w:top="455" w:right="45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Resignation of Trustee</w:t>
      </w:r>
    </w:p>
    <w:p>
      <w:pPr>
        <w:spacing w:after="0" w:line="121"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Indenture Provisions—Subordination</w:t>
      </w:r>
    </w:p>
    <w:p>
      <w:pPr>
        <w:spacing w:after="0" w:line="12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89"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89" w:lineRule="exact"/>
        <w:rPr>
          <w:sz w:val="20"/>
          <w:szCs w:val="20"/>
          <w:color w:val="auto"/>
        </w:rPr>
      </w:pPr>
    </w:p>
    <w:p>
      <w:pPr>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1060" w:right="80" w:hanging="316"/>
        <w:spacing w:after="0" w:line="261" w:lineRule="auto"/>
        <w:tabs>
          <w:tab w:leader="none" w:pos="10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85"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extensions, modifications and refinancings of any of this indebtedness.</w:t>
      </w:r>
    </w:p>
    <w:p>
      <w:pPr>
        <w:spacing w:after="0" w:line="225"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Secured Indebtedness and Ranking</w:t>
      </w:r>
    </w:p>
    <w:p>
      <w:pPr>
        <w:spacing w:after="0" w:line="121" w:lineRule="exact"/>
        <w:rPr>
          <w:sz w:val="20"/>
          <w:szCs w:val="20"/>
          <w:color w:val="auto"/>
        </w:rPr>
      </w:pPr>
    </w:p>
    <w:p>
      <w:pPr>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220"/>
          </w:cols>
          <w:pgMar w:left="240" w:top="456" w:right="43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w:t>
      </w:r>
    </w:p>
    <w:p>
      <w:pPr>
        <w:spacing w:after="0" w:line="188" w:lineRule="exact"/>
        <w:rPr>
          <w:sz w:val="20"/>
          <w:szCs w:val="20"/>
          <w:color w:val="auto"/>
        </w:rPr>
      </w:pPr>
    </w:p>
    <w:p>
      <w:pPr>
        <w:ind w:left="200" w:right="40" w:firstLine="441"/>
        <w:spacing w:after="0" w:line="261" w:lineRule="auto"/>
        <w:rPr>
          <w:sz w:val="20"/>
          <w:szCs w:val="20"/>
          <w:color w:val="auto"/>
        </w:rPr>
      </w:pPr>
      <w:r>
        <w:rPr>
          <w:rFonts w:ascii="Times New Roman" w:cs="Times New Roman" w:eastAsia="Times New Roman" w:hAnsi="Times New Roman"/>
          <w:sz w:val="18"/>
          <w:szCs w:val="18"/>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As a result, the holders of unsecured indenture securities may recover less, ratably, than holders of any of our secured indebtedness.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The Trustee under the Indenture</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Wells Fargo Bank, National Association, will serve as the trustee under the indenture.</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Certain Considerations Relating To Foreign Currencies</w:t>
      </w:r>
    </w:p>
    <w:p>
      <w:pPr>
        <w:spacing w:after="0" w:line="121" w:lineRule="exact"/>
        <w:rPr>
          <w:sz w:val="20"/>
          <w:szCs w:val="20"/>
          <w:color w:val="auto"/>
        </w:rPr>
      </w:pPr>
    </w:p>
    <w:p>
      <w:pPr>
        <w:ind w:left="200" w:right="460" w:firstLine="441"/>
        <w:spacing w:after="0" w:line="261" w:lineRule="auto"/>
        <w:rPr>
          <w:sz w:val="20"/>
          <w:szCs w:val="20"/>
          <w:color w:val="auto"/>
        </w:rPr>
      </w:pPr>
      <w:r>
        <w:rPr>
          <w:rFonts w:ascii="Times New Roman" w:cs="Times New Roman" w:eastAsia="Times New Roman" w:hAnsi="Times New Roman"/>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Book-Entry Debt Securities</w:t>
      </w:r>
    </w:p>
    <w:p>
      <w:pPr>
        <w:spacing w:after="0" w:line="121"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The Depository Trust Company, New York, NY, or DTC, will act as securities depository for the debt securities. The debt securities will be issued as fully-registered securities registered in the name of Cede &amp; Co. (DTC’s partnership nominee) or such other name as may be requested by an authorized representative of DTC. One fully 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w:t>
      </w:r>
    </w:p>
    <w:p>
      <w:pPr>
        <w:spacing w:after="0" w:line="188"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89" w:lineRule="exact"/>
        <w:rPr>
          <w:sz w:val="20"/>
          <w:szCs w:val="20"/>
          <w:color w:val="auto"/>
        </w:rPr>
      </w:pPr>
    </w:p>
    <w:p>
      <w:pPr>
        <w:ind w:left="200" w:right="480" w:firstLine="441"/>
        <w:spacing w:after="0" w:line="282" w:lineRule="auto"/>
        <w:rPr>
          <w:sz w:val="20"/>
          <w:szCs w:val="20"/>
          <w:color w:val="auto"/>
        </w:rPr>
      </w:pPr>
      <w:r>
        <w:rPr>
          <w:rFonts w:ascii="Times New Roman" w:cs="Times New Roman" w:eastAsia="Times New Roman" w:hAnsi="Times New Roman"/>
          <w:sz w:val="18"/>
          <w:szCs w:val="18"/>
          <w:color w:val="auto"/>
        </w:rPr>
        <w:t>DTCC is the holding company for DTC, National Securities Clearing Corporation and Fixed Income Clearing Corporation, all of which are registered clearing agencies. DTCC is owned by the users of its regulated</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80"/>
          </w:cols>
          <w:pgMar w:left="240" w:top="456" w:right="47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6" w:lineRule="auto"/>
        <w:rPr>
          <w:sz w:val="20"/>
          <w:szCs w:val="20"/>
          <w:color w:val="auto"/>
        </w:rPr>
      </w:pPr>
      <w:r>
        <w:rPr>
          <w:rFonts w:ascii="Times New Roman" w:cs="Times New Roman" w:eastAsia="Times New Roman" w:hAnsi="Times New Roman"/>
          <w:sz w:val="18"/>
          <w:szCs w:val="18"/>
          <w:color w:val="auto"/>
        </w:rPr>
        <w:t>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w:t>
      </w:r>
    </w:p>
    <w:p>
      <w:pPr>
        <w:spacing w:after="0" w:line="176"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spacing w:after="0" w:line="185" w:lineRule="exact"/>
        <w:rPr>
          <w:sz w:val="20"/>
          <w:szCs w:val="20"/>
          <w:color w:val="auto"/>
        </w:rPr>
      </w:pPr>
    </w:p>
    <w:p>
      <w:pPr>
        <w:ind w:left="200" w:right="260" w:firstLine="441"/>
        <w:spacing w:after="0" w:line="256" w:lineRule="auto"/>
        <w:rPr>
          <w:sz w:val="20"/>
          <w:szCs w:val="20"/>
          <w:color w:val="auto"/>
        </w:rPr>
      </w:pPr>
      <w:r>
        <w:rPr>
          <w:rFonts w:ascii="Times New Roman" w:cs="Times New Roman" w:eastAsia="Times New Roman" w:hAnsi="Times New Roman"/>
          <w:sz w:val="18"/>
          <w:szCs w:val="18"/>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188" w:lineRule="exact"/>
        <w:rPr>
          <w:sz w:val="20"/>
          <w:szCs w:val="20"/>
          <w:color w:val="auto"/>
        </w:rPr>
      </w:pPr>
    </w:p>
    <w:p>
      <w:pPr>
        <w:ind w:left="200" w:right="360" w:firstLine="441"/>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76" w:lineRule="exact"/>
        <w:rPr>
          <w:sz w:val="20"/>
          <w:szCs w:val="20"/>
          <w:color w:val="auto"/>
        </w:rPr>
      </w:pPr>
    </w:p>
    <w:p>
      <w:pPr>
        <w:ind w:left="200" w:right="100" w:firstLine="441"/>
        <w:spacing w:after="0" w:line="282" w:lineRule="auto"/>
        <w:rPr>
          <w:sz w:val="20"/>
          <w:szCs w:val="20"/>
          <w:color w:val="auto"/>
        </w:rPr>
      </w:pPr>
      <w:r>
        <w:rPr>
          <w:rFonts w:ascii="Times New Roman" w:cs="Times New Roman" w:eastAsia="Times New Roman" w:hAnsi="Times New Roman"/>
          <w:sz w:val="18"/>
          <w:szCs w:val="18"/>
          <w:color w:val="auto"/>
        </w:rPr>
        <w:t>Redemption notices shall be sent to DTC. If less than all of the debt securities within an issue are being redeemed, DTC’s practice is to determine by lot the amount of the interest of each Direct Participant in such issue to be redeemed.</w:t>
      </w:r>
    </w:p>
    <w:p>
      <w:pPr>
        <w:spacing w:after="0" w:line="162"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spacing w:after="0" w:line="180" w:lineRule="exact"/>
        <w:rPr>
          <w:sz w:val="20"/>
          <w:szCs w:val="20"/>
          <w:color w:val="auto"/>
        </w:rPr>
      </w:pPr>
    </w:p>
    <w:p>
      <w:pPr>
        <w:ind w:left="200" w:right="40" w:firstLine="441"/>
        <w:spacing w:after="0" w:line="254"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220"/>
          </w:cols>
          <w:pgMar w:left="240" w:top="456" w:right="43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180" w:lineRule="exact"/>
        <w:rPr>
          <w:sz w:val="20"/>
          <w:szCs w:val="20"/>
          <w:color w:val="auto"/>
        </w:rPr>
      </w:pPr>
    </w:p>
    <w:p>
      <w:pPr>
        <w:ind w:left="200" w:right="140" w:firstLine="441"/>
        <w:spacing w:after="0" w:line="282"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has been obtained from sources that we believe to be reliable, but we take no responsibility for the accuracy thereof.</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220"/>
          </w:cols>
          <w:pgMar w:left="240" w:top="455" w:right="43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left="200" w:right="240" w:firstLine="441"/>
        <w:spacing w:after="0" w:line="282" w:lineRule="auto"/>
        <w:rPr>
          <w:sz w:val="20"/>
          <w:szCs w:val="20"/>
          <w:color w:val="auto"/>
        </w:rPr>
      </w:pPr>
      <w:r>
        <w:rPr>
          <w:rFonts w:ascii="Times New Roman" w:cs="Times New Roman" w:eastAsia="Times New Roman" w:hAnsi="Times New Roman"/>
          <w:sz w:val="18"/>
          <w:szCs w:val="18"/>
          <w:color w:val="auto"/>
        </w:rPr>
        <w:t>Sales of substantial amounts of our common stock in the public market, or the perception that such sales could occur, could adversely affect the prevailing market price of our common stock.</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In general, under Rule 144 under the Securities Act, or Rule 144, a person (or persons whose shares are aggregated) who is not deemed to have been an affiliate of ours at any time during the three-months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84" w:lineRule="exact"/>
        <w:rPr>
          <w:sz w:val="20"/>
          <w:szCs w:val="20"/>
          <w:color w:val="auto"/>
        </w:rPr>
      </w:pPr>
    </w:p>
    <w:p>
      <w:pPr>
        <w:ind w:left="200" w:right="160" w:firstLine="441"/>
        <w:spacing w:after="0" w:line="258" w:lineRule="auto"/>
        <w:rPr>
          <w:sz w:val="20"/>
          <w:szCs w:val="20"/>
          <w:color w:val="auto"/>
        </w:rPr>
      </w:pPr>
      <w:r>
        <w:rPr>
          <w:rFonts w:ascii="Times New Roman" w:cs="Times New Roman" w:eastAsia="Times New Roman" w:hAnsi="Times New Roman"/>
          <w:sz w:val="18"/>
          <w:szCs w:val="18"/>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1% of the then outstanding shares of our common stock or the average weekly trading volume of our common stock during the four calendar weeks preceding such sale. Such sales are also subject to certain manner of sale provisions, notice requirements and the availability of current public information about us (which requires that we are current in our periodic reports under the Exchange Act).</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220"/>
          </w:cols>
          <w:pgMar w:left="240" w:top="456" w:right="43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ind w:left="200" w:right="180" w:firstLine="441"/>
        <w:spacing w:after="0" w:line="266" w:lineRule="auto"/>
        <w:rPr>
          <w:sz w:val="20"/>
          <w:szCs w:val="20"/>
          <w:color w:val="auto"/>
        </w:rPr>
      </w:pPr>
      <w:r>
        <w:rPr>
          <w:rFonts w:ascii="Times New Roman" w:cs="Times New Roman" w:eastAsia="Times New Roman" w:hAnsi="Times New Roman"/>
          <w:sz w:val="18"/>
          <w:szCs w:val="18"/>
          <w:color w:val="auto"/>
        </w:rPr>
        <w:t>We are regulated as a BDC under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176" w:lineRule="exact"/>
        <w:rPr>
          <w:sz w:val="20"/>
          <w:szCs w:val="20"/>
          <w:color w:val="auto"/>
        </w:rPr>
      </w:pPr>
    </w:p>
    <w:p>
      <w:pPr>
        <w:ind w:left="200" w:right="440" w:firstLine="441"/>
        <w:spacing w:after="0" w:line="258" w:lineRule="auto"/>
        <w:rPr>
          <w:sz w:val="20"/>
          <w:szCs w:val="20"/>
          <w:color w:val="auto"/>
        </w:rPr>
      </w:pPr>
      <w:r>
        <w:rPr>
          <w:rFonts w:ascii="Times New Roman" w:cs="Times New Roman" w:eastAsia="Times New Roman" w:hAnsi="Times New Roman"/>
          <w:sz w:val="18"/>
          <w:szCs w:val="18"/>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84"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As a BDC, we are permitted, under specified conditions, to issue multiple classes of indebtedness and one class of shares senior to our common stock if our asset coverage, as defined in the 1940 Act, is at least equal to 200% immediately after any borrowing or issuance. However, recent legislation has modified the 1940 Act by allowing a BDC to increase the maximum amount of leverage it may incur from an asset coverage ratio of 200% to an asset coverage ratio of 150%, if certain requirements are met. Under the legislation, the majority of our Independent Directors may vote to approve an increase in our leverage capacity, and such approval would become effective after one year. In addition, we are allowed to increase our leverage capacity if stockholders representing at least a majority of the votes cast, when quorum is met, approve a proposal to do so. If we receive stockholder approval, we would be allowed to increase our leverage capacity on the first day after such approval. In both cases, we would be required to make certain disclosures on our website and in SEC filings regarding, among other things, the receipt of approval to increase our leverage, our leverage capacity and usage, and risks related to leverage. We would be also required to amend the terms of our Revolving Credit Facility in order to incur leverage based on an asset coverage ratio of 150%.</w:t>
      </w:r>
    </w:p>
    <w:p>
      <w:pPr>
        <w:spacing w:after="0" w:line="186"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While any preferred stock or publicly 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“Risk Factors—Risks Related to Our Business and Structure—We borrow money, which magnifies the potential for gain or loss and increases the risk of investing in us.”</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December 31, 2017 and 2016, our asset coverage was 235.5% and 237.7%, respectively.</w:t>
      </w:r>
    </w:p>
    <w:p>
      <w:pPr>
        <w:spacing w:after="0" w:line="225" w:lineRule="exact"/>
        <w:rPr>
          <w:sz w:val="20"/>
          <w:szCs w:val="20"/>
          <w:color w:val="auto"/>
        </w:rPr>
      </w:pPr>
    </w:p>
    <w:p>
      <w:pPr>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w:t>
      </w:r>
    </w:p>
    <w:p>
      <w:pPr>
        <w:spacing w:after="0" w:line="82" w:lineRule="exact"/>
        <w:rPr>
          <w:sz w:val="20"/>
          <w:szCs w:val="20"/>
          <w:color w:val="auto"/>
        </w:rPr>
      </w:pPr>
    </w:p>
    <w:p>
      <w:pPr>
        <w:ind w:left="1060" w:right="600" w:hanging="316"/>
        <w:spacing w:after="0" w:line="282" w:lineRule="auto"/>
        <w:tabs>
          <w:tab w:leader="none" w:pos="10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or more of such company’s voting securities present at a meeting if more than 50% of the outstanding voting securities of such company are present or represented by proxy; and</w:t>
      </w:r>
    </w:p>
    <w:p>
      <w:pPr>
        <w:spacing w:after="0" w:line="67" w:lineRule="exact"/>
        <w:rPr>
          <w:rFonts w:ascii="Times New Roman" w:cs="Times New Roman" w:eastAsia="Times New Roman" w:hAnsi="Times New Roman"/>
          <w:sz w:val="18"/>
          <w:szCs w:val="18"/>
          <w:color w:val="auto"/>
        </w:rPr>
      </w:pPr>
    </w:p>
    <w:p>
      <w:pPr>
        <w:ind w:left="1060" w:right="480" w:hanging="316"/>
        <w:spacing w:after="0" w:line="282" w:lineRule="auto"/>
        <w:tabs>
          <w:tab w:leader="none" w:pos="10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outstanding voting securities of such company. We do not anticipate any substantial change in the nature of our business.</w:t>
      </w:r>
    </w:p>
    <w:p>
      <w:pPr>
        <w:spacing w:after="0" w:line="162"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w:t>
      </w:r>
    </w:p>
    <w:p>
      <w:pPr>
        <w:spacing w:after="0" w:line="11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60"/>
          </w:cols>
          <w:pgMar w:left="240" w:top="456" w:right="49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66" w:lineRule="auto"/>
        <w:rPr>
          <w:sz w:val="20"/>
          <w:szCs w:val="20"/>
          <w:color w:val="auto"/>
        </w:rPr>
      </w:pPr>
      <w:r>
        <w:rPr>
          <w:rFonts w:ascii="Times New Roman" w:cs="Times New Roman" w:eastAsia="Times New Roman" w:hAnsi="Times New Roman"/>
          <w:sz w:val="18"/>
          <w:szCs w:val="18"/>
          <w:color w:val="auto"/>
        </w:rPr>
        <w:t>ordinarily will subject our stockholders to additional expenses. Our investment portfolio is also subject to diversification requirements by virtue of our status as a RIC for U.S. federal income tax purposes. See “Material U.S. Federal Income Tax Considerations—Regulated Investment Company Classification” for more information.</w:t>
      </w:r>
    </w:p>
    <w:p>
      <w:pPr>
        <w:spacing w:after="0" w:line="176"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80" w:lineRule="exact"/>
        <w:rPr>
          <w:sz w:val="20"/>
          <w:szCs w:val="20"/>
          <w:color w:val="auto"/>
        </w:rPr>
      </w:pPr>
    </w:p>
    <w:p>
      <w:pPr>
        <w:ind w:left="200" w:firstLine="441"/>
        <w:spacing w:after="0" w:line="253" w:lineRule="auto"/>
        <w:rPr>
          <w:sz w:val="20"/>
          <w:szCs w:val="20"/>
          <w:color w:val="auto"/>
        </w:rPr>
      </w:pPr>
      <w:r>
        <w:rPr>
          <w:rFonts w:ascii="Times New Roman" w:cs="Times New Roman" w:eastAsia="Times New Roman" w:hAnsi="Times New Roman"/>
          <w:sz w:val="18"/>
          <w:szCs w:val="18"/>
          <w:color w:val="auto"/>
        </w:rPr>
        <w:t>We are generally not able to issue and sell our common stock at a price below net asset value per share. See “Risk Factors—Risks Related to Our Business and Structure—Regulations governing our operation as a BDC affect our ability to, and the way in which we, raise additional capital.”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May 18, 2017, we are currently permitted to sell or otherwise issue shares of our common stock at a price below our then-current net asset value per share, subject to the approval of our Board and certain other conditions. Such stockholder approval expires on May 18, 2018. On March 16, 2018, we filed a preliminary proxy statement for a special meeting of stockholders, currently expected to take place on May 17,</w:t>
      </w:r>
    </w:p>
    <w:p>
      <w:pPr>
        <w:spacing w:after="0" w:line="1" w:lineRule="exact"/>
        <w:rPr>
          <w:sz w:val="20"/>
          <w:szCs w:val="20"/>
          <w:color w:val="auto"/>
        </w:rPr>
      </w:pPr>
    </w:p>
    <w:p>
      <w:pPr>
        <w:ind w:left="200"/>
        <w:spacing w:after="0" w:line="253" w:lineRule="auto"/>
        <w:rPr>
          <w:sz w:val="20"/>
          <w:szCs w:val="20"/>
          <w:color w:val="auto"/>
        </w:rPr>
      </w:pPr>
      <w:r>
        <w:rPr>
          <w:rFonts w:ascii="Times New Roman" w:cs="Times New Roman" w:eastAsia="Times New Roman" w:hAnsi="Times New Roman"/>
          <w:sz w:val="18"/>
          <w:szCs w:val="18"/>
          <w:color w:val="auto"/>
        </w:rPr>
        <w:t>2018. The preliminary proxy statement sets forth a proposal to be voted upon at the special meeting that, if approved by stockholders, would have the effect of extending this approval to the one-year anniversary of the date of the special meeting. In this case, the price at which our securities are to be issued and sold may not be less than a price that, in the determination of our Board, closely approximates the market value of such securities. In addition, we may generally issue new common stock at a price below net asset value in rights offerings to existing stockholders, in payment of dividends and in certain other limited circumstances.</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are subject to periodic examination by the SEC for compliance with the 1940 Act.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a BDC, we are subject to certain risks and uncertainties. See “Risk Factors—Risks Related to Our Business and Structure.”</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Transactions With Our Affiliates</w:t>
      </w:r>
    </w:p>
    <w:p>
      <w:pPr>
        <w:spacing w:after="0" w:line="121" w:lineRule="exact"/>
        <w:rPr>
          <w:sz w:val="20"/>
          <w:szCs w:val="20"/>
          <w:color w:val="auto"/>
        </w:rPr>
      </w:pPr>
    </w:p>
    <w:p>
      <w:pPr>
        <w:ind w:left="200" w:right="120" w:firstLine="441"/>
        <w:spacing w:after="0" w:line="261" w:lineRule="auto"/>
        <w:rPr>
          <w:sz w:val="20"/>
          <w:szCs w:val="20"/>
          <w:color w:val="auto"/>
        </w:rPr>
      </w:pPr>
      <w:r>
        <w:rPr>
          <w:rFonts w:ascii="Times New Roman" w:cs="Times New Roman" w:eastAsia="Times New Roman" w:hAnsi="Times New Roman"/>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80" w:lineRule="exact"/>
        <w:rPr>
          <w:sz w:val="20"/>
          <w:szCs w:val="20"/>
          <w:color w:val="auto"/>
        </w:rPr>
      </w:pPr>
    </w:p>
    <w:p>
      <w:pPr>
        <w:ind w:left="200" w:right="60" w:firstLine="441"/>
        <w:spacing w:after="0" w:line="258" w:lineRule="auto"/>
        <w:rPr>
          <w:sz w:val="20"/>
          <w:szCs w:val="20"/>
          <w:color w:val="auto"/>
        </w:rPr>
      </w:pPr>
      <w:r>
        <w:rPr>
          <w:rFonts w:ascii="Times New Roman" w:cs="Times New Roman" w:eastAsia="Times New Roman" w:hAnsi="Times New Roman"/>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for us to invest, with affiliates of TSSP and TPG in middle-market loan origination activities for companies domiciled in the United States and certain “follow-on” investments in companies in which we have already co-invested pursuant to the order and remain invested. See “Related-Party Transactions and Certain Relationships —Exemptive Order” for more information on the terms of the exemptive order.</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Qualifying Assets</w:t>
      </w:r>
    </w:p>
    <w:p>
      <w:pPr>
        <w:spacing w:after="0" w:line="121" w:lineRule="exact"/>
        <w:rPr>
          <w:sz w:val="20"/>
          <w:szCs w:val="20"/>
          <w:color w:val="auto"/>
        </w:rPr>
      </w:pPr>
    </w:p>
    <w:p>
      <w:pPr>
        <w:ind w:left="200" w:right="140" w:firstLine="441"/>
        <w:spacing w:after="0" w:line="282" w:lineRule="auto"/>
        <w:rPr>
          <w:sz w:val="20"/>
          <w:szCs w:val="20"/>
          <w:color w:val="auto"/>
        </w:rPr>
      </w:pPr>
      <w:r>
        <w:rPr>
          <w:rFonts w:ascii="Times New Roman" w:cs="Times New Roman" w:eastAsia="Times New Roman" w:hAnsi="Times New Roman"/>
          <w:sz w:val="18"/>
          <w:szCs w:val="18"/>
          <w:color w:val="auto"/>
        </w:rPr>
        <w:t>Under the 1940 Act, a BDC may not acquire any assets other than assets of the type listed in Section 55(a) of the 1940 Act, which are referred to as qualifying assets, unless, at the time the acquisition is made, qualifying</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220"/>
          </w:cols>
          <w:pgMar w:left="240" w:top="455" w:right="43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assets represent at least 70% of the company’s total assets. The principal categories of qualifying assets relevant to our business are the following:</w:t>
      </w:r>
    </w:p>
    <w:p>
      <w:pPr>
        <w:spacing w:after="0" w:line="131" w:lineRule="exact"/>
        <w:rPr>
          <w:sz w:val="20"/>
          <w:szCs w:val="20"/>
          <w:color w:val="auto"/>
        </w:rPr>
      </w:pPr>
    </w:p>
    <w:p>
      <w:pPr>
        <w:ind w:left="1060" w:right="260" w:hanging="316"/>
        <w:spacing w:after="0" w:line="261" w:lineRule="auto"/>
        <w:tabs>
          <w:tab w:leader="none" w:pos="10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85" w:lineRule="exact"/>
        <w:rPr>
          <w:rFonts w:ascii="Times New Roman" w:cs="Times New Roman" w:eastAsia="Times New Roman" w:hAnsi="Times New Roman"/>
          <w:sz w:val="18"/>
          <w:szCs w:val="18"/>
          <w:color w:val="auto"/>
        </w:rPr>
      </w:pPr>
    </w:p>
    <w:p>
      <w:pPr>
        <w:ind w:left="1620" w:hanging="430"/>
        <w:spacing w:after="0"/>
        <w:tabs>
          <w:tab w:leader="none" w:pos="162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organized under the laws of, and has its principal place of business in, the United States;</w:t>
      </w:r>
    </w:p>
    <w:p>
      <w:pPr>
        <w:spacing w:after="0" w:line="130" w:lineRule="exact"/>
        <w:rPr>
          <w:rFonts w:ascii="Times New Roman" w:cs="Times New Roman" w:eastAsia="Times New Roman" w:hAnsi="Times New Roman"/>
          <w:sz w:val="18"/>
          <w:szCs w:val="18"/>
          <w:color w:val="auto"/>
        </w:rPr>
      </w:pPr>
    </w:p>
    <w:p>
      <w:pPr>
        <w:ind w:left="1620" w:right="40" w:hanging="430"/>
        <w:spacing w:after="0" w:line="282" w:lineRule="auto"/>
        <w:tabs>
          <w:tab w:leader="none" w:pos="162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 investment company (other than a small business investment company wholly owned by us) or a company that would be an investment company but for certain exclusions under the 1940 Act; and</w:t>
      </w:r>
    </w:p>
    <w:p>
      <w:pPr>
        <w:spacing w:after="0" w:line="67" w:lineRule="exact"/>
        <w:rPr>
          <w:rFonts w:ascii="Times New Roman" w:cs="Times New Roman" w:eastAsia="Times New Roman" w:hAnsi="Times New Roman"/>
          <w:sz w:val="18"/>
          <w:szCs w:val="18"/>
          <w:color w:val="auto"/>
        </w:rPr>
      </w:pPr>
    </w:p>
    <w:p>
      <w:pPr>
        <w:ind w:left="1620" w:hanging="430"/>
        <w:spacing w:after="0"/>
        <w:tabs>
          <w:tab w:leader="none" w:pos="162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satisfies any of the following:</w:t>
      </w:r>
    </w:p>
    <w:p>
      <w:pPr>
        <w:spacing w:after="0" w:line="130" w:lineRule="exact"/>
        <w:rPr>
          <w:rFonts w:ascii="Times New Roman" w:cs="Times New Roman" w:eastAsia="Times New Roman" w:hAnsi="Times New Roman"/>
          <w:sz w:val="18"/>
          <w:szCs w:val="18"/>
          <w:color w:val="auto"/>
        </w:rPr>
      </w:pPr>
    </w:p>
    <w:p>
      <w:pPr>
        <w:ind w:left="2060" w:right="540" w:hanging="317"/>
        <w:spacing w:after="0" w:line="282" w:lineRule="auto"/>
        <w:tabs>
          <w:tab w:leader="none" w:pos="2060"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 equity market capitalization of less than $250 million or does not have any class of securities listed on a national securities exchange;</w:t>
      </w:r>
    </w:p>
    <w:p>
      <w:pPr>
        <w:spacing w:after="0" w:line="67" w:lineRule="exact"/>
        <w:rPr>
          <w:rFonts w:ascii="Times New Roman" w:cs="Times New Roman" w:eastAsia="Times New Roman" w:hAnsi="Times New Roman"/>
          <w:sz w:val="18"/>
          <w:szCs w:val="18"/>
          <w:color w:val="auto"/>
        </w:rPr>
      </w:pPr>
    </w:p>
    <w:p>
      <w:pPr>
        <w:ind w:left="2060" w:right="80" w:hanging="317"/>
        <w:spacing w:after="0" w:line="266" w:lineRule="auto"/>
        <w:tabs>
          <w:tab w:leader="none" w:pos="2060"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81" w:lineRule="exact"/>
        <w:rPr>
          <w:rFonts w:ascii="Times New Roman" w:cs="Times New Roman" w:eastAsia="Times New Roman" w:hAnsi="Times New Roman"/>
          <w:sz w:val="18"/>
          <w:szCs w:val="18"/>
          <w:color w:val="auto"/>
        </w:rPr>
      </w:pPr>
    </w:p>
    <w:p>
      <w:pPr>
        <w:ind w:left="2060" w:right="660" w:hanging="317"/>
        <w:spacing w:after="0" w:line="282" w:lineRule="auto"/>
        <w:tabs>
          <w:tab w:leader="none" w:pos="2060"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small and solvent company having total assets of not more than $4 million and capital and surplus of not less than $2 million.</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any eligible portfolio company that we control.</w:t>
      </w:r>
    </w:p>
    <w:p>
      <w:pPr>
        <w:spacing w:after="0" w:line="130" w:lineRule="exact"/>
        <w:rPr>
          <w:rFonts w:ascii="Times New Roman" w:cs="Times New Roman" w:eastAsia="Times New Roman" w:hAnsi="Times New Roman"/>
          <w:sz w:val="18"/>
          <w:szCs w:val="18"/>
          <w:color w:val="auto"/>
        </w:rPr>
      </w:pPr>
    </w:p>
    <w:p>
      <w:pPr>
        <w:ind w:left="1060" w:right="80" w:hanging="316"/>
        <w:spacing w:after="0" w:line="261" w:lineRule="auto"/>
        <w:tabs>
          <w:tab w:leader="none" w:pos="10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85" w:lineRule="exact"/>
        <w:rPr>
          <w:rFonts w:ascii="Times New Roman" w:cs="Times New Roman" w:eastAsia="Times New Roman" w:hAnsi="Times New Roman"/>
          <w:sz w:val="18"/>
          <w:szCs w:val="18"/>
          <w:color w:val="auto"/>
        </w:rPr>
      </w:pPr>
    </w:p>
    <w:p>
      <w:pPr>
        <w:ind w:left="1060" w:right="80" w:hanging="316"/>
        <w:spacing w:after="0" w:line="282" w:lineRule="auto"/>
        <w:tabs>
          <w:tab w:leader="none" w:pos="10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67" w:lineRule="exact"/>
        <w:rPr>
          <w:rFonts w:ascii="Times New Roman" w:cs="Times New Roman" w:eastAsia="Times New Roman" w:hAnsi="Times New Roman"/>
          <w:sz w:val="18"/>
          <w:szCs w:val="18"/>
          <w:color w:val="auto"/>
        </w:rPr>
      </w:pPr>
    </w:p>
    <w:p>
      <w:pPr>
        <w:ind w:left="1060" w:right="120" w:hanging="316"/>
        <w:spacing w:after="0" w:line="282" w:lineRule="auto"/>
        <w:tabs>
          <w:tab w:leader="none" w:pos="10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received in exchange for or distributed on or with respect to securities described above, or pursuant to the exercise of warrants or rights relating to such securities.</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U.S. Government securities or high-quality debt securities maturing in one year or less from the time of investment.</w:t>
      </w:r>
    </w:p>
    <w:p>
      <w:pPr>
        <w:spacing w:after="0" w:line="225" w:lineRule="exact"/>
        <w:rPr>
          <w:sz w:val="20"/>
          <w:szCs w:val="20"/>
          <w:color w:val="auto"/>
        </w:rPr>
      </w:pPr>
    </w:p>
    <w:p>
      <w:pPr>
        <w:ind w:left="200" w:right="300" w:firstLine="441"/>
        <w:spacing w:after="0" w:line="261" w:lineRule="auto"/>
        <w:rPr>
          <w:sz w:val="20"/>
          <w:szCs w:val="20"/>
          <w:color w:val="auto"/>
        </w:rPr>
      </w:pPr>
      <w:r>
        <w:rPr>
          <w:rFonts w:ascii="Times New Roman" w:cs="Times New Roman" w:eastAsia="Times New Roman" w:hAnsi="Times New Roman"/>
          <w:sz w:val="18"/>
          <w:szCs w:val="18"/>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 Our Adviser will monitor the creditworthiness of the counterparties with which we enter into repurchase agreement transactions.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Managerial Assistance to Portfolio Companies</w:t>
      </w:r>
    </w:p>
    <w:p>
      <w:pPr>
        <w:spacing w:after="0" w:line="121"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A BDC must be operated for the purpose of making investments in the types of securities described under “Qualifying Assets” above. However, to count portfolio securities as qualifying assets for the purpose of the 70% test, the BDC must offer to make available to the issuer of the securities (other than small and solvent companies described above) significant managerial assistance; except that, where the BDC purchases such securities in conjunction with one or more other persons acting together, the BDC will satisfy this test if one of the other</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220"/>
          </w:cols>
          <w:pgMar w:left="240" w:top="456" w:right="43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spacing w:after="0" w:line="266" w:lineRule="auto"/>
        <w:rPr>
          <w:sz w:val="20"/>
          <w:szCs w:val="20"/>
          <w:color w:val="auto"/>
        </w:rPr>
      </w:pPr>
      <w:r>
        <w:rPr>
          <w:rFonts w:ascii="Times New Roman" w:cs="Times New Roman" w:eastAsia="Times New Roman" w:hAnsi="Times New Roman"/>
          <w:sz w:val="18"/>
          <w:szCs w:val="18"/>
          <w:color w:val="auto"/>
        </w:rPr>
        <w:t>persons in the group makes available such managerial assistance. Making available managerial assistance means, among other things, either controlling the issuer of the securities or any arrangement whereby the BDC, through its directors, officers or employees, offers to provide, and, if accepted, does in fact provide, significant guidance and counsel concerning the management, operations or business objectives and policies of a portfolio company.</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left="200" w:right="200" w:firstLine="441"/>
        <w:spacing w:after="0" w:line="258" w:lineRule="auto"/>
        <w:rPr>
          <w:sz w:val="20"/>
          <w:szCs w:val="20"/>
          <w:color w:val="auto"/>
        </w:rPr>
      </w:pPr>
      <w:r>
        <w:rPr>
          <w:rFonts w:ascii="Times New Roman" w:cs="Times New Roman" w:eastAsia="Times New Roman" w:hAnsi="Times New Roman"/>
          <w:sz w:val="18"/>
          <w:szCs w:val="18"/>
          <w:color w:val="auto"/>
        </w:rPr>
        <w:t>As required by the Advisers Act and the 1940 Act, we and the Adviser have adopted codes of ethics which apply to, among others, our and our Adviser’s executive officers, including our Chief Executive Officer and Chief Financial Officer, as well as our Adviser’s officers, directors and employees. The codes of ethics establish procedures for personal investments and restrict certain personal securities transactions. Personnel subject to the codes may invest in securities for their personal investment accounts, including securities that may be purchased or held by us, so long as such investments are made in accordance with the codes’ requirements.</w:t>
      </w:r>
    </w:p>
    <w:p>
      <w:pPr>
        <w:spacing w:after="0" w:line="184" w:lineRule="exact"/>
        <w:rPr>
          <w:sz w:val="20"/>
          <w:szCs w:val="20"/>
          <w:color w:val="auto"/>
        </w:rPr>
      </w:pPr>
    </w:p>
    <w:p>
      <w:pPr>
        <w:ind w:left="200" w:right="60" w:firstLine="441"/>
        <w:spacing w:after="0" w:line="255" w:lineRule="auto"/>
        <w:rPr>
          <w:sz w:val="20"/>
          <w:szCs w:val="20"/>
          <w:color w:val="auto"/>
        </w:rPr>
      </w:pPr>
      <w:r>
        <w:rPr>
          <w:rFonts w:ascii="Times New Roman" w:cs="Times New Roman" w:eastAsia="Times New Roman" w:hAnsi="Times New Roman"/>
          <w:sz w:val="18"/>
          <w:szCs w:val="18"/>
          <w:color w:val="auto"/>
        </w:rPr>
        <w:t>You may read and copy the codes of ethics at the SEC’s Public Reference Room in Washington, D.C. You may obtain information on the operation of the Public Reference Room by calling the SEC at 1-800-SEC-0330. In addition, the codes of ethics are attached as exhibits to the registration statement of which this prospectus is a part, and are available on the SEC’s internet site at http://www.sec.gov. You may also obtain copies of the codes of ethics, after paying a duplicating fee, by electronic request at the following e-mail address: publicinfo@sec.gov, or by writing the SEC’s Public Reference Section at 100 F Street, N.E., Room 1580, Washington, D.C. 20549. We also hereby undertake to provide a copy of these codes to any person, without charge, upon request. Requests for a copy of the codes may be made in writing addressed to our Secretary, Jennifer Gordon, 888 7th Avenue, 35th Floor, New York, NY 10106, Attention: TSLX Investor Relations, or by emailing us at IRTSL@tpg.com.</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Compliance Policies and Procedures</w:t>
      </w:r>
    </w:p>
    <w:p>
      <w:pPr>
        <w:spacing w:after="0" w:line="121" w:lineRule="exact"/>
        <w:rPr>
          <w:sz w:val="20"/>
          <w:szCs w:val="20"/>
          <w:color w:val="auto"/>
        </w:rPr>
      </w:pPr>
    </w:p>
    <w:p>
      <w:pPr>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21" w:lineRule="exact"/>
        <w:rPr>
          <w:sz w:val="20"/>
          <w:szCs w:val="20"/>
          <w:color w:val="auto"/>
        </w:rPr>
      </w:pPr>
    </w:p>
    <w:p>
      <w:pPr>
        <w:ind w:left="200" w:right="440" w:firstLine="441"/>
        <w:spacing w:after="0" w:line="282" w:lineRule="auto"/>
        <w:rPr>
          <w:sz w:val="20"/>
          <w:szCs w:val="20"/>
          <w:color w:val="auto"/>
        </w:rPr>
      </w:pPr>
      <w:r>
        <w:rPr>
          <w:rFonts w:ascii="Times New Roman" w:cs="Times New Roman" w:eastAsia="Times New Roman" w:hAnsi="Times New Roman"/>
          <w:sz w:val="18"/>
          <w:szCs w:val="18"/>
          <w:color w:val="auto"/>
        </w:rPr>
        <w:t>The Sarbanes-Oxley Act imposes a wide variety of regulatory requirements on certain publicly held companies and their insiders. Assuming certain requirements are met, many of these requirements affect us. For example:</w:t>
      </w:r>
    </w:p>
    <w:p>
      <w:pPr>
        <w:spacing w:after="0" w:line="67" w:lineRule="exact"/>
        <w:rPr>
          <w:sz w:val="20"/>
          <w:szCs w:val="20"/>
          <w:color w:val="auto"/>
        </w:rPr>
      </w:pPr>
    </w:p>
    <w:p>
      <w:pPr>
        <w:ind w:left="1060" w:right="160" w:hanging="316"/>
        <w:spacing w:after="0" w:line="282" w:lineRule="auto"/>
        <w:tabs>
          <w:tab w:leader="none" w:pos="10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13a-14 of the Exchange Act, our Chief Executive Officer and Chief Financial Officer certify the accuracy of the financial statements contained in our periodic reports;</w:t>
      </w:r>
    </w:p>
    <w:p>
      <w:pPr>
        <w:spacing w:after="0" w:line="67" w:lineRule="exact"/>
        <w:rPr>
          <w:rFonts w:ascii="Times New Roman" w:cs="Times New Roman" w:eastAsia="Times New Roman" w:hAnsi="Times New Roman"/>
          <w:sz w:val="18"/>
          <w:szCs w:val="18"/>
          <w:color w:val="auto"/>
        </w:rPr>
      </w:pPr>
    </w:p>
    <w:p>
      <w:pPr>
        <w:ind w:left="1060" w:right="80" w:hanging="316"/>
        <w:spacing w:after="0" w:line="282" w:lineRule="auto"/>
        <w:tabs>
          <w:tab w:leader="none" w:pos="10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307 of Regulation S-K, our periodic reports disclose our conclusions about the effectiveness of our disclosure controls and procedures;</w:t>
      </w:r>
    </w:p>
    <w:p>
      <w:pPr>
        <w:spacing w:after="0" w:line="67" w:lineRule="exact"/>
        <w:rPr>
          <w:rFonts w:ascii="Times New Roman" w:cs="Times New Roman" w:eastAsia="Times New Roman" w:hAnsi="Times New Roman"/>
          <w:sz w:val="18"/>
          <w:szCs w:val="18"/>
          <w:color w:val="auto"/>
        </w:rPr>
      </w:pPr>
    </w:p>
    <w:p>
      <w:pPr>
        <w:ind w:left="1060" w:hanging="316"/>
        <w:spacing w:after="0" w:line="266" w:lineRule="auto"/>
        <w:tabs>
          <w:tab w:leader="none" w:pos="10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13a-15 of the Exchange Act, subject to certain assumptions, our management is required to prepare an annual report regarding its assessment of our internal control over financial reporting, which is required to be audited by our independent registered public accounting firm; and</w:t>
      </w:r>
    </w:p>
    <w:p>
      <w:pPr>
        <w:spacing w:after="0" w:line="81" w:lineRule="exact"/>
        <w:rPr>
          <w:rFonts w:ascii="Times New Roman" w:cs="Times New Roman" w:eastAsia="Times New Roman" w:hAnsi="Times New Roman"/>
          <w:sz w:val="18"/>
          <w:szCs w:val="18"/>
          <w:color w:val="auto"/>
        </w:rPr>
      </w:pPr>
    </w:p>
    <w:p>
      <w:pPr>
        <w:ind w:left="1060" w:right="160" w:hanging="316"/>
        <w:spacing w:after="0" w:line="266" w:lineRule="auto"/>
        <w:tabs>
          <w:tab w:leader="none" w:pos="10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308 of Regulation S-K and Rule 13a-15 of the Exchange Act, our periodic reports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76" w:lineRule="exact"/>
        <w:rPr>
          <w:sz w:val="20"/>
          <w:szCs w:val="20"/>
          <w:color w:val="auto"/>
        </w:rPr>
      </w:pPr>
    </w:p>
    <w:p>
      <w:pPr>
        <w:ind w:left="200" w:right="80" w:firstLine="441"/>
        <w:spacing w:after="0" w:line="282" w:lineRule="auto"/>
        <w:rPr>
          <w:sz w:val="20"/>
          <w:szCs w:val="20"/>
          <w:color w:val="auto"/>
        </w:rPr>
      </w:pPr>
      <w:r>
        <w:rPr>
          <w:rFonts w:ascii="Times New Roman" w:cs="Times New Roman" w:eastAsia="Times New Roman" w:hAnsi="Times New Roman"/>
          <w:sz w:val="18"/>
          <w:szCs w:val="18"/>
          <w:color w:val="auto"/>
        </w:rPr>
        <w:t>The Sarbanes-Oxley Act requires us to review our policies and procedures to determine whether we comply with the Sarbanes-Oxley Act and the regulations promulgated thereunder. We continue to monitor our compliance</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200"/>
          </w:cols>
          <w:pgMar w:left="240" w:top="455" w:right="45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with all regulations that are adopted under the Sarbanes-Oxley Act and take actions necessary to ensure that we are in compliance therewith.</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The NYSE Corporate Governance Rules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NYSE has adopted corporate governance rules that listed companies must comply with. We believe we are in compliance with these rules.</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Proxy Voting Policies and Procedures</w:t>
      </w:r>
    </w:p>
    <w:p>
      <w:pPr>
        <w:spacing w:after="0" w:line="121" w:lineRule="exact"/>
        <w:rPr>
          <w:sz w:val="20"/>
          <w:szCs w:val="20"/>
          <w:color w:val="auto"/>
        </w:rPr>
      </w:pPr>
    </w:p>
    <w:p>
      <w:pPr>
        <w:ind w:left="200" w:right="380" w:firstLine="441"/>
        <w:spacing w:after="0" w:line="282" w:lineRule="auto"/>
        <w:rPr>
          <w:sz w:val="20"/>
          <w:szCs w:val="20"/>
          <w:color w:val="auto"/>
        </w:rPr>
      </w:pPr>
      <w:r>
        <w:rPr>
          <w:rFonts w:ascii="Times New Roman" w:cs="Times New Roman" w:eastAsia="Times New Roman" w:hAnsi="Times New Roman"/>
          <w:sz w:val="18"/>
          <w:szCs w:val="18"/>
          <w:color w:val="auto"/>
        </w:rPr>
        <w:t>We delegate our proxy voting responsibility to our Adviser. The Proxy Voting Policies and Procedures of our Adviser are set forth below. The guidelines are reviewed periodically by the Adviser and our Independent Directors, and, accordingly, are subject to change.</w:t>
      </w:r>
    </w:p>
    <w:p>
      <w:pPr>
        <w:spacing w:after="0" w:line="162" w:lineRule="exact"/>
        <w:rPr>
          <w:sz w:val="20"/>
          <w:szCs w:val="20"/>
          <w:color w:val="auto"/>
        </w:rPr>
      </w:pPr>
    </w:p>
    <w:p>
      <w:pPr>
        <w:ind w:left="200" w:right="140" w:firstLine="441"/>
        <w:spacing w:after="0" w:line="261" w:lineRule="auto"/>
        <w:rPr>
          <w:sz w:val="20"/>
          <w:szCs w:val="20"/>
          <w:color w:val="auto"/>
        </w:rPr>
      </w:pPr>
      <w:r>
        <w:rPr>
          <w:rFonts w:ascii="Times New Roman" w:cs="Times New Roman" w:eastAsia="Times New Roman" w:hAnsi="Times New Roman"/>
          <w:sz w:val="18"/>
          <w:szCs w:val="18"/>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80"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The Adviser will vote all proxies based upon the guiding principle of seeking the maximization of the ultimate long-term economic value of our stockholders’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 stockholders or if the circumstances make such an abstention or withholding otherwise advisable and in the best interest of the relevant stockholder(s).</w:t>
      </w:r>
    </w:p>
    <w:p>
      <w:pPr>
        <w:spacing w:after="0" w:line="186" w:lineRule="exact"/>
        <w:rPr>
          <w:sz w:val="20"/>
          <w:szCs w:val="20"/>
          <w:color w:val="auto"/>
        </w:rPr>
      </w:pPr>
    </w:p>
    <w:p>
      <w:pPr>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You may obtain information about how the Adviser voted proxies, free of charge, by making a written request for proxy voting information to: TSL Advisers, 888 7th Avenue, 35th Floor, New York, NY 10106, Attention: TSLX Investor Relations, or by emailing us at IRTSL@tpg.com. The SEC also maintains a website at http://www.sec.gov that contains such information.</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Privacy Principles</w:t>
      </w:r>
    </w:p>
    <w:p>
      <w:pPr>
        <w:spacing w:after="0" w:line="121" w:lineRule="exact"/>
        <w:rPr>
          <w:sz w:val="20"/>
          <w:szCs w:val="20"/>
          <w:color w:val="auto"/>
        </w:rPr>
      </w:pPr>
    </w:p>
    <w:p>
      <w:pPr>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76"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We generally will not receive any nonpublic personal information relating to stockholders who purchase common stock. We may collect nonpublic personal information regarding certain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to</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220"/>
          </w:cols>
          <w:pgMar w:left="240" w:top="455" w:right="43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8" w:lineRule="auto"/>
        <w:rPr>
          <w:sz w:val="20"/>
          <w:szCs w:val="20"/>
          <w:color w:val="auto"/>
        </w:rPr>
      </w:pPr>
      <w:r>
        <w:rPr>
          <w:rFonts w:ascii="Times New Roman" w:cs="Times New Roman" w:eastAsia="Times New Roman" w:hAnsi="Times New Roman"/>
          <w:sz w:val="18"/>
          <w:szCs w:val="18"/>
          <w:color w:val="auto"/>
        </w:rPr>
        <w:t>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transactions or our transactions.</w:t>
      </w:r>
    </w:p>
    <w:p>
      <w:pPr>
        <w:spacing w:after="0" w:line="184" w:lineRule="exact"/>
        <w:rPr>
          <w:sz w:val="20"/>
          <w:szCs w:val="20"/>
          <w:color w:val="auto"/>
        </w:rPr>
      </w:pPr>
    </w:p>
    <w:p>
      <w:pPr>
        <w:ind w:left="200" w:right="140" w:firstLine="441"/>
        <w:spacing w:after="0" w:line="261" w:lineRule="auto"/>
        <w:rPr>
          <w:sz w:val="20"/>
          <w:szCs w:val="20"/>
          <w:color w:val="auto"/>
        </w:rPr>
      </w:pPr>
      <w:r>
        <w:rPr>
          <w:rFonts w:ascii="Times New Roman" w:cs="Times New Roman" w:eastAsia="Times New Roman" w:hAnsi="Times New Roman"/>
          <w:sz w:val="18"/>
          <w:szCs w:val="18"/>
          <w:color w:val="auto"/>
        </w:rPr>
        <w:t>Any party that receives nonpublic personal information relating to investors from us is permitted to use the information only for legitimate business purposes or as otherwise required or permitted by applicable law or regulation. In this regard, our officers, employees and agents and those of our affiliates, access to such information is restricted to those who need such access to provide services to us and our investors. We maintain physical, electronic and procedural safeguards to seek to guard investor nonpublic personal information.</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Reporting Obligations</w:t>
      </w:r>
    </w:p>
    <w:p>
      <w:pPr>
        <w:spacing w:after="0" w:line="121" w:lineRule="exact"/>
        <w:rPr>
          <w:sz w:val="20"/>
          <w:szCs w:val="20"/>
          <w:color w:val="auto"/>
        </w:rPr>
      </w:pPr>
    </w:p>
    <w:p>
      <w:pPr>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We will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76" w:lineRule="exact"/>
        <w:rPr>
          <w:sz w:val="20"/>
          <w:szCs w:val="20"/>
          <w:color w:val="auto"/>
        </w:rPr>
      </w:pPr>
    </w:p>
    <w:p>
      <w:pPr>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We make available on our website (www.tpgspecialtylending.com) our proxy statements, our annual reports on Form 10-K, quarterly reports on Form 10-Q and our current reports on Form 8-K. We also provide electronic or paper copies of our filings free of charge upon request. Requests may be made in writing addressed to us at 888 7th Avenue, 35th Floor, New York, NY 10106, Attention: TSLX Investor Relations, or by emailing us at IRTSL@tpg.com.</w:t>
      </w:r>
    </w:p>
    <w:p>
      <w:pPr>
        <w:spacing w:after="0" w:line="180" w:lineRule="exact"/>
        <w:rPr>
          <w:sz w:val="20"/>
          <w:szCs w:val="20"/>
          <w:color w:val="auto"/>
        </w:rPr>
      </w:pPr>
    </w:p>
    <w:p>
      <w:pPr>
        <w:ind w:left="200" w:right="260" w:firstLine="441"/>
        <w:spacing w:after="0" w:line="266" w:lineRule="auto"/>
        <w:rPr>
          <w:sz w:val="20"/>
          <w:szCs w:val="20"/>
          <w:color w:val="auto"/>
        </w:rPr>
      </w:pPr>
      <w:r>
        <w:rPr>
          <w:rFonts w:ascii="Times New Roman" w:cs="Times New Roman" w:eastAsia="Times New Roman" w:hAnsi="Times New Roman"/>
          <w:sz w:val="18"/>
          <w:szCs w:val="18"/>
          <w:color w:val="auto"/>
        </w:rPr>
        <w:t>Investors and the public may also read and copy any materials we file with the SEC at the SEC’s Public Reference Room at 100 F Street, N.E., Room 1580, Washington, DC 20549. The public may also obtain information on the operation of the Public Reference Room by calling the SEC at 1-800-SEC-0330. The SEC also maintains a website (www.sec.gov) that contains this information.</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200"/>
          </w:cols>
          <w:pgMar w:left="240" w:top="456" w:right="45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CUSTODIAN, TRANSFER AND DIVIDEND PAYING AGENT AND REGISTRAR</w:t>
      </w:r>
    </w:p>
    <w:p>
      <w:pPr>
        <w:spacing w:after="0" w:line="229"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Our securities and loan documents are held by State Street Bank and Trust Company pursuant to a custodian agreement, and State Street Bank and Trust Company also serves as our transfer agent, distribution paying agent and registrar. The principal business address of State Street Bank and Trust Company is 1 Lincoln Street, Boston, Massachusetts 02111.</w:t>
      </w:r>
    </w:p>
    <w:p>
      <w:pPr>
        <w:spacing w:after="0" w:line="38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BROKERAGE ALLOCATION AND OTHER PRACTICES</w:t>
      </w:r>
    </w:p>
    <w:p>
      <w:pPr>
        <w:spacing w:after="0" w:line="229" w:lineRule="exact"/>
        <w:rPr>
          <w:sz w:val="20"/>
          <w:szCs w:val="20"/>
          <w:color w:val="auto"/>
        </w:rPr>
      </w:pPr>
    </w:p>
    <w:p>
      <w:pPr>
        <w:ind w:left="200" w:right="20" w:firstLine="441"/>
        <w:spacing w:after="0" w:line="282" w:lineRule="auto"/>
        <w:rPr>
          <w:sz w:val="20"/>
          <w:szCs w:val="20"/>
          <w:color w:val="auto"/>
        </w:rPr>
      </w:pPr>
      <w:r>
        <w:rPr>
          <w:rFonts w:ascii="Times New Roman" w:cs="Times New Roman" w:eastAsia="Times New Roman" w:hAnsi="Times New Roman"/>
          <w:sz w:val="18"/>
          <w:szCs w:val="18"/>
          <w:color w:val="auto"/>
        </w:rPr>
        <w:t>Since we will acquire and dispose of many of our investments in privately negotiated transactions, many of the transactions that we engage in will not require the use of brokers or the payment of brokerage commissions.</w:t>
      </w:r>
    </w:p>
    <w:p>
      <w:pPr>
        <w:spacing w:after="0" w:line="162"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w:t>
      </w:r>
    </w:p>
    <w:p>
      <w:pPr>
        <w:spacing w:after="0" w:line="184" w:lineRule="exact"/>
        <w:rPr>
          <w:sz w:val="20"/>
          <w:szCs w:val="20"/>
          <w:color w:val="auto"/>
        </w:rPr>
      </w:pPr>
    </w:p>
    <w:p>
      <w:pPr>
        <w:ind w:left="200" w:right="160" w:firstLine="441"/>
        <w:spacing w:after="0" w:line="261" w:lineRule="auto"/>
        <w:rPr>
          <w:sz w:val="20"/>
          <w:szCs w:val="20"/>
          <w:color w:val="auto"/>
        </w:rPr>
      </w:pPr>
      <w:r>
        <w:rPr>
          <w:rFonts w:ascii="Times New Roman" w:cs="Times New Roman" w:eastAsia="Times New Roman" w:hAnsi="Times New Roman"/>
          <w:sz w:val="18"/>
          <w:szCs w:val="18"/>
          <w:color w:val="auto"/>
        </w:rPr>
        <w:t>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also pay brokerage commissions incurred in connection with purchases pursuant to the Company 10b5-1 Plan.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aggregate amount of brokerage commissions paid by us during the three most recent fiscal years is $108,625.</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200"/>
          </w:cols>
          <w:pgMar w:left="240" w:top="456" w:right="45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200" w:right="180" w:firstLine="441"/>
        <w:spacing w:after="0" w:line="261" w:lineRule="auto"/>
        <w:rPr>
          <w:sz w:val="20"/>
          <w:szCs w:val="20"/>
          <w:color w:val="auto"/>
        </w:rPr>
      </w:pPr>
      <w:r>
        <w:rPr>
          <w:rFonts w:ascii="Times New Roman" w:cs="Times New Roman" w:eastAsia="Times New Roman" w:hAnsi="Times New Roman"/>
          <w:sz w:val="18"/>
          <w:szCs w:val="18"/>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offerings or a combination of these methods.</w:t>
      </w:r>
    </w:p>
    <w:p>
      <w:pPr>
        <w:spacing w:after="0" w:line="180"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We may sell the securities through underwriters or dealers, directly to one or more purchasers, including existing stockholders in a rights offering, through agents designated from time to time by us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w:t>
      </w:r>
    </w:p>
    <w:p>
      <w:pPr>
        <w:spacing w:after="0" w:line="185" w:lineRule="exact"/>
        <w:rPr>
          <w:sz w:val="20"/>
          <w:szCs w:val="20"/>
          <w:color w:val="auto"/>
        </w:rPr>
      </w:pPr>
    </w:p>
    <w:p>
      <w:pPr>
        <w:ind w:left="200" w:right="160" w:firstLine="441"/>
        <w:spacing w:after="0" w:line="256" w:lineRule="auto"/>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w:t>
      </w:r>
    </w:p>
    <w:p>
      <w:pPr>
        <w:spacing w:after="0" w:line="188" w:lineRule="exact"/>
        <w:rPr>
          <w:sz w:val="20"/>
          <w:szCs w:val="20"/>
          <w:color w:val="auto"/>
        </w:rPr>
      </w:pPr>
    </w:p>
    <w:p>
      <w:pPr>
        <w:ind w:left="200" w:right="40" w:firstLine="441"/>
        <w:spacing w:after="0" w:line="254" w:lineRule="auto"/>
        <w:rPr>
          <w:sz w:val="20"/>
          <w:szCs w:val="20"/>
          <w:color w:val="auto"/>
        </w:rPr>
      </w:pPr>
      <w:r>
        <w:rPr>
          <w:rFonts w:ascii="Times New Roman" w:cs="Times New Roman" w:eastAsia="Times New Roman" w:hAnsi="Times New Roman"/>
          <w:sz w:val="18"/>
          <w:szCs w:val="18"/>
          <w:color w:val="auto"/>
        </w:rPr>
        <w:t>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FINRA, or independent broker-dealer will not be greater than 8% of the gross proceeds of the sale of securities offered pursuant to this prospectus and any applicable prospectus supplement. We may also reimburse the underwriter or agent for certain fees and legal expenses incurred by it.</w:t>
      </w:r>
    </w:p>
    <w:p>
      <w:pPr>
        <w:spacing w:after="0" w:line="186"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1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220"/>
          </w:cols>
          <w:pgMar w:left="240" w:top="456" w:right="43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w:t>
      </w:r>
    </w:p>
    <w:p>
      <w:pPr>
        <w:spacing w:after="0" w:line="176" w:lineRule="exact"/>
        <w:rPr>
          <w:sz w:val="20"/>
          <w:szCs w:val="20"/>
          <w:color w:val="auto"/>
        </w:rPr>
      </w:pPr>
    </w:p>
    <w:p>
      <w:pPr>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each class or series of securities will be a new issue with no trading market, other than our common stock, which is traded on the NYSE. We may elect to list any other class or series of securities on any exchanges, but we are not obligated to do so. We cannot guarantee the liquidity of the trading markets for any securities.</w:t>
      </w:r>
    </w:p>
    <w:p>
      <w:pPr>
        <w:spacing w:after="0" w:line="176"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Under agreements that we may enter, underwriters, dealers and agents who participate in the distribution of the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180"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or other persons acting as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85" w:lineRule="exact"/>
        <w:rPr>
          <w:sz w:val="20"/>
          <w:szCs w:val="20"/>
          <w:color w:val="auto"/>
        </w:rPr>
      </w:pPr>
    </w:p>
    <w:p>
      <w:pPr>
        <w:ind w:left="200" w:right="40" w:firstLine="441"/>
        <w:spacing w:after="0" w:line="256" w:lineRule="auto"/>
        <w:rPr>
          <w:sz w:val="20"/>
          <w:szCs w:val="20"/>
          <w:color w:val="auto"/>
        </w:rPr>
      </w:pPr>
      <w:r>
        <w:rPr>
          <w:rFonts w:ascii="Times New Roman" w:cs="Times New Roman" w:eastAsia="Times New Roman" w:hAnsi="Times New Roman"/>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spacing w:after="0" w:line="188" w:lineRule="exact"/>
        <w:rPr>
          <w:sz w:val="20"/>
          <w:szCs w:val="20"/>
          <w:color w:val="auto"/>
        </w:rPr>
      </w:pPr>
    </w:p>
    <w:p>
      <w:pPr>
        <w:ind w:left="200" w:right="440" w:firstLine="441"/>
        <w:spacing w:after="0" w:line="282"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offered hereby will be sold in such jurisdictions only through registered or licensed brokers or dealers.</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200"/>
          </w:cols>
          <w:pgMar w:left="240" w:top="455" w:right="45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200" w:right="180" w:firstLine="441"/>
        <w:spacing w:after="0" w:line="261" w:lineRule="auto"/>
        <w:rPr>
          <w:sz w:val="20"/>
          <w:szCs w:val="20"/>
          <w:color w:val="auto"/>
        </w:rPr>
      </w:pPr>
      <w:r>
        <w:rPr>
          <w:rFonts w:ascii="Times New Roman" w:cs="Times New Roman" w:eastAsia="Times New Roman" w:hAnsi="Times New Roman"/>
          <w:sz w:val="18"/>
          <w:szCs w:val="18"/>
          <w:color w:val="auto"/>
        </w:rPr>
        <w:t>The legality of the securities offered hereby will be passed upon for us by Cleary Gottlieb Steen &amp; Hamilton LLP, New York, New York. In addition, Schulte Roth &amp; Zabel LLP and Morris, Nichols, Arsht &amp; Tunnell LLP will pass on certain legal matters for us. Cleary Gottlieb Steen &amp; Hamilton LLP and Schulte Roth &amp; Zabel LLP also represent the Adviser. Certain legal matters in connection with the offering will be passed upon for the underwriters, if any, by the counsel named in the prospectus supplement.</w:t>
      </w:r>
    </w:p>
    <w:p>
      <w:pPr>
        <w:spacing w:after="0" w:line="39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TPG Specialty Lending, Inc. (and subsidiaries) as of December 31, 2017 and 2016, and for each of the years in the three-year period ended December 31, 2017 and the Senior Securities table under the heading “Senior Securities” have been included herein and in the registration statement in reliance upon the reports of KPMG LLP, 345 Park Avenue, New York, New York 10154, independent registered public accounting firm, appearing elsewhere herein, and upon the authority of said firm as experts in accounting and auditing.</w:t>
      </w:r>
    </w:p>
    <w:p>
      <w:pPr>
        <w:spacing w:after="0" w:line="39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left="200" w:right="300" w:firstLine="441"/>
        <w:spacing w:after="0" w:line="26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spacing w:after="0" w:line="176" w:lineRule="exact"/>
        <w:rPr>
          <w:sz w:val="20"/>
          <w:szCs w:val="20"/>
          <w:color w:val="auto"/>
        </w:rPr>
      </w:pPr>
    </w:p>
    <w:p>
      <w:pPr>
        <w:ind w:left="200" w:right="60" w:firstLine="441"/>
        <w:spacing w:after="0" w:line="261" w:lineRule="auto"/>
        <w:rPr>
          <w:sz w:val="20"/>
          <w:szCs w:val="20"/>
          <w:color w:val="auto"/>
        </w:rPr>
      </w:pPr>
      <w:r>
        <w:rPr>
          <w:rFonts w:ascii="Times New Roman" w:cs="Times New Roman" w:eastAsia="Times New Roman" w:hAnsi="Times New Roman"/>
          <w:sz w:val="18"/>
          <w:szCs w:val="18"/>
          <w:color w:val="auto"/>
        </w:rPr>
        <w:t>We file with or submit to the SEC periodic and current reports, proxy statements and other information meeting the informational requirements of the Exchange Act. You may inspect and copy these reports, proxy statements and other information, as well as the registration statement and related exhibits and schedules, at the SEC’s Public Reference Room at 100 F Street, N.E., Washington, D.C. 20549-0102. You may obtain information on the operation of the Public Reference Room by calling the SEC at 1-800-SEC-0330.</w:t>
      </w:r>
    </w:p>
    <w:p>
      <w:pPr>
        <w:spacing w:after="0" w:line="180"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We maintain a website at http://www.tpgspecialtylending.com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888 7th Avenue, 35th Floor, New York, NY 10106, Attention: TSLX Investor Relations, or by emailing us at IRTSL@tpg.com. The SEC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 or by writing the SEC’s Public Reference Section, 100 F Street, N.E., Washington, D.C. 20549-0102.</w:t>
      </w:r>
    </w:p>
    <w:p>
      <w:pPr>
        <w:spacing w:after="0" w:line="12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200"/>
          </w:cols>
          <w:pgMar w:left="240" w:top="455" w:right="45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p>
      <w:pPr>
        <w:spacing w:after="0" w:line="1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0580" w:type="dxa"/>
            <w:vAlign w:val="bottom"/>
            <w:gridSpan w:val="8"/>
            <w:vMerge w:val="restart"/>
          </w:tcPr>
          <w:p>
            <w:pPr>
              <w:spacing w:after="0"/>
              <w:rPr>
                <w:rFonts w:ascii="Times New Roman" w:cs="Times New Roman" w:eastAsia="Times New Roman" w:hAnsi="Times New Roman"/>
                <w:sz w:val="18"/>
                <w:szCs w:val="18"/>
                <w:color w:val="0000EE"/>
              </w:rPr>
            </w:pPr>
            <w:hyperlink w:anchor="page194">
              <w:r>
                <w:rPr>
                  <w:rFonts w:ascii="Times New Roman" w:cs="Times New Roman" w:eastAsia="Times New Roman" w:hAnsi="Times New Roman"/>
                  <w:sz w:val="18"/>
                  <w:szCs w:val="18"/>
                  <w:color w:val="0000EE"/>
                </w:rPr>
                <w:t>Report of Independent Registered Public Accounting Firm</w:t>
              </w:r>
            </w:hyperlink>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580" w:type="dxa"/>
            <w:vAlign w:val="bottom"/>
            <w:gridSpan w:val="8"/>
            <w:vMerge w:val="continue"/>
          </w:tcPr>
          <w:p>
            <w:pPr>
              <w:spacing w:after="0"/>
              <w:rPr>
                <w:sz w:val="13"/>
                <w:szCs w:val="13"/>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F-2</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196">
              <w:r>
                <w:rPr>
                  <w:rFonts w:ascii="Times New Roman" w:cs="Times New Roman" w:eastAsia="Times New Roman" w:hAnsi="Times New Roman"/>
                  <w:sz w:val="18"/>
                  <w:szCs w:val="18"/>
                  <w:color w:val="0000EE"/>
                  <w:w w:val="99"/>
                </w:rPr>
                <w:t>Consolidated Balance Sheets as of December 31, 2017 and 2016</w:t>
              </w:r>
            </w:hyperlink>
          </w:p>
        </w:tc>
        <w:tc>
          <w:tcPr>
            <w:tcW w:w="5920" w:type="dxa"/>
            <w:vAlign w:val="bottom"/>
            <w:gridSpan w:val="5"/>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196"/>
        </w:trPr>
        <w:tc>
          <w:tcPr>
            <w:tcW w:w="69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197">
              <w:r>
                <w:rPr>
                  <w:rFonts w:ascii="Times New Roman" w:cs="Times New Roman" w:eastAsia="Times New Roman" w:hAnsi="Times New Roman"/>
                  <w:sz w:val="18"/>
                  <w:szCs w:val="18"/>
                  <w:color w:val="0000EE"/>
                </w:rPr>
                <w:t>Consolidated Statements of Operations for the Years Ended December 31, 2017, 2016 and 2015</w:t>
              </w:r>
            </w:hyperlink>
          </w:p>
        </w:tc>
        <w:tc>
          <w:tcPr>
            <w:tcW w:w="362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10580" w:type="dxa"/>
            <w:vAlign w:val="bottom"/>
            <w:gridSpan w:val="8"/>
          </w:tcPr>
          <w:p>
            <w:pPr>
              <w:spacing w:after="0" w:line="196" w:lineRule="exact"/>
              <w:rPr>
                <w:rFonts w:ascii="Times New Roman" w:cs="Times New Roman" w:eastAsia="Times New Roman" w:hAnsi="Times New Roman"/>
                <w:sz w:val="18"/>
                <w:szCs w:val="18"/>
                <w:color w:val="0000EE"/>
              </w:rPr>
            </w:pPr>
            <w:hyperlink w:anchor="page198">
              <w:r>
                <w:rPr>
                  <w:rFonts w:ascii="Times New Roman" w:cs="Times New Roman" w:eastAsia="Times New Roman" w:hAnsi="Times New Roman"/>
                  <w:sz w:val="18"/>
                  <w:szCs w:val="18"/>
                  <w:color w:val="0000EE"/>
                </w:rPr>
                <w:t>Consolidated Schedules of Investments as of December 31, 2017 and 2016</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8"/>
          </w:tcPr>
          <w:p>
            <w:pPr>
              <w:spacing w:after="0" w:line="196" w:lineRule="exact"/>
              <w:rPr>
                <w:rFonts w:ascii="Times New Roman" w:cs="Times New Roman" w:eastAsia="Times New Roman" w:hAnsi="Times New Roman"/>
                <w:sz w:val="18"/>
                <w:szCs w:val="18"/>
                <w:color w:val="0000EE"/>
              </w:rPr>
            </w:pPr>
            <w:hyperlink w:anchor="page208">
              <w:r>
                <w:rPr>
                  <w:rFonts w:ascii="Times New Roman" w:cs="Times New Roman" w:eastAsia="Times New Roman" w:hAnsi="Times New Roman"/>
                  <w:sz w:val="18"/>
                  <w:szCs w:val="18"/>
                  <w:color w:val="0000EE"/>
                </w:rPr>
                <w:t>Consolidated Statements of Changes in Net Assets for the Years Ended December 31, 2017, 2016 and 2015</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w:t>
            </w:r>
          </w:p>
        </w:tc>
        <w:tc>
          <w:tcPr>
            <w:tcW w:w="0" w:type="dxa"/>
            <w:vAlign w:val="bottom"/>
          </w:tcPr>
          <w:p>
            <w:pPr>
              <w:spacing w:after="0"/>
              <w:rPr>
                <w:sz w:val="1"/>
                <w:szCs w:val="1"/>
                <w:color w:val="auto"/>
              </w:rPr>
            </w:pPr>
          </w:p>
        </w:tc>
      </w:tr>
      <w:tr>
        <w:trPr>
          <w:trHeight w:val="218"/>
        </w:trPr>
        <w:tc>
          <w:tcPr>
            <w:tcW w:w="3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4"/>
        </w:trPr>
        <w:tc>
          <w:tcPr>
            <w:tcW w:w="10580" w:type="dxa"/>
            <w:vAlign w:val="bottom"/>
            <w:gridSpan w:val="8"/>
          </w:tcPr>
          <w:p>
            <w:pPr>
              <w:spacing w:after="0" w:line="194" w:lineRule="exact"/>
              <w:rPr>
                <w:rFonts w:ascii="Times New Roman" w:cs="Times New Roman" w:eastAsia="Times New Roman" w:hAnsi="Times New Roman"/>
                <w:sz w:val="18"/>
                <w:szCs w:val="18"/>
                <w:color w:val="0000EE"/>
              </w:rPr>
            </w:pPr>
            <w:hyperlink w:anchor="page209">
              <w:r>
                <w:rPr>
                  <w:rFonts w:ascii="Times New Roman" w:cs="Times New Roman" w:eastAsia="Times New Roman" w:hAnsi="Times New Roman"/>
                  <w:sz w:val="18"/>
                  <w:szCs w:val="18"/>
                  <w:color w:val="0000EE"/>
                </w:rPr>
                <w:t>Consolidated Statements of Cash Flows for the Years Ended December 31, 2017, 2016 and 2015</w:t>
              </w:r>
            </w:hyperlink>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w:t>
            </w:r>
          </w:p>
        </w:tc>
        <w:tc>
          <w:tcPr>
            <w:tcW w:w="0" w:type="dxa"/>
            <w:vAlign w:val="bottom"/>
          </w:tcPr>
          <w:p>
            <w:pPr>
              <w:spacing w:after="0"/>
              <w:rPr>
                <w:sz w:val="1"/>
                <w:szCs w:val="1"/>
                <w:color w:val="auto"/>
              </w:rPr>
            </w:pPr>
          </w:p>
        </w:tc>
      </w:tr>
      <w:tr>
        <w:trPr>
          <w:trHeight w:val="218"/>
        </w:trPr>
        <w:tc>
          <w:tcPr>
            <w:tcW w:w="3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4"/>
        </w:trPr>
        <w:tc>
          <w:tcPr>
            <w:tcW w:w="10580" w:type="dxa"/>
            <w:vAlign w:val="bottom"/>
            <w:gridSpan w:val="8"/>
          </w:tcPr>
          <w:p>
            <w:pPr>
              <w:spacing w:after="0" w:line="194" w:lineRule="exact"/>
              <w:rPr>
                <w:rFonts w:ascii="Times New Roman" w:cs="Times New Roman" w:eastAsia="Times New Roman" w:hAnsi="Times New Roman"/>
                <w:sz w:val="18"/>
                <w:szCs w:val="18"/>
                <w:color w:val="0000EE"/>
              </w:rPr>
            </w:pPr>
            <w:hyperlink w:anchor="page210">
              <w:r>
                <w:rPr>
                  <w:rFonts w:ascii="Times New Roman" w:cs="Times New Roman" w:eastAsia="Times New Roman" w:hAnsi="Times New Roman"/>
                  <w:sz w:val="18"/>
                  <w:szCs w:val="18"/>
                  <w:color w:val="0000EE"/>
                </w:rPr>
                <w:t>Notes to Consolidated Financial Statements</w:t>
              </w:r>
            </w:hyperlink>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w:t>
            </w:r>
          </w:p>
        </w:tc>
        <w:tc>
          <w:tcPr>
            <w:tcW w:w="0" w:type="dxa"/>
            <w:vAlign w:val="bottom"/>
          </w:tcPr>
          <w:p>
            <w:pPr>
              <w:spacing w:after="0"/>
              <w:rPr>
                <w:sz w:val="1"/>
                <w:szCs w:val="1"/>
                <w:color w:val="auto"/>
              </w:rPr>
            </w:pPr>
          </w:p>
        </w:tc>
      </w:tr>
      <w:tr>
        <w:trPr>
          <w:trHeight w:val="237"/>
        </w:trPr>
        <w:tc>
          <w:tcPr>
            <w:tcW w:w="3160" w:type="dxa"/>
            <w:vAlign w:val="bottom"/>
            <w:tcBorders>
              <w:top w:val="single" w:sz="8" w:color="0000EE"/>
            </w:tcBorders>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65"/>
        </w:trPr>
        <w:tc>
          <w:tcPr>
            <w:tcW w:w="3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92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6" w:right="47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TPG Specialty Lending, Inc.:</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119" w:lineRule="exact"/>
        <w:rPr>
          <w:sz w:val="20"/>
          <w:szCs w:val="20"/>
          <w:color w:val="auto"/>
        </w:rPr>
      </w:pPr>
    </w:p>
    <w:p>
      <w:pPr>
        <w:ind w:left="200" w:right="120" w:firstLine="441"/>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TPG Specialty Lending, Inc. and subsidiaries (the Company), including the consolidated schedules of investments, as of December 31, 2017 and 2016, the related consolidated statements of operations, changes in net assets, and cash flows for each of the years in the three-year period ended December 31, 2017, and the related notes (collectively, the consolidated financial statements). We also have audited the Company’s internal control over financial reporting as of December 31, 2017, based on criteria established in </w:t>
      </w:r>
      <w:r>
        <w:rPr>
          <w:rFonts w:ascii="Times New Roman" w:cs="Times New Roman" w:eastAsia="Times New Roman" w:hAnsi="Times New Roman"/>
          <w:sz w:val="18"/>
          <w:szCs w:val="18"/>
          <w:i w:val="1"/>
          <w:iCs w:val="1"/>
          <w:color w:val="auto"/>
        </w:rPr>
        <w:t xml:space="preserve">Internal Control—Integrated Framework (2013) </w:t>
      </w:r>
      <w:r>
        <w:rPr>
          <w:rFonts w:ascii="Times New Roman" w:cs="Times New Roman" w:eastAsia="Times New Roman" w:hAnsi="Times New Roman"/>
          <w:sz w:val="18"/>
          <w:szCs w:val="18"/>
          <w:color w:val="auto"/>
        </w:rPr>
        <w:t>issued by the Committee of Sponsoring Organizations of the Treadway Commission.</w:t>
      </w:r>
    </w:p>
    <w:p>
      <w:pPr>
        <w:spacing w:after="0" w:line="184"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2017 and 2016, and the results of its operations, changes in net assets, and cash flows for each of the years in the three-year period ended December 31, 2017, in conformity with U.S. generally accepted accounting principles. Also in our opinion, the Company maintained, in all material respects, effective internal control over financial reporting as of December 31, 2017,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119" w:lineRule="exact"/>
        <w:rPr>
          <w:sz w:val="20"/>
          <w:szCs w:val="20"/>
          <w:color w:val="auto"/>
        </w:rPr>
      </w:pPr>
    </w:p>
    <w:p>
      <w:pPr>
        <w:ind w:left="200" w:right="40" w:firstLine="441"/>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left="200" w:right="180" w:firstLine="441"/>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Such procedures also included confirmation of securities owned as of December 31, 2017 and 2016, by correspondence with custodians, or by other appropriate auditing procedures.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220"/>
          </w:cols>
          <w:pgMar w:left="240" w:top="456" w:right="43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19"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5" w:lineRule="exact"/>
        <w:rPr>
          <w:sz w:val="20"/>
          <w:szCs w:val="20"/>
          <w:color w:val="auto"/>
        </w:rPr>
      </w:pPr>
    </w:p>
    <w:p>
      <w:pPr>
        <w:jc w:val="both"/>
        <w:ind w:left="200" w:right="220" w:firstLine="441"/>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(signed) KPMG LLP</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 have served as the Company’s auditor since 2010.</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February 21, 2018</w:t>
      </w:r>
    </w:p>
    <w:p>
      <w:pPr>
        <w:spacing w:after="0" w:line="13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20"/>
          </w:cols>
          <w:pgMar w:left="240" w:top="456" w:right="53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1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780" w:type="dxa"/>
            <w:vAlign w:val="bottom"/>
          </w:tcPr>
          <w:p>
            <w:pPr>
              <w:spacing w:after="0"/>
              <w:rPr>
                <w:sz w:val="13"/>
                <w:szCs w:val="13"/>
                <w:color w:val="auto"/>
              </w:rPr>
            </w:pPr>
          </w:p>
        </w:tc>
        <w:tc>
          <w:tcPr>
            <w:tcW w:w="110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7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Non-controlled, non-affiliated investments (amortized cost of $1,523,844 and $1,567,673, respectively)</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1,557,803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1,591,544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Controlled, affiliated investments (amortized cost of $162,406 and $100,014, respectively)</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135,920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 at fair value (amortized cost of $1,686,250 and $1,667,687, respectively)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1,693,723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1,657,403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(restricted cash of $3,150 and $1,088, respectively)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Receivable for interest rate swaps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1,720,238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1,675,532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Debt (net of deferred financing costs of $11,770 and $11,019, respectively)</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703,428</w:t>
            </w:r>
          </w:p>
        </w:tc>
        <w:tc>
          <w:tcPr>
            <w:tcW w:w="24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fees payable to affiliate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Incentive fees payable to affiliate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to affiliate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750,954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723,320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$0.01 par value; 100,000,000 shares authorized; no shares issued and outstanding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400,000,000 shares authorized, 60,336,281 and 59,805,285 shares issued,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respectively; and 60,247,201 and 59,716,205 shares outstanding, respectively</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906,521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898,868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89,080 and 89,080 shares held, respectively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Undistributed net investment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gains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Undistributed net realized gains (losses)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969,284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952,212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Total Liabilities and Net Assets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1,720,238</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1,675,532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Net Asset Value Per Share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240"/>
          </w:cols>
          <w:pgMar w:left="240" w:top="456" w:right="41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11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1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212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92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6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Income</w:t>
            </w:r>
          </w:p>
        </w:tc>
        <w:tc>
          <w:tcPr>
            <w:tcW w:w="5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Investment income from non-controlled, non-affiliated investments:</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Interest from investments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191,288</w:t>
            </w:r>
          </w:p>
        </w:tc>
        <w:tc>
          <w:tcPr>
            <w:tcW w:w="4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167,819</w:t>
            </w:r>
          </w:p>
        </w:tc>
        <w:tc>
          <w:tcPr>
            <w:tcW w:w="4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Dividend income</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income</w:t>
            </w:r>
          </w:p>
        </w:tc>
        <w:tc>
          <w:tcPr>
            <w:tcW w:w="5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9,617</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12,685</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investment income from non-controlled, non-affiliated</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investments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201,250</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182,231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income from controlled, affiliated investments: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Interest from investments</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9,443</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9,975</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income</w:t>
            </w:r>
          </w:p>
        </w:tc>
        <w:tc>
          <w:tcPr>
            <w:tcW w:w="5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investment income from controlled, affiliated investments</w:t>
            </w:r>
          </w:p>
        </w:tc>
        <w:tc>
          <w:tcPr>
            <w:tcW w:w="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9,647</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10,179</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b w:val="1"/>
                <w:bCs w:val="1"/>
                <w:color w:val="auto"/>
              </w:rPr>
              <w:t>Total Investment Income</w:t>
            </w:r>
          </w:p>
        </w:tc>
        <w:tc>
          <w:tcPr>
            <w:tcW w:w="5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210,897</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192,410</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27,441</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Management fees</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24,287</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24,253</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Incentive fees</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25,497</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22,703</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5,431</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8,446</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Directors’ fees</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Other general and administrative</w:t>
            </w:r>
          </w:p>
        </w:tc>
        <w:tc>
          <w:tcPr>
            <w:tcW w:w="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4,827</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expenses</w:t>
            </w:r>
          </w:p>
        </w:tc>
        <w:tc>
          <w:tcPr>
            <w:tcW w:w="5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87,888</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83,282</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Management and incentive fees waived (Note 3)</w:t>
            </w:r>
          </w:p>
        </w:tc>
        <w:tc>
          <w:tcPr>
            <w:tcW w:w="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b w:val="1"/>
                <w:bCs w:val="1"/>
                <w:color w:val="auto"/>
              </w:rPr>
              <w:t>Net Expenses</w:t>
            </w:r>
          </w:p>
        </w:tc>
        <w:tc>
          <w:tcPr>
            <w:tcW w:w="5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87,803</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82,852</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Investment Income Before Income Taxes</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123,094</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109,558</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taxes, including excise taxes</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Investment Income</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120,259</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107,333</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Unrealized and Realized Gains (Losses)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unrealized gains (losses):</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Non-controlled, non-affiliated investments</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10,090</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44,676</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(17,008)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Controlled, affiliated investments</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7,668</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(10,994)</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(17,217)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Translation of other assets and liabilities in foreign currencies</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(11,432)</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(3,547)</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Interest rate swaps</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(1,031)</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(333)</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Total net change in unrealized gains (losses)</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5,295</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29,802</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(28,568)</w:t>
            </w:r>
          </w:p>
        </w:tc>
        <w:tc>
          <w:tcPr>
            <w:tcW w:w="0" w:type="dxa"/>
            <w:vAlign w:val="bottom"/>
          </w:tcPr>
          <w:p>
            <w:pPr>
              <w:spacing w:after="0"/>
              <w:rPr>
                <w:sz w:val="1"/>
                <w:szCs w:val="1"/>
                <w:color w:val="auto"/>
              </w:rPr>
            </w:pPr>
          </w:p>
        </w:tc>
      </w:tr>
      <w:tr>
        <w:trPr>
          <w:trHeight w:val="207"/>
        </w:trPr>
        <w:tc>
          <w:tcPr>
            <w:tcW w:w="5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Realized gains (losses):</w:t>
            </w:r>
          </w:p>
        </w:tc>
        <w:tc>
          <w:tcPr>
            <w:tcW w:w="5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Non-controlled, non-affiliated investments</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7,481</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(772)</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Controlled, affiliated investments</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(21,776)</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Interest rate swaps</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Foreign currency transactions</w:t>
            </w:r>
          </w:p>
        </w:tc>
        <w:tc>
          <w:tcPr>
            <w:tcW w:w="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Total realized losses</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(13,945)</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(128)</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(3,162)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tcPr>
          <w:p>
            <w:pPr>
              <w:ind w:left="1200"/>
              <w:spacing w:after="0"/>
              <w:rPr>
                <w:sz w:val="20"/>
                <w:szCs w:val="20"/>
                <w:color w:val="auto"/>
              </w:rPr>
            </w:pPr>
            <w:r>
              <w:rPr>
                <w:rFonts w:ascii="Times New Roman" w:cs="Times New Roman" w:eastAsia="Times New Roman" w:hAnsi="Times New Roman"/>
                <w:sz w:val="16"/>
                <w:szCs w:val="16"/>
                <w:b w:val="1"/>
                <w:bCs w:val="1"/>
                <w:color w:val="auto"/>
              </w:rPr>
              <w:t>Total Unrealized and Realized Gains (Losses)</w:t>
            </w:r>
          </w:p>
        </w:tc>
        <w:tc>
          <w:tcPr>
            <w:tcW w:w="5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(8,650)</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29,674</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b w:val="1"/>
                <w:bCs w:val="1"/>
                <w:color w:val="auto"/>
              </w:rPr>
              <w:t>Increase in Net Assets Resulting from Operations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111,609</w:t>
            </w:r>
          </w:p>
        </w:tc>
        <w:tc>
          <w:tcPr>
            <w:tcW w:w="4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137,007</w:t>
            </w:r>
          </w:p>
        </w:tc>
        <w:tc>
          <w:tcPr>
            <w:tcW w:w="4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Earnings per common share—basic and diluted</w:t>
            </w: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8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shares of common stock outstanding—basic and diluted</w:t>
            </w:r>
          </w:p>
        </w:tc>
        <w:tc>
          <w:tcPr>
            <w:tcW w:w="5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59,995,387</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58,591,380</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54,006,322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240"/>
          </w:cols>
          <w:pgMar w:left="240" w:top="455" w:right="41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as of December 31, 2017</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21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3"/>
                <w:szCs w:val="13"/>
                <w:color w:val="auto"/>
              </w:rPr>
            </w:pPr>
          </w:p>
        </w:tc>
        <w:tc>
          <w:tcPr>
            <w:tcW w:w="5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60" w:type="dxa"/>
            <w:vAlign w:val="bottom"/>
          </w:tcPr>
          <w:p>
            <w:pPr>
              <w:spacing w:after="0"/>
              <w:rPr>
                <w:sz w:val="13"/>
                <w:szCs w:val="13"/>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2"/>
                <w:szCs w:val="12"/>
                <w:b w:val="1"/>
                <w:bCs w:val="1"/>
                <w:color w:val="auto"/>
              </w:rPr>
              <w:t>(1)</w:t>
            </w:r>
          </w:p>
        </w:tc>
        <w:tc>
          <w:tcPr>
            <w:tcW w:w="480" w:type="dxa"/>
            <w:vAlign w:val="bottom"/>
          </w:tcPr>
          <w:p>
            <w:pPr>
              <w:spacing w:after="0"/>
              <w:rPr>
                <w:sz w:val="12"/>
                <w:szCs w:val="12"/>
                <w:color w:val="auto"/>
              </w:rPr>
            </w:pPr>
          </w:p>
        </w:tc>
        <w:tc>
          <w:tcPr>
            <w:tcW w:w="190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1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0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Rate and</w:t>
            </w:r>
          </w:p>
        </w:tc>
        <w:tc>
          <w:tcPr>
            <w:tcW w:w="8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82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19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102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Spread</w:t>
            </w:r>
          </w:p>
        </w:tc>
        <w:tc>
          <w:tcPr>
            <w:tcW w:w="860" w:type="dxa"/>
            <w:vAlign w:val="bottom"/>
            <w:gridSpan w:val="2"/>
          </w:tcPr>
          <w:p>
            <w:pPr>
              <w:jc w:val="right"/>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Rate</w:t>
            </w:r>
          </w:p>
        </w:tc>
        <w:tc>
          <w:tcPr>
            <w:tcW w:w="140" w:type="dxa"/>
            <w:vAlign w:val="bottom"/>
          </w:tcPr>
          <w:p>
            <w:pPr>
              <w:spacing w:after="0"/>
              <w:rPr>
                <w:sz w:val="13"/>
                <w:szCs w:val="13"/>
                <w:color w:val="auto"/>
              </w:rPr>
            </w:pPr>
          </w:p>
        </w:tc>
        <w:tc>
          <w:tcPr>
            <w:tcW w:w="66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Cost</w:t>
            </w:r>
            <w:r>
              <w:rPr>
                <w:rFonts w:ascii="Times New Roman" w:cs="Times New Roman" w:eastAsia="Times New Roman" w:hAnsi="Times New Roman"/>
                <w:sz w:val="12"/>
                <w:szCs w:val="12"/>
                <w:b w:val="1"/>
                <w:bCs w:val="1"/>
                <w:color w:val="auto"/>
              </w:rPr>
              <w:t>(2)(7)</w:t>
            </w:r>
          </w:p>
        </w:tc>
        <w:tc>
          <w:tcPr>
            <w:tcW w:w="240" w:type="dxa"/>
            <w:vAlign w:val="bottom"/>
          </w:tcPr>
          <w:p>
            <w:pPr>
              <w:spacing w:after="0"/>
              <w:rPr>
                <w:sz w:val="13"/>
                <w:szCs w:val="13"/>
                <w:color w:val="auto"/>
              </w:rPr>
            </w:pPr>
          </w:p>
        </w:tc>
        <w:tc>
          <w:tcPr>
            <w:tcW w:w="54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w w:val="97"/>
              </w:rPr>
              <w:t>Value</w:t>
            </w:r>
            <w:r>
              <w:rPr>
                <w:rFonts w:ascii="Times New Roman" w:cs="Times New Roman" w:eastAsia="Times New Roman" w:hAnsi="Times New Roman"/>
                <w:sz w:val="12"/>
                <w:szCs w:val="12"/>
                <w:b w:val="1"/>
                <w:bCs w:val="1"/>
                <w:color w:val="auto"/>
                <w:w w:val="97"/>
              </w:rPr>
              <w:t>(9)</w:t>
            </w:r>
          </w:p>
        </w:tc>
        <w:tc>
          <w:tcPr>
            <w:tcW w:w="1220" w:type="dxa"/>
            <w:vAlign w:val="bottom"/>
            <w:gridSpan w:val="3"/>
          </w:tcPr>
          <w:p>
            <w:pPr>
              <w:jc w:val="right"/>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80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Debt Investments Automotive</w:t>
            </w:r>
          </w:p>
        </w:tc>
        <w:tc>
          <w:tcPr>
            <w:tcW w:w="48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Heartland Automotive Holdings, LLC</w:t>
            </w:r>
            <w:r>
              <w:rPr>
                <w:rFonts w:ascii="Times New Roman" w:cs="Times New Roman" w:eastAsia="Times New Roman" w:hAnsi="Times New Roman"/>
                <w:sz w:val="12"/>
                <w:szCs w:val="12"/>
                <w:color w:val="auto"/>
              </w:rPr>
              <w:t>(3)</w:t>
            </w:r>
          </w:p>
        </w:tc>
        <w:tc>
          <w:tcPr>
            <w:tcW w:w="2380" w:type="dxa"/>
            <w:vAlign w:val="bottom"/>
            <w:gridSpan w:val="2"/>
          </w:tcPr>
          <w:p>
            <w:pPr>
              <w:ind w:left="480"/>
              <w:spacing w:after="0" w:line="126" w:lineRule="exact"/>
              <w:rPr>
                <w:sz w:val="20"/>
                <w:szCs w:val="20"/>
                <w:color w:val="auto"/>
              </w:rPr>
            </w:pPr>
            <w:r>
              <w:rPr>
                <w:rFonts w:ascii="Times New Roman" w:cs="Times New Roman" w:eastAsia="Times New Roman" w:hAnsi="Times New Roman"/>
                <w:sz w:val="14"/>
                <w:szCs w:val="14"/>
                <w:color w:val="auto"/>
              </w:rPr>
              <w:t>First-lien loan ($25,725 par, due</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8/28/2012</w:t>
            </w:r>
          </w:p>
        </w:tc>
        <w:tc>
          <w:tcPr>
            <w:tcW w:w="240" w:type="dxa"/>
            <w:vAlign w:val="bottom"/>
          </w:tcPr>
          <w:p>
            <w:pPr>
              <w:spacing w:after="0"/>
              <w:rPr>
                <w:sz w:val="10"/>
                <w:szCs w:val="10"/>
                <w:color w:val="auto"/>
              </w:rPr>
            </w:pPr>
          </w:p>
        </w:tc>
        <w:tc>
          <w:tcPr>
            <w:tcW w:w="10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L + 10.25%</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11.75%</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25,724</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$ 25,789</w:t>
            </w:r>
          </w:p>
        </w:tc>
        <w:tc>
          <w:tcPr>
            <w:tcW w:w="12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3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1/2018)</w:t>
            </w:r>
          </w:p>
        </w:tc>
        <w:tc>
          <w:tcPr>
            <w:tcW w:w="9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80" w:type="dxa"/>
            <w:vAlign w:val="bottom"/>
            <w:shd w:val="clear" w:color="auto" w:fill="CCEEFF"/>
          </w:tcPr>
          <w:p>
            <w:pPr>
              <w:spacing w:after="0"/>
              <w:rPr>
                <w:sz w:val="10"/>
                <w:szCs w:val="10"/>
                <w:color w:val="auto"/>
              </w:rPr>
            </w:pPr>
          </w:p>
        </w:tc>
        <w:tc>
          <w:tcPr>
            <w:tcW w:w="2380" w:type="dxa"/>
            <w:vAlign w:val="bottom"/>
            <w:gridSpan w:val="2"/>
            <w:shd w:val="clear" w:color="auto" w:fill="CCEEFF"/>
          </w:tcPr>
          <w:p>
            <w:pPr>
              <w:ind w:left="480"/>
              <w:spacing w:after="0" w:line="126" w:lineRule="exact"/>
              <w:rPr>
                <w:sz w:val="20"/>
                <w:szCs w:val="20"/>
                <w:color w:val="auto"/>
              </w:rPr>
            </w:pPr>
            <w:r>
              <w:rPr>
                <w:rFonts w:ascii="Times New Roman" w:cs="Times New Roman" w:eastAsia="Times New Roman" w:hAnsi="Times New Roman"/>
                <w:sz w:val="14"/>
                <w:szCs w:val="14"/>
                <w:color w:val="auto"/>
              </w:rPr>
              <w:t>First-lien revolving loan ($4,056</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8/28/2012</w:t>
            </w:r>
          </w:p>
        </w:tc>
        <w:tc>
          <w:tcPr>
            <w:tcW w:w="24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P + 9.00%</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13.50%</w:t>
            </w:r>
          </w:p>
        </w:tc>
        <w:tc>
          <w:tcPr>
            <w:tcW w:w="140" w:type="dxa"/>
            <w:vAlign w:val="bottom"/>
            <w:vMerge w:val="restart"/>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4,056</w:t>
            </w:r>
          </w:p>
        </w:tc>
        <w:tc>
          <w:tcPr>
            <w:tcW w:w="240" w:type="dxa"/>
            <w:vAlign w:val="bottom"/>
            <w:vMerge w:val="restart"/>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4,066</w:t>
            </w:r>
          </w:p>
        </w:tc>
        <w:tc>
          <w:tcPr>
            <w:tcW w:w="260" w:type="dxa"/>
            <w:vAlign w:val="bottom"/>
            <w:vMerge w:val="restart"/>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par, due 1/2018)</w:t>
            </w: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29,780</w:t>
            </w:r>
          </w:p>
        </w:tc>
        <w:tc>
          <w:tcPr>
            <w:tcW w:w="240" w:type="dxa"/>
            <w:vAlign w:val="bottom"/>
            <w:vMerge w:val="continue"/>
          </w:tcPr>
          <w:p>
            <w:pPr>
              <w:spacing w:after="0"/>
              <w:rPr>
                <w:sz w:val="14"/>
                <w:szCs w:val="14"/>
                <w:color w:val="auto"/>
              </w:rPr>
            </w:pP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29,855</w:t>
            </w:r>
          </w:p>
        </w:tc>
        <w:tc>
          <w:tcPr>
            <w:tcW w:w="26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Beverage, food and tobacco</w:t>
            </w:r>
          </w:p>
        </w:tc>
        <w:tc>
          <w:tcPr>
            <w:tcW w:w="4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AFS Technologies, Inc.</w:t>
            </w:r>
            <w:r>
              <w:rPr>
                <w:rFonts w:ascii="Times New Roman" w:cs="Times New Roman" w:eastAsia="Times New Roman" w:hAnsi="Times New Roman"/>
                <w:sz w:val="12"/>
                <w:szCs w:val="12"/>
                <w:color w:val="auto"/>
              </w:rPr>
              <w:t>(3)(6)</w:t>
            </w:r>
          </w:p>
        </w:tc>
        <w:tc>
          <w:tcPr>
            <w:tcW w:w="2380" w:type="dxa"/>
            <w:vAlign w:val="bottom"/>
            <w:gridSpan w:val="2"/>
          </w:tcPr>
          <w:p>
            <w:pPr>
              <w:ind w:left="480"/>
              <w:spacing w:after="0" w:line="126" w:lineRule="exact"/>
              <w:rPr>
                <w:sz w:val="20"/>
                <w:szCs w:val="20"/>
                <w:color w:val="auto"/>
              </w:rPr>
            </w:pPr>
            <w:r>
              <w:rPr>
                <w:rFonts w:ascii="Times New Roman" w:cs="Times New Roman" w:eastAsia="Times New Roman" w:hAnsi="Times New Roman"/>
                <w:sz w:val="14"/>
                <w:szCs w:val="14"/>
                <w:color w:val="auto"/>
              </w:rPr>
              <w:t>Second-lien loan ($59,621 par,</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6/30/2017</w:t>
            </w:r>
          </w:p>
        </w:tc>
        <w:tc>
          <w:tcPr>
            <w:tcW w:w="240" w:type="dxa"/>
            <w:vAlign w:val="bottom"/>
          </w:tcPr>
          <w:p>
            <w:pPr>
              <w:spacing w:after="0"/>
              <w:rPr>
                <w:sz w:val="10"/>
                <w:szCs w:val="10"/>
                <w:color w:val="auto"/>
              </w:rPr>
            </w:pPr>
          </w:p>
        </w:tc>
        <w:tc>
          <w:tcPr>
            <w:tcW w:w="10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L + 9.05%</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10.74%</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59,621</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57,534</w:t>
            </w:r>
          </w:p>
        </w:tc>
        <w:tc>
          <w:tcPr>
            <w:tcW w:w="12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3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due 9/2021)</w:t>
            </w:r>
          </w:p>
        </w:tc>
        <w:tc>
          <w:tcPr>
            <w:tcW w:w="9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Business services</w:t>
            </w:r>
          </w:p>
        </w:tc>
        <w:tc>
          <w:tcPr>
            <w:tcW w:w="4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Jive Software, Inc.</w:t>
            </w:r>
            <w:r>
              <w:rPr>
                <w:rFonts w:ascii="Times New Roman" w:cs="Times New Roman" w:eastAsia="Times New Roman" w:hAnsi="Times New Roman"/>
                <w:sz w:val="12"/>
                <w:szCs w:val="12"/>
                <w:color w:val="auto"/>
              </w:rPr>
              <w:t>(3)(5)</w:t>
            </w:r>
          </w:p>
        </w:tc>
        <w:tc>
          <w:tcPr>
            <w:tcW w:w="2380" w:type="dxa"/>
            <w:vAlign w:val="bottom"/>
            <w:gridSpan w:val="2"/>
          </w:tcPr>
          <w:p>
            <w:pPr>
              <w:ind w:left="480"/>
              <w:spacing w:after="0" w:line="126" w:lineRule="exact"/>
              <w:rPr>
                <w:sz w:val="20"/>
                <w:szCs w:val="20"/>
                <w:color w:val="auto"/>
              </w:rPr>
            </w:pPr>
            <w:r>
              <w:rPr>
                <w:rFonts w:ascii="Times New Roman" w:cs="Times New Roman" w:eastAsia="Times New Roman" w:hAnsi="Times New Roman"/>
                <w:sz w:val="14"/>
                <w:szCs w:val="14"/>
                <w:color w:val="auto"/>
              </w:rPr>
              <w:t>First-lien loan ($53,730 par, due</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6/12/2017</w:t>
            </w:r>
          </w:p>
        </w:tc>
        <w:tc>
          <w:tcPr>
            <w:tcW w:w="240" w:type="dxa"/>
            <w:vAlign w:val="bottom"/>
          </w:tcPr>
          <w:p>
            <w:pPr>
              <w:spacing w:after="0"/>
              <w:rPr>
                <w:sz w:val="10"/>
                <w:szCs w:val="10"/>
                <w:color w:val="auto"/>
              </w:rPr>
            </w:pPr>
          </w:p>
        </w:tc>
        <w:tc>
          <w:tcPr>
            <w:tcW w:w="10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L + 9.25%</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10.69%</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51,900</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53,730</w:t>
            </w:r>
          </w:p>
        </w:tc>
        <w:tc>
          <w:tcPr>
            <w:tcW w:w="12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3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6/2022)</w:t>
            </w:r>
          </w:p>
        </w:tc>
        <w:tc>
          <w:tcPr>
            <w:tcW w:w="9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Leaf US Holdings, Inc.</w:t>
            </w:r>
            <w:r>
              <w:rPr>
                <w:rFonts w:ascii="Times New Roman" w:cs="Times New Roman" w:eastAsia="Times New Roman" w:hAnsi="Times New Roman"/>
                <w:sz w:val="12"/>
                <w:szCs w:val="12"/>
                <w:color w:val="auto"/>
              </w:rPr>
              <w:t>(3)(4)</w:t>
            </w:r>
          </w:p>
        </w:tc>
        <w:tc>
          <w:tcPr>
            <w:tcW w:w="2380" w:type="dxa"/>
            <w:vAlign w:val="bottom"/>
            <w:gridSpan w:val="2"/>
            <w:shd w:val="clear" w:color="auto" w:fill="CCEEFF"/>
          </w:tcPr>
          <w:p>
            <w:pPr>
              <w:ind w:left="480"/>
              <w:spacing w:after="0" w:line="126" w:lineRule="exact"/>
              <w:rPr>
                <w:sz w:val="20"/>
                <w:szCs w:val="20"/>
                <w:color w:val="auto"/>
              </w:rPr>
            </w:pPr>
            <w:r>
              <w:rPr>
                <w:rFonts w:ascii="Times New Roman" w:cs="Times New Roman" w:eastAsia="Times New Roman" w:hAnsi="Times New Roman"/>
                <w:sz w:val="14"/>
                <w:szCs w:val="14"/>
                <w:color w:val="auto"/>
              </w:rPr>
              <w:t>First-lien loan ($33,221 par, due</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6/30/2014</w:t>
            </w:r>
          </w:p>
        </w:tc>
        <w:tc>
          <w:tcPr>
            <w:tcW w:w="24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L + 8.00%</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9.69%</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32,879</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33,221</w:t>
            </w:r>
          </w:p>
        </w:tc>
        <w:tc>
          <w:tcPr>
            <w:tcW w:w="12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6/2020)</w:t>
            </w: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Motus, LLC</w:t>
            </w:r>
            <w:r>
              <w:rPr>
                <w:rFonts w:ascii="Times New Roman" w:cs="Times New Roman" w:eastAsia="Times New Roman" w:hAnsi="Times New Roman"/>
                <w:sz w:val="12"/>
                <w:szCs w:val="12"/>
                <w:color w:val="auto"/>
              </w:rPr>
              <w:t>(3)</w:t>
            </w:r>
          </w:p>
        </w:tc>
        <w:tc>
          <w:tcPr>
            <w:tcW w:w="2380" w:type="dxa"/>
            <w:vAlign w:val="bottom"/>
            <w:gridSpan w:val="2"/>
          </w:tcPr>
          <w:p>
            <w:pPr>
              <w:ind w:left="480"/>
              <w:spacing w:after="0" w:line="126" w:lineRule="exact"/>
              <w:rPr>
                <w:sz w:val="20"/>
                <w:szCs w:val="20"/>
                <w:color w:val="auto"/>
              </w:rPr>
            </w:pPr>
            <w:r>
              <w:rPr>
                <w:rFonts w:ascii="Times New Roman" w:cs="Times New Roman" w:eastAsia="Times New Roman" w:hAnsi="Times New Roman"/>
                <w:sz w:val="14"/>
                <w:szCs w:val="14"/>
                <w:color w:val="auto"/>
              </w:rPr>
              <w:t>First-lien loan ($20,879 par, due</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11.57%</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38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7/2021)</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(incl. 3.00%</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7/29/2016</w:t>
            </w:r>
          </w:p>
        </w:tc>
        <w:tc>
          <w:tcPr>
            <w:tcW w:w="24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L + 10.00%</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PIK)</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20,496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21,975</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Riskonnect, Inc.</w:t>
            </w:r>
            <w:r>
              <w:rPr>
                <w:rFonts w:ascii="Times New Roman" w:cs="Times New Roman" w:eastAsia="Times New Roman" w:hAnsi="Times New Roman"/>
                <w:sz w:val="12"/>
                <w:szCs w:val="12"/>
                <w:color w:val="auto"/>
              </w:rPr>
              <w:t>(3)</w:t>
            </w:r>
          </w:p>
        </w:tc>
        <w:tc>
          <w:tcPr>
            <w:tcW w:w="2380" w:type="dxa"/>
            <w:vAlign w:val="bottom"/>
            <w:gridSpan w:val="2"/>
            <w:shd w:val="clear" w:color="auto" w:fill="CCEEFF"/>
          </w:tcPr>
          <w:p>
            <w:pPr>
              <w:ind w:left="480"/>
              <w:spacing w:after="0" w:line="126" w:lineRule="exact"/>
              <w:rPr>
                <w:sz w:val="20"/>
                <w:szCs w:val="20"/>
                <w:color w:val="auto"/>
              </w:rPr>
            </w:pPr>
            <w:r>
              <w:rPr>
                <w:rFonts w:ascii="Times New Roman" w:cs="Times New Roman" w:eastAsia="Times New Roman" w:hAnsi="Times New Roman"/>
                <w:sz w:val="14"/>
                <w:szCs w:val="14"/>
                <w:color w:val="auto"/>
              </w:rPr>
              <w:t>First-lien loan ($42,800 par, due</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6/30/2017</w:t>
            </w:r>
          </w:p>
        </w:tc>
        <w:tc>
          <w:tcPr>
            <w:tcW w:w="24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L + 7.75%</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9.50%</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41,920</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42,203</w:t>
            </w:r>
          </w:p>
        </w:tc>
        <w:tc>
          <w:tcPr>
            <w:tcW w:w="12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6/2022)</w:t>
            </w: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Sovos Compliance, LLC</w:t>
            </w:r>
            <w:r>
              <w:rPr>
                <w:rFonts w:ascii="Times New Roman" w:cs="Times New Roman" w:eastAsia="Times New Roman" w:hAnsi="Times New Roman"/>
                <w:sz w:val="12"/>
                <w:szCs w:val="12"/>
                <w:color w:val="auto"/>
              </w:rPr>
              <w:t>(3)</w:t>
            </w:r>
          </w:p>
        </w:tc>
        <w:tc>
          <w:tcPr>
            <w:tcW w:w="2380" w:type="dxa"/>
            <w:vAlign w:val="bottom"/>
            <w:gridSpan w:val="2"/>
          </w:tcPr>
          <w:p>
            <w:pPr>
              <w:ind w:left="480"/>
              <w:spacing w:after="0" w:line="126" w:lineRule="exact"/>
              <w:rPr>
                <w:sz w:val="20"/>
                <w:szCs w:val="20"/>
                <w:color w:val="auto"/>
              </w:rPr>
            </w:pPr>
            <w:r>
              <w:rPr>
                <w:rFonts w:ascii="Times New Roman" w:cs="Times New Roman" w:eastAsia="Times New Roman" w:hAnsi="Times New Roman"/>
                <w:sz w:val="14"/>
                <w:szCs w:val="14"/>
                <w:color w:val="auto"/>
              </w:rPr>
              <w:t>First-lien loan ($34,323 par, due</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7/1/2016</w:t>
            </w:r>
          </w:p>
        </w:tc>
        <w:tc>
          <w:tcPr>
            <w:tcW w:w="240" w:type="dxa"/>
            <w:vAlign w:val="bottom"/>
          </w:tcPr>
          <w:p>
            <w:pPr>
              <w:spacing w:after="0"/>
              <w:rPr>
                <w:sz w:val="10"/>
                <w:szCs w:val="10"/>
                <w:color w:val="auto"/>
              </w:rPr>
            </w:pPr>
          </w:p>
        </w:tc>
        <w:tc>
          <w:tcPr>
            <w:tcW w:w="10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L + 6.00%</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7.57%</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33,862</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34,421</w:t>
            </w:r>
          </w:p>
        </w:tc>
        <w:tc>
          <w:tcPr>
            <w:tcW w:w="12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3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3/2022)</w:t>
            </w:r>
          </w:p>
        </w:tc>
        <w:tc>
          <w:tcPr>
            <w:tcW w:w="9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Tangoe, Inc.</w:t>
            </w:r>
            <w:r>
              <w:rPr>
                <w:rFonts w:ascii="Times New Roman" w:cs="Times New Roman" w:eastAsia="Times New Roman" w:hAnsi="Times New Roman"/>
                <w:sz w:val="12"/>
                <w:szCs w:val="12"/>
                <w:color w:val="auto"/>
              </w:rPr>
              <w:t>(3)(5)</w:t>
            </w:r>
          </w:p>
        </w:tc>
        <w:tc>
          <w:tcPr>
            <w:tcW w:w="2380" w:type="dxa"/>
            <w:vAlign w:val="bottom"/>
            <w:gridSpan w:val="2"/>
            <w:shd w:val="clear" w:color="auto" w:fill="CCEEFF"/>
          </w:tcPr>
          <w:p>
            <w:pPr>
              <w:ind w:left="480"/>
              <w:spacing w:after="0" w:line="126" w:lineRule="exact"/>
              <w:rPr>
                <w:sz w:val="20"/>
                <w:szCs w:val="20"/>
                <w:color w:val="auto"/>
              </w:rPr>
            </w:pPr>
            <w:r>
              <w:rPr>
                <w:rFonts w:ascii="Times New Roman" w:cs="Times New Roman" w:eastAsia="Times New Roman" w:hAnsi="Times New Roman"/>
                <w:sz w:val="14"/>
                <w:szCs w:val="14"/>
                <w:color w:val="auto"/>
              </w:rPr>
              <w:t>First-lien loan ($49,975 par, due</w:t>
            </w: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10.20%</w:t>
            </w: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6/2022)</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(incl. 0.50%</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6/16/2017</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L + 8.50%</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PIK)</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48,196</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48,725</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229,253</w:t>
            </w:r>
          </w:p>
        </w:tc>
        <w:tc>
          <w:tcPr>
            <w:tcW w:w="240" w:type="dxa"/>
            <w:vAlign w:val="bottom"/>
            <w:vMerge w:val="continue"/>
          </w:tcPr>
          <w:p>
            <w:pPr>
              <w:spacing w:after="0"/>
              <w:rPr>
                <w:sz w:val="14"/>
                <w:szCs w:val="14"/>
                <w:color w:val="auto"/>
              </w:rPr>
            </w:pP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234,275</w:t>
            </w:r>
          </w:p>
        </w:tc>
        <w:tc>
          <w:tcPr>
            <w:tcW w:w="26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Chemicals</w:t>
            </w:r>
          </w:p>
        </w:tc>
        <w:tc>
          <w:tcPr>
            <w:tcW w:w="4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Vertellus Specialties, Inc.</w:t>
            </w:r>
            <w:r>
              <w:rPr>
                <w:rFonts w:ascii="Times New Roman" w:cs="Times New Roman" w:eastAsia="Times New Roman" w:hAnsi="Times New Roman"/>
                <w:sz w:val="12"/>
                <w:szCs w:val="12"/>
                <w:color w:val="auto"/>
              </w:rPr>
              <w:t>(3)</w:t>
            </w:r>
          </w:p>
        </w:tc>
        <w:tc>
          <w:tcPr>
            <w:tcW w:w="2380" w:type="dxa"/>
            <w:vAlign w:val="bottom"/>
            <w:gridSpan w:val="2"/>
          </w:tcPr>
          <w:p>
            <w:pPr>
              <w:ind w:left="480"/>
              <w:spacing w:after="0" w:line="126" w:lineRule="exact"/>
              <w:rPr>
                <w:sz w:val="20"/>
                <w:szCs w:val="20"/>
                <w:color w:val="auto"/>
              </w:rPr>
            </w:pPr>
            <w:r>
              <w:rPr>
                <w:rFonts w:ascii="Times New Roman" w:cs="Times New Roman" w:eastAsia="Times New Roman" w:hAnsi="Times New Roman"/>
                <w:sz w:val="14"/>
                <w:szCs w:val="14"/>
                <w:color w:val="auto"/>
              </w:rPr>
              <w:t>First-lien loan ($4,967 par, due</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10/31/2016</w:t>
            </w:r>
          </w:p>
        </w:tc>
        <w:tc>
          <w:tcPr>
            <w:tcW w:w="240" w:type="dxa"/>
            <w:vAlign w:val="bottom"/>
          </w:tcPr>
          <w:p>
            <w:pPr>
              <w:spacing w:after="0"/>
              <w:rPr>
                <w:sz w:val="10"/>
                <w:szCs w:val="10"/>
                <w:color w:val="auto"/>
              </w:rPr>
            </w:pPr>
          </w:p>
        </w:tc>
        <w:tc>
          <w:tcPr>
            <w:tcW w:w="10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L + 9.00%</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10.57%</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4,959</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4,967</w:t>
            </w:r>
          </w:p>
        </w:tc>
        <w:tc>
          <w:tcPr>
            <w:tcW w:w="12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3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4/2018)</w:t>
            </w:r>
          </w:p>
        </w:tc>
        <w:tc>
          <w:tcPr>
            <w:tcW w:w="9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80" w:type="dxa"/>
            <w:vAlign w:val="bottom"/>
            <w:shd w:val="clear" w:color="auto" w:fill="CCEEFF"/>
          </w:tcPr>
          <w:p>
            <w:pPr>
              <w:spacing w:after="0"/>
              <w:rPr>
                <w:sz w:val="10"/>
                <w:szCs w:val="10"/>
                <w:color w:val="auto"/>
              </w:rPr>
            </w:pPr>
          </w:p>
        </w:tc>
        <w:tc>
          <w:tcPr>
            <w:tcW w:w="2380" w:type="dxa"/>
            <w:vAlign w:val="bottom"/>
            <w:gridSpan w:val="2"/>
            <w:shd w:val="clear" w:color="auto" w:fill="CCEEFF"/>
          </w:tcPr>
          <w:p>
            <w:pPr>
              <w:ind w:left="480"/>
              <w:spacing w:after="0" w:line="126" w:lineRule="exact"/>
              <w:rPr>
                <w:sz w:val="20"/>
                <w:szCs w:val="20"/>
                <w:color w:val="auto"/>
              </w:rPr>
            </w:pPr>
            <w:r>
              <w:rPr>
                <w:rFonts w:ascii="Times New Roman" w:cs="Times New Roman" w:eastAsia="Times New Roman" w:hAnsi="Times New Roman"/>
                <w:sz w:val="14"/>
                <w:szCs w:val="14"/>
                <w:color w:val="auto"/>
              </w:rPr>
              <w:t>Second-lien loan ($3,341 par,</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10/31/2016</w:t>
            </w:r>
          </w:p>
        </w:tc>
        <w:tc>
          <w:tcPr>
            <w:tcW w:w="24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L + 12.00 %</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13.57%</w:t>
            </w:r>
          </w:p>
        </w:tc>
        <w:tc>
          <w:tcPr>
            <w:tcW w:w="140" w:type="dxa"/>
            <w:vAlign w:val="bottom"/>
            <w:vMerge w:val="restart"/>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3,341</w:t>
            </w:r>
          </w:p>
        </w:tc>
        <w:tc>
          <w:tcPr>
            <w:tcW w:w="240" w:type="dxa"/>
            <w:vAlign w:val="bottom"/>
            <w:vMerge w:val="restart"/>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3,366</w:t>
            </w:r>
          </w:p>
        </w:tc>
        <w:tc>
          <w:tcPr>
            <w:tcW w:w="260" w:type="dxa"/>
            <w:vAlign w:val="bottom"/>
            <w:vMerge w:val="restart"/>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due 10/2021)</w:t>
            </w: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8,300</w:t>
            </w:r>
          </w:p>
        </w:tc>
        <w:tc>
          <w:tcPr>
            <w:tcW w:w="240" w:type="dxa"/>
            <w:vAlign w:val="bottom"/>
            <w:vMerge w:val="continue"/>
          </w:tcPr>
          <w:p>
            <w:pPr>
              <w:spacing w:after="0"/>
              <w:rPr>
                <w:sz w:val="14"/>
                <w:szCs w:val="14"/>
                <w:color w:val="auto"/>
              </w:rPr>
            </w:pP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8,333</w:t>
            </w:r>
          </w:p>
        </w:tc>
        <w:tc>
          <w:tcPr>
            <w:tcW w:w="26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Communications</w:t>
            </w:r>
          </w:p>
        </w:tc>
        <w:tc>
          <w:tcPr>
            <w:tcW w:w="4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iHeart Communications</w:t>
            </w:r>
            <w:r>
              <w:rPr>
                <w:rFonts w:ascii="Times New Roman" w:cs="Times New Roman" w:eastAsia="Times New Roman" w:hAnsi="Times New Roman"/>
                <w:sz w:val="12"/>
                <w:szCs w:val="12"/>
                <w:color w:val="auto"/>
              </w:rPr>
              <w:t>(3)(5)</w:t>
            </w:r>
          </w:p>
        </w:tc>
        <w:tc>
          <w:tcPr>
            <w:tcW w:w="2380" w:type="dxa"/>
            <w:vAlign w:val="bottom"/>
            <w:gridSpan w:val="2"/>
          </w:tcPr>
          <w:p>
            <w:pPr>
              <w:ind w:left="480"/>
              <w:spacing w:after="0" w:line="126" w:lineRule="exact"/>
              <w:rPr>
                <w:sz w:val="20"/>
                <w:szCs w:val="20"/>
                <w:color w:val="auto"/>
              </w:rPr>
            </w:pPr>
            <w:r>
              <w:rPr>
                <w:rFonts w:ascii="Times New Roman" w:cs="Times New Roman" w:eastAsia="Times New Roman" w:hAnsi="Times New Roman"/>
                <w:sz w:val="14"/>
                <w:szCs w:val="14"/>
                <w:color w:val="auto"/>
              </w:rPr>
              <w:t>ABL FILO term loan ($115,000</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11/30/2017</w:t>
            </w:r>
          </w:p>
        </w:tc>
        <w:tc>
          <w:tcPr>
            <w:tcW w:w="240" w:type="dxa"/>
            <w:vAlign w:val="bottom"/>
          </w:tcPr>
          <w:p>
            <w:pPr>
              <w:spacing w:after="0"/>
              <w:rPr>
                <w:sz w:val="10"/>
                <w:szCs w:val="10"/>
                <w:color w:val="auto"/>
              </w:rPr>
            </w:pPr>
          </w:p>
        </w:tc>
        <w:tc>
          <w:tcPr>
            <w:tcW w:w="10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L + 4.75%</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6.23%</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111,613</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112,700</w:t>
            </w:r>
          </w:p>
        </w:tc>
        <w:tc>
          <w:tcPr>
            <w:tcW w:w="12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3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par, due 11/2020)</w:t>
            </w:r>
          </w:p>
        </w:tc>
        <w:tc>
          <w:tcPr>
            <w:tcW w:w="9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Education</w:t>
            </w:r>
          </w:p>
        </w:tc>
        <w:tc>
          <w:tcPr>
            <w:tcW w:w="4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Finalsite Holdings, Inc.</w:t>
            </w:r>
            <w:r>
              <w:rPr>
                <w:rFonts w:ascii="Times New Roman" w:cs="Times New Roman" w:eastAsia="Times New Roman" w:hAnsi="Times New Roman"/>
                <w:sz w:val="12"/>
                <w:szCs w:val="12"/>
                <w:color w:val="auto"/>
              </w:rPr>
              <w:t>(3)(5)</w:t>
            </w:r>
          </w:p>
        </w:tc>
        <w:tc>
          <w:tcPr>
            <w:tcW w:w="2380" w:type="dxa"/>
            <w:vAlign w:val="bottom"/>
            <w:gridSpan w:val="2"/>
          </w:tcPr>
          <w:p>
            <w:pPr>
              <w:ind w:left="480"/>
              <w:spacing w:after="0" w:line="126" w:lineRule="exact"/>
              <w:rPr>
                <w:sz w:val="20"/>
                <w:szCs w:val="20"/>
                <w:color w:val="auto"/>
              </w:rPr>
            </w:pPr>
            <w:r>
              <w:rPr>
                <w:rFonts w:ascii="Times New Roman" w:cs="Times New Roman" w:eastAsia="Times New Roman" w:hAnsi="Times New Roman"/>
                <w:sz w:val="14"/>
                <w:szCs w:val="14"/>
                <w:color w:val="auto"/>
              </w:rPr>
              <w:t>First-lien loan ($45,000 par, due</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8/31/2016</w:t>
            </w:r>
          </w:p>
        </w:tc>
        <w:tc>
          <w:tcPr>
            <w:tcW w:w="240" w:type="dxa"/>
            <w:vAlign w:val="bottom"/>
          </w:tcPr>
          <w:p>
            <w:pPr>
              <w:spacing w:after="0"/>
              <w:rPr>
                <w:sz w:val="10"/>
                <w:szCs w:val="10"/>
                <w:color w:val="auto"/>
              </w:rPr>
            </w:pPr>
          </w:p>
        </w:tc>
        <w:tc>
          <w:tcPr>
            <w:tcW w:w="10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L + 7.00%</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8.69%</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44,029</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45,450</w:t>
            </w:r>
          </w:p>
        </w:tc>
        <w:tc>
          <w:tcPr>
            <w:tcW w:w="12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3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8/2022)</w:t>
            </w:r>
          </w:p>
        </w:tc>
        <w:tc>
          <w:tcPr>
            <w:tcW w:w="9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Frontline Technologies Group, LLC</w:t>
            </w:r>
            <w:r>
              <w:rPr>
                <w:rFonts w:ascii="Times New Roman" w:cs="Times New Roman" w:eastAsia="Times New Roman" w:hAnsi="Times New Roman"/>
                <w:sz w:val="12"/>
                <w:szCs w:val="12"/>
                <w:color w:val="auto"/>
              </w:rPr>
              <w:t>(3)</w:t>
            </w:r>
          </w:p>
        </w:tc>
        <w:tc>
          <w:tcPr>
            <w:tcW w:w="2380" w:type="dxa"/>
            <w:vAlign w:val="bottom"/>
            <w:gridSpan w:val="2"/>
            <w:shd w:val="clear" w:color="auto" w:fill="CCEEFF"/>
          </w:tcPr>
          <w:p>
            <w:pPr>
              <w:ind w:left="480"/>
              <w:spacing w:after="0" w:line="126" w:lineRule="exact"/>
              <w:rPr>
                <w:sz w:val="20"/>
                <w:szCs w:val="20"/>
                <w:color w:val="auto"/>
              </w:rPr>
            </w:pPr>
            <w:r>
              <w:rPr>
                <w:rFonts w:ascii="Times New Roman" w:cs="Times New Roman" w:eastAsia="Times New Roman" w:hAnsi="Times New Roman"/>
                <w:sz w:val="14"/>
                <w:szCs w:val="14"/>
                <w:color w:val="auto"/>
              </w:rPr>
              <w:t>First-lien loan ($47,703 par, due</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9/18/2017</w:t>
            </w:r>
          </w:p>
        </w:tc>
        <w:tc>
          <w:tcPr>
            <w:tcW w:w="24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L + 6.50%</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8.09%</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47,039</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47,132</w:t>
            </w:r>
          </w:p>
        </w:tc>
        <w:tc>
          <w:tcPr>
            <w:tcW w:w="12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9/2023)</w:t>
            </w: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Illuminate Education, Inc.</w:t>
            </w:r>
            <w:r>
              <w:rPr>
                <w:rFonts w:ascii="Times New Roman" w:cs="Times New Roman" w:eastAsia="Times New Roman" w:hAnsi="Times New Roman"/>
                <w:sz w:val="12"/>
                <w:szCs w:val="12"/>
                <w:color w:val="auto"/>
              </w:rPr>
              <w:t>(3)</w:t>
            </w:r>
          </w:p>
        </w:tc>
        <w:tc>
          <w:tcPr>
            <w:tcW w:w="2380" w:type="dxa"/>
            <w:vAlign w:val="bottom"/>
            <w:gridSpan w:val="2"/>
          </w:tcPr>
          <w:p>
            <w:pPr>
              <w:ind w:left="480"/>
              <w:spacing w:after="0" w:line="126" w:lineRule="exact"/>
              <w:rPr>
                <w:sz w:val="20"/>
                <w:szCs w:val="20"/>
                <w:color w:val="auto"/>
              </w:rPr>
            </w:pPr>
            <w:r>
              <w:rPr>
                <w:rFonts w:ascii="Times New Roman" w:cs="Times New Roman" w:eastAsia="Times New Roman" w:hAnsi="Times New Roman"/>
                <w:sz w:val="14"/>
                <w:szCs w:val="14"/>
                <w:color w:val="auto"/>
              </w:rPr>
              <w:t>First-lien loan ($56,900 par, due</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8/25/2017</w:t>
            </w:r>
          </w:p>
        </w:tc>
        <w:tc>
          <w:tcPr>
            <w:tcW w:w="240" w:type="dxa"/>
            <w:vAlign w:val="bottom"/>
          </w:tcPr>
          <w:p>
            <w:pPr>
              <w:spacing w:after="0"/>
              <w:rPr>
                <w:sz w:val="10"/>
                <w:szCs w:val="10"/>
                <w:color w:val="auto"/>
              </w:rPr>
            </w:pPr>
          </w:p>
        </w:tc>
        <w:tc>
          <w:tcPr>
            <w:tcW w:w="10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L + 8.00%</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9.48%</w:t>
            </w:r>
          </w:p>
        </w:tc>
        <w:tc>
          <w:tcPr>
            <w:tcW w:w="140" w:type="dxa"/>
            <w:vAlign w:val="bottom"/>
            <w:vMerge w:val="restart"/>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55,772</w:t>
            </w:r>
          </w:p>
        </w:tc>
        <w:tc>
          <w:tcPr>
            <w:tcW w:w="240" w:type="dxa"/>
            <w:vAlign w:val="bottom"/>
            <w:vMerge w:val="restart"/>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55,971</w:t>
            </w:r>
          </w:p>
        </w:tc>
        <w:tc>
          <w:tcPr>
            <w:tcW w:w="260" w:type="dxa"/>
            <w:vAlign w:val="bottom"/>
            <w:vMerge w:val="restart"/>
          </w:tcPr>
          <w:p>
            <w:pPr>
              <w:spacing w:after="0"/>
              <w:rPr>
                <w:sz w:val="10"/>
                <w:szCs w:val="10"/>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3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8/2022)</w:t>
            </w:r>
          </w:p>
        </w:tc>
        <w:tc>
          <w:tcPr>
            <w:tcW w:w="9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146,840</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148,553</w:t>
            </w: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00" w:type="dxa"/>
            <w:vAlign w:val="bottom"/>
            <w:gridSpan w:val="2"/>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Financial services</w:t>
            </w:r>
          </w:p>
        </w:tc>
        <w:tc>
          <w:tcPr>
            <w:tcW w:w="4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AppStar Financial, LLC</w:t>
            </w:r>
            <w:r>
              <w:rPr>
                <w:rFonts w:ascii="Times New Roman" w:cs="Times New Roman" w:eastAsia="Times New Roman" w:hAnsi="Times New Roman"/>
                <w:sz w:val="12"/>
                <w:szCs w:val="12"/>
                <w:color w:val="auto"/>
              </w:rPr>
              <w:t>(3)</w:t>
            </w:r>
          </w:p>
        </w:tc>
        <w:tc>
          <w:tcPr>
            <w:tcW w:w="2380" w:type="dxa"/>
            <w:vAlign w:val="bottom"/>
            <w:gridSpan w:val="2"/>
            <w:shd w:val="clear" w:color="auto" w:fill="CCEEFF"/>
          </w:tcPr>
          <w:p>
            <w:pPr>
              <w:ind w:left="480"/>
              <w:spacing w:after="0" w:line="126" w:lineRule="exact"/>
              <w:rPr>
                <w:sz w:val="20"/>
                <w:szCs w:val="20"/>
                <w:color w:val="auto"/>
              </w:rPr>
            </w:pPr>
            <w:r>
              <w:rPr>
                <w:rFonts w:ascii="Times New Roman" w:cs="Times New Roman" w:eastAsia="Times New Roman" w:hAnsi="Times New Roman"/>
                <w:sz w:val="14"/>
                <w:szCs w:val="14"/>
                <w:color w:val="auto"/>
              </w:rPr>
              <w:t>First-lien loan ($20,364 par, due</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8/18/2015</w:t>
            </w:r>
          </w:p>
        </w:tc>
        <w:tc>
          <w:tcPr>
            <w:tcW w:w="24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L + 8.00%</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9.57%</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20,071</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20,643</w:t>
            </w:r>
          </w:p>
        </w:tc>
        <w:tc>
          <w:tcPr>
            <w:tcW w:w="12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8/2020)</w:t>
            </w: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AvidXchange, Inc.</w:t>
            </w:r>
            <w:r>
              <w:rPr>
                <w:rFonts w:ascii="Times New Roman" w:cs="Times New Roman" w:eastAsia="Times New Roman" w:hAnsi="Times New Roman"/>
                <w:sz w:val="12"/>
                <w:szCs w:val="12"/>
                <w:color w:val="auto"/>
              </w:rPr>
              <w:t>(3)</w:t>
            </w:r>
          </w:p>
        </w:tc>
        <w:tc>
          <w:tcPr>
            <w:tcW w:w="2380" w:type="dxa"/>
            <w:vAlign w:val="bottom"/>
            <w:gridSpan w:val="2"/>
          </w:tcPr>
          <w:p>
            <w:pPr>
              <w:ind w:left="480"/>
              <w:spacing w:after="0" w:line="126" w:lineRule="exact"/>
              <w:rPr>
                <w:sz w:val="20"/>
                <w:szCs w:val="20"/>
                <w:color w:val="auto"/>
              </w:rPr>
            </w:pPr>
            <w:r>
              <w:rPr>
                <w:rFonts w:ascii="Times New Roman" w:cs="Times New Roman" w:eastAsia="Times New Roman" w:hAnsi="Times New Roman"/>
                <w:sz w:val="14"/>
                <w:szCs w:val="14"/>
                <w:color w:val="auto"/>
              </w:rPr>
              <w:t>First-lien loan ($54,449 par, due</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8/7/2015</w:t>
            </w:r>
          </w:p>
        </w:tc>
        <w:tc>
          <w:tcPr>
            <w:tcW w:w="240" w:type="dxa"/>
            <w:vAlign w:val="bottom"/>
          </w:tcPr>
          <w:p>
            <w:pPr>
              <w:spacing w:after="0"/>
              <w:rPr>
                <w:sz w:val="10"/>
                <w:szCs w:val="10"/>
                <w:color w:val="auto"/>
              </w:rPr>
            </w:pPr>
          </w:p>
        </w:tc>
        <w:tc>
          <w:tcPr>
            <w:tcW w:w="10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L + 9.50%</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11.06%</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53,879</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55,266</w:t>
            </w:r>
          </w:p>
        </w:tc>
        <w:tc>
          <w:tcPr>
            <w:tcW w:w="12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3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8/2020)</w:t>
            </w:r>
          </w:p>
        </w:tc>
        <w:tc>
          <w:tcPr>
            <w:tcW w:w="9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PayLease, LLC</w:t>
            </w:r>
            <w:r>
              <w:rPr>
                <w:rFonts w:ascii="Times New Roman" w:cs="Times New Roman" w:eastAsia="Times New Roman" w:hAnsi="Times New Roman"/>
                <w:sz w:val="12"/>
                <w:szCs w:val="12"/>
                <w:color w:val="auto"/>
              </w:rPr>
              <w:t>(3)</w:t>
            </w:r>
          </w:p>
        </w:tc>
        <w:tc>
          <w:tcPr>
            <w:tcW w:w="2380" w:type="dxa"/>
            <w:vAlign w:val="bottom"/>
            <w:gridSpan w:val="2"/>
            <w:shd w:val="clear" w:color="auto" w:fill="CCEEFF"/>
          </w:tcPr>
          <w:p>
            <w:pPr>
              <w:ind w:left="480"/>
              <w:spacing w:after="0" w:line="126" w:lineRule="exact"/>
              <w:rPr>
                <w:sz w:val="20"/>
                <w:szCs w:val="20"/>
                <w:color w:val="auto"/>
              </w:rPr>
            </w:pPr>
            <w:r>
              <w:rPr>
                <w:rFonts w:ascii="Times New Roman" w:cs="Times New Roman" w:eastAsia="Times New Roman" w:hAnsi="Times New Roman"/>
                <w:sz w:val="14"/>
                <w:szCs w:val="14"/>
                <w:color w:val="auto"/>
              </w:rPr>
              <w:t>First-lien loan ($56,525 par, due</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7/28/2017</w:t>
            </w:r>
          </w:p>
        </w:tc>
        <w:tc>
          <w:tcPr>
            <w:tcW w:w="24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L + 7.00%</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8.57%</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55,413</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55,627</w:t>
            </w:r>
          </w:p>
        </w:tc>
        <w:tc>
          <w:tcPr>
            <w:tcW w:w="12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7/2022)</w:t>
            </w: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PaySimple, Inc.</w:t>
            </w:r>
            <w:r>
              <w:rPr>
                <w:rFonts w:ascii="Times New Roman" w:cs="Times New Roman" w:eastAsia="Times New Roman" w:hAnsi="Times New Roman"/>
                <w:sz w:val="12"/>
                <w:szCs w:val="12"/>
                <w:color w:val="auto"/>
              </w:rPr>
              <w:t>(3)</w:t>
            </w:r>
          </w:p>
        </w:tc>
        <w:tc>
          <w:tcPr>
            <w:tcW w:w="2380" w:type="dxa"/>
            <w:vAlign w:val="bottom"/>
            <w:gridSpan w:val="2"/>
          </w:tcPr>
          <w:p>
            <w:pPr>
              <w:ind w:left="480"/>
              <w:spacing w:after="0" w:line="126" w:lineRule="exact"/>
              <w:rPr>
                <w:sz w:val="20"/>
                <w:szCs w:val="20"/>
                <w:color w:val="auto"/>
              </w:rPr>
            </w:pPr>
            <w:r>
              <w:rPr>
                <w:rFonts w:ascii="Times New Roman" w:cs="Times New Roman" w:eastAsia="Times New Roman" w:hAnsi="Times New Roman"/>
                <w:sz w:val="14"/>
                <w:szCs w:val="14"/>
                <w:color w:val="auto"/>
              </w:rPr>
              <w:t>First-lien loan ($50,601 par, due</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10.00%</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38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3/2022)</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(incl. 1.75%</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3/7/2017</w:t>
            </w:r>
          </w:p>
        </w:tc>
        <w:tc>
          <w:tcPr>
            <w:tcW w:w="24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L + 8.25%</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PIK)</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49,633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50,045</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Swift Gift Limited</w:t>
            </w:r>
            <w:r>
              <w:rPr>
                <w:rFonts w:ascii="Times New Roman" w:cs="Times New Roman" w:eastAsia="Times New Roman" w:hAnsi="Times New Roman"/>
                <w:sz w:val="12"/>
                <w:szCs w:val="12"/>
                <w:color w:val="auto"/>
              </w:rPr>
              <w:t>(3)(5)</w:t>
            </w:r>
          </w:p>
        </w:tc>
        <w:tc>
          <w:tcPr>
            <w:tcW w:w="2380" w:type="dxa"/>
            <w:vAlign w:val="bottom"/>
            <w:gridSpan w:val="2"/>
            <w:shd w:val="clear" w:color="auto" w:fill="CCEEFF"/>
          </w:tcPr>
          <w:p>
            <w:pPr>
              <w:ind w:left="480"/>
              <w:spacing w:after="0" w:line="126" w:lineRule="exact"/>
              <w:rPr>
                <w:sz w:val="20"/>
                <w:szCs w:val="20"/>
                <w:color w:val="auto"/>
              </w:rPr>
            </w:pPr>
            <w:r>
              <w:rPr>
                <w:rFonts w:ascii="Times New Roman" w:cs="Times New Roman" w:eastAsia="Times New Roman" w:hAnsi="Times New Roman"/>
                <w:sz w:val="14"/>
                <w:szCs w:val="14"/>
                <w:color w:val="auto"/>
              </w:rPr>
              <w:t>First-lien loan ($29,167 par, due</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7/31/2017</w:t>
            </w:r>
          </w:p>
        </w:tc>
        <w:tc>
          <w:tcPr>
            <w:tcW w:w="24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L + 6.50%</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8.13%</w:t>
            </w:r>
          </w:p>
        </w:tc>
        <w:tc>
          <w:tcPr>
            <w:tcW w:w="140" w:type="dxa"/>
            <w:vAlign w:val="bottom"/>
            <w:vMerge w:val="restart"/>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28,472</w:t>
            </w:r>
          </w:p>
        </w:tc>
        <w:tc>
          <w:tcPr>
            <w:tcW w:w="240" w:type="dxa"/>
            <w:vAlign w:val="bottom"/>
            <w:vMerge w:val="restart"/>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29,458</w:t>
            </w:r>
          </w:p>
        </w:tc>
        <w:tc>
          <w:tcPr>
            <w:tcW w:w="260" w:type="dxa"/>
            <w:vAlign w:val="bottom"/>
            <w:vMerge w:val="restart"/>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1/2022)</w:t>
            </w: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207,468</w:t>
            </w:r>
          </w:p>
        </w:tc>
        <w:tc>
          <w:tcPr>
            <w:tcW w:w="240" w:type="dxa"/>
            <w:vAlign w:val="bottom"/>
            <w:vMerge w:val="continue"/>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211,039</w:t>
            </w:r>
          </w:p>
        </w:tc>
        <w:tc>
          <w:tcPr>
            <w:tcW w:w="260" w:type="dxa"/>
            <w:vAlign w:val="bottom"/>
            <w:vMerge w:val="continue"/>
          </w:tcPr>
          <w:p>
            <w:pPr>
              <w:spacing w:after="0"/>
              <w:rPr>
                <w:sz w:val="13"/>
                <w:szCs w:val="13"/>
                <w:color w:val="auto"/>
              </w:rPr>
            </w:pPr>
          </w:p>
        </w:tc>
        <w:tc>
          <w:tcPr>
            <w:tcW w:w="9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240"/>
          </w:cols>
          <w:pgMar w:left="240" w:top="456" w:right="41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8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3"/>
                <w:szCs w:val="13"/>
                <w:color w:val="auto"/>
              </w:rPr>
            </w:pPr>
          </w:p>
        </w:tc>
        <w:tc>
          <w:tcPr>
            <w:tcW w:w="9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3"/>
                <w:szCs w:val="13"/>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2"/>
                <w:szCs w:val="12"/>
                <w:b w:val="1"/>
                <w:bCs w:val="1"/>
                <w:color w:val="auto"/>
              </w:rPr>
              <w:t>(1)</w:t>
            </w:r>
          </w:p>
        </w:tc>
        <w:tc>
          <w:tcPr>
            <w:tcW w:w="420" w:type="dxa"/>
            <w:vAlign w:val="bottom"/>
          </w:tcPr>
          <w:p>
            <w:pPr>
              <w:spacing w:after="0"/>
              <w:rPr>
                <w:sz w:val="12"/>
                <w:szCs w:val="12"/>
                <w:color w:val="auto"/>
              </w:rPr>
            </w:pPr>
          </w:p>
        </w:tc>
        <w:tc>
          <w:tcPr>
            <w:tcW w:w="188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1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Rate and</w:t>
            </w:r>
          </w:p>
        </w:tc>
        <w:tc>
          <w:tcPr>
            <w:tcW w:w="8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60" w:type="dxa"/>
            <w:vAlign w:val="bottom"/>
            <w:gridSpan w:val="3"/>
            <w:vMerge w:val="continue"/>
          </w:tcPr>
          <w:p>
            <w:pPr>
              <w:spacing w:after="0"/>
              <w:rPr>
                <w:sz w:val="13"/>
                <w:szCs w:val="13"/>
                <w:color w:val="auto"/>
              </w:rPr>
            </w:pPr>
          </w:p>
        </w:tc>
        <w:tc>
          <w:tcPr>
            <w:tcW w:w="420" w:type="dxa"/>
            <w:vAlign w:val="bottom"/>
          </w:tcPr>
          <w:p>
            <w:pPr>
              <w:spacing w:after="0"/>
              <w:rPr>
                <w:sz w:val="13"/>
                <w:szCs w:val="13"/>
                <w:color w:val="auto"/>
              </w:rPr>
            </w:pPr>
          </w:p>
        </w:tc>
        <w:tc>
          <w:tcPr>
            <w:tcW w:w="18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100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Spread</w:t>
            </w:r>
          </w:p>
        </w:tc>
        <w:tc>
          <w:tcPr>
            <w:tcW w:w="880" w:type="dxa"/>
            <w:vAlign w:val="bottom"/>
            <w:gridSpan w:val="2"/>
          </w:tcPr>
          <w:p>
            <w:pPr>
              <w:jc w:val="right"/>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Rate</w:t>
            </w:r>
          </w:p>
        </w:tc>
        <w:tc>
          <w:tcPr>
            <w:tcW w:w="120" w:type="dxa"/>
            <w:vAlign w:val="bottom"/>
          </w:tcPr>
          <w:p>
            <w:pPr>
              <w:spacing w:after="0"/>
              <w:rPr>
                <w:sz w:val="13"/>
                <w:szCs w:val="13"/>
                <w:color w:val="auto"/>
              </w:rPr>
            </w:pPr>
          </w:p>
        </w:tc>
        <w:tc>
          <w:tcPr>
            <w:tcW w:w="66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Cost</w:t>
            </w:r>
            <w:r>
              <w:rPr>
                <w:rFonts w:ascii="Times New Roman" w:cs="Times New Roman" w:eastAsia="Times New Roman" w:hAnsi="Times New Roman"/>
                <w:sz w:val="12"/>
                <w:szCs w:val="12"/>
                <w:b w:val="1"/>
                <w:bCs w:val="1"/>
                <w:color w:val="auto"/>
              </w:rPr>
              <w:t>(2)(7)</w:t>
            </w:r>
          </w:p>
        </w:tc>
        <w:tc>
          <w:tcPr>
            <w:tcW w:w="220" w:type="dxa"/>
            <w:vAlign w:val="bottom"/>
          </w:tcPr>
          <w:p>
            <w:pPr>
              <w:spacing w:after="0"/>
              <w:rPr>
                <w:sz w:val="13"/>
                <w:szCs w:val="13"/>
                <w:color w:val="auto"/>
              </w:rPr>
            </w:pPr>
          </w:p>
        </w:tc>
        <w:tc>
          <w:tcPr>
            <w:tcW w:w="98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2"/>
                <w:szCs w:val="12"/>
                <w:b w:val="1"/>
                <w:bCs w:val="1"/>
                <w:color w:val="auto"/>
              </w:rPr>
              <w:t>(9)</w:t>
            </w:r>
          </w:p>
        </w:tc>
        <w:tc>
          <w:tcPr>
            <w:tcW w:w="1100" w:type="dxa"/>
            <w:vAlign w:val="bottom"/>
            <w:gridSpan w:val="3"/>
          </w:tcPr>
          <w:p>
            <w:pPr>
              <w:jc w:val="right"/>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640" w:type="dxa"/>
            <w:vAlign w:val="bottom"/>
            <w:gridSpan w:val="2"/>
            <w:shd w:val="clear" w:color="auto" w:fill="CCEEFF"/>
          </w:tcPr>
          <w:p>
            <w:pPr>
              <w:ind w:left="280"/>
              <w:spacing w:after="0" w:line="122" w:lineRule="exact"/>
              <w:rPr>
                <w:sz w:val="20"/>
                <w:szCs w:val="20"/>
                <w:color w:val="auto"/>
              </w:rPr>
            </w:pPr>
            <w:r>
              <w:rPr>
                <w:rFonts w:ascii="Times New Roman" w:cs="Times New Roman" w:eastAsia="Times New Roman" w:hAnsi="Times New Roman"/>
                <w:sz w:val="14"/>
                <w:szCs w:val="14"/>
                <w:b w:val="1"/>
                <w:bCs w:val="1"/>
                <w:color w:val="auto"/>
              </w:rPr>
              <w:t>Healthcare</w:t>
            </w:r>
          </w:p>
        </w:tc>
        <w:tc>
          <w:tcPr>
            <w:tcW w:w="42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Integrated Practice Solutions, Inc.</w:t>
            </w:r>
            <w:r>
              <w:rPr>
                <w:rFonts w:ascii="Times New Roman" w:cs="Times New Roman" w:eastAsia="Times New Roman" w:hAnsi="Times New Roman"/>
                <w:sz w:val="12"/>
                <w:szCs w:val="12"/>
                <w:color w:val="auto"/>
              </w:rPr>
              <w:t>(3)(5)</w:t>
            </w:r>
          </w:p>
        </w:tc>
        <w:tc>
          <w:tcPr>
            <w:tcW w:w="2300" w:type="dxa"/>
            <w:vAlign w:val="bottom"/>
            <w:gridSpan w:val="2"/>
          </w:tcPr>
          <w:p>
            <w:pPr>
              <w:ind w:left="400"/>
              <w:spacing w:after="0" w:line="126" w:lineRule="exact"/>
              <w:rPr>
                <w:sz w:val="20"/>
                <w:szCs w:val="20"/>
                <w:color w:val="auto"/>
              </w:rPr>
            </w:pPr>
            <w:r>
              <w:rPr>
                <w:rFonts w:ascii="Times New Roman" w:cs="Times New Roman" w:eastAsia="Times New Roman" w:hAnsi="Times New Roman"/>
                <w:sz w:val="14"/>
                <w:szCs w:val="14"/>
                <w:color w:val="auto"/>
              </w:rPr>
              <w:t>First-lien loan ($32,338 par, due</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6/30/2017</w:t>
            </w:r>
          </w:p>
        </w:tc>
        <w:tc>
          <w:tcPr>
            <w:tcW w:w="220" w:type="dxa"/>
            <w:vAlign w:val="bottom"/>
          </w:tcPr>
          <w:p>
            <w:pPr>
              <w:spacing w:after="0"/>
              <w:rPr>
                <w:sz w:val="10"/>
                <w:szCs w:val="10"/>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L + 8.00%</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9.57%</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31,486</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31,691</w:t>
            </w:r>
          </w:p>
        </w:tc>
        <w:tc>
          <w:tcPr>
            <w:tcW w:w="16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3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6/2022)</w:t>
            </w:r>
          </w:p>
        </w:tc>
        <w:tc>
          <w:tcPr>
            <w:tcW w:w="9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Helix Health, Ltd.</w:t>
            </w:r>
            <w:r>
              <w:rPr>
                <w:rFonts w:ascii="Times New Roman" w:cs="Times New Roman" w:eastAsia="Times New Roman" w:hAnsi="Times New Roman"/>
                <w:sz w:val="12"/>
                <w:szCs w:val="12"/>
                <w:color w:val="auto"/>
              </w:rPr>
              <w:t>(3)(4)</w:t>
            </w:r>
          </w:p>
        </w:tc>
        <w:tc>
          <w:tcPr>
            <w:tcW w:w="2300" w:type="dxa"/>
            <w:vAlign w:val="bottom"/>
            <w:gridSpan w:val="2"/>
            <w:shd w:val="clear" w:color="auto" w:fill="CCEEFF"/>
          </w:tcPr>
          <w:p>
            <w:pPr>
              <w:ind w:left="400"/>
              <w:spacing w:after="0" w:line="126" w:lineRule="exact"/>
              <w:rPr>
                <w:sz w:val="20"/>
                <w:szCs w:val="20"/>
                <w:color w:val="auto"/>
              </w:rPr>
            </w:pPr>
            <w:r>
              <w:rPr>
                <w:rFonts w:ascii="Times New Roman" w:cs="Times New Roman" w:eastAsia="Times New Roman" w:hAnsi="Times New Roman"/>
                <w:sz w:val="14"/>
                <w:szCs w:val="14"/>
                <w:color w:val="auto"/>
              </w:rPr>
              <w:t>First-lien loan (EUR 38,019 par,</w:t>
            </w: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47,366</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23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due 9/2019)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9/30/2014</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E + 10.50%</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11.50%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45,164</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(EUR 39,445)</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300" w:type="dxa"/>
            <w:vAlign w:val="bottom"/>
            <w:gridSpan w:val="2"/>
          </w:tcPr>
          <w:p>
            <w:pPr>
              <w:ind w:left="400"/>
              <w:spacing w:after="0" w:line="126" w:lineRule="exact"/>
              <w:rPr>
                <w:sz w:val="20"/>
                <w:szCs w:val="20"/>
                <w:color w:val="auto"/>
              </w:rPr>
            </w:pPr>
            <w:r>
              <w:rPr>
                <w:rFonts w:ascii="Times New Roman" w:cs="Times New Roman" w:eastAsia="Times New Roman" w:hAnsi="Times New Roman"/>
                <w:sz w:val="14"/>
                <w:szCs w:val="14"/>
                <w:color w:val="auto"/>
              </w:rPr>
              <w:t>First-lien revolving loan (EUR</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540</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3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300 par, due 9/2019)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9/30/2014</w:t>
            </w:r>
          </w:p>
        </w:tc>
        <w:tc>
          <w:tcPr>
            <w:tcW w:w="22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E + 10.50 %</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11.50%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22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(EUR 450)</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MatrixCare, Inc.</w:t>
            </w:r>
            <w:r>
              <w:rPr>
                <w:rFonts w:ascii="Times New Roman" w:cs="Times New Roman" w:eastAsia="Times New Roman" w:hAnsi="Times New Roman"/>
                <w:sz w:val="12"/>
                <w:szCs w:val="12"/>
                <w:color w:val="auto"/>
              </w:rPr>
              <w:t>(3)(5)</w:t>
            </w:r>
          </w:p>
        </w:tc>
        <w:tc>
          <w:tcPr>
            <w:tcW w:w="2300" w:type="dxa"/>
            <w:vAlign w:val="bottom"/>
            <w:gridSpan w:val="2"/>
            <w:shd w:val="clear" w:color="auto" w:fill="CCEEFF"/>
          </w:tcPr>
          <w:p>
            <w:pPr>
              <w:ind w:left="400"/>
              <w:spacing w:after="0" w:line="126" w:lineRule="exact"/>
              <w:rPr>
                <w:sz w:val="20"/>
                <w:szCs w:val="20"/>
                <w:color w:val="auto"/>
              </w:rPr>
            </w:pPr>
            <w:r>
              <w:rPr>
                <w:rFonts w:ascii="Times New Roman" w:cs="Times New Roman" w:eastAsia="Times New Roman" w:hAnsi="Times New Roman"/>
                <w:sz w:val="14"/>
                <w:szCs w:val="14"/>
                <w:color w:val="auto"/>
              </w:rPr>
              <w:t>First-lien loan ($57,305 par, due</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12/17/2015</w:t>
            </w:r>
          </w:p>
        </w:tc>
        <w:tc>
          <w:tcPr>
            <w:tcW w:w="2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L + 5.25%</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6.94%</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56,455</w:t>
            </w: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58,021</w:t>
            </w:r>
          </w:p>
        </w:tc>
        <w:tc>
          <w:tcPr>
            <w:tcW w:w="160" w:type="dxa"/>
            <w:vAlign w:val="bottom"/>
            <w:shd w:val="clear" w:color="auto" w:fill="CCEEFF"/>
          </w:tcPr>
          <w:p>
            <w:pPr>
              <w:spacing w:after="0"/>
              <w:rPr>
                <w:sz w:val="10"/>
                <w:szCs w:val="10"/>
                <w:color w:val="auto"/>
              </w:rPr>
            </w:pPr>
          </w:p>
        </w:tc>
        <w:tc>
          <w:tcPr>
            <w:tcW w:w="11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23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12/2021)</w:t>
            </w:r>
          </w:p>
        </w:tc>
        <w:tc>
          <w:tcPr>
            <w:tcW w:w="90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MedeAnalytics, Inc.</w:t>
            </w:r>
            <w:r>
              <w:rPr>
                <w:rFonts w:ascii="Times New Roman" w:cs="Times New Roman" w:eastAsia="Times New Roman" w:hAnsi="Times New Roman"/>
                <w:sz w:val="12"/>
                <w:szCs w:val="12"/>
                <w:color w:val="auto"/>
              </w:rPr>
              <w:t>(3)(5)</w:t>
            </w:r>
          </w:p>
        </w:tc>
        <w:tc>
          <w:tcPr>
            <w:tcW w:w="2300" w:type="dxa"/>
            <w:vAlign w:val="bottom"/>
            <w:gridSpan w:val="2"/>
          </w:tcPr>
          <w:p>
            <w:pPr>
              <w:ind w:left="400"/>
              <w:spacing w:after="0" w:line="126" w:lineRule="exact"/>
              <w:rPr>
                <w:sz w:val="20"/>
                <w:szCs w:val="20"/>
                <w:color w:val="auto"/>
              </w:rPr>
            </w:pPr>
            <w:r>
              <w:rPr>
                <w:rFonts w:ascii="Times New Roman" w:cs="Times New Roman" w:eastAsia="Times New Roman" w:hAnsi="Times New Roman"/>
                <w:sz w:val="14"/>
                <w:szCs w:val="14"/>
                <w:color w:val="auto"/>
              </w:rPr>
              <w:t>First-lien loan ($43,262 par, due</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9/30/2015</w:t>
            </w:r>
          </w:p>
        </w:tc>
        <w:tc>
          <w:tcPr>
            <w:tcW w:w="220" w:type="dxa"/>
            <w:vAlign w:val="bottom"/>
          </w:tcPr>
          <w:p>
            <w:pPr>
              <w:spacing w:after="0"/>
              <w:rPr>
                <w:sz w:val="10"/>
                <w:szCs w:val="10"/>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L + 8.50%</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10.19%</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42,483</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43,478</w:t>
            </w:r>
          </w:p>
        </w:tc>
        <w:tc>
          <w:tcPr>
            <w:tcW w:w="16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3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9/2020)</w:t>
            </w:r>
          </w:p>
        </w:tc>
        <w:tc>
          <w:tcPr>
            <w:tcW w:w="9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Quantros, Inc.</w:t>
            </w:r>
            <w:r>
              <w:rPr>
                <w:rFonts w:ascii="Times New Roman" w:cs="Times New Roman" w:eastAsia="Times New Roman" w:hAnsi="Times New Roman"/>
                <w:sz w:val="12"/>
                <w:szCs w:val="12"/>
                <w:color w:val="auto"/>
              </w:rPr>
              <w:t>(3)(5)</w:t>
            </w:r>
          </w:p>
        </w:tc>
        <w:tc>
          <w:tcPr>
            <w:tcW w:w="2300" w:type="dxa"/>
            <w:vAlign w:val="bottom"/>
            <w:gridSpan w:val="2"/>
            <w:shd w:val="clear" w:color="auto" w:fill="CCEEFF"/>
          </w:tcPr>
          <w:p>
            <w:pPr>
              <w:ind w:left="400"/>
              <w:spacing w:after="0" w:line="126" w:lineRule="exact"/>
              <w:rPr>
                <w:sz w:val="20"/>
                <w:szCs w:val="20"/>
                <w:color w:val="auto"/>
              </w:rPr>
            </w:pPr>
            <w:r>
              <w:rPr>
                <w:rFonts w:ascii="Times New Roman" w:cs="Times New Roman" w:eastAsia="Times New Roman" w:hAnsi="Times New Roman"/>
                <w:sz w:val="14"/>
                <w:szCs w:val="14"/>
                <w:color w:val="auto"/>
              </w:rPr>
              <w:t>First-lien loan ($29,475 par, due</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2/29/2016</w:t>
            </w:r>
          </w:p>
        </w:tc>
        <w:tc>
          <w:tcPr>
            <w:tcW w:w="2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L + 7.75%</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9.44%</w:t>
            </w:r>
          </w:p>
        </w:tc>
        <w:tc>
          <w:tcPr>
            <w:tcW w:w="120" w:type="dxa"/>
            <w:vAlign w:val="bottom"/>
            <w:vMerge w:val="restart"/>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28,772</w:t>
            </w:r>
          </w:p>
        </w:tc>
        <w:tc>
          <w:tcPr>
            <w:tcW w:w="220" w:type="dxa"/>
            <w:vAlign w:val="bottom"/>
            <w:vMerge w:val="restart"/>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30,212</w:t>
            </w:r>
          </w:p>
        </w:tc>
        <w:tc>
          <w:tcPr>
            <w:tcW w:w="16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23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2/2021)</w:t>
            </w:r>
          </w:p>
        </w:tc>
        <w:tc>
          <w:tcPr>
            <w:tcW w:w="90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204,653</w:t>
            </w:r>
          </w:p>
        </w:tc>
        <w:tc>
          <w:tcPr>
            <w:tcW w:w="220" w:type="dxa"/>
            <w:vAlign w:val="bottom"/>
            <w:vMerge w:val="continue"/>
          </w:tcPr>
          <w:p>
            <w:pPr>
              <w:spacing w:after="0"/>
              <w:rPr>
                <w:sz w:val="14"/>
                <w:szCs w:val="14"/>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211,308</w:t>
            </w:r>
          </w:p>
        </w:tc>
        <w:tc>
          <w:tcPr>
            <w:tcW w:w="1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21.9%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Hotel, gaming, and leisure</w:t>
            </w:r>
          </w:p>
        </w:tc>
        <w:tc>
          <w:tcPr>
            <w:tcW w:w="4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IRGSE Holding Corp.</w:t>
            </w:r>
            <w:r>
              <w:rPr>
                <w:rFonts w:ascii="Times New Roman" w:cs="Times New Roman" w:eastAsia="Times New Roman" w:hAnsi="Times New Roman"/>
                <w:sz w:val="12"/>
                <w:szCs w:val="12"/>
                <w:color w:val="auto"/>
              </w:rPr>
              <w:t>(3)(6)</w:t>
            </w:r>
          </w:p>
        </w:tc>
        <w:tc>
          <w:tcPr>
            <w:tcW w:w="2300" w:type="dxa"/>
            <w:vAlign w:val="bottom"/>
            <w:gridSpan w:val="2"/>
          </w:tcPr>
          <w:p>
            <w:pPr>
              <w:ind w:left="400"/>
              <w:spacing w:after="0" w:line="126" w:lineRule="exact"/>
              <w:rPr>
                <w:sz w:val="20"/>
                <w:szCs w:val="20"/>
                <w:color w:val="auto"/>
              </w:rPr>
            </w:pPr>
            <w:r>
              <w:rPr>
                <w:rFonts w:ascii="Times New Roman" w:cs="Times New Roman" w:eastAsia="Times New Roman" w:hAnsi="Times New Roman"/>
                <w:sz w:val="14"/>
                <w:szCs w:val="14"/>
                <w:color w:val="auto"/>
              </w:rPr>
              <w:t>First-lien loan ($22,414 par, due</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11.19%</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3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9/2019)</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(incl. 5.00%</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9/29/2015</w:t>
            </w:r>
          </w:p>
        </w:tc>
        <w:tc>
          <w:tcPr>
            <w:tcW w:w="22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L + 9.50%</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PIK)</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22,414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17,596</w:t>
            </w:r>
          </w:p>
        </w:tc>
        <w:tc>
          <w:tcPr>
            <w:tcW w:w="160" w:type="dxa"/>
            <w:vAlign w:val="bottom"/>
          </w:tcPr>
          <w:p>
            <w:pPr>
              <w:spacing w:after="0"/>
              <w:rPr>
                <w:sz w:val="16"/>
                <w:szCs w:val="16"/>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2300" w:type="dxa"/>
            <w:vAlign w:val="bottom"/>
            <w:gridSpan w:val="2"/>
            <w:shd w:val="clear" w:color="auto" w:fill="CCEEFF"/>
          </w:tcPr>
          <w:p>
            <w:pPr>
              <w:ind w:left="400"/>
              <w:spacing w:after="0" w:line="126" w:lineRule="exact"/>
              <w:rPr>
                <w:sz w:val="20"/>
                <w:szCs w:val="20"/>
                <w:color w:val="auto"/>
              </w:rPr>
            </w:pPr>
            <w:r>
              <w:rPr>
                <w:rFonts w:ascii="Times New Roman" w:cs="Times New Roman" w:eastAsia="Times New Roman" w:hAnsi="Times New Roman"/>
                <w:sz w:val="14"/>
                <w:szCs w:val="14"/>
                <w:color w:val="auto"/>
              </w:rPr>
              <w:t>First-lien revolving loan</w:t>
            </w: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11.06%</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($21,665 par, due 9/2019)</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(incl. 5.00%</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9/29/2015</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L + 9.50%</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PIK)</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21,665</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17,007</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44,079</w:t>
            </w:r>
          </w:p>
        </w:tc>
        <w:tc>
          <w:tcPr>
            <w:tcW w:w="220" w:type="dxa"/>
            <w:vAlign w:val="bottom"/>
            <w:vMerge w:val="continue"/>
          </w:tcPr>
          <w:p>
            <w:pPr>
              <w:spacing w:after="0"/>
              <w:rPr>
                <w:sz w:val="14"/>
                <w:szCs w:val="14"/>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34,603</w:t>
            </w:r>
          </w:p>
        </w:tc>
        <w:tc>
          <w:tcPr>
            <w:tcW w:w="1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4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Insurity, Inc.</w:t>
            </w:r>
            <w:r>
              <w:rPr>
                <w:rFonts w:ascii="Times New Roman" w:cs="Times New Roman" w:eastAsia="Times New Roman" w:hAnsi="Times New Roman"/>
                <w:sz w:val="12"/>
                <w:szCs w:val="12"/>
                <w:color w:val="auto"/>
              </w:rPr>
              <w:t>(3)(5)</w:t>
            </w:r>
          </w:p>
        </w:tc>
        <w:tc>
          <w:tcPr>
            <w:tcW w:w="2300" w:type="dxa"/>
            <w:vAlign w:val="bottom"/>
            <w:gridSpan w:val="2"/>
          </w:tcPr>
          <w:p>
            <w:pPr>
              <w:ind w:left="400"/>
              <w:spacing w:after="0" w:line="126" w:lineRule="exact"/>
              <w:rPr>
                <w:sz w:val="20"/>
                <w:szCs w:val="20"/>
                <w:color w:val="auto"/>
              </w:rPr>
            </w:pPr>
            <w:r>
              <w:rPr>
                <w:rFonts w:ascii="Times New Roman" w:cs="Times New Roman" w:eastAsia="Times New Roman" w:hAnsi="Times New Roman"/>
                <w:sz w:val="14"/>
                <w:szCs w:val="14"/>
                <w:color w:val="auto"/>
              </w:rPr>
              <w:t>First-lien loan ($63,321 par, due</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10/31/2014</w:t>
            </w:r>
          </w:p>
        </w:tc>
        <w:tc>
          <w:tcPr>
            <w:tcW w:w="220" w:type="dxa"/>
            <w:vAlign w:val="bottom"/>
          </w:tcPr>
          <w:p>
            <w:pPr>
              <w:spacing w:after="0"/>
              <w:rPr>
                <w:sz w:val="10"/>
                <w:szCs w:val="10"/>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L + 6.50%</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8.25%</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62,899</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64,904</w:t>
            </w:r>
          </w:p>
        </w:tc>
        <w:tc>
          <w:tcPr>
            <w:tcW w:w="16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3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10/2020)</w:t>
            </w:r>
          </w:p>
        </w:tc>
        <w:tc>
          <w:tcPr>
            <w:tcW w:w="9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Internet services</w:t>
            </w:r>
          </w:p>
        </w:tc>
        <w:tc>
          <w:tcPr>
            <w:tcW w:w="4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Lithium Technologies, LLC</w:t>
            </w:r>
            <w:r>
              <w:rPr>
                <w:rFonts w:ascii="Times New Roman" w:cs="Times New Roman" w:eastAsia="Times New Roman" w:hAnsi="Times New Roman"/>
                <w:sz w:val="12"/>
                <w:szCs w:val="12"/>
                <w:color w:val="auto"/>
              </w:rPr>
              <w:t>(3)</w:t>
            </w:r>
          </w:p>
        </w:tc>
        <w:tc>
          <w:tcPr>
            <w:tcW w:w="2300" w:type="dxa"/>
            <w:vAlign w:val="bottom"/>
            <w:gridSpan w:val="2"/>
          </w:tcPr>
          <w:p>
            <w:pPr>
              <w:ind w:left="400"/>
              <w:spacing w:after="0" w:line="126" w:lineRule="exact"/>
              <w:rPr>
                <w:sz w:val="20"/>
                <w:szCs w:val="20"/>
                <w:color w:val="auto"/>
              </w:rPr>
            </w:pPr>
            <w:r>
              <w:rPr>
                <w:rFonts w:ascii="Times New Roman" w:cs="Times New Roman" w:eastAsia="Times New Roman" w:hAnsi="Times New Roman"/>
                <w:sz w:val="14"/>
                <w:szCs w:val="14"/>
                <w:color w:val="auto"/>
              </w:rPr>
              <w:t>First-lien loan ($50,000 par, due</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10/3/2017</w:t>
            </w:r>
          </w:p>
        </w:tc>
        <w:tc>
          <w:tcPr>
            <w:tcW w:w="220" w:type="dxa"/>
            <w:vAlign w:val="bottom"/>
          </w:tcPr>
          <w:p>
            <w:pPr>
              <w:spacing w:after="0"/>
              <w:rPr>
                <w:sz w:val="10"/>
                <w:szCs w:val="10"/>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L + 8.00%</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9.39%</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48,840</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48,927</w:t>
            </w:r>
          </w:p>
        </w:tc>
        <w:tc>
          <w:tcPr>
            <w:tcW w:w="16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3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10/2022)</w:t>
            </w:r>
          </w:p>
        </w:tc>
        <w:tc>
          <w:tcPr>
            <w:tcW w:w="9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4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Industrial Physics, LLC</w:t>
            </w:r>
            <w:r>
              <w:rPr>
                <w:rFonts w:ascii="Times New Roman" w:cs="Times New Roman" w:eastAsia="Times New Roman" w:hAnsi="Times New Roman"/>
                <w:sz w:val="12"/>
                <w:szCs w:val="12"/>
                <w:color w:val="auto"/>
              </w:rPr>
              <w:t>(3)</w:t>
            </w:r>
          </w:p>
        </w:tc>
        <w:tc>
          <w:tcPr>
            <w:tcW w:w="2300" w:type="dxa"/>
            <w:vAlign w:val="bottom"/>
            <w:gridSpan w:val="2"/>
          </w:tcPr>
          <w:p>
            <w:pPr>
              <w:ind w:left="400"/>
              <w:spacing w:after="0" w:line="126" w:lineRule="exact"/>
              <w:rPr>
                <w:sz w:val="20"/>
                <w:szCs w:val="20"/>
                <w:color w:val="auto"/>
              </w:rPr>
            </w:pPr>
            <w:r>
              <w:rPr>
                <w:rFonts w:ascii="Times New Roman" w:cs="Times New Roman" w:eastAsia="Times New Roman" w:hAnsi="Times New Roman"/>
                <w:sz w:val="14"/>
                <w:szCs w:val="14"/>
                <w:color w:val="auto"/>
              </w:rPr>
              <w:t>First-lien loan ($9,975 par, due</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10/23/2017</w:t>
            </w:r>
          </w:p>
        </w:tc>
        <w:tc>
          <w:tcPr>
            <w:tcW w:w="220" w:type="dxa"/>
            <w:vAlign w:val="bottom"/>
          </w:tcPr>
          <w:p>
            <w:pPr>
              <w:spacing w:after="0"/>
              <w:rPr>
                <w:sz w:val="10"/>
                <w:szCs w:val="10"/>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L + 7.00%</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8.55%</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9,686</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9,750</w:t>
            </w:r>
          </w:p>
        </w:tc>
        <w:tc>
          <w:tcPr>
            <w:tcW w:w="16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3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10/2022)</w:t>
            </w:r>
          </w:p>
        </w:tc>
        <w:tc>
          <w:tcPr>
            <w:tcW w:w="9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2300" w:type="dxa"/>
            <w:vAlign w:val="bottom"/>
            <w:gridSpan w:val="2"/>
            <w:shd w:val="clear" w:color="auto" w:fill="CCEEFF"/>
          </w:tcPr>
          <w:p>
            <w:pPr>
              <w:ind w:left="400"/>
              <w:spacing w:after="0" w:line="126" w:lineRule="exact"/>
              <w:rPr>
                <w:sz w:val="20"/>
                <w:szCs w:val="20"/>
                <w:color w:val="auto"/>
              </w:rPr>
            </w:pPr>
            <w:r>
              <w:rPr>
                <w:rFonts w:ascii="Times New Roman" w:cs="Times New Roman" w:eastAsia="Times New Roman" w:hAnsi="Times New Roman"/>
                <w:sz w:val="14"/>
                <w:szCs w:val="14"/>
                <w:color w:val="auto"/>
              </w:rPr>
              <w:t>First-lien loan (EUR 21,065 par,</w:t>
            </w: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24,915</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23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due 10/2022)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10/23/2017</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E + 7.00 %</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24,260</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(EUR 20,749)</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ScentAir Technologies, Inc.</w:t>
            </w:r>
            <w:r>
              <w:rPr>
                <w:rFonts w:ascii="Times New Roman" w:cs="Times New Roman" w:eastAsia="Times New Roman" w:hAnsi="Times New Roman"/>
                <w:sz w:val="12"/>
                <w:szCs w:val="12"/>
                <w:color w:val="auto"/>
              </w:rPr>
              <w:t>(3)</w:t>
            </w:r>
          </w:p>
        </w:tc>
        <w:tc>
          <w:tcPr>
            <w:tcW w:w="2300" w:type="dxa"/>
            <w:vAlign w:val="bottom"/>
            <w:gridSpan w:val="2"/>
          </w:tcPr>
          <w:p>
            <w:pPr>
              <w:ind w:left="400"/>
              <w:spacing w:after="0" w:line="126" w:lineRule="exact"/>
              <w:rPr>
                <w:sz w:val="20"/>
                <w:szCs w:val="20"/>
                <w:color w:val="auto"/>
              </w:rPr>
            </w:pPr>
            <w:r>
              <w:rPr>
                <w:rFonts w:ascii="Times New Roman" w:cs="Times New Roman" w:eastAsia="Times New Roman" w:hAnsi="Times New Roman"/>
                <w:sz w:val="14"/>
                <w:szCs w:val="14"/>
                <w:color w:val="auto"/>
              </w:rPr>
              <w:t>First-lien loan ($19,986 par, due</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12/30/2014</w:t>
            </w:r>
          </w:p>
        </w:tc>
        <w:tc>
          <w:tcPr>
            <w:tcW w:w="220" w:type="dxa"/>
            <w:vAlign w:val="bottom"/>
          </w:tcPr>
          <w:p>
            <w:pPr>
              <w:spacing w:after="0"/>
              <w:rPr>
                <w:sz w:val="10"/>
                <w:szCs w:val="10"/>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L + 7.00%</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8.57%</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19,816</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20,086</w:t>
            </w:r>
          </w:p>
        </w:tc>
        <w:tc>
          <w:tcPr>
            <w:tcW w:w="16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3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12/2019)</w:t>
            </w:r>
          </w:p>
        </w:tc>
        <w:tc>
          <w:tcPr>
            <w:tcW w:w="9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2300" w:type="dxa"/>
            <w:vAlign w:val="bottom"/>
            <w:gridSpan w:val="2"/>
            <w:shd w:val="clear" w:color="auto" w:fill="CCEEFF"/>
          </w:tcPr>
          <w:p>
            <w:pPr>
              <w:ind w:left="400"/>
              <w:spacing w:after="0" w:line="126" w:lineRule="exact"/>
              <w:rPr>
                <w:sz w:val="20"/>
                <w:szCs w:val="20"/>
                <w:color w:val="auto"/>
              </w:rPr>
            </w:pPr>
            <w:r>
              <w:rPr>
                <w:rFonts w:ascii="Times New Roman" w:cs="Times New Roman" w:eastAsia="Times New Roman" w:hAnsi="Times New Roman"/>
                <w:sz w:val="14"/>
                <w:szCs w:val="14"/>
                <w:color w:val="auto"/>
              </w:rPr>
              <w:t>First-lien revolving loan</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12/30/2014</w:t>
            </w:r>
          </w:p>
        </w:tc>
        <w:tc>
          <w:tcPr>
            <w:tcW w:w="2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L + 7.00 %</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8.57%</w:t>
            </w:r>
          </w:p>
        </w:tc>
        <w:tc>
          <w:tcPr>
            <w:tcW w:w="120" w:type="dxa"/>
            <w:vAlign w:val="bottom"/>
            <w:vMerge w:val="restart"/>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220" w:type="dxa"/>
            <w:vAlign w:val="bottom"/>
            <w:vMerge w:val="restart"/>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16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23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($1,393 par, due 12/2019)</w:t>
            </w:r>
          </w:p>
        </w:tc>
        <w:tc>
          <w:tcPr>
            <w:tcW w:w="90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55,139</w:t>
            </w:r>
          </w:p>
        </w:tc>
        <w:tc>
          <w:tcPr>
            <w:tcW w:w="220" w:type="dxa"/>
            <w:vAlign w:val="bottom"/>
            <w:vMerge w:val="continue"/>
          </w:tcPr>
          <w:p>
            <w:pPr>
              <w:spacing w:after="0"/>
              <w:rPr>
                <w:sz w:val="14"/>
                <w:szCs w:val="14"/>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56,155</w:t>
            </w:r>
          </w:p>
        </w:tc>
        <w:tc>
          <w:tcPr>
            <w:tcW w:w="1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Marketing services</w:t>
            </w:r>
          </w:p>
        </w:tc>
        <w:tc>
          <w:tcPr>
            <w:tcW w:w="4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Marketo, Inc.</w:t>
            </w:r>
            <w:r>
              <w:rPr>
                <w:rFonts w:ascii="Times New Roman" w:cs="Times New Roman" w:eastAsia="Times New Roman" w:hAnsi="Times New Roman"/>
                <w:sz w:val="12"/>
                <w:szCs w:val="12"/>
                <w:color w:val="auto"/>
              </w:rPr>
              <w:t>(3)</w:t>
            </w:r>
          </w:p>
        </w:tc>
        <w:tc>
          <w:tcPr>
            <w:tcW w:w="2300" w:type="dxa"/>
            <w:vAlign w:val="bottom"/>
            <w:gridSpan w:val="2"/>
          </w:tcPr>
          <w:p>
            <w:pPr>
              <w:ind w:left="400"/>
              <w:spacing w:after="0" w:line="126" w:lineRule="exact"/>
              <w:rPr>
                <w:sz w:val="20"/>
                <w:szCs w:val="20"/>
                <w:color w:val="auto"/>
              </w:rPr>
            </w:pPr>
            <w:r>
              <w:rPr>
                <w:rFonts w:ascii="Times New Roman" w:cs="Times New Roman" w:eastAsia="Times New Roman" w:hAnsi="Times New Roman"/>
                <w:sz w:val="14"/>
                <w:szCs w:val="14"/>
                <w:color w:val="auto"/>
              </w:rPr>
              <w:t>First-lien loan ($28,125 par, due</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8/16/2016</w:t>
            </w:r>
          </w:p>
        </w:tc>
        <w:tc>
          <w:tcPr>
            <w:tcW w:w="220" w:type="dxa"/>
            <w:vAlign w:val="bottom"/>
          </w:tcPr>
          <w:p>
            <w:pPr>
              <w:spacing w:after="0"/>
              <w:rPr>
                <w:sz w:val="10"/>
                <w:szCs w:val="10"/>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L + 9.50%</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11.19%</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27,428</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29,025</w:t>
            </w:r>
          </w:p>
        </w:tc>
        <w:tc>
          <w:tcPr>
            <w:tcW w:w="16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3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8/2021)</w:t>
            </w:r>
          </w:p>
        </w:tc>
        <w:tc>
          <w:tcPr>
            <w:tcW w:w="9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Vivial Inc.</w:t>
            </w:r>
            <w:r>
              <w:rPr>
                <w:rFonts w:ascii="Times New Roman" w:cs="Times New Roman" w:eastAsia="Times New Roman" w:hAnsi="Times New Roman"/>
                <w:sz w:val="12"/>
                <w:szCs w:val="12"/>
                <w:color w:val="auto"/>
              </w:rPr>
              <w:t>(3)</w:t>
            </w:r>
          </w:p>
        </w:tc>
        <w:tc>
          <w:tcPr>
            <w:tcW w:w="2300" w:type="dxa"/>
            <w:vAlign w:val="bottom"/>
            <w:gridSpan w:val="2"/>
            <w:shd w:val="clear" w:color="auto" w:fill="CCEEFF"/>
          </w:tcPr>
          <w:p>
            <w:pPr>
              <w:ind w:left="400"/>
              <w:spacing w:after="0" w:line="126" w:lineRule="exact"/>
              <w:rPr>
                <w:sz w:val="20"/>
                <w:szCs w:val="20"/>
                <w:color w:val="auto"/>
              </w:rPr>
            </w:pPr>
            <w:r>
              <w:rPr>
                <w:rFonts w:ascii="Times New Roman" w:cs="Times New Roman" w:eastAsia="Times New Roman" w:hAnsi="Times New Roman"/>
                <w:sz w:val="14"/>
                <w:szCs w:val="14"/>
                <w:color w:val="auto"/>
              </w:rPr>
              <w:t>First-lien loan ($32,463 par, due</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9/29/2017</w:t>
            </w:r>
          </w:p>
        </w:tc>
        <w:tc>
          <w:tcPr>
            <w:tcW w:w="2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L + 8.00%</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9.69%</w:t>
            </w:r>
          </w:p>
        </w:tc>
        <w:tc>
          <w:tcPr>
            <w:tcW w:w="120" w:type="dxa"/>
            <w:vAlign w:val="bottom"/>
            <w:vMerge w:val="restart"/>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31,918</w:t>
            </w:r>
          </w:p>
        </w:tc>
        <w:tc>
          <w:tcPr>
            <w:tcW w:w="220" w:type="dxa"/>
            <w:vAlign w:val="bottom"/>
            <w:vMerge w:val="restart"/>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31,976</w:t>
            </w:r>
          </w:p>
        </w:tc>
        <w:tc>
          <w:tcPr>
            <w:tcW w:w="16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23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9/2022)</w:t>
            </w:r>
          </w:p>
        </w:tc>
        <w:tc>
          <w:tcPr>
            <w:tcW w:w="90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59,346</w:t>
            </w:r>
          </w:p>
        </w:tc>
        <w:tc>
          <w:tcPr>
            <w:tcW w:w="220" w:type="dxa"/>
            <w:vAlign w:val="bottom"/>
            <w:vMerge w:val="continue"/>
          </w:tcPr>
          <w:p>
            <w:pPr>
              <w:spacing w:after="0"/>
              <w:rPr>
                <w:sz w:val="14"/>
                <w:szCs w:val="14"/>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61,001</w:t>
            </w:r>
          </w:p>
        </w:tc>
        <w:tc>
          <w:tcPr>
            <w:tcW w:w="1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Oil, gas and consumable fuels</w:t>
            </w:r>
          </w:p>
        </w:tc>
        <w:tc>
          <w:tcPr>
            <w:tcW w:w="4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Mississippi Resources, LLC</w:t>
            </w:r>
            <w:r>
              <w:rPr>
                <w:rFonts w:ascii="Times New Roman" w:cs="Times New Roman" w:eastAsia="Times New Roman" w:hAnsi="Times New Roman"/>
                <w:sz w:val="12"/>
                <w:szCs w:val="12"/>
                <w:color w:val="auto"/>
              </w:rPr>
              <w:t>(3)(6)</w:t>
            </w:r>
          </w:p>
        </w:tc>
        <w:tc>
          <w:tcPr>
            <w:tcW w:w="2300" w:type="dxa"/>
            <w:vAlign w:val="bottom"/>
            <w:gridSpan w:val="2"/>
          </w:tcPr>
          <w:p>
            <w:pPr>
              <w:ind w:left="400"/>
              <w:spacing w:after="0" w:line="126" w:lineRule="exact"/>
              <w:rPr>
                <w:sz w:val="20"/>
                <w:szCs w:val="20"/>
                <w:color w:val="auto"/>
              </w:rPr>
            </w:pPr>
            <w:r>
              <w:rPr>
                <w:rFonts w:ascii="Times New Roman" w:cs="Times New Roman" w:eastAsia="Times New Roman" w:hAnsi="Times New Roman"/>
                <w:sz w:val="14"/>
                <w:szCs w:val="14"/>
                <w:color w:val="auto"/>
              </w:rPr>
              <w:t>First-lien loan ($25,229 par, due</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5/3/2017</w:t>
            </w:r>
          </w:p>
        </w:tc>
        <w:tc>
          <w:tcPr>
            <w:tcW w:w="220" w:type="dxa"/>
            <w:vAlign w:val="bottom"/>
          </w:tcPr>
          <w:p>
            <w:pPr>
              <w:spacing w:after="0"/>
              <w:rPr>
                <w:sz w:val="10"/>
                <w:szCs w:val="10"/>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L + 10.50%</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12.07%</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25,180</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25,229</w:t>
            </w:r>
          </w:p>
        </w:tc>
        <w:tc>
          <w:tcPr>
            <w:tcW w:w="16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3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6/2018)</w:t>
            </w:r>
          </w:p>
        </w:tc>
        <w:tc>
          <w:tcPr>
            <w:tcW w:w="9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Northern Oil and Gas, Inc.</w:t>
            </w:r>
            <w:r>
              <w:rPr>
                <w:rFonts w:ascii="Times New Roman" w:cs="Times New Roman" w:eastAsia="Times New Roman" w:hAnsi="Times New Roman"/>
                <w:sz w:val="12"/>
                <w:szCs w:val="12"/>
                <w:color w:val="auto"/>
              </w:rPr>
              <w:t>(3)</w:t>
            </w:r>
          </w:p>
        </w:tc>
        <w:tc>
          <w:tcPr>
            <w:tcW w:w="2300" w:type="dxa"/>
            <w:vAlign w:val="bottom"/>
            <w:gridSpan w:val="2"/>
            <w:shd w:val="clear" w:color="auto" w:fill="CCEEFF"/>
          </w:tcPr>
          <w:p>
            <w:pPr>
              <w:ind w:left="400"/>
              <w:spacing w:after="0" w:line="126" w:lineRule="exact"/>
              <w:rPr>
                <w:sz w:val="20"/>
                <w:szCs w:val="20"/>
                <w:color w:val="auto"/>
              </w:rPr>
            </w:pPr>
            <w:r>
              <w:rPr>
                <w:rFonts w:ascii="Times New Roman" w:cs="Times New Roman" w:eastAsia="Times New Roman" w:hAnsi="Times New Roman"/>
                <w:sz w:val="14"/>
                <w:szCs w:val="14"/>
                <w:color w:val="auto"/>
              </w:rPr>
              <w:t>First-lien loan ($48,750 par, due</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11/1/2017</w:t>
            </w:r>
          </w:p>
        </w:tc>
        <w:tc>
          <w:tcPr>
            <w:tcW w:w="2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L + 7.75%</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9.50%</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47,563</w:t>
            </w: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47,450</w:t>
            </w:r>
          </w:p>
        </w:tc>
        <w:tc>
          <w:tcPr>
            <w:tcW w:w="160" w:type="dxa"/>
            <w:vAlign w:val="bottom"/>
            <w:shd w:val="clear" w:color="auto" w:fill="CCEEFF"/>
          </w:tcPr>
          <w:p>
            <w:pPr>
              <w:spacing w:after="0"/>
              <w:rPr>
                <w:sz w:val="10"/>
                <w:szCs w:val="10"/>
                <w:color w:val="auto"/>
              </w:rPr>
            </w:pPr>
          </w:p>
        </w:tc>
        <w:tc>
          <w:tcPr>
            <w:tcW w:w="11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23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11/2022)</w:t>
            </w:r>
          </w:p>
        </w:tc>
        <w:tc>
          <w:tcPr>
            <w:tcW w:w="90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Rex Energy Corporation</w:t>
            </w:r>
            <w:r>
              <w:rPr>
                <w:rFonts w:ascii="Times New Roman" w:cs="Times New Roman" w:eastAsia="Times New Roman" w:hAnsi="Times New Roman"/>
                <w:sz w:val="12"/>
                <w:szCs w:val="12"/>
                <w:color w:val="auto"/>
              </w:rPr>
              <w:t>(3)</w:t>
            </w:r>
          </w:p>
        </w:tc>
        <w:tc>
          <w:tcPr>
            <w:tcW w:w="2300" w:type="dxa"/>
            <w:vAlign w:val="bottom"/>
            <w:gridSpan w:val="2"/>
          </w:tcPr>
          <w:p>
            <w:pPr>
              <w:ind w:left="400"/>
              <w:spacing w:after="0" w:line="126" w:lineRule="exact"/>
              <w:rPr>
                <w:sz w:val="20"/>
                <w:szCs w:val="20"/>
                <w:color w:val="auto"/>
              </w:rPr>
            </w:pPr>
            <w:r>
              <w:rPr>
                <w:rFonts w:ascii="Times New Roman" w:cs="Times New Roman" w:eastAsia="Times New Roman" w:hAnsi="Times New Roman"/>
                <w:sz w:val="14"/>
                <w:szCs w:val="14"/>
                <w:color w:val="auto"/>
              </w:rPr>
              <w:t>First-lien loan ($18,950 par, due</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4/28/2017</w:t>
            </w:r>
          </w:p>
        </w:tc>
        <w:tc>
          <w:tcPr>
            <w:tcW w:w="220" w:type="dxa"/>
            <w:vAlign w:val="bottom"/>
          </w:tcPr>
          <w:p>
            <w:pPr>
              <w:spacing w:after="0"/>
              <w:rPr>
                <w:sz w:val="10"/>
                <w:szCs w:val="10"/>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L + 8.75%</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10.50%</w:t>
            </w:r>
          </w:p>
        </w:tc>
        <w:tc>
          <w:tcPr>
            <w:tcW w:w="120" w:type="dxa"/>
            <w:vAlign w:val="bottom"/>
            <w:vMerge w:val="restart"/>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18,467</w:t>
            </w:r>
          </w:p>
        </w:tc>
        <w:tc>
          <w:tcPr>
            <w:tcW w:w="220" w:type="dxa"/>
            <w:vAlign w:val="bottom"/>
            <w:vMerge w:val="restart"/>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20,525</w:t>
            </w:r>
          </w:p>
        </w:tc>
        <w:tc>
          <w:tcPr>
            <w:tcW w:w="160" w:type="dxa"/>
            <w:vAlign w:val="bottom"/>
          </w:tcPr>
          <w:p>
            <w:pPr>
              <w:spacing w:after="0"/>
              <w:rPr>
                <w:sz w:val="10"/>
                <w:szCs w:val="10"/>
                <w:color w:val="auto"/>
              </w:rPr>
            </w:pPr>
          </w:p>
        </w:tc>
        <w:tc>
          <w:tcPr>
            <w:tcW w:w="140" w:type="dxa"/>
            <w:vAlign w:val="bottom"/>
            <w:vMerge w:val="restart"/>
          </w:tcPr>
          <w:p>
            <w:pPr>
              <w:spacing w:after="0"/>
              <w:rPr>
                <w:sz w:val="10"/>
                <w:szCs w:val="10"/>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3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4/2021)</w:t>
            </w:r>
          </w:p>
        </w:tc>
        <w:tc>
          <w:tcPr>
            <w:tcW w:w="9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91,210</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93,204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40" w:type="dxa"/>
            <w:vAlign w:val="bottom"/>
            <w:gridSpan w:val="2"/>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Office products</w:t>
            </w:r>
          </w:p>
        </w:tc>
        <w:tc>
          <w:tcPr>
            <w:tcW w:w="4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USR Parent Inc. </w:t>
            </w:r>
            <w:r>
              <w:rPr>
                <w:rFonts w:ascii="Times New Roman" w:cs="Times New Roman" w:eastAsia="Times New Roman" w:hAnsi="Times New Roman"/>
                <w:sz w:val="12"/>
                <w:szCs w:val="12"/>
                <w:color w:val="auto"/>
              </w:rPr>
              <w:t>(3)(5)</w:t>
            </w:r>
          </w:p>
        </w:tc>
        <w:tc>
          <w:tcPr>
            <w:tcW w:w="2300" w:type="dxa"/>
            <w:vAlign w:val="bottom"/>
            <w:gridSpan w:val="2"/>
            <w:shd w:val="clear" w:color="auto" w:fill="CCEEFF"/>
          </w:tcPr>
          <w:p>
            <w:pPr>
              <w:ind w:left="400"/>
              <w:spacing w:after="0" w:line="126" w:lineRule="exact"/>
              <w:rPr>
                <w:sz w:val="20"/>
                <w:szCs w:val="20"/>
                <w:color w:val="auto"/>
              </w:rPr>
            </w:pPr>
            <w:r>
              <w:rPr>
                <w:rFonts w:ascii="Times New Roman" w:cs="Times New Roman" w:eastAsia="Times New Roman" w:hAnsi="Times New Roman"/>
                <w:sz w:val="14"/>
                <w:szCs w:val="14"/>
                <w:color w:val="auto"/>
              </w:rPr>
              <w:t>ABL FILO term loan ($20,000</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9/12/2017</w:t>
            </w:r>
          </w:p>
        </w:tc>
        <w:tc>
          <w:tcPr>
            <w:tcW w:w="2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L + 7.75%</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8.99%</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19,553</w:t>
            </w: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19,600</w:t>
            </w:r>
          </w:p>
        </w:tc>
        <w:tc>
          <w:tcPr>
            <w:tcW w:w="160" w:type="dxa"/>
            <w:vAlign w:val="bottom"/>
            <w:shd w:val="clear" w:color="auto" w:fill="CCEEFF"/>
          </w:tcPr>
          <w:p>
            <w:pPr>
              <w:spacing w:after="0"/>
              <w:rPr>
                <w:sz w:val="10"/>
                <w:szCs w:val="10"/>
                <w:color w:val="auto"/>
              </w:rPr>
            </w:pPr>
          </w:p>
        </w:tc>
        <w:tc>
          <w:tcPr>
            <w:tcW w:w="11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23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par, due 9/2022)</w:t>
            </w:r>
          </w:p>
        </w:tc>
        <w:tc>
          <w:tcPr>
            <w:tcW w:w="90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240"/>
          </w:cols>
          <w:pgMar w:left="240" w:top="456" w:right="41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8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3"/>
                <w:szCs w:val="13"/>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3"/>
                <w:szCs w:val="13"/>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2"/>
                <w:szCs w:val="12"/>
                <w:b w:val="1"/>
                <w:bCs w:val="1"/>
                <w:color w:val="auto"/>
              </w:rPr>
              <w:t>(1)</w:t>
            </w:r>
          </w:p>
        </w:tc>
        <w:tc>
          <w:tcPr>
            <w:tcW w:w="400" w:type="dxa"/>
            <w:vAlign w:val="bottom"/>
          </w:tcPr>
          <w:p>
            <w:pPr>
              <w:spacing w:after="0"/>
              <w:rPr>
                <w:sz w:val="12"/>
                <w:szCs w:val="12"/>
                <w:color w:val="auto"/>
              </w:rPr>
            </w:pPr>
          </w:p>
        </w:tc>
        <w:tc>
          <w:tcPr>
            <w:tcW w:w="194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920" w:type="dxa"/>
            <w:vAlign w:val="bottom"/>
            <w:gridSpan w:val="2"/>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26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Rate and</w:t>
            </w:r>
          </w:p>
        </w:tc>
        <w:tc>
          <w:tcPr>
            <w:tcW w:w="860" w:type="dxa"/>
            <w:vAlign w:val="bottom"/>
            <w:gridSpan w:val="3"/>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780" w:type="dxa"/>
            <w:vAlign w:val="bottom"/>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19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260" w:type="dxa"/>
            <w:vAlign w:val="bottom"/>
          </w:tcPr>
          <w:p>
            <w:pPr>
              <w:spacing w:after="0"/>
              <w:rPr>
                <w:sz w:val="13"/>
                <w:szCs w:val="13"/>
                <w:color w:val="auto"/>
              </w:rPr>
            </w:pPr>
          </w:p>
        </w:tc>
        <w:tc>
          <w:tcPr>
            <w:tcW w:w="8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Spread</w:t>
            </w:r>
          </w:p>
        </w:tc>
        <w:tc>
          <w:tcPr>
            <w:tcW w:w="140" w:type="dxa"/>
            <w:vAlign w:val="bottom"/>
          </w:tcPr>
          <w:p>
            <w:pPr>
              <w:spacing w:after="0"/>
              <w:rPr>
                <w:sz w:val="13"/>
                <w:szCs w:val="13"/>
                <w:color w:val="auto"/>
              </w:rPr>
            </w:pPr>
          </w:p>
        </w:tc>
        <w:tc>
          <w:tcPr>
            <w:tcW w:w="72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Rate</w:t>
            </w:r>
          </w:p>
        </w:tc>
        <w:tc>
          <w:tcPr>
            <w:tcW w:w="120" w:type="dxa"/>
            <w:vAlign w:val="bottom"/>
          </w:tcPr>
          <w:p>
            <w:pPr>
              <w:spacing w:after="0"/>
              <w:rPr>
                <w:sz w:val="13"/>
                <w:szCs w:val="13"/>
                <w:color w:val="auto"/>
              </w:rPr>
            </w:pPr>
          </w:p>
        </w:tc>
        <w:tc>
          <w:tcPr>
            <w:tcW w:w="66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Cost</w:t>
            </w:r>
            <w:r>
              <w:rPr>
                <w:rFonts w:ascii="Times New Roman" w:cs="Times New Roman" w:eastAsia="Times New Roman" w:hAnsi="Times New Roman"/>
                <w:sz w:val="12"/>
                <w:szCs w:val="12"/>
                <w:b w:val="1"/>
                <w:bCs w:val="1"/>
                <w:color w:val="auto"/>
              </w:rPr>
              <w:t>(2)(7)</w:t>
            </w:r>
          </w:p>
        </w:tc>
        <w:tc>
          <w:tcPr>
            <w:tcW w:w="260" w:type="dxa"/>
            <w:vAlign w:val="bottom"/>
          </w:tcPr>
          <w:p>
            <w:pPr>
              <w:spacing w:after="0"/>
              <w:rPr>
                <w:sz w:val="13"/>
                <w:szCs w:val="13"/>
                <w:color w:val="auto"/>
              </w:rPr>
            </w:pPr>
          </w:p>
        </w:tc>
        <w:tc>
          <w:tcPr>
            <w:tcW w:w="90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w w:val="97"/>
              </w:rPr>
              <w:t>Value</w:t>
            </w:r>
            <w:r>
              <w:rPr>
                <w:rFonts w:ascii="Times New Roman" w:cs="Times New Roman" w:eastAsia="Times New Roman" w:hAnsi="Times New Roman"/>
                <w:sz w:val="12"/>
                <w:szCs w:val="12"/>
                <w:b w:val="1"/>
                <w:bCs w:val="1"/>
                <w:color w:val="auto"/>
                <w:w w:val="97"/>
              </w:rPr>
              <w:t>(9)</w:t>
            </w:r>
          </w:p>
        </w:tc>
        <w:tc>
          <w:tcPr>
            <w:tcW w:w="1100" w:type="dxa"/>
            <w:vAlign w:val="bottom"/>
            <w:gridSpan w:val="3"/>
          </w:tcPr>
          <w:p>
            <w:pPr>
              <w:jc w:val="right"/>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760" w:type="dxa"/>
            <w:vAlign w:val="bottom"/>
            <w:gridSpan w:val="2"/>
            <w:shd w:val="clear" w:color="auto" w:fill="CCEEFF"/>
          </w:tcPr>
          <w:p>
            <w:pPr>
              <w:ind w:left="280"/>
              <w:spacing w:after="0" w:line="122" w:lineRule="exact"/>
              <w:rPr>
                <w:sz w:val="20"/>
                <w:szCs w:val="20"/>
                <w:color w:val="auto"/>
              </w:rPr>
            </w:pPr>
            <w:r>
              <w:rPr>
                <w:rFonts w:ascii="Times New Roman" w:cs="Times New Roman" w:eastAsia="Times New Roman" w:hAnsi="Times New Roman"/>
                <w:sz w:val="14"/>
                <w:szCs w:val="14"/>
                <w:b w:val="1"/>
                <w:bCs w:val="1"/>
                <w:color w:val="auto"/>
              </w:rPr>
              <w:t>Pharmaceuticals</w:t>
            </w:r>
          </w:p>
        </w:tc>
        <w:tc>
          <w:tcPr>
            <w:tcW w:w="40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Ironwood Pharmaceuticals, Inc.</w:t>
            </w:r>
            <w:r>
              <w:rPr>
                <w:rFonts w:ascii="Times New Roman" w:cs="Times New Roman" w:eastAsia="Times New Roman" w:hAnsi="Times New Roman"/>
                <w:sz w:val="12"/>
                <w:szCs w:val="12"/>
                <w:color w:val="auto"/>
              </w:rPr>
              <w:t>(4)(5)(8)</w:t>
            </w:r>
          </w:p>
        </w:tc>
        <w:tc>
          <w:tcPr>
            <w:tcW w:w="2340" w:type="dxa"/>
            <w:vAlign w:val="bottom"/>
            <w:gridSpan w:val="2"/>
          </w:tcPr>
          <w:p>
            <w:pPr>
              <w:ind w:left="380"/>
              <w:spacing w:after="0" w:line="126" w:lineRule="exact"/>
              <w:rPr>
                <w:sz w:val="20"/>
                <w:szCs w:val="20"/>
                <w:color w:val="auto"/>
              </w:rPr>
            </w:pPr>
            <w:r>
              <w:rPr>
                <w:rFonts w:ascii="Times New Roman" w:cs="Times New Roman" w:eastAsia="Times New Roman" w:hAnsi="Times New Roman"/>
                <w:sz w:val="14"/>
                <w:szCs w:val="14"/>
                <w:color w:val="auto"/>
              </w:rPr>
              <w:t>Secured note ($33,333 par, due</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1/5/2017</w:t>
            </w:r>
          </w:p>
        </w:tc>
        <w:tc>
          <w:tcPr>
            <w:tcW w:w="11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8.38%</w:t>
            </w:r>
          </w:p>
        </w:tc>
        <w:tc>
          <w:tcPr>
            <w:tcW w:w="8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8.38%</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33,191</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33,250</w:t>
            </w:r>
          </w:p>
        </w:tc>
        <w:tc>
          <w:tcPr>
            <w:tcW w:w="16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9/2026)</w:t>
            </w:r>
          </w:p>
        </w:tc>
        <w:tc>
          <w:tcPr>
            <w:tcW w:w="920" w:type="dxa"/>
            <w:vAlign w:val="bottom"/>
            <w:gridSpan w:val="2"/>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Model N, Inc.</w:t>
            </w:r>
            <w:r>
              <w:rPr>
                <w:rFonts w:ascii="Times New Roman" w:cs="Times New Roman" w:eastAsia="Times New Roman" w:hAnsi="Times New Roman"/>
                <w:sz w:val="12"/>
                <w:szCs w:val="12"/>
                <w:color w:val="auto"/>
              </w:rPr>
              <w:t>(3)(4)</w:t>
            </w:r>
          </w:p>
        </w:tc>
        <w:tc>
          <w:tcPr>
            <w:tcW w:w="2340" w:type="dxa"/>
            <w:vAlign w:val="bottom"/>
            <w:gridSpan w:val="2"/>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First-lien loan ($30,000 par, due</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1/5/2017</w:t>
            </w:r>
          </w:p>
        </w:tc>
        <w:tc>
          <w:tcPr>
            <w:tcW w:w="2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L + 8.25%</w:t>
            </w:r>
          </w:p>
        </w:tc>
        <w:tc>
          <w:tcPr>
            <w:tcW w:w="8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9.88%</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29,497</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29,925</w:t>
            </w:r>
          </w:p>
        </w:tc>
        <w:tc>
          <w:tcPr>
            <w:tcW w:w="160" w:type="dxa"/>
            <w:vAlign w:val="bottom"/>
            <w:shd w:val="clear" w:color="auto" w:fill="CCEEFF"/>
          </w:tcPr>
          <w:p>
            <w:pPr>
              <w:spacing w:after="0"/>
              <w:rPr>
                <w:sz w:val="10"/>
                <w:szCs w:val="10"/>
                <w:color w:val="auto"/>
              </w:rPr>
            </w:pPr>
          </w:p>
        </w:tc>
        <w:tc>
          <w:tcPr>
            <w:tcW w:w="11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3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1/2022)</w:t>
            </w:r>
          </w:p>
        </w:tc>
        <w:tc>
          <w:tcPr>
            <w:tcW w:w="92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Nektar Therapeutics</w:t>
            </w:r>
            <w:r>
              <w:rPr>
                <w:rFonts w:ascii="Times New Roman" w:cs="Times New Roman" w:eastAsia="Times New Roman" w:hAnsi="Times New Roman"/>
                <w:sz w:val="12"/>
                <w:szCs w:val="12"/>
                <w:color w:val="auto"/>
              </w:rPr>
              <w:t>(4)(5)(8)</w:t>
            </w:r>
          </w:p>
        </w:tc>
        <w:tc>
          <w:tcPr>
            <w:tcW w:w="2340" w:type="dxa"/>
            <w:vAlign w:val="bottom"/>
            <w:gridSpan w:val="2"/>
          </w:tcPr>
          <w:p>
            <w:pPr>
              <w:ind w:left="380"/>
              <w:spacing w:after="0" w:line="126" w:lineRule="exact"/>
              <w:rPr>
                <w:sz w:val="20"/>
                <w:szCs w:val="20"/>
                <w:color w:val="auto"/>
              </w:rPr>
            </w:pPr>
            <w:r>
              <w:rPr>
                <w:rFonts w:ascii="Times New Roman" w:cs="Times New Roman" w:eastAsia="Times New Roman" w:hAnsi="Times New Roman"/>
                <w:sz w:val="14"/>
                <w:szCs w:val="14"/>
                <w:color w:val="auto"/>
              </w:rPr>
              <w:t>Secured note ($74,950 par, due</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10/5/2015</w:t>
            </w:r>
          </w:p>
        </w:tc>
        <w:tc>
          <w:tcPr>
            <w:tcW w:w="11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7.75%</w:t>
            </w:r>
          </w:p>
        </w:tc>
        <w:tc>
          <w:tcPr>
            <w:tcW w:w="8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7.75%</w:t>
            </w:r>
          </w:p>
        </w:tc>
        <w:tc>
          <w:tcPr>
            <w:tcW w:w="120" w:type="dxa"/>
            <w:vAlign w:val="bottom"/>
            <w:vMerge w:val="restart"/>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74,363</w:t>
            </w:r>
          </w:p>
        </w:tc>
        <w:tc>
          <w:tcPr>
            <w:tcW w:w="260" w:type="dxa"/>
            <w:vAlign w:val="bottom"/>
            <w:vMerge w:val="restart"/>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76,449</w:t>
            </w:r>
          </w:p>
        </w:tc>
        <w:tc>
          <w:tcPr>
            <w:tcW w:w="160" w:type="dxa"/>
            <w:vAlign w:val="bottom"/>
          </w:tcPr>
          <w:p>
            <w:pPr>
              <w:spacing w:after="0"/>
              <w:rPr>
                <w:sz w:val="10"/>
                <w:szCs w:val="10"/>
                <w:color w:val="auto"/>
              </w:rPr>
            </w:pPr>
          </w:p>
        </w:tc>
        <w:tc>
          <w:tcPr>
            <w:tcW w:w="140" w:type="dxa"/>
            <w:vAlign w:val="bottom"/>
            <w:vMerge w:val="restart"/>
          </w:tcPr>
          <w:p>
            <w:pPr>
              <w:spacing w:after="0"/>
              <w:rPr>
                <w:sz w:val="10"/>
                <w:szCs w:val="10"/>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10/2020)</w:t>
            </w:r>
          </w:p>
        </w:tc>
        <w:tc>
          <w:tcPr>
            <w:tcW w:w="920" w:type="dxa"/>
            <w:vAlign w:val="bottom"/>
            <w:gridSpan w:val="2"/>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137,051</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139,624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gridSpan w:val="2"/>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Retail and consumer products</w:t>
            </w:r>
          </w:p>
        </w:tc>
        <w:tc>
          <w:tcPr>
            <w:tcW w:w="4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99 Cents Only Stores LLC</w:t>
            </w:r>
            <w:r>
              <w:rPr>
                <w:rFonts w:ascii="Times New Roman" w:cs="Times New Roman" w:eastAsia="Times New Roman" w:hAnsi="Times New Roman"/>
                <w:sz w:val="12"/>
                <w:szCs w:val="12"/>
                <w:color w:val="auto"/>
              </w:rPr>
              <w:t>(3)</w:t>
            </w:r>
          </w:p>
        </w:tc>
        <w:tc>
          <w:tcPr>
            <w:tcW w:w="2340" w:type="dxa"/>
            <w:vAlign w:val="bottom"/>
            <w:gridSpan w:val="2"/>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ABL FILO term loan ($25,000</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9/6/2017</w:t>
            </w:r>
          </w:p>
        </w:tc>
        <w:tc>
          <w:tcPr>
            <w:tcW w:w="2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L + 7.75%</w:t>
            </w:r>
          </w:p>
        </w:tc>
        <w:tc>
          <w:tcPr>
            <w:tcW w:w="8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9.26%</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24,654</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24,875</w:t>
            </w:r>
          </w:p>
        </w:tc>
        <w:tc>
          <w:tcPr>
            <w:tcW w:w="160" w:type="dxa"/>
            <w:vAlign w:val="bottom"/>
            <w:shd w:val="clear" w:color="auto" w:fill="CCEEFF"/>
          </w:tcPr>
          <w:p>
            <w:pPr>
              <w:spacing w:after="0"/>
              <w:rPr>
                <w:sz w:val="10"/>
                <w:szCs w:val="10"/>
                <w:color w:val="auto"/>
              </w:rPr>
            </w:pPr>
          </w:p>
        </w:tc>
        <w:tc>
          <w:tcPr>
            <w:tcW w:w="11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3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par, due 4/2021)</w:t>
            </w:r>
          </w:p>
        </w:tc>
        <w:tc>
          <w:tcPr>
            <w:tcW w:w="92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American Achievement Corporation</w:t>
            </w:r>
            <w:r>
              <w:rPr>
                <w:rFonts w:ascii="Times New Roman" w:cs="Times New Roman" w:eastAsia="Times New Roman" w:hAnsi="Times New Roman"/>
                <w:sz w:val="12"/>
                <w:szCs w:val="12"/>
                <w:color w:val="auto"/>
              </w:rPr>
              <w:t>(3)(5)</w:t>
            </w:r>
          </w:p>
        </w:tc>
        <w:tc>
          <w:tcPr>
            <w:tcW w:w="2340" w:type="dxa"/>
            <w:vAlign w:val="bottom"/>
            <w:gridSpan w:val="2"/>
          </w:tcPr>
          <w:p>
            <w:pPr>
              <w:ind w:left="380"/>
              <w:spacing w:after="0" w:line="126" w:lineRule="exact"/>
              <w:rPr>
                <w:sz w:val="20"/>
                <w:szCs w:val="20"/>
                <w:color w:val="auto"/>
              </w:rPr>
            </w:pPr>
            <w:r>
              <w:rPr>
                <w:rFonts w:ascii="Times New Roman" w:cs="Times New Roman" w:eastAsia="Times New Roman" w:hAnsi="Times New Roman"/>
                <w:sz w:val="14"/>
                <w:szCs w:val="14"/>
                <w:color w:val="auto"/>
              </w:rPr>
              <w:t>First-lien loan ($23,161 par, due</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9/30/2015</w:t>
            </w:r>
          </w:p>
        </w:tc>
        <w:tc>
          <w:tcPr>
            <w:tcW w:w="26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L + 8.25%</w:t>
            </w:r>
          </w:p>
        </w:tc>
        <w:tc>
          <w:tcPr>
            <w:tcW w:w="8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9.62%</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22,964</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23,219</w:t>
            </w:r>
          </w:p>
        </w:tc>
        <w:tc>
          <w:tcPr>
            <w:tcW w:w="16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9/2020)</w:t>
            </w:r>
          </w:p>
        </w:tc>
        <w:tc>
          <w:tcPr>
            <w:tcW w:w="9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Destination Maternity Corporation</w:t>
            </w:r>
            <w:r>
              <w:rPr>
                <w:rFonts w:ascii="Times New Roman" w:cs="Times New Roman" w:eastAsia="Times New Roman" w:hAnsi="Times New Roman"/>
                <w:sz w:val="12"/>
                <w:szCs w:val="12"/>
                <w:color w:val="auto"/>
              </w:rPr>
              <w:t>(3)(5)</w:t>
            </w:r>
          </w:p>
        </w:tc>
        <w:tc>
          <w:tcPr>
            <w:tcW w:w="2340" w:type="dxa"/>
            <w:vAlign w:val="bottom"/>
            <w:gridSpan w:val="2"/>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ABL FILO term loan ($15,420</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3/25/2016</w:t>
            </w:r>
          </w:p>
        </w:tc>
        <w:tc>
          <w:tcPr>
            <w:tcW w:w="2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L + 7.50%</w:t>
            </w:r>
          </w:p>
        </w:tc>
        <w:tc>
          <w:tcPr>
            <w:tcW w:w="8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8.74%</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15,165</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15,767</w:t>
            </w:r>
          </w:p>
        </w:tc>
        <w:tc>
          <w:tcPr>
            <w:tcW w:w="160" w:type="dxa"/>
            <w:vAlign w:val="bottom"/>
            <w:shd w:val="clear" w:color="auto" w:fill="CCEEFF"/>
          </w:tcPr>
          <w:p>
            <w:pPr>
              <w:spacing w:after="0"/>
              <w:rPr>
                <w:sz w:val="10"/>
                <w:szCs w:val="10"/>
                <w:color w:val="auto"/>
              </w:rPr>
            </w:pPr>
          </w:p>
        </w:tc>
        <w:tc>
          <w:tcPr>
            <w:tcW w:w="11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3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par, due 3/2021)</w:t>
            </w:r>
          </w:p>
        </w:tc>
        <w:tc>
          <w:tcPr>
            <w:tcW w:w="92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Eddie Bauer LLC</w:t>
            </w:r>
            <w:r>
              <w:rPr>
                <w:rFonts w:ascii="Times New Roman" w:cs="Times New Roman" w:eastAsia="Times New Roman" w:hAnsi="Times New Roman"/>
                <w:sz w:val="12"/>
                <w:szCs w:val="12"/>
                <w:color w:val="auto"/>
              </w:rPr>
              <w:t>(3)</w:t>
            </w:r>
          </w:p>
        </w:tc>
        <w:tc>
          <w:tcPr>
            <w:tcW w:w="2340" w:type="dxa"/>
            <w:vAlign w:val="bottom"/>
            <w:gridSpan w:val="2"/>
          </w:tcPr>
          <w:p>
            <w:pPr>
              <w:ind w:left="380"/>
              <w:spacing w:after="0" w:line="126" w:lineRule="exact"/>
              <w:rPr>
                <w:sz w:val="20"/>
                <w:szCs w:val="20"/>
                <w:color w:val="auto"/>
              </w:rPr>
            </w:pPr>
            <w:r>
              <w:rPr>
                <w:rFonts w:ascii="Times New Roman" w:cs="Times New Roman" w:eastAsia="Times New Roman" w:hAnsi="Times New Roman"/>
                <w:sz w:val="14"/>
                <w:szCs w:val="14"/>
                <w:color w:val="auto"/>
              </w:rPr>
              <w:t>ABL FILO term loan ($29,250</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3/31/2017</w:t>
            </w:r>
          </w:p>
        </w:tc>
        <w:tc>
          <w:tcPr>
            <w:tcW w:w="26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L + 9.25%</w:t>
            </w:r>
          </w:p>
        </w:tc>
        <w:tc>
          <w:tcPr>
            <w:tcW w:w="8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10.94%</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28,847</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29,396</w:t>
            </w:r>
          </w:p>
        </w:tc>
        <w:tc>
          <w:tcPr>
            <w:tcW w:w="16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par, due 6/2019)</w:t>
            </w:r>
          </w:p>
        </w:tc>
        <w:tc>
          <w:tcPr>
            <w:tcW w:w="9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Sears</w:t>
            </w:r>
            <w:r>
              <w:rPr>
                <w:rFonts w:ascii="Times New Roman" w:cs="Times New Roman" w:eastAsia="Times New Roman" w:hAnsi="Times New Roman"/>
                <w:sz w:val="12"/>
                <w:szCs w:val="12"/>
                <w:color w:val="auto"/>
              </w:rPr>
              <w:t>(3)(4)(10)</w:t>
            </w:r>
          </w:p>
        </w:tc>
        <w:tc>
          <w:tcPr>
            <w:tcW w:w="2340" w:type="dxa"/>
            <w:vAlign w:val="bottom"/>
            <w:gridSpan w:val="2"/>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First-lien ABL loan ($17,296 par,</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3/18/2016</w:t>
            </w:r>
          </w:p>
        </w:tc>
        <w:tc>
          <w:tcPr>
            <w:tcW w:w="2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L + 7.50%</w:t>
            </w:r>
          </w:p>
        </w:tc>
        <w:tc>
          <w:tcPr>
            <w:tcW w:w="8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8.89%</w:t>
            </w:r>
          </w:p>
        </w:tc>
        <w:tc>
          <w:tcPr>
            <w:tcW w:w="120" w:type="dxa"/>
            <w:vAlign w:val="bottom"/>
            <w:vMerge w:val="restart"/>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16,962</w:t>
            </w:r>
          </w:p>
        </w:tc>
        <w:tc>
          <w:tcPr>
            <w:tcW w:w="260" w:type="dxa"/>
            <w:vAlign w:val="bottom"/>
            <w:vMerge w:val="restart"/>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17,383</w:t>
            </w:r>
          </w:p>
        </w:tc>
        <w:tc>
          <w:tcPr>
            <w:tcW w:w="16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3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due 7/2020)</w:t>
            </w:r>
          </w:p>
        </w:tc>
        <w:tc>
          <w:tcPr>
            <w:tcW w:w="92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108,592</w:t>
            </w:r>
          </w:p>
        </w:tc>
        <w:tc>
          <w:tcPr>
            <w:tcW w:w="260" w:type="dxa"/>
            <w:vAlign w:val="bottom"/>
            <w:vMerge w:val="continue"/>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110,640</w:t>
            </w:r>
          </w:p>
        </w:tc>
        <w:tc>
          <w:tcPr>
            <w:tcW w:w="16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9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Total Debt Investments</w:t>
            </w:r>
          </w:p>
        </w:tc>
        <w:tc>
          <w:tcPr>
            <w:tcW w:w="4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1,624,237</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1,642,255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169.4%</w:t>
            </w:r>
          </w:p>
        </w:tc>
        <w:tc>
          <w:tcPr>
            <w:tcW w:w="0" w:type="dxa"/>
            <w:vAlign w:val="bottom"/>
          </w:tcPr>
          <w:p>
            <w:pPr>
              <w:spacing w:after="0"/>
              <w:rPr>
                <w:sz w:val="1"/>
                <w:szCs w:val="1"/>
                <w:color w:val="auto"/>
              </w:rPr>
            </w:pPr>
          </w:p>
        </w:tc>
      </w:tr>
      <w:tr>
        <w:trPr>
          <w:trHeight w:val="156"/>
        </w:trPr>
        <w:tc>
          <w:tcPr>
            <w:tcW w:w="278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Equity and Other Investments</w:t>
            </w:r>
          </w:p>
        </w:tc>
        <w:tc>
          <w:tcPr>
            <w:tcW w:w="4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Beverage, food and tobacco</w:t>
            </w:r>
          </w:p>
        </w:tc>
        <w:tc>
          <w:tcPr>
            <w:tcW w:w="4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AFS Technologies, Inc.</w:t>
            </w:r>
            <w:r>
              <w:rPr>
                <w:rFonts w:ascii="Times New Roman" w:cs="Times New Roman" w:eastAsia="Times New Roman" w:hAnsi="Times New Roman"/>
                <w:sz w:val="12"/>
                <w:szCs w:val="12"/>
                <w:color w:val="auto"/>
              </w:rPr>
              <w:t>(6)(12)</w:t>
            </w:r>
          </w:p>
        </w:tc>
        <w:tc>
          <w:tcPr>
            <w:tcW w:w="2340" w:type="dxa"/>
            <w:vAlign w:val="bottom"/>
            <w:gridSpan w:val="2"/>
          </w:tcPr>
          <w:p>
            <w:pPr>
              <w:ind w:left="380"/>
              <w:spacing w:after="0" w:line="126" w:lineRule="exact"/>
              <w:rPr>
                <w:sz w:val="20"/>
                <w:szCs w:val="20"/>
                <w:color w:val="auto"/>
              </w:rPr>
            </w:pPr>
            <w:r>
              <w:rPr>
                <w:rFonts w:ascii="Times New Roman" w:cs="Times New Roman" w:eastAsia="Times New Roman" w:hAnsi="Times New Roman"/>
                <w:sz w:val="14"/>
                <w:szCs w:val="14"/>
                <w:color w:val="auto"/>
              </w:rPr>
              <w:t>Class A Preferred Units (125,000</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6/30/2017</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14,031</w:t>
            </w:r>
          </w:p>
        </w:tc>
        <w:tc>
          <w:tcPr>
            <w:tcW w:w="16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units)</w:t>
            </w:r>
          </w:p>
        </w:tc>
        <w:tc>
          <w:tcPr>
            <w:tcW w:w="9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40" w:type="dxa"/>
            <w:vAlign w:val="bottom"/>
            <w:shd w:val="clear" w:color="auto" w:fill="CCEEFF"/>
          </w:tcPr>
          <w:p>
            <w:pPr>
              <w:spacing w:after="0"/>
              <w:rPr>
                <w:sz w:val="10"/>
                <w:szCs w:val="10"/>
                <w:color w:val="auto"/>
              </w:rPr>
            </w:pPr>
          </w:p>
        </w:tc>
        <w:tc>
          <w:tcPr>
            <w:tcW w:w="2340" w:type="dxa"/>
            <w:vAlign w:val="bottom"/>
            <w:gridSpan w:val="2"/>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Class B Common Units (90,000</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6/30/2017</w:t>
            </w:r>
          </w:p>
        </w:tc>
        <w:tc>
          <w:tcPr>
            <w:tcW w:w="2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vMerge w:val="restart"/>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4,215</w:t>
            </w:r>
          </w:p>
        </w:tc>
        <w:tc>
          <w:tcPr>
            <w:tcW w:w="16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3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units)</w:t>
            </w:r>
          </w:p>
        </w:tc>
        <w:tc>
          <w:tcPr>
            <w:tcW w:w="92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12,502</w:t>
            </w:r>
          </w:p>
        </w:tc>
        <w:tc>
          <w:tcPr>
            <w:tcW w:w="260" w:type="dxa"/>
            <w:vAlign w:val="bottom"/>
            <w:vMerge w:val="continue"/>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18,246</w:t>
            </w:r>
          </w:p>
        </w:tc>
        <w:tc>
          <w:tcPr>
            <w:tcW w:w="1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Business Services</w:t>
            </w:r>
          </w:p>
        </w:tc>
        <w:tc>
          <w:tcPr>
            <w:tcW w:w="4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Riskonnect, Inc.</w:t>
            </w:r>
            <w:r>
              <w:rPr>
                <w:rFonts w:ascii="Times New Roman" w:cs="Times New Roman" w:eastAsia="Times New Roman" w:hAnsi="Times New Roman"/>
                <w:sz w:val="12"/>
                <w:szCs w:val="12"/>
                <w:color w:val="auto"/>
              </w:rPr>
              <w:t>(12)</w:t>
            </w:r>
          </w:p>
        </w:tc>
        <w:tc>
          <w:tcPr>
            <w:tcW w:w="2340" w:type="dxa"/>
            <w:vAlign w:val="bottom"/>
            <w:gridSpan w:val="2"/>
          </w:tcPr>
          <w:p>
            <w:pPr>
              <w:ind w:left="380"/>
              <w:spacing w:after="0" w:line="126" w:lineRule="exact"/>
              <w:rPr>
                <w:sz w:val="20"/>
                <w:szCs w:val="20"/>
                <w:color w:val="auto"/>
              </w:rPr>
            </w:pPr>
            <w:r>
              <w:rPr>
                <w:rFonts w:ascii="Times New Roman" w:cs="Times New Roman" w:eastAsia="Times New Roman" w:hAnsi="Times New Roman"/>
                <w:sz w:val="14"/>
                <w:szCs w:val="14"/>
                <w:color w:val="auto"/>
              </w:rPr>
              <w:t>Preferred Class A Units (990</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6/30/2017</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16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units)</w:t>
            </w:r>
          </w:p>
        </w:tc>
        <w:tc>
          <w:tcPr>
            <w:tcW w:w="9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40" w:type="dxa"/>
            <w:vAlign w:val="bottom"/>
            <w:shd w:val="clear" w:color="auto" w:fill="CCEEFF"/>
          </w:tcPr>
          <w:p>
            <w:pPr>
              <w:spacing w:after="0"/>
              <w:rPr>
                <w:sz w:val="10"/>
                <w:szCs w:val="10"/>
                <w:color w:val="auto"/>
              </w:rPr>
            </w:pPr>
          </w:p>
        </w:tc>
        <w:tc>
          <w:tcPr>
            <w:tcW w:w="2340" w:type="dxa"/>
            <w:vAlign w:val="bottom"/>
            <w:gridSpan w:val="2"/>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Common Class B Units (959,018</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6/30/2017</w:t>
            </w:r>
          </w:p>
        </w:tc>
        <w:tc>
          <w:tcPr>
            <w:tcW w:w="2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60" w:type="dxa"/>
            <w:vAlign w:val="bottom"/>
            <w:vMerge w:val="restart"/>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3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units)</w:t>
            </w:r>
          </w:p>
        </w:tc>
        <w:tc>
          <w:tcPr>
            <w:tcW w:w="92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260" w:type="dxa"/>
            <w:vAlign w:val="bottom"/>
            <w:vMerge w:val="continue"/>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1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Chemicals</w:t>
            </w:r>
          </w:p>
        </w:tc>
        <w:tc>
          <w:tcPr>
            <w:tcW w:w="4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Vertellus Specialties, Inc.</w:t>
            </w:r>
            <w:r>
              <w:rPr>
                <w:rFonts w:ascii="Times New Roman" w:cs="Times New Roman" w:eastAsia="Times New Roman" w:hAnsi="Times New Roman"/>
                <w:sz w:val="12"/>
                <w:szCs w:val="12"/>
                <w:color w:val="auto"/>
              </w:rPr>
              <w:t>(12)</w:t>
            </w:r>
          </w:p>
        </w:tc>
        <w:tc>
          <w:tcPr>
            <w:tcW w:w="234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Common Units (2,672,990 units)</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10/31/2016</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3,828</w:t>
            </w: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3,780</w:t>
            </w:r>
          </w:p>
        </w:tc>
        <w:tc>
          <w:tcPr>
            <w:tcW w:w="160" w:type="dxa"/>
            <w:vAlign w:val="bottom"/>
          </w:tcPr>
          <w:p>
            <w:pPr>
              <w:spacing w:after="0"/>
              <w:rPr>
                <w:sz w:val="12"/>
                <w:szCs w:val="12"/>
                <w:color w:val="auto"/>
              </w:rPr>
            </w:pPr>
          </w:p>
        </w:tc>
        <w:tc>
          <w:tcPr>
            <w:tcW w:w="11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Financial services</w:t>
            </w:r>
          </w:p>
        </w:tc>
        <w:tc>
          <w:tcPr>
            <w:tcW w:w="4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AvidXchange, Inc.</w:t>
            </w:r>
            <w:r>
              <w:rPr>
                <w:rFonts w:ascii="Times New Roman" w:cs="Times New Roman" w:eastAsia="Times New Roman" w:hAnsi="Times New Roman"/>
                <w:sz w:val="12"/>
                <w:szCs w:val="12"/>
                <w:color w:val="auto"/>
              </w:rPr>
              <w:t>(12)</w:t>
            </w:r>
          </w:p>
        </w:tc>
        <w:tc>
          <w:tcPr>
            <w:tcW w:w="2340" w:type="dxa"/>
            <w:vAlign w:val="bottom"/>
            <w:gridSpan w:val="2"/>
          </w:tcPr>
          <w:p>
            <w:pPr>
              <w:ind w:left="380"/>
              <w:spacing w:after="0" w:line="126" w:lineRule="exact"/>
              <w:rPr>
                <w:sz w:val="20"/>
                <w:szCs w:val="20"/>
                <w:color w:val="auto"/>
              </w:rPr>
            </w:pPr>
            <w:r>
              <w:rPr>
                <w:rFonts w:ascii="Times New Roman" w:cs="Times New Roman" w:eastAsia="Times New Roman" w:hAnsi="Times New Roman"/>
                <w:sz w:val="14"/>
                <w:szCs w:val="14"/>
                <w:color w:val="auto"/>
              </w:rPr>
              <w:t>Series E Preferred Equity</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8/7/2015</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3,846</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7,481</w:t>
            </w:r>
          </w:p>
        </w:tc>
        <w:tc>
          <w:tcPr>
            <w:tcW w:w="16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(214,132 shares)</w:t>
            </w:r>
          </w:p>
        </w:tc>
        <w:tc>
          <w:tcPr>
            <w:tcW w:w="9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Swift Gift Limited</w:t>
            </w:r>
            <w:r>
              <w:rPr>
                <w:rFonts w:ascii="Times New Roman" w:cs="Times New Roman" w:eastAsia="Times New Roman" w:hAnsi="Times New Roman"/>
                <w:sz w:val="12"/>
                <w:szCs w:val="12"/>
                <w:color w:val="auto"/>
              </w:rPr>
              <w:t>(12)</w:t>
            </w:r>
          </w:p>
        </w:tc>
        <w:tc>
          <w:tcPr>
            <w:tcW w:w="234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Common Shares (35,000 shares)</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7/31/2017</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3,500</w:t>
            </w:r>
          </w:p>
        </w:tc>
        <w:tc>
          <w:tcPr>
            <w:tcW w:w="1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5,066</w:t>
            </w:r>
          </w:p>
        </w:tc>
        <w:tc>
          <w:tcPr>
            <w:tcW w:w="16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TICC Capital Corp.</w:t>
            </w:r>
            <w:r>
              <w:rPr>
                <w:rFonts w:ascii="Times New Roman" w:cs="Times New Roman" w:eastAsia="Times New Roman" w:hAnsi="Times New Roman"/>
                <w:sz w:val="12"/>
                <w:szCs w:val="12"/>
                <w:color w:val="auto"/>
              </w:rPr>
              <w:t>(4)(11)</w:t>
            </w:r>
          </w:p>
        </w:tc>
        <w:tc>
          <w:tcPr>
            <w:tcW w:w="234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Common Shares (1,059 shares)</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8/5/2015</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60" w:type="dxa"/>
            <w:vAlign w:val="bottom"/>
          </w:tcPr>
          <w:p>
            <w:pPr>
              <w:spacing w:after="0"/>
              <w:rPr>
                <w:sz w:val="12"/>
                <w:szCs w:val="12"/>
                <w:color w:val="auto"/>
              </w:rPr>
            </w:pPr>
          </w:p>
        </w:tc>
        <w:tc>
          <w:tcPr>
            <w:tcW w:w="11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Triangle Capital Corp.</w:t>
            </w:r>
            <w:r>
              <w:rPr>
                <w:rFonts w:ascii="Times New Roman" w:cs="Times New Roman" w:eastAsia="Times New Roman" w:hAnsi="Times New Roman"/>
                <w:sz w:val="12"/>
                <w:szCs w:val="12"/>
                <w:color w:val="auto"/>
              </w:rPr>
              <w:t>(4)(11)</w:t>
            </w:r>
          </w:p>
        </w:tc>
        <w:tc>
          <w:tcPr>
            <w:tcW w:w="2340" w:type="dxa"/>
            <w:vAlign w:val="bottom"/>
            <w:gridSpan w:val="2"/>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Common Shares (1,384,570</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11/3/2017</w:t>
            </w:r>
          </w:p>
        </w:tc>
        <w:tc>
          <w:tcPr>
            <w:tcW w:w="2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13,428</w:t>
            </w:r>
          </w:p>
        </w:tc>
        <w:tc>
          <w:tcPr>
            <w:tcW w:w="260" w:type="dxa"/>
            <w:vAlign w:val="bottom"/>
            <w:vMerge w:val="restart"/>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13,140</w:t>
            </w:r>
          </w:p>
        </w:tc>
        <w:tc>
          <w:tcPr>
            <w:tcW w:w="16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3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shares)</w:t>
            </w:r>
          </w:p>
        </w:tc>
        <w:tc>
          <w:tcPr>
            <w:tcW w:w="92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20,781</w:t>
            </w:r>
          </w:p>
        </w:tc>
        <w:tc>
          <w:tcPr>
            <w:tcW w:w="260" w:type="dxa"/>
            <w:vAlign w:val="bottom"/>
            <w:vMerge w:val="continue"/>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25,693</w:t>
            </w:r>
          </w:p>
        </w:tc>
        <w:tc>
          <w:tcPr>
            <w:tcW w:w="1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Healthcare</w:t>
            </w:r>
          </w:p>
        </w:tc>
        <w:tc>
          <w:tcPr>
            <w:tcW w:w="4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Helix Health, Ltd.</w:t>
            </w:r>
            <w:r>
              <w:rPr>
                <w:rFonts w:ascii="Times New Roman" w:cs="Times New Roman" w:eastAsia="Times New Roman" w:hAnsi="Times New Roman"/>
                <w:sz w:val="12"/>
                <w:szCs w:val="12"/>
                <w:color w:val="auto"/>
              </w:rPr>
              <w:t>(4)(12)</w:t>
            </w:r>
          </w:p>
        </w:tc>
        <w:tc>
          <w:tcPr>
            <w:tcW w:w="2340" w:type="dxa"/>
            <w:vAlign w:val="bottom"/>
            <w:gridSpan w:val="2"/>
          </w:tcPr>
          <w:p>
            <w:pPr>
              <w:ind w:left="380"/>
              <w:spacing w:after="0" w:line="126" w:lineRule="exact"/>
              <w:rPr>
                <w:sz w:val="20"/>
                <w:szCs w:val="20"/>
                <w:color w:val="auto"/>
              </w:rPr>
            </w:pPr>
            <w:r>
              <w:rPr>
                <w:rFonts w:ascii="Times New Roman" w:cs="Times New Roman" w:eastAsia="Times New Roman" w:hAnsi="Times New Roman"/>
                <w:sz w:val="14"/>
                <w:szCs w:val="14"/>
                <w:color w:val="auto"/>
              </w:rPr>
              <w:t>Warrants</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1,336</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9/30/2014</w:t>
            </w: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26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(EUR 1,112)</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SRS Parent Corp.</w:t>
            </w:r>
            <w:r>
              <w:rPr>
                <w:rFonts w:ascii="Times New Roman" w:cs="Times New Roman" w:eastAsia="Times New Roman" w:hAnsi="Times New Roman"/>
                <w:sz w:val="12"/>
                <w:szCs w:val="12"/>
                <w:color w:val="auto"/>
              </w:rPr>
              <w:t>(12)</w:t>
            </w:r>
          </w:p>
        </w:tc>
        <w:tc>
          <w:tcPr>
            <w:tcW w:w="2340" w:type="dxa"/>
            <w:vAlign w:val="bottom"/>
            <w:gridSpan w:val="2"/>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Common Shares Class A</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12/28/2012</w:t>
            </w:r>
          </w:p>
        </w:tc>
        <w:tc>
          <w:tcPr>
            <w:tcW w:w="2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160" w:type="dxa"/>
            <w:vAlign w:val="bottom"/>
            <w:shd w:val="clear" w:color="auto" w:fill="CCEEFF"/>
          </w:tcPr>
          <w:p>
            <w:pPr>
              <w:spacing w:after="0"/>
              <w:rPr>
                <w:sz w:val="10"/>
                <w:szCs w:val="10"/>
                <w:color w:val="auto"/>
              </w:rPr>
            </w:pPr>
          </w:p>
        </w:tc>
        <w:tc>
          <w:tcPr>
            <w:tcW w:w="11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3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(1,980 shares)</w:t>
            </w:r>
          </w:p>
        </w:tc>
        <w:tc>
          <w:tcPr>
            <w:tcW w:w="92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340" w:type="dxa"/>
            <w:vAlign w:val="bottom"/>
            <w:gridSpan w:val="2"/>
          </w:tcPr>
          <w:p>
            <w:pPr>
              <w:ind w:left="380"/>
              <w:spacing w:after="0" w:line="126" w:lineRule="exact"/>
              <w:rPr>
                <w:sz w:val="20"/>
                <w:szCs w:val="20"/>
                <w:color w:val="auto"/>
              </w:rPr>
            </w:pPr>
            <w:r>
              <w:rPr>
                <w:rFonts w:ascii="Times New Roman" w:cs="Times New Roman" w:eastAsia="Times New Roman" w:hAnsi="Times New Roman"/>
                <w:sz w:val="14"/>
                <w:szCs w:val="14"/>
                <w:color w:val="auto"/>
              </w:rPr>
              <w:t>Common Shares Class B</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12/28/2012</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60" w:type="dxa"/>
            <w:vAlign w:val="bottom"/>
            <w:vMerge w:val="restart"/>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tcPr>
          <w:p>
            <w:pPr>
              <w:spacing w:after="0"/>
              <w:rPr>
                <w:sz w:val="10"/>
                <w:szCs w:val="10"/>
                <w:color w:val="auto"/>
              </w:rPr>
            </w:pPr>
          </w:p>
        </w:tc>
        <w:tc>
          <w:tcPr>
            <w:tcW w:w="140" w:type="dxa"/>
            <w:vAlign w:val="bottom"/>
            <w:vMerge w:val="restart"/>
          </w:tcPr>
          <w:p>
            <w:pPr>
              <w:spacing w:after="0"/>
              <w:rPr>
                <w:sz w:val="10"/>
                <w:szCs w:val="10"/>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(2,953,020 shares)</w:t>
            </w:r>
          </w:p>
        </w:tc>
        <w:tc>
          <w:tcPr>
            <w:tcW w:w="9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2,877</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2,441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240"/>
          </w:cols>
          <w:pgMar w:left="240" w:top="455" w:right="41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20" w:type="dxa"/>
            <w:vAlign w:val="bottom"/>
          </w:tcPr>
          <w:p>
            <w:pPr>
              <w:spacing w:after="0"/>
              <w:rPr>
                <w:sz w:val="13"/>
                <w:szCs w:val="13"/>
                <w:color w:val="auto"/>
              </w:rPr>
            </w:pPr>
          </w:p>
        </w:tc>
        <w:tc>
          <w:tcPr>
            <w:tcW w:w="860" w:type="dxa"/>
            <w:vAlign w:val="bottom"/>
            <w:gridSpan w:val="3"/>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60" w:type="dxa"/>
            <w:vAlign w:val="bottom"/>
          </w:tcPr>
          <w:p>
            <w:pPr>
              <w:spacing w:after="0"/>
              <w:rPr>
                <w:sz w:val="13"/>
                <w:szCs w:val="13"/>
                <w:color w:val="auto"/>
              </w:rPr>
            </w:pPr>
          </w:p>
        </w:tc>
        <w:tc>
          <w:tcPr>
            <w:tcW w:w="74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320" w:type="dxa"/>
            <w:vAlign w:val="bottom"/>
          </w:tcPr>
          <w:p>
            <w:pPr>
              <w:spacing w:after="0"/>
              <w:rPr>
                <w:sz w:val="13"/>
                <w:szCs w:val="13"/>
                <w:color w:val="auto"/>
              </w:rPr>
            </w:pPr>
          </w:p>
        </w:tc>
        <w:tc>
          <w:tcPr>
            <w:tcW w:w="100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2"/>
                <w:szCs w:val="12"/>
                <w:b w:val="1"/>
                <w:bCs w:val="1"/>
                <w:color w:val="auto"/>
              </w:rPr>
              <w:t>(1)</w:t>
            </w:r>
          </w:p>
        </w:tc>
        <w:tc>
          <w:tcPr>
            <w:tcW w:w="420" w:type="dxa"/>
            <w:vAlign w:val="bottom"/>
          </w:tcPr>
          <w:p>
            <w:pPr>
              <w:spacing w:after="0"/>
              <w:rPr>
                <w:sz w:val="12"/>
                <w:szCs w:val="12"/>
                <w:color w:val="auto"/>
              </w:rPr>
            </w:pPr>
          </w:p>
        </w:tc>
        <w:tc>
          <w:tcPr>
            <w:tcW w:w="1880" w:type="dxa"/>
            <w:vAlign w:val="bottom"/>
            <w:gridSpan w:val="3"/>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4"/>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Rate and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920" w:type="dxa"/>
            <w:vAlign w:val="bottom"/>
            <w:gridSpan w:val="3"/>
            <w:vMerge w:val="continue"/>
          </w:tcPr>
          <w:p>
            <w:pPr>
              <w:spacing w:after="0"/>
              <w:rPr>
                <w:sz w:val="13"/>
                <w:szCs w:val="13"/>
                <w:color w:val="auto"/>
              </w:rPr>
            </w:pPr>
          </w:p>
        </w:tc>
        <w:tc>
          <w:tcPr>
            <w:tcW w:w="420" w:type="dxa"/>
            <w:vAlign w:val="bottom"/>
          </w:tcPr>
          <w:p>
            <w:pPr>
              <w:spacing w:after="0"/>
              <w:rPr>
                <w:sz w:val="13"/>
                <w:szCs w:val="13"/>
                <w:color w:val="auto"/>
              </w:rPr>
            </w:pPr>
          </w:p>
        </w:tc>
        <w:tc>
          <w:tcPr>
            <w:tcW w:w="18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Spread</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Rate</w:t>
            </w:r>
          </w:p>
        </w:tc>
        <w:tc>
          <w:tcPr>
            <w:tcW w:w="260" w:type="dxa"/>
            <w:vAlign w:val="bottom"/>
          </w:tcPr>
          <w:p>
            <w:pPr>
              <w:spacing w:after="0"/>
              <w:rPr>
                <w:sz w:val="13"/>
                <w:szCs w:val="13"/>
                <w:color w:val="auto"/>
              </w:rPr>
            </w:pPr>
          </w:p>
        </w:tc>
        <w:tc>
          <w:tcPr>
            <w:tcW w:w="740" w:type="dxa"/>
            <w:vAlign w:val="bottom"/>
            <w:gridSpan w:val="4"/>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Cost</w:t>
            </w:r>
            <w:r>
              <w:rPr>
                <w:rFonts w:ascii="Times New Roman" w:cs="Times New Roman" w:eastAsia="Times New Roman" w:hAnsi="Times New Roman"/>
                <w:sz w:val="12"/>
                <w:szCs w:val="12"/>
                <w:b w:val="1"/>
                <w:bCs w:val="1"/>
                <w:color w:val="auto"/>
              </w:rPr>
              <w:t>(2)(7)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w w:val="97"/>
              </w:rPr>
              <w:t>Value</w:t>
            </w:r>
            <w:r>
              <w:rPr>
                <w:rFonts w:ascii="Times New Roman" w:cs="Times New Roman" w:eastAsia="Times New Roman" w:hAnsi="Times New Roman"/>
                <w:sz w:val="12"/>
                <w:szCs w:val="12"/>
                <w:b w:val="1"/>
                <w:bCs w:val="1"/>
                <w:color w:val="auto"/>
                <w:w w:val="97"/>
              </w:rPr>
              <w:t>(9)</w:t>
            </w:r>
          </w:p>
        </w:tc>
        <w:tc>
          <w:tcPr>
            <w:tcW w:w="1320" w:type="dxa"/>
            <w:vAlign w:val="bottom"/>
            <w:gridSpan w:val="5"/>
          </w:tcPr>
          <w:p>
            <w:pPr>
              <w:ind w:left="320"/>
              <w:spacing w:after="0" w:line="160" w:lineRule="exact"/>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900" w:type="dxa"/>
            <w:vAlign w:val="bottom"/>
            <w:gridSpan w:val="2"/>
            <w:shd w:val="clear" w:color="auto" w:fill="CCEEFF"/>
          </w:tcPr>
          <w:p>
            <w:pPr>
              <w:ind w:left="280"/>
              <w:spacing w:after="0" w:line="122" w:lineRule="exact"/>
              <w:rPr>
                <w:sz w:val="20"/>
                <w:szCs w:val="20"/>
                <w:color w:val="auto"/>
              </w:rPr>
            </w:pPr>
            <w:r>
              <w:rPr>
                <w:rFonts w:ascii="Times New Roman" w:cs="Times New Roman" w:eastAsia="Times New Roman" w:hAnsi="Times New Roman"/>
                <w:sz w:val="14"/>
                <w:szCs w:val="14"/>
                <w:b w:val="1"/>
                <w:bCs w:val="1"/>
                <w:color w:val="auto"/>
              </w:rPr>
              <w:t>Hotel, gaming, and leisure</w:t>
            </w:r>
          </w:p>
        </w:tc>
        <w:tc>
          <w:tcPr>
            <w:tcW w:w="4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2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IRGSE Holding Corp.</w:t>
            </w:r>
            <w:r>
              <w:rPr>
                <w:rFonts w:ascii="Times New Roman" w:cs="Times New Roman" w:eastAsia="Times New Roman" w:hAnsi="Times New Roman"/>
                <w:sz w:val="12"/>
                <w:szCs w:val="12"/>
                <w:color w:val="auto"/>
              </w:rPr>
              <w:t>(6)(12)</w:t>
            </w:r>
          </w:p>
        </w:tc>
        <w:tc>
          <w:tcPr>
            <w:tcW w:w="2300" w:type="dxa"/>
            <w:vAlign w:val="bottom"/>
            <w:gridSpan w:val="4"/>
          </w:tcPr>
          <w:p>
            <w:pPr>
              <w:ind w:left="420"/>
              <w:spacing w:after="0" w:line="149" w:lineRule="exact"/>
              <w:rPr>
                <w:sz w:val="20"/>
                <w:szCs w:val="20"/>
                <w:color w:val="auto"/>
              </w:rPr>
            </w:pPr>
            <w:r>
              <w:rPr>
                <w:rFonts w:ascii="Times New Roman" w:cs="Times New Roman" w:eastAsia="Times New Roman" w:hAnsi="Times New Roman"/>
                <w:sz w:val="14"/>
                <w:szCs w:val="14"/>
                <w:color w:val="auto"/>
              </w:rPr>
              <w:t>Class A Units (5,000,000 units)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5"/>
          </w:tcPr>
          <w:p>
            <w:pPr>
              <w:jc w:val="right"/>
              <w:spacing w:after="0" w:line="149" w:lineRule="exact"/>
              <w:rPr>
                <w:sz w:val="20"/>
                <w:szCs w:val="20"/>
                <w:color w:val="auto"/>
              </w:rPr>
            </w:pPr>
            <w:r>
              <w:rPr>
                <w:rFonts w:ascii="Times New Roman" w:cs="Times New Roman" w:eastAsia="Times New Roman" w:hAnsi="Times New Roman"/>
                <w:sz w:val="14"/>
                <w:szCs w:val="14"/>
                <w:color w:val="auto"/>
              </w:rPr>
              <w:t>9/29/2015</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3,896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2380" w:type="dxa"/>
            <w:vAlign w:val="bottom"/>
            <w:gridSpan w:val="6"/>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Class C-1 Units (8,800,000 units)</w:t>
            </w:r>
          </w:p>
        </w:tc>
        <w:tc>
          <w:tcPr>
            <w:tcW w:w="1020" w:type="dxa"/>
            <w:vAlign w:val="bottom"/>
            <w:gridSpan w:val="5"/>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9/29/2015</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3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3,996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145</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Oil, gas and consumable fuels</w:t>
            </w:r>
          </w:p>
        </w:tc>
        <w:tc>
          <w:tcPr>
            <w:tcW w:w="4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320" w:type="dxa"/>
            <w:vAlign w:val="bottom"/>
            <w:tcBorders>
              <w:lef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Mississippi Resources, LLC</w:t>
            </w:r>
            <w:r>
              <w:rPr>
                <w:rFonts w:ascii="Times New Roman" w:cs="Times New Roman" w:eastAsia="Times New Roman" w:hAnsi="Times New Roman"/>
                <w:sz w:val="12"/>
                <w:szCs w:val="12"/>
                <w:color w:val="auto"/>
              </w:rPr>
              <w:t>(6)(12)</w:t>
            </w:r>
          </w:p>
        </w:tc>
        <w:tc>
          <w:tcPr>
            <w:tcW w:w="2300" w:type="dxa"/>
            <w:vAlign w:val="bottom"/>
            <w:gridSpan w:val="4"/>
          </w:tcPr>
          <w:p>
            <w:pPr>
              <w:ind w:left="420"/>
              <w:spacing w:after="0" w:line="126" w:lineRule="exact"/>
              <w:rPr>
                <w:sz w:val="20"/>
                <w:szCs w:val="20"/>
                <w:color w:val="auto"/>
              </w:rPr>
            </w:pPr>
            <w:r>
              <w:rPr>
                <w:rFonts w:ascii="Times New Roman" w:cs="Times New Roman" w:eastAsia="Times New Roman" w:hAnsi="Times New Roman"/>
                <w:sz w:val="14"/>
                <w:szCs w:val="14"/>
                <w:color w:val="auto"/>
              </w:rPr>
              <w:t>Class A-1 Member Units (1,000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color w:val="auto"/>
              </w:rPr>
              <w:t>5/3/2017</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8,155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300" w:type="dxa"/>
            <w:vAlign w:val="bottom"/>
            <w:gridSpan w:val="4"/>
          </w:tcPr>
          <w:p>
            <w:pPr>
              <w:ind w:left="420"/>
              <w:spacing w:after="0"/>
              <w:rPr>
                <w:sz w:val="20"/>
                <w:szCs w:val="20"/>
                <w:color w:val="auto"/>
              </w:rPr>
            </w:pPr>
            <w:r>
              <w:rPr>
                <w:rFonts w:ascii="Times New Roman" w:cs="Times New Roman" w:eastAsia="Times New Roman" w:hAnsi="Times New Roman"/>
                <w:sz w:val="14"/>
                <w:szCs w:val="14"/>
                <w:color w:val="auto"/>
              </w:rPr>
              <w:t>units)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2300" w:type="dxa"/>
            <w:vAlign w:val="bottom"/>
            <w:gridSpan w:val="4"/>
            <w:shd w:val="clear" w:color="auto" w:fill="CCEEFF"/>
          </w:tcPr>
          <w:p>
            <w:pPr>
              <w:ind w:left="420"/>
              <w:spacing w:after="0" w:line="126" w:lineRule="exact"/>
              <w:rPr>
                <w:sz w:val="20"/>
                <w:szCs w:val="20"/>
                <w:color w:val="auto"/>
              </w:rPr>
            </w:pPr>
            <w:r>
              <w:rPr>
                <w:rFonts w:ascii="Times New Roman" w:cs="Times New Roman" w:eastAsia="Times New Roman" w:hAnsi="Times New Roman"/>
                <w:sz w:val="14"/>
                <w:szCs w:val="14"/>
                <w:color w:val="auto"/>
              </w:rPr>
              <w:t>Class A-2 Member Units (933</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2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6/4/2014</w:t>
            </w: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8,874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30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units)</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gridSpan w:val="5"/>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32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17,029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163</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Total Equity and Other Investments</w:t>
            </w:r>
          </w:p>
        </w:tc>
        <w:tc>
          <w:tcPr>
            <w:tcW w:w="4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62,013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51,468</w:t>
            </w:r>
          </w:p>
        </w:tc>
        <w:tc>
          <w:tcPr>
            <w:tcW w:w="3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0"/>
        </w:trPr>
        <w:tc>
          <w:tcPr>
            <w:tcW w:w="2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20" w:type="dxa"/>
            <w:vAlign w:val="bottom"/>
            <w:gridSpan w:val="3"/>
            <w:vMerge w:val="continue"/>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660" w:type="dxa"/>
            <w:vAlign w:val="bottom"/>
            <w:gridSpan w:val="3"/>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w w:val="98"/>
              </w:rPr>
              <w:t>$</w:t>
            </w:r>
            <w:r>
              <w:rPr>
                <w:rFonts w:ascii="Times New Roman" w:cs="Times New Roman" w:eastAsia="Times New Roman" w:hAnsi="Times New Roman"/>
                <w:sz w:val="14"/>
                <w:szCs w:val="14"/>
                <w:b w:val="1"/>
                <w:bCs w:val="1"/>
                <w:color w:val="auto"/>
                <w:w w:val="98"/>
              </w:rPr>
              <w:t>1,686,250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1,693,723</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tcPr>
          <w:p>
            <w:pPr>
              <w:jc w:val="right"/>
              <w:ind w:right="60"/>
              <w:spacing w:after="0" w:line="155" w:lineRule="exact"/>
              <w:rPr>
                <w:sz w:val="20"/>
                <w:szCs w:val="20"/>
                <w:color w:val="auto"/>
              </w:rPr>
            </w:pPr>
            <w:r>
              <w:rPr>
                <w:rFonts w:ascii="Times New Roman" w:cs="Times New Roman" w:eastAsia="Times New Roman" w:hAnsi="Times New Roman"/>
                <w:sz w:val="14"/>
                <w:szCs w:val="14"/>
                <w:b w:val="1"/>
                <w:bCs w:val="1"/>
                <w:color w:val="auto"/>
              </w:rPr>
              <w:t>174.6%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16"/>
          </w:tcPr>
          <w:p>
            <w:pPr>
              <w:ind w:left="300"/>
              <w:spacing w:after="0"/>
              <w:rPr>
                <w:sz w:val="20"/>
                <w:szCs w:val="20"/>
                <w:color w:val="auto"/>
              </w:rPr>
            </w:pPr>
            <w:r>
              <w:rPr>
                <w:rFonts w:ascii="Times New Roman" w:cs="Times New Roman" w:eastAsia="Times New Roman" w:hAnsi="Times New Roman"/>
                <w:sz w:val="14"/>
                <w:szCs w:val="14"/>
                <w:b w:val="1"/>
                <w:bCs w:val="1"/>
                <w:color w:val="auto"/>
              </w:rPr>
              <w:t>Interest Rate Swaps as of December 31, 2017</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100" w:type="dxa"/>
            <w:vAlign w:val="bottom"/>
            <w:gridSpan w:val="7"/>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0" w:type="dxa"/>
            <w:vAlign w:val="bottom"/>
          </w:tcPr>
          <w:p>
            <w:pPr>
              <w:spacing w:after="0"/>
              <w:rPr>
                <w:sz w:val="10"/>
                <w:szCs w:val="10"/>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0"/>
                <w:szCs w:val="10"/>
                <w:color w:val="auto"/>
              </w:rPr>
            </w:pPr>
          </w:p>
        </w:tc>
        <w:tc>
          <w:tcPr>
            <w:tcW w:w="64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3"/>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Upfront</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4"/>
            <w:vMerge w:val="continue"/>
          </w:tcPr>
          <w:p>
            <w:pPr>
              <w:spacing w:after="0"/>
              <w:rPr>
                <w:sz w:val="12"/>
                <w:szCs w:val="12"/>
                <w:color w:val="auto"/>
              </w:rPr>
            </w:pPr>
          </w:p>
        </w:tc>
        <w:tc>
          <w:tcPr>
            <w:tcW w:w="1000" w:type="dxa"/>
            <w:vAlign w:val="bottom"/>
            <w:gridSpan w:val="5"/>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7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Payments /</w:t>
            </w:r>
          </w:p>
        </w:tc>
        <w:tc>
          <w:tcPr>
            <w:tcW w:w="1320" w:type="dxa"/>
            <w:vAlign w:val="bottom"/>
            <w:gridSpan w:val="5"/>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 /</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218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Receives</w:t>
            </w:r>
            <w:r>
              <w:rPr>
                <w:rFonts w:ascii="Times New Roman" w:cs="Times New Roman" w:eastAsia="Times New Roman" w:hAnsi="Times New Roman"/>
                <w:sz w:val="12"/>
                <w:szCs w:val="12"/>
                <w:b w:val="1"/>
                <w:bCs w:val="1"/>
                <w:color w:val="auto"/>
                <w:w w:val="99"/>
              </w:rPr>
              <w:t>(b)</w:t>
            </w:r>
          </w:p>
        </w:tc>
        <w:tc>
          <w:tcPr>
            <w:tcW w:w="4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3"/>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Pays</w:t>
            </w:r>
            <w:r>
              <w:rPr>
                <w:rFonts w:ascii="Times New Roman" w:cs="Times New Roman" w:eastAsia="Times New Roman" w:hAnsi="Times New Roman"/>
                <w:sz w:val="12"/>
                <w:szCs w:val="12"/>
                <w:b w:val="1"/>
                <w:bCs w:val="1"/>
                <w:color w:val="auto"/>
              </w:rPr>
              <w:t>(b)</w:t>
            </w:r>
          </w:p>
        </w:tc>
        <w:tc>
          <w:tcPr>
            <w:tcW w:w="4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00" w:type="dxa"/>
            <w:vAlign w:val="bottom"/>
            <w:tcBorders>
              <w:bottom w:val="single" w:sz="8" w:color="CCEEFF"/>
            </w:tcBorders>
            <w:gridSpan w:val="2"/>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Receipts</w:t>
            </w:r>
          </w:p>
        </w:tc>
        <w:tc>
          <w:tcPr>
            <w:tcW w:w="3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0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Interest rate swap</w:t>
            </w:r>
          </w:p>
        </w:tc>
        <w:tc>
          <w:tcPr>
            <w:tcW w:w="4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L</w:t>
            </w: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1.16%</w:t>
            </w:r>
          </w:p>
        </w:tc>
        <w:tc>
          <w:tcPr>
            <w:tcW w:w="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10/5/2018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92,500</w:t>
            </w:r>
          </w:p>
        </w:tc>
        <w:tc>
          <w:tcPr>
            <w:tcW w:w="8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ind w:left="3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2300" w:type="dxa"/>
            <w:vAlign w:val="bottom"/>
            <w:gridSpan w:val="4"/>
          </w:tcPr>
          <w:p>
            <w:pPr>
              <w:ind w:left="1640"/>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5"/>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L + 2.86%</w:t>
            </w:r>
          </w:p>
        </w:tc>
        <w:tc>
          <w:tcPr>
            <w:tcW w:w="6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12/15/2019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115,000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7"/>
              </w:rPr>
              <w:t>(1,024)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rate swap</w:t>
            </w:r>
            <w:r>
              <w:rPr>
                <w:rFonts w:ascii="Times New Roman" w:cs="Times New Roman" w:eastAsia="Times New Roman" w:hAnsi="Times New Roman"/>
                <w:sz w:val="12"/>
                <w:szCs w:val="12"/>
                <w:color w:val="auto"/>
              </w:rPr>
              <w:t>(a)</w:t>
            </w:r>
          </w:p>
        </w:tc>
        <w:tc>
          <w:tcPr>
            <w:tcW w:w="4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L</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1.72%</w:t>
            </w:r>
          </w:p>
        </w:tc>
        <w:tc>
          <w:tcPr>
            <w:tcW w:w="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1/10/2020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33,333</w:t>
            </w:r>
          </w:p>
        </w:tc>
        <w:tc>
          <w:tcPr>
            <w:tcW w:w="8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292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2300" w:type="dxa"/>
            <w:vAlign w:val="bottom"/>
            <w:gridSpan w:val="4"/>
          </w:tcPr>
          <w:p>
            <w:pPr>
              <w:ind w:left="1640"/>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5"/>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L + 2.37%</w:t>
            </w:r>
          </w:p>
        </w:tc>
        <w:tc>
          <w:tcPr>
            <w:tcW w:w="6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8/1/2022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115,000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4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p>
        </w:tc>
        <w:tc>
          <w:tcPr>
            <w:tcW w:w="5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355,833</w:t>
            </w: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(962)</w:t>
            </w: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left w:val="single" w:sz="8" w:color="CCEEFF"/>
            </w:tcBorders>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960" w:hanging="432"/>
        <w:spacing w:after="0"/>
        <w:tabs>
          <w:tab w:leader="none" w:pos="960" w:val="left"/>
        </w:tabs>
        <w:numPr>
          <w:ilvl w:val="1"/>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 terms are shown net of Company receiving 6.65% and paying 8.38%.</w:t>
      </w:r>
    </w:p>
    <w:p>
      <w:pPr>
        <w:spacing w:after="0" w:line="109" w:lineRule="exact"/>
        <w:rPr>
          <w:rFonts w:ascii="Times New Roman" w:cs="Times New Roman" w:eastAsia="Times New Roman" w:hAnsi="Times New Roman"/>
          <w:sz w:val="14"/>
          <w:szCs w:val="14"/>
          <w:color w:val="auto"/>
        </w:rPr>
      </w:pPr>
    </w:p>
    <w:p>
      <w:pPr>
        <w:ind w:left="960" w:hanging="432"/>
        <w:spacing w:after="0"/>
        <w:tabs>
          <w:tab w:leader="none" w:pos="960" w:val="left"/>
        </w:tabs>
        <w:numPr>
          <w:ilvl w:val="1"/>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Contains a variable rate structure. Bears interest at a rate determined by three-month LIBOR.</w:t>
      </w:r>
    </w:p>
    <w:p>
      <w:pPr>
        <w:spacing w:after="0" w:line="109" w:lineRule="exact"/>
        <w:rPr>
          <w:rFonts w:ascii="Times New Roman" w:cs="Times New Roman" w:eastAsia="Times New Roman" w:hAnsi="Times New Roman"/>
          <w:sz w:val="14"/>
          <w:szCs w:val="14"/>
          <w:color w:val="auto"/>
        </w:rPr>
      </w:pPr>
    </w:p>
    <w:p>
      <w:pPr>
        <w:ind w:left="520" w:hanging="316"/>
        <w:spacing w:after="0"/>
        <w:tabs>
          <w:tab w:leader="none" w:pos="52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portfolio company investments are subject to contractual restrictions on sales.</w:t>
      </w:r>
    </w:p>
    <w:p>
      <w:pPr>
        <w:spacing w:after="0" w:line="109" w:lineRule="exact"/>
        <w:rPr>
          <w:rFonts w:ascii="Times New Roman" w:cs="Times New Roman" w:eastAsia="Times New Roman" w:hAnsi="Times New Roman"/>
          <w:sz w:val="14"/>
          <w:szCs w:val="14"/>
          <w:color w:val="auto"/>
        </w:rPr>
      </w:pPr>
    </w:p>
    <w:p>
      <w:pPr>
        <w:ind w:left="520" w:hanging="316"/>
        <w:spacing w:after="0"/>
        <w:tabs>
          <w:tab w:leader="none" w:pos="52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amortized cost represents the original cost adjusted for the amortization of discounts and premiums, as applicable, on debt investments using the effective interest method.</w:t>
      </w:r>
    </w:p>
    <w:p>
      <w:pPr>
        <w:spacing w:after="0" w:line="109" w:lineRule="exact"/>
        <w:rPr>
          <w:rFonts w:ascii="Times New Roman" w:cs="Times New Roman" w:eastAsia="Times New Roman" w:hAnsi="Times New Roman"/>
          <w:sz w:val="14"/>
          <w:szCs w:val="14"/>
          <w:color w:val="auto"/>
        </w:rPr>
      </w:pPr>
    </w:p>
    <w:p>
      <w:pPr>
        <w:ind w:left="520" w:right="400" w:hanging="316"/>
        <w:spacing w:after="0" w:line="236" w:lineRule="auto"/>
        <w:tabs>
          <w:tab w:leader="none" w:pos="52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Euro Interbank Offered Rate ( “EURIBOR” or “E”) or an alternate base rate (which can include the Federal Funds Effective Rate or the Prime Rate or “P”), at the borrower’s option, which reset periodically based on the terms of the credit agreement. For investments with multiple interest rate contracts, the interest rate shown is the weighted average interest rate in effect at December 31, 2017.</w:t>
      </w:r>
    </w:p>
    <w:p>
      <w:pPr>
        <w:spacing w:after="0" w:line="82" w:lineRule="exact"/>
        <w:rPr>
          <w:rFonts w:ascii="Times New Roman" w:cs="Times New Roman" w:eastAsia="Times New Roman" w:hAnsi="Times New Roman"/>
          <w:sz w:val="14"/>
          <w:szCs w:val="14"/>
          <w:color w:val="auto"/>
        </w:rPr>
      </w:pPr>
    </w:p>
    <w:p>
      <w:pPr>
        <w:ind w:left="520" w:right="120" w:hanging="316"/>
        <w:spacing w:after="0" w:line="241" w:lineRule="auto"/>
        <w:tabs>
          <w:tab w:leader="none" w:pos="52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14.7% of total assets as of December 31, 2017.</w:t>
      </w:r>
    </w:p>
    <w:p>
      <w:pPr>
        <w:spacing w:after="0" w:line="82" w:lineRule="exact"/>
        <w:rPr>
          <w:rFonts w:ascii="Times New Roman" w:cs="Times New Roman" w:eastAsia="Times New Roman" w:hAnsi="Times New Roman"/>
          <w:sz w:val="14"/>
          <w:szCs w:val="14"/>
          <w:color w:val="auto"/>
        </w:rPr>
      </w:pPr>
    </w:p>
    <w:p>
      <w:pPr>
        <w:jc w:val="both"/>
        <w:ind w:left="520" w:right="260" w:hanging="316"/>
        <w:spacing w:after="0" w:line="241" w:lineRule="auto"/>
        <w:tabs>
          <w:tab w:leader="none" w:pos="52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 the “last out” tranche.</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240"/>
          </w:cols>
          <w:pgMar w:left="240" w:top="456" w:right="41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20" w:right="260" w:hanging="316"/>
        <w:spacing w:after="0" w:line="236" w:lineRule="auto"/>
        <w:tabs>
          <w:tab w:leader="none" w:pos="52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2017 in which the issuer was an Affiliated Person of and was deemed to Control a portfolio company are as follows:</w:t>
      </w:r>
    </w:p>
    <w:p>
      <w:pPr>
        <w:spacing w:after="0" w:line="28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u w:val="single" w:color="auto"/>
          <w:color w:val="auto"/>
        </w:rPr>
        <w:t>Controlled, Affiliated Investments during the year ended December 31, 2017</w:t>
      </w:r>
    </w:p>
    <w:p>
      <w:pPr>
        <w:spacing w:after="0" w:line="240"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Fair Value at</w:t>
            </w:r>
          </w:p>
        </w:tc>
        <w:tc>
          <w:tcPr>
            <w:tcW w:w="34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03"/>
              <w:spacing w:after="0"/>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Pr>
          <w:p>
            <w:pPr>
              <w:spacing w:after="0"/>
              <w:rPr>
                <w:sz w:val="12"/>
                <w:szCs w:val="12"/>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Net Change</w:t>
            </w:r>
          </w:p>
        </w:tc>
        <w:tc>
          <w:tcPr>
            <w:tcW w:w="180" w:type="dxa"/>
            <w:vAlign w:val="bottom"/>
          </w:tcPr>
          <w:p>
            <w:pPr>
              <w:spacing w:after="0"/>
              <w:rPr>
                <w:sz w:val="12"/>
                <w:szCs w:val="12"/>
                <w:color w:val="auto"/>
              </w:rPr>
            </w:pPr>
          </w:p>
        </w:tc>
        <w:tc>
          <w:tcPr>
            <w:tcW w:w="780" w:type="dxa"/>
            <w:vAlign w:val="bottom"/>
            <w:gridSpan w:val="3"/>
          </w:tcPr>
          <w:p>
            <w:pPr>
              <w:jc w:val="center"/>
              <w:ind w:right="202"/>
              <w:spacing w:after="0"/>
              <w:rPr>
                <w:sz w:val="20"/>
                <w:szCs w:val="20"/>
                <w:color w:val="auto"/>
              </w:rPr>
            </w:pPr>
            <w:r>
              <w:rPr>
                <w:rFonts w:ascii="Times New Roman" w:cs="Times New Roman" w:eastAsia="Times New Roman" w:hAnsi="Times New Roman"/>
                <w:sz w:val="13"/>
                <w:szCs w:val="13"/>
                <w:b w:val="1"/>
                <w:bCs w:val="1"/>
                <w:color w:val="auto"/>
                <w:w w:val="96"/>
              </w:rPr>
              <w:t>Realized</w:t>
            </w:r>
          </w:p>
        </w:tc>
        <w:tc>
          <w:tcPr>
            <w:tcW w:w="18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4"/>
              </w:rPr>
              <w:t>Fair Value at</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7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4"/>
              </w:rPr>
              <w:t>December 31,</w:t>
            </w:r>
          </w:p>
        </w:tc>
        <w:tc>
          <w:tcPr>
            <w:tcW w:w="880" w:type="dxa"/>
            <w:vAlign w:val="bottom"/>
            <w:gridSpan w:val="2"/>
          </w:tcPr>
          <w:p>
            <w:pPr>
              <w:jc w:val="center"/>
              <w:ind w:left="248"/>
              <w:spacing w:after="0" w:line="135" w:lineRule="exact"/>
              <w:rPr>
                <w:sz w:val="20"/>
                <w:szCs w:val="20"/>
                <w:color w:val="auto"/>
              </w:rPr>
            </w:pPr>
            <w:r>
              <w:rPr>
                <w:rFonts w:ascii="Times New Roman" w:cs="Times New Roman" w:eastAsia="Times New Roman" w:hAnsi="Times New Roman"/>
                <w:sz w:val="13"/>
                <w:szCs w:val="13"/>
                <w:b w:val="1"/>
                <w:bCs w:val="1"/>
                <w:color w:val="auto"/>
                <w:w w:val="95"/>
              </w:rPr>
              <w:t>Additions</w:t>
            </w:r>
          </w:p>
        </w:tc>
        <w:tc>
          <w:tcPr>
            <w:tcW w:w="1180" w:type="dxa"/>
            <w:vAlign w:val="bottom"/>
            <w:gridSpan w:val="4"/>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rPr>
              <w:t>Reductions</w:t>
            </w:r>
          </w:p>
        </w:tc>
        <w:tc>
          <w:tcPr>
            <w:tcW w:w="1140" w:type="dxa"/>
            <w:vAlign w:val="bottom"/>
            <w:gridSpan w:val="4"/>
          </w:tcPr>
          <w:p>
            <w:pPr>
              <w:ind w:left="180"/>
              <w:spacing w:after="0" w:line="135" w:lineRule="exact"/>
              <w:rPr>
                <w:sz w:val="20"/>
                <w:szCs w:val="20"/>
                <w:color w:val="auto"/>
              </w:rPr>
            </w:pPr>
            <w:r>
              <w:rPr>
                <w:rFonts w:ascii="Times New Roman" w:cs="Times New Roman" w:eastAsia="Times New Roman" w:hAnsi="Times New Roman"/>
                <w:sz w:val="13"/>
                <w:szCs w:val="13"/>
                <w:b w:val="1"/>
                <w:bCs w:val="1"/>
                <w:color w:val="auto"/>
              </w:rPr>
              <w:t>In Unrealized</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282"/>
              <w:spacing w:after="0" w:line="135" w:lineRule="exact"/>
              <w:rPr>
                <w:sz w:val="20"/>
                <w:szCs w:val="20"/>
                <w:color w:val="auto"/>
              </w:rPr>
            </w:pPr>
            <w:r>
              <w:rPr>
                <w:rFonts w:ascii="Times New Roman" w:cs="Times New Roman" w:eastAsia="Times New Roman" w:hAnsi="Times New Roman"/>
                <w:sz w:val="13"/>
                <w:szCs w:val="13"/>
                <w:b w:val="1"/>
                <w:bCs w:val="1"/>
                <w:color w:val="auto"/>
                <w:w w:val="96"/>
              </w:rPr>
              <w:t>Gain/</w:t>
            </w:r>
          </w:p>
        </w:tc>
        <w:tc>
          <w:tcPr>
            <w:tcW w:w="920" w:type="dxa"/>
            <w:vAlign w:val="bottom"/>
            <w:gridSpan w:val="3"/>
          </w:tcPr>
          <w:p>
            <w:pPr>
              <w:ind w:lef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December 31,</w:t>
            </w:r>
          </w:p>
        </w:tc>
        <w:tc>
          <w:tcPr>
            <w:tcW w:w="360" w:type="dxa"/>
            <w:vAlign w:val="bottom"/>
          </w:tcPr>
          <w:p>
            <w:pPr>
              <w:spacing w:after="0"/>
              <w:rPr>
                <w:sz w:val="11"/>
                <w:szCs w:val="11"/>
                <w:color w:val="auto"/>
              </w:rPr>
            </w:pPr>
          </w:p>
        </w:tc>
        <w:tc>
          <w:tcPr>
            <w:tcW w:w="4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36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Interest</w:t>
            </w:r>
          </w:p>
        </w:tc>
      </w:tr>
      <w:tr>
        <w:trPr>
          <w:trHeight w:val="175"/>
        </w:trPr>
        <w:tc>
          <w:tcPr>
            <w:tcW w:w="35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86"/>
              <w:spacing w:after="0"/>
              <w:rPr>
                <w:sz w:val="20"/>
                <w:szCs w:val="20"/>
                <w:color w:val="auto"/>
              </w:rPr>
            </w:pPr>
            <w:r>
              <w:rPr>
                <w:rFonts w:ascii="Times New Roman" w:cs="Times New Roman" w:eastAsia="Times New Roman" w:hAnsi="Times New Roman"/>
                <w:sz w:val="13"/>
                <w:szCs w:val="13"/>
                <w:b w:val="1"/>
                <w:bCs w:val="1"/>
                <w:color w:val="auto"/>
              </w:rPr>
              <w:t>2016</w:t>
            </w:r>
          </w:p>
        </w:tc>
        <w:tc>
          <w:tcPr>
            <w:tcW w:w="34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(b)</w:t>
            </w:r>
          </w:p>
        </w:tc>
        <w:tc>
          <w:tcPr>
            <w:tcW w:w="180" w:type="dxa"/>
            <w:vAlign w:val="bottom"/>
          </w:tcPr>
          <w:p>
            <w:pPr>
              <w:spacing w:after="0"/>
              <w:rPr>
                <w:sz w:val="15"/>
                <w:szCs w:val="15"/>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Gain/(Loss)</w:t>
            </w:r>
          </w:p>
        </w:tc>
        <w:tc>
          <w:tcPr>
            <w:tcW w:w="180" w:type="dxa"/>
            <w:vAlign w:val="bottom"/>
          </w:tcPr>
          <w:p>
            <w:pPr>
              <w:spacing w:after="0"/>
              <w:rPr>
                <w:sz w:val="15"/>
                <w:szCs w:val="15"/>
                <w:color w:val="auto"/>
              </w:rPr>
            </w:pPr>
          </w:p>
        </w:tc>
        <w:tc>
          <w:tcPr>
            <w:tcW w:w="780" w:type="dxa"/>
            <w:vAlign w:val="bottom"/>
            <w:gridSpan w:val="3"/>
          </w:tcPr>
          <w:p>
            <w:pPr>
              <w:jc w:val="center"/>
              <w:ind w:right="202"/>
              <w:spacing w:after="0"/>
              <w:rPr>
                <w:sz w:val="20"/>
                <w:szCs w:val="20"/>
                <w:color w:val="auto"/>
              </w:rPr>
            </w:pPr>
            <w:r>
              <w:rPr>
                <w:rFonts w:ascii="Times New Roman" w:cs="Times New Roman" w:eastAsia="Times New Roman" w:hAnsi="Times New Roman"/>
                <w:sz w:val="13"/>
                <w:szCs w:val="13"/>
                <w:b w:val="1"/>
                <w:bCs w:val="1"/>
                <w:color w:val="auto"/>
                <w:w w:val="93"/>
              </w:rPr>
              <w:t>(Losses)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66"/>
              <w:spacing w:after="0"/>
              <w:rPr>
                <w:sz w:val="20"/>
                <w:szCs w:val="20"/>
                <w:color w:val="auto"/>
              </w:rPr>
            </w:pPr>
            <w:r>
              <w:rPr>
                <w:rFonts w:ascii="Times New Roman" w:cs="Times New Roman" w:eastAsia="Times New Roman" w:hAnsi="Times New Roman"/>
                <w:sz w:val="13"/>
                <w:szCs w:val="13"/>
                <w:b w:val="1"/>
                <w:bCs w:val="1"/>
                <w:color w:val="auto"/>
              </w:rPr>
              <w:t>2017</w:t>
            </w:r>
          </w:p>
        </w:tc>
        <w:tc>
          <w:tcPr>
            <w:tcW w:w="780" w:type="dxa"/>
            <w:vAlign w:val="bottom"/>
            <w:gridSpan w:val="3"/>
          </w:tcPr>
          <w:p>
            <w:pPr>
              <w:ind w:left="36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36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Income</w:t>
            </w:r>
          </w:p>
        </w:tc>
      </w:tr>
      <w:tr>
        <w:trPr>
          <w:trHeight w:val="136"/>
        </w:trPr>
        <w:tc>
          <w:tcPr>
            <w:tcW w:w="20" w:type="dxa"/>
            <w:vAlign w:val="bottom"/>
          </w:tcPr>
          <w:p>
            <w:pPr>
              <w:spacing w:after="0"/>
              <w:rPr>
                <w:sz w:val="11"/>
                <w:szCs w:val="11"/>
                <w:color w:val="auto"/>
              </w:rPr>
            </w:pPr>
          </w:p>
        </w:tc>
        <w:tc>
          <w:tcPr>
            <w:tcW w:w="50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auto"/>
              </w:rPr>
              <w:t>AFS</w:t>
            </w:r>
          </w:p>
        </w:tc>
        <w:tc>
          <w:tcPr>
            <w:tcW w:w="3060" w:type="dxa"/>
            <w:vAlign w:val="bottom"/>
            <w:tcBorders>
              <w:top w:val="single" w:sz="8" w:color="CCEEFF"/>
            </w:tcBorders>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auto"/>
              </w:rPr>
              <w:t>Technologies, Inc.</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ind w:right="26"/>
              <w:spacing w:after="0" w:line="136" w:lineRule="exact"/>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5"/>
                <w:szCs w:val="15"/>
                <w:color w:val="auto"/>
                <w:w w:val="95"/>
              </w:rPr>
              <w:t>$ 72,122</w:t>
            </w: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top w:val="single" w:sz="8" w:color="auto"/>
            </w:tcBorders>
            <w:shd w:val="clear" w:color="auto" w:fill="CCEEFF"/>
          </w:tcPr>
          <w:p>
            <w:pPr>
              <w:jc w:val="right"/>
              <w:ind w:right="8"/>
              <w:spacing w:after="0" w:line="136"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5"/>
                <w:szCs w:val="15"/>
                <w:color w:val="auto"/>
              </w:rPr>
              <w:t>3,658</w:t>
            </w: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tcBorders>
            <w:shd w:val="clear" w:color="auto" w:fill="CCEEFF"/>
          </w:tcPr>
          <w:p>
            <w:pPr>
              <w:jc w:val="right"/>
              <w:ind w:right="6"/>
              <w:spacing w:after="0" w:line="136"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5"/>
                <w:szCs w:val="15"/>
                <w:color w:val="auto"/>
              </w:rPr>
              <w:t>75,780</w:t>
            </w:r>
          </w:p>
        </w:tc>
        <w:tc>
          <w:tcPr>
            <w:tcW w:w="3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top w:val="single" w:sz="8" w:color="auto"/>
            </w:tcBorders>
            <w:shd w:val="clear" w:color="auto" w:fill="CCEEFF"/>
          </w:tcPr>
          <w:p>
            <w:pPr>
              <w:jc w:val="right"/>
              <w:ind w:right="3"/>
              <w:spacing w:after="0" w:line="136" w:lineRule="exact"/>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5"/>
                <w:szCs w:val="15"/>
                <w:color w:val="auto"/>
                <w:w w:val="96"/>
              </w:rPr>
              <w:t>$3,178</w:t>
            </w:r>
          </w:p>
        </w:tc>
        <w:tc>
          <w:tcPr>
            <w:tcW w:w="40" w:type="dxa"/>
            <w:vAlign w:val="bottom"/>
            <w:tcBorders>
              <w:top w:val="single" w:sz="8" w:color="CCEEFF"/>
            </w:tcBorders>
            <w:shd w:val="clear" w:color="auto" w:fill="CCEEFF"/>
          </w:tcPr>
          <w:p>
            <w:pPr>
              <w:spacing w:after="0"/>
              <w:rPr>
                <w:sz w:val="11"/>
                <w:szCs w:val="11"/>
                <w:color w:val="auto"/>
              </w:rPr>
            </w:pPr>
          </w:p>
        </w:tc>
      </w:tr>
      <w:tr>
        <w:trPr>
          <w:trHeight w:val="162"/>
        </w:trPr>
        <w:tc>
          <w:tcPr>
            <w:tcW w:w="20" w:type="dxa"/>
            <w:vAlign w:val="bottom"/>
          </w:tcPr>
          <w:p>
            <w:pPr>
              <w:spacing w:after="0"/>
              <w:rPr>
                <w:sz w:val="14"/>
                <w:szCs w:val="14"/>
                <w:color w:val="auto"/>
              </w:rPr>
            </w:pPr>
          </w:p>
        </w:tc>
        <w:tc>
          <w:tcPr>
            <w:tcW w:w="356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IRGSE Holding Corp.</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31,974</w:t>
            </w:r>
          </w:p>
        </w:tc>
        <w:tc>
          <w:tcPr>
            <w:tcW w:w="8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8,014</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43"/>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(5,240)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62"/>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34,748</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w:t>
            </w:r>
          </w:p>
        </w:tc>
        <w:tc>
          <w:tcPr>
            <w:tcW w:w="8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4,302</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56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Mississippi Resources, LLC</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33,885</w:t>
            </w:r>
          </w:p>
        </w:tc>
        <w:tc>
          <w:tcPr>
            <w:tcW w:w="88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6,297</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3"/>
              <w:spacing w:after="0" w:line="162" w:lineRule="exact"/>
              <w:rPr>
                <w:sz w:val="20"/>
                <w:szCs w:val="20"/>
                <w:color w:val="auto"/>
              </w:rPr>
            </w:pPr>
            <w:r>
              <w:rPr>
                <w:rFonts w:ascii="Times New Roman" w:cs="Times New Roman" w:eastAsia="Times New Roman" w:hAnsi="Times New Roman"/>
                <w:sz w:val="15"/>
                <w:szCs w:val="15"/>
                <w:color w:val="auto"/>
              </w:rPr>
              <w:t>(2,264)</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9,250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2"/>
              <w:spacing w:after="0" w:line="162" w:lineRule="exact"/>
              <w:rPr>
                <w:sz w:val="20"/>
                <w:szCs w:val="20"/>
                <w:color w:val="auto"/>
              </w:rPr>
            </w:pPr>
            <w:r>
              <w:rPr>
                <w:rFonts w:ascii="Times New Roman" w:cs="Times New Roman" w:eastAsia="Times New Roman" w:hAnsi="Times New Roman"/>
                <w:sz w:val="15"/>
                <w:szCs w:val="15"/>
                <w:color w:val="auto"/>
                <w:w w:val="97"/>
              </w:rPr>
              <w:t>(21,776)</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25,392</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200</w:t>
            </w:r>
          </w:p>
        </w:tc>
        <w:tc>
          <w:tcPr>
            <w:tcW w:w="80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1,963</w:t>
            </w:r>
          </w:p>
        </w:tc>
        <w:tc>
          <w:tcPr>
            <w:tcW w:w="4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560" w:type="dxa"/>
            <w:vAlign w:val="bottom"/>
            <w:gridSpan w:val="2"/>
          </w:tcPr>
          <w:p>
            <w:pPr>
              <w:ind w:left="300"/>
              <w:spacing w:after="0" w:line="169" w:lineRule="exact"/>
              <w:rPr>
                <w:sz w:val="20"/>
                <w:szCs w:val="20"/>
                <w:color w:val="auto"/>
              </w:rPr>
            </w:pPr>
            <w:r>
              <w:rPr>
                <w:rFonts w:ascii="Times New Roman" w:cs="Times New Roman" w:eastAsia="Times New Roman" w:hAnsi="Times New Roman"/>
                <w:sz w:val="15"/>
                <w:szCs w:val="15"/>
                <w:b w:val="1"/>
                <w:bCs w:val="1"/>
                <w:color w:val="auto"/>
              </w:rPr>
              <w:t>Total</w:t>
            </w:r>
          </w:p>
        </w:tc>
        <w:tc>
          <w:tcPr>
            <w:tcW w:w="20" w:type="dxa"/>
            <w:vAlign w:val="bottom"/>
            <w:tcBorders>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65,859</w:t>
            </w:r>
          </w:p>
        </w:tc>
        <w:tc>
          <w:tcPr>
            <w:tcW w:w="34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w w:val="95"/>
              </w:rPr>
              <w:t>$ 86,433</w:t>
            </w:r>
          </w:p>
        </w:tc>
        <w:tc>
          <w:tcPr>
            <w:tcW w:w="3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5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(2,264</w:t>
            </w:r>
          </w:p>
        </w:tc>
        <w:tc>
          <w:tcPr>
            <w:tcW w:w="240" w:type="dxa"/>
            <w:vAlign w:val="bottom"/>
          </w:tcPr>
          <w:p>
            <w:pPr>
              <w:jc w:val="right"/>
              <w:ind w:right="103"/>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5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7,668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u w:val="single" w:color="auto"/>
                <w:color w:val="auto"/>
                <w:w w:val="79"/>
              </w:rPr>
              <w:t>$</w:t>
            </w:r>
          </w:p>
        </w:tc>
        <w:tc>
          <w:tcPr>
            <w:tcW w:w="4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w w:val="95"/>
              </w:rPr>
              <w:t>(21,776</w:t>
            </w:r>
          </w:p>
        </w:tc>
        <w:tc>
          <w:tcPr>
            <w:tcW w:w="220" w:type="dxa"/>
            <w:vAlign w:val="bottom"/>
          </w:tcPr>
          <w:p>
            <w:pPr>
              <w:jc w:val="right"/>
              <w:ind w:right="14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135,920</w:t>
            </w:r>
          </w:p>
        </w:tc>
        <w:tc>
          <w:tcPr>
            <w:tcW w:w="3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204</w:t>
            </w:r>
          </w:p>
        </w:tc>
        <w:tc>
          <w:tcPr>
            <w:tcW w:w="36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u w:val="single" w:color="auto"/>
                <w:color w:val="auto"/>
                <w:w w:val="96"/>
              </w:rPr>
              <w:t>$</w:t>
            </w:r>
            <w:r>
              <w:rPr>
                <w:rFonts w:ascii="Times New Roman" w:cs="Times New Roman" w:eastAsia="Times New Roman" w:hAnsi="Times New Roman"/>
                <w:sz w:val="15"/>
                <w:szCs w:val="15"/>
                <w:b w:val="1"/>
                <w:bCs w:val="1"/>
                <w:color w:val="auto"/>
                <w:w w:val="96"/>
              </w:rPr>
              <w:t>9,443</w:t>
            </w:r>
          </w:p>
        </w:tc>
        <w:tc>
          <w:tcPr>
            <w:tcW w:w="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2" w:lineRule="exact"/>
        <w:rPr>
          <w:sz w:val="20"/>
          <w:szCs w:val="20"/>
          <w:color w:val="auto"/>
        </w:rPr>
      </w:pPr>
    </w:p>
    <w:p>
      <w:pPr>
        <w:ind w:left="960" w:right="460" w:hanging="432"/>
        <w:spacing w:after="0" w:line="262" w:lineRule="auto"/>
        <w:tabs>
          <w:tab w:leader="none" w:pos="960" w:val="left"/>
        </w:tabs>
        <w:numPr>
          <w:ilvl w:val="1"/>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67" w:lineRule="exact"/>
        <w:rPr>
          <w:rFonts w:ascii="Times New Roman" w:cs="Times New Roman" w:eastAsia="Times New Roman" w:hAnsi="Times New Roman"/>
          <w:sz w:val="14"/>
          <w:szCs w:val="14"/>
          <w:color w:val="auto"/>
        </w:rPr>
      </w:pPr>
    </w:p>
    <w:p>
      <w:pPr>
        <w:ind w:left="960" w:right="300" w:hanging="432"/>
        <w:spacing w:after="0" w:line="241" w:lineRule="auto"/>
        <w:tabs>
          <w:tab w:leader="none" w:pos="960" w:val="left"/>
        </w:tabs>
        <w:numPr>
          <w:ilvl w:val="1"/>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82" w:lineRule="exact"/>
        <w:rPr>
          <w:rFonts w:ascii="Times New Roman" w:cs="Times New Roman" w:eastAsia="Times New Roman" w:hAnsi="Times New Roman"/>
          <w:sz w:val="14"/>
          <w:szCs w:val="14"/>
          <w:color w:val="auto"/>
        </w:rPr>
      </w:pPr>
    </w:p>
    <w:p>
      <w:pPr>
        <w:ind w:left="520" w:hanging="316"/>
        <w:spacing w:after="0"/>
        <w:tabs>
          <w:tab w:leader="none" w:pos="52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2017, the tax cost of the Company’s investments approximates the amortized cost.</w:t>
      </w:r>
    </w:p>
    <w:p>
      <w:pPr>
        <w:spacing w:after="0" w:line="109" w:lineRule="exact"/>
        <w:rPr>
          <w:rFonts w:ascii="Times New Roman" w:cs="Times New Roman" w:eastAsia="Times New Roman" w:hAnsi="Times New Roman"/>
          <w:sz w:val="14"/>
          <w:szCs w:val="14"/>
          <w:color w:val="auto"/>
        </w:rPr>
      </w:pPr>
    </w:p>
    <w:p>
      <w:pPr>
        <w:ind w:left="520" w:right="160" w:hanging="316"/>
        <w:spacing w:after="0" w:line="262" w:lineRule="auto"/>
        <w:tabs>
          <w:tab w:leader="none" w:pos="52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investments contain a fixed rate structure. The Company entered into an interest rate swap agreement to swap to a floating rate. Refer to Note 5 for further information related to the Company’s interest rate swaps on investments.</w:t>
      </w:r>
    </w:p>
    <w:p>
      <w:pPr>
        <w:spacing w:after="0" w:line="65" w:lineRule="exact"/>
        <w:rPr>
          <w:rFonts w:ascii="Times New Roman" w:cs="Times New Roman" w:eastAsia="Times New Roman" w:hAnsi="Times New Roman"/>
          <w:sz w:val="14"/>
          <w:szCs w:val="14"/>
          <w:color w:val="auto"/>
        </w:rPr>
      </w:pPr>
    </w:p>
    <w:p>
      <w:pPr>
        <w:ind w:left="520" w:right="60" w:hanging="316"/>
        <w:spacing w:after="0" w:line="265" w:lineRule="auto"/>
        <w:tabs>
          <w:tab w:leader="none" w:pos="52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accordance with Financial Accounting Standards Board Accounting Standards Codification 820,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xml:space="preserve"> (“ASC 820”), unless otherwise indicated, the fair values of all investments were determined using significant unobservable inputs and are considered Level 3 investments. See Note 6 for further information related to investments at fair value.</w:t>
      </w:r>
    </w:p>
    <w:p>
      <w:pPr>
        <w:spacing w:after="0" w:line="65" w:lineRule="exact"/>
        <w:rPr>
          <w:rFonts w:ascii="Times New Roman" w:cs="Times New Roman" w:eastAsia="Times New Roman" w:hAnsi="Times New Roman"/>
          <w:sz w:val="14"/>
          <w:szCs w:val="14"/>
          <w:color w:val="auto"/>
        </w:rPr>
      </w:pPr>
    </w:p>
    <w:p>
      <w:pPr>
        <w:ind w:left="520" w:hanging="316"/>
        <w:spacing w:after="0"/>
        <w:tabs>
          <w:tab w:leader="none" w:pos="52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investment is valued using observable inputs and is considered a Level 2 investment. See Note 6 for further information related to investments at fair value.</w:t>
      </w:r>
    </w:p>
    <w:p>
      <w:pPr>
        <w:spacing w:after="0" w:line="109" w:lineRule="exact"/>
        <w:rPr>
          <w:rFonts w:ascii="Times New Roman" w:cs="Times New Roman" w:eastAsia="Times New Roman" w:hAnsi="Times New Roman"/>
          <w:sz w:val="14"/>
          <w:szCs w:val="14"/>
          <w:color w:val="auto"/>
        </w:rPr>
      </w:pPr>
    </w:p>
    <w:p>
      <w:pPr>
        <w:ind w:left="520" w:hanging="316"/>
        <w:spacing w:after="0"/>
        <w:tabs>
          <w:tab w:leader="none" w:pos="52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investment is valued using observable inputs and is considered a Level 1 investment. See Note 6 for further information related to investments at fair value.</w:t>
      </w:r>
    </w:p>
    <w:p>
      <w:pPr>
        <w:spacing w:after="0" w:line="109" w:lineRule="exact"/>
        <w:rPr>
          <w:rFonts w:ascii="Times New Roman" w:cs="Times New Roman" w:eastAsia="Times New Roman" w:hAnsi="Times New Roman"/>
          <w:sz w:val="14"/>
          <w:szCs w:val="14"/>
          <w:color w:val="auto"/>
        </w:rPr>
      </w:pPr>
    </w:p>
    <w:p>
      <w:pPr>
        <w:ind w:left="520" w:hanging="316"/>
        <w:spacing w:after="0"/>
        <w:tabs>
          <w:tab w:leader="none" w:pos="52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equity investment is non-income producing.</w:t>
      </w:r>
    </w:p>
    <w:p>
      <w:pPr>
        <w:spacing w:after="0" w:line="2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240"/>
          </w:cols>
          <w:pgMar w:left="240" w:top="455" w:right="41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as of December 31, 2016</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21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1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3"/>
                <w:szCs w:val="13"/>
                <w:color w:val="auto"/>
              </w:rPr>
            </w:pPr>
          </w:p>
        </w:tc>
        <w:tc>
          <w:tcPr>
            <w:tcW w:w="5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60" w:type="dxa"/>
            <w:vAlign w:val="bottom"/>
          </w:tcPr>
          <w:p>
            <w:pPr>
              <w:spacing w:after="0"/>
              <w:rPr>
                <w:sz w:val="13"/>
                <w:szCs w:val="13"/>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2"/>
                <w:szCs w:val="12"/>
                <w:b w:val="1"/>
                <w:bCs w:val="1"/>
                <w:color w:val="auto"/>
              </w:rPr>
              <w:t>(1)</w:t>
            </w:r>
          </w:p>
        </w:tc>
        <w:tc>
          <w:tcPr>
            <w:tcW w:w="520" w:type="dxa"/>
            <w:vAlign w:val="bottom"/>
          </w:tcPr>
          <w:p>
            <w:pPr>
              <w:spacing w:after="0"/>
              <w:rPr>
                <w:sz w:val="12"/>
                <w:szCs w:val="12"/>
                <w:color w:val="auto"/>
              </w:rPr>
            </w:pPr>
          </w:p>
        </w:tc>
        <w:tc>
          <w:tcPr>
            <w:tcW w:w="196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920" w:type="dxa"/>
            <w:vAlign w:val="bottom"/>
            <w:gridSpan w:val="2"/>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24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Rate and</w:t>
            </w:r>
          </w:p>
        </w:tc>
        <w:tc>
          <w:tcPr>
            <w:tcW w:w="8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840" w:type="dxa"/>
            <w:vAlign w:val="bottom"/>
            <w:gridSpan w:val="3"/>
            <w:vMerge w:val="continue"/>
          </w:tcPr>
          <w:p>
            <w:pPr>
              <w:spacing w:after="0"/>
              <w:rPr>
                <w:sz w:val="13"/>
                <w:szCs w:val="13"/>
                <w:color w:val="auto"/>
              </w:rPr>
            </w:pPr>
          </w:p>
        </w:tc>
        <w:tc>
          <w:tcPr>
            <w:tcW w:w="520" w:type="dxa"/>
            <w:vAlign w:val="bottom"/>
          </w:tcPr>
          <w:p>
            <w:pPr>
              <w:spacing w:after="0"/>
              <w:rPr>
                <w:sz w:val="13"/>
                <w:szCs w:val="13"/>
                <w:color w:val="auto"/>
              </w:rPr>
            </w:pPr>
          </w:p>
        </w:tc>
        <w:tc>
          <w:tcPr>
            <w:tcW w:w="19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240" w:type="dxa"/>
            <w:vAlign w:val="bottom"/>
          </w:tcPr>
          <w:p>
            <w:pPr>
              <w:spacing w:after="0"/>
              <w:rPr>
                <w:sz w:val="13"/>
                <w:szCs w:val="13"/>
                <w:color w:val="auto"/>
              </w:rPr>
            </w:pPr>
          </w:p>
        </w:tc>
        <w:tc>
          <w:tcPr>
            <w:tcW w:w="90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Spread</w:t>
            </w:r>
          </w:p>
        </w:tc>
        <w:tc>
          <w:tcPr>
            <w:tcW w:w="860" w:type="dxa"/>
            <w:vAlign w:val="bottom"/>
            <w:gridSpan w:val="2"/>
          </w:tcPr>
          <w:p>
            <w:pPr>
              <w:jc w:val="right"/>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Rate</w:t>
            </w:r>
          </w:p>
        </w:tc>
        <w:tc>
          <w:tcPr>
            <w:tcW w:w="140" w:type="dxa"/>
            <w:vAlign w:val="bottom"/>
          </w:tcPr>
          <w:p>
            <w:pPr>
              <w:spacing w:after="0"/>
              <w:rPr>
                <w:sz w:val="13"/>
                <w:szCs w:val="13"/>
                <w:color w:val="auto"/>
              </w:rPr>
            </w:pPr>
          </w:p>
        </w:tc>
        <w:tc>
          <w:tcPr>
            <w:tcW w:w="66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Cost</w:t>
            </w:r>
            <w:r>
              <w:rPr>
                <w:rFonts w:ascii="Times New Roman" w:cs="Times New Roman" w:eastAsia="Times New Roman" w:hAnsi="Times New Roman"/>
                <w:sz w:val="12"/>
                <w:szCs w:val="12"/>
                <w:b w:val="1"/>
                <w:bCs w:val="1"/>
                <w:color w:val="auto"/>
              </w:rPr>
              <w:t>(2)(8)</w:t>
            </w:r>
          </w:p>
        </w:tc>
        <w:tc>
          <w:tcPr>
            <w:tcW w:w="78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2"/>
                <w:szCs w:val="12"/>
                <w:b w:val="1"/>
                <w:bCs w:val="1"/>
                <w:color w:val="auto"/>
              </w:rPr>
              <w:t>(10)</w:t>
            </w:r>
          </w:p>
        </w:tc>
        <w:tc>
          <w:tcPr>
            <w:tcW w:w="1220" w:type="dxa"/>
            <w:vAlign w:val="bottom"/>
            <w:gridSpan w:val="3"/>
          </w:tcPr>
          <w:p>
            <w:pPr>
              <w:jc w:val="right"/>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82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Debt Investments Automotive</w:t>
            </w:r>
          </w:p>
        </w:tc>
        <w:tc>
          <w:tcPr>
            <w:tcW w:w="520" w:type="dxa"/>
            <w:vAlign w:val="bottom"/>
            <w:shd w:val="clear" w:color="auto" w:fill="CCEEFF"/>
          </w:tcPr>
          <w:p>
            <w:pPr>
              <w:spacing w:after="0"/>
              <w:rPr>
                <w:sz w:val="10"/>
                <w:szCs w:val="10"/>
                <w:color w:val="auto"/>
              </w:rPr>
            </w:pPr>
          </w:p>
        </w:tc>
        <w:tc>
          <w:tcPr>
            <w:tcW w:w="19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Heartland Automotive Holdings, LLC</w:t>
            </w:r>
            <w:r>
              <w:rPr>
                <w:rFonts w:ascii="Times New Roman" w:cs="Times New Roman" w:eastAsia="Times New Roman" w:hAnsi="Times New Roman"/>
                <w:sz w:val="12"/>
                <w:szCs w:val="12"/>
                <w:color w:val="auto"/>
              </w:rPr>
              <w:t>(3)</w:t>
            </w:r>
          </w:p>
        </w:tc>
        <w:tc>
          <w:tcPr>
            <w:tcW w:w="2480" w:type="dxa"/>
            <w:vAlign w:val="bottom"/>
            <w:gridSpan w:val="2"/>
          </w:tcPr>
          <w:p>
            <w:pPr>
              <w:ind w:left="520"/>
              <w:spacing w:after="0" w:line="126" w:lineRule="exact"/>
              <w:rPr>
                <w:sz w:val="20"/>
                <w:szCs w:val="20"/>
                <w:color w:val="auto"/>
              </w:rPr>
            </w:pPr>
            <w:r>
              <w:rPr>
                <w:rFonts w:ascii="Times New Roman" w:cs="Times New Roman" w:eastAsia="Times New Roman" w:hAnsi="Times New Roman"/>
                <w:sz w:val="14"/>
                <w:szCs w:val="14"/>
                <w:color w:val="auto"/>
              </w:rPr>
              <w:t>First-lien loan ($29,233 par,</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8/28/2012</w:t>
            </w:r>
          </w:p>
        </w:tc>
        <w:tc>
          <w:tcPr>
            <w:tcW w:w="24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L + 8.25%</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9.75%</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29,136</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$ 29,159</w:t>
            </w:r>
          </w:p>
        </w:tc>
        <w:tc>
          <w:tcPr>
            <w:tcW w:w="12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due 6/2017)</w:t>
            </w:r>
          </w:p>
        </w:tc>
        <w:tc>
          <w:tcPr>
            <w:tcW w:w="9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2480" w:type="dxa"/>
            <w:vAlign w:val="bottom"/>
            <w:gridSpan w:val="2"/>
            <w:shd w:val="clear" w:color="auto" w:fill="CCEEFF"/>
          </w:tcPr>
          <w:p>
            <w:pPr>
              <w:ind w:left="520"/>
              <w:spacing w:after="0" w:line="126" w:lineRule="exact"/>
              <w:rPr>
                <w:sz w:val="20"/>
                <w:szCs w:val="20"/>
                <w:color w:val="auto"/>
              </w:rPr>
            </w:pPr>
            <w:r>
              <w:rPr>
                <w:rFonts w:ascii="Times New Roman" w:cs="Times New Roman" w:eastAsia="Times New Roman" w:hAnsi="Times New Roman"/>
                <w:sz w:val="14"/>
                <w:szCs w:val="14"/>
                <w:color w:val="auto"/>
              </w:rPr>
              <w:t>First-lien revolving loan</w:t>
            </w: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24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($1,417 par, due 6/2017)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8/28/2012</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P + 7.00%</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10.75%</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30,537</w:t>
            </w:r>
          </w:p>
        </w:tc>
        <w:tc>
          <w:tcPr>
            <w:tcW w:w="240" w:type="dxa"/>
            <w:vAlign w:val="bottom"/>
            <w:vMerge w:val="continue"/>
          </w:tcPr>
          <w:p>
            <w:pPr>
              <w:spacing w:after="0"/>
              <w:rPr>
                <w:sz w:val="14"/>
                <w:szCs w:val="14"/>
                <w:color w:val="auto"/>
              </w:rPr>
            </w:pP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30,562</w:t>
            </w:r>
          </w:p>
        </w:tc>
        <w:tc>
          <w:tcPr>
            <w:tcW w:w="26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Beverage, food and tobacco</w:t>
            </w:r>
          </w:p>
        </w:tc>
        <w:tc>
          <w:tcPr>
            <w:tcW w:w="52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AFS Technologies, Inc.</w:t>
            </w:r>
            <w:r>
              <w:rPr>
                <w:rFonts w:ascii="Times New Roman" w:cs="Times New Roman" w:eastAsia="Times New Roman" w:hAnsi="Times New Roman"/>
                <w:sz w:val="12"/>
                <w:szCs w:val="12"/>
                <w:color w:val="auto"/>
              </w:rPr>
              <w:t>(3)(5)</w:t>
            </w:r>
          </w:p>
        </w:tc>
        <w:tc>
          <w:tcPr>
            <w:tcW w:w="2480" w:type="dxa"/>
            <w:vAlign w:val="bottom"/>
            <w:gridSpan w:val="2"/>
          </w:tcPr>
          <w:p>
            <w:pPr>
              <w:ind w:left="520"/>
              <w:spacing w:after="0" w:line="126" w:lineRule="exact"/>
              <w:rPr>
                <w:sz w:val="20"/>
                <w:szCs w:val="20"/>
                <w:color w:val="auto"/>
              </w:rPr>
            </w:pPr>
            <w:r>
              <w:rPr>
                <w:rFonts w:ascii="Times New Roman" w:cs="Times New Roman" w:eastAsia="Times New Roman" w:hAnsi="Times New Roman"/>
                <w:sz w:val="14"/>
                <w:szCs w:val="14"/>
                <w:color w:val="auto"/>
              </w:rPr>
              <w:t>First-lien loan ($61,542 par,</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3/3/2014</w:t>
            </w:r>
          </w:p>
        </w:tc>
        <w:tc>
          <w:tcPr>
            <w:tcW w:w="24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L + 7.75%</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8.75%</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60,698</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57,850</w:t>
            </w:r>
          </w:p>
        </w:tc>
        <w:tc>
          <w:tcPr>
            <w:tcW w:w="12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due 3/2020)</w:t>
            </w:r>
          </w:p>
        </w:tc>
        <w:tc>
          <w:tcPr>
            <w:tcW w:w="9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Business services</w:t>
            </w:r>
          </w:p>
        </w:tc>
        <w:tc>
          <w:tcPr>
            <w:tcW w:w="52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Actian Corporation</w:t>
            </w:r>
            <w:r>
              <w:rPr>
                <w:rFonts w:ascii="Times New Roman" w:cs="Times New Roman" w:eastAsia="Times New Roman" w:hAnsi="Times New Roman"/>
                <w:sz w:val="12"/>
                <w:szCs w:val="12"/>
                <w:color w:val="auto"/>
              </w:rPr>
              <w:t>(3)(5)</w:t>
            </w:r>
          </w:p>
        </w:tc>
        <w:tc>
          <w:tcPr>
            <w:tcW w:w="2480" w:type="dxa"/>
            <w:vAlign w:val="bottom"/>
            <w:gridSpan w:val="2"/>
          </w:tcPr>
          <w:p>
            <w:pPr>
              <w:ind w:left="520"/>
              <w:spacing w:after="0" w:line="126" w:lineRule="exact"/>
              <w:rPr>
                <w:sz w:val="20"/>
                <w:szCs w:val="20"/>
                <w:color w:val="auto"/>
              </w:rPr>
            </w:pPr>
            <w:r>
              <w:rPr>
                <w:rFonts w:ascii="Times New Roman" w:cs="Times New Roman" w:eastAsia="Times New Roman" w:hAnsi="Times New Roman"/>
                <w:sz w:val="14"/>
                <w:szCs w:val="14"/>
                <w:color w:val="auto"/>
              </w:rPr>
              <w:t>First-lien loan ($54,982 par,</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4/11/2013</w:t>
            </w:r>
          </w:p>
        </w:tc>
        <w:tc>
          <w:tcPr>
            <w:tcW w:w="24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L + 6.50%</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7.50%</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54,366</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56,219</w:t>
            </w:r>
          </w:p>
        </w:tc>
        <w:tc>
          <w:tcPr>
            <w:tcW w:w="12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due 4/2018)</w:t>
            </w:r>
          </w:p>
        </w:tc>
        <w:tc>
          <w:tcPr>
            <w:tcW w:w="9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Clarabridge, Inc.</w:t>
            </w:r>
            <w:r>
              <w:rPr>
                <w:rFonts w:ascii="Times New Roman" w:cs="Times New Roman" w:eastAsia="Times New Roman" w:hAnsi="Times New Roman"/>
                <w:sz w:val="12"/>
                <w:szCs w:val="12"/>
                <w:color w:val="auto"/>
              </w:rPr>
              <w:t>(3)</w:t>
            </w:r>
          </w:p>
        </w:tc>
        <w:tc>
          <w:tcPr>
            <w:tcW w:w="2480" w:type="dxa"/>
            <w:vAlign w:val="bottom"/>
            <w:gridSpan w:val="2"/>
            <w:shd w:val="clear" w:color="auto" w:fill="CCEEFF"/>
          </w:tcPr>
          <w:p>
            <w:pPr>
              <w:ind w:left="520"/>
              <w:spacing w:after="0" w:line="126" w:lineRule="exact"/>
              <w:rPr>
                <w:sz w:val="20"/>
                <w:szCs w:val="20"/>
                <w:color w:val="auto"/>
              </w:rPr>
            </w:pPr>
            <w:r>
              <w:rPr>
                <w:rFonts w:ascii="Times New Roman" w:cs="Times New Roman" w:eastAsia="Times New Roman" w:hAnsi="Times New Roman"/>
                <w:sz w:val="14"/>
                <w:szCs w:val="14"/>
                <w:color w:val="auto"/>
              </w:rPr>
              <w:t>First-lien loan ($19,719 par,</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5/20/2015</w:t>
            </w:r>
          </w:p>
        </w:tc>
        <w:tc>
          <w:tcPr>
            <w:tcW w:w="2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L + 8.00%</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9.00%</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19,446</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19,774</w:t>
            </w:r>
          </w:p>
        </w:tc>
        <w:tc>
          <w:tcPr>
            <w:tcW w:w="12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24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due 4/2019)</w:t>
            </w: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Idera, Inc.</w:t>
            </w:r>
            <w:r>
              <w:rPr>
                <w:rFonts w:ascii="Times New Roman" w:cs="Times New Roman" w:eastAsia="Times New Roman" w:hAnsi="Times New Roman"/>
                <w:sz w:val="12"/>
                <w:szCs w:val="12"/>
                <w:color w:val="auto"/>
              </w:rPr>
              <w:t>(3)(11)</w:t>
            </w:r>
          </w:p>
        </w:tc>
        <w:tc>
          <w:tcPr>
            <w:tcW w:w="2480" w:type="dxa"/>
            <w:vAlign w:val="bottom"/>
            <w:gridSpan w:val="2"/>
          </w:tcPr>
          <w:p>
            <w:pPr>
              <w:ind w:left="520"/>
              <w:spacing w:after="0" w:line="126" w:lineRule="exact"/>
              <w:rPr>
                <w:sz w:val="20"/>
                <w:szCs w:val="20"/>
                <w:color w:val="auto"/>
              </w:rPr>
            </w:pPr>
            <w:r>
              <w:rPr>
                <w:rFonts w:ascii="Times New Roman" w:cs="Times New Roman" w:eastAsia="Times New Roman" w:hAnsi="Times New Roman"/>
                <w:sz w:val="14"/>
                <w:szCs w:val="14"/>
                <w:color w:val="auto"/>
              </w:rPr>
              <w:t>First-lien loan ($61,875 par,</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10/9/2015</w:t>
            </w:r>
          </w:p>
        </w:tc>
        <w:tc>
          <w:tcPr>
            <w:tcW w:w="24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L + 5.50%</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6.50%</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56,817</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61,875</w:t>
            </w:r>
          </w:p>
        </w:tc>
        <w:tc>
          <w:tcPr>
            <w:tcW w:w="12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due 4/2021)</w:t>
            </w:r>
          </w:p>
        </w:tc>
        <w:tc>
          <w:tcPr>
            <w:tcW w:w="9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Leaf US Holdings, Inc.</w:t>
            </w:r>
            <w:r>
              <w:rPr>
                <w:rFonts w:ascii="Times New Roman" w:cs="Times New Roman" w:eastAsia="Times New Roman" w:hAnsi="Times New Roman"/>
                <w:sz w:val="12"/>
                <w:szCs w:val="12"/>
                <w:color w:val="auto"/>
              </w:rPr>
              <w:t>(3)(4)</w:t>
            </w:r>
          </w:p>
        </w:tc>
        <w:tc>
          <w:tcPr>
            <w:tcW w:w="2480" w:type="dxa"/>
            <w:vAlign w:val="bottom"/>
            <w:gridSpan w:val="2"/>
            <w:shd w:val="clear" w:color="auto" w:fill="CCEEFF"/>
          </w:tcPr>
          <w:p>
            <w:pPr>
              <w:ind w:left="520"/>
              <w:spacing w:after="0" w:line="126" w:lineRule="exact"/>
              <w:rPr>
                <w:sz w:val="20"/>
                <w:szCs w:val="20"/>
                <w:color w:val="auto"/>
              </w:rPr>
            </w:pPr>
            <w:r>
              <w:rPr>
                <w:rFonts w:ascii="Times New Roman" w:cs="Times New Roman" w:eastAsia="Times New Roman" w:hAnsi="Times New Roman"/>
                <w:sz w:val="14"/>
                <w:szCs w:val="14"/>
                <w:color w:val="auto"/>
              </w:rPr>
              <w:t>First-lien loan ($27,090 par, due</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6/30/2014</w:t>
            </w:r>
          </w:p>
        </w:tc>
        <w:tc>
          <w:tcPr>
            <w:tcW w:w="2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L + 6.50%</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7.50%</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26,752</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27,163</w:t>
            </w:r>
          </w:p>
        </w:tc>
        <w:tc>
          <w:tcPr>
            <w:tcW w:w="12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24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6/2019)</w:t>
            </w: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Motus, LLC</w:t>
            </w:r>
            <w:r>
              <w:rPr>
                <w:rFonts w:ascii="Times New Roman" w:cs="Times New Roman" w:eastAsia="Times New Roman" w:hAnsi="Times New Roman"/>
                <w:sz w:val="12"/>
                <w:szCs w:val="12"/>
                <w:color w:val="auto"/>
              </w:rPr>
              <w:t>(3)</w:t>
            </w:r>
          </w:p>
        </w:tc>
        <w:tc>
          <w:tcPr>
            <w:tcW w:w="2480" w:type="dxa"/>
            <w:vAlign w:val="bottom"/>
            <w:gridSpan w:val="2"/>
          </w:tcPr>
          <w:p>
            <w:pPr>
              <w:ind w:left="520"/>
              <w:spacing w:after="0" w:line="126" w:lineRule="exact"/>
              <w:rPr>
                <w:sz w:val="20"/>
                <w:szCs w:val="20"/>
                <w:color w:val="auto"/>
              </w:rPr>
            </w:pPr>
            <w:r>
              <w:rPr>
                <w:rFonts w:ascii="Times New Roman" w:cs="Times New Roman" w:eastAsia="Times New Roman" w:hAnsi="Times New Roman"/>
                <w:sz w:val="14"/>
                <w:szCs w:val="14"/>
                <w:color w:val="auto"/>
              </w:rPr>
              <w:t>First-lien loan ($20,157 par,</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11.00%</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48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due 7/2021)</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(incl. 3.00%</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7/29/2016</w:t>
            </w:r>
          </w:p>
        </w:tc>
        <w:tc>
          <w:tcPr>
            <w:tcW w:w="2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L + 10.00%</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PIK)</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19,690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20,106</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Qlik Technologies, Inc.</w:t>
            </w:r>
            <w:r>
              <w:rPr>
                <w:rFonts w:ascii="Times New Roman" w:cs="Times New Roman" w:eastAsia="Times New Roman" w:hAnsi="Times New Roman"/>
                <w:sz w:val="12"/>
                <w:szCs w:val="12"/>
                <w:color w:val="auto"/>
              </w:rPr>
              <w:t>(3)</w:t>
            </w:r>
          </w:p>
        </w:tc>
        <w:tc>
          <w:tcPr>
            <w:tcW w:w="2480" w:type="dxa"/>
            <w:vAlign w:val="bottom"/>
            <w:gridSpan w:val="2"/>
            <w:shd w:val="clear" w:color="auto" w:fill="CCEEFF"/>
          </w:tcPr>
          <w:p>
            <w:pPr>
              <w:ind w:left="520"/>
              <w:spacing w:after="0" w:line="126" w:lineRule="exact"/>
              <w:rPr>
                <w:sz w:val="20"/>
                <w:szCs w:val="20"/>
                <w:color w:val="auto"/>
              </w:rPr>
            </w:pPr>
            <w:r>
              <w:rPr>
                <w:rFonts w:ascii="Times New Roman" w:cs="Times New Roman" w:eastAsia="Times New Roman" w:hAnsi="Times New Roman"/>
                <w:sz w:val="14"/>
                <w:szCs w:val="14"/>
                <w:color w:val="auto"/>
              </w:rPr>
              <w:t>First-lien loan ($40,399 par,</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8/22/2016</w:t>
            </w:r>
          </w:p>
        </w:tc>
        <w:tc>
          <w:tcPr>
            <w:tcW w:w="2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L + 8.25%</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9.25%</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39,691</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40,096</w:t>
            </w:r>
          </w:p>
        </w:tc>
        <w:tc>
          <w:tcPr>
            <w:tcW w:w="12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24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due 8/2022)</w:t>
            </w: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SailPoint Technologies, Inc.</w:t>
            </w:r>
            <w:r>
              <w:rPr>
                <w:rFonts w:ascii="Times New Roman" w:cs="Times New Roman" w:eastAsia="Times New Roman" w:hAnsi="Times New Roman"/>
                <w:sz w:val="12"/>
                <w:szCs w:val="12"/>
                <w:color w:val="auto"/>
              </w:rPr>
              <w:t>(3)</w:t>
            </w:r>
          </w:p>
        </w:tc>
        <w:tc>
          <w:tcPr>
            <w:tcW w:w="2480" w:type="dxa"/>
            <w:vAlign w:val="bottom"/>
            <w:gridSpan w:val="2"/>
          </w:tcPr>
          <w:p>
            <w:pPr>
              <w:ind w:left="520"/>
              <w:spacing w:after="0" w:line="126" w:lineRule="exact"/>
              <w:rPr>
                <w:sz w:val="20"/>
                <w:szCs w:val="20"/>
                <w:color w:val="auto"/>
              </w:rPr>
            </w:pPr>
            <w:r>
              <w:rPr>
                <w:rFonts w:ascii="Times New Roman" w:cs="Times New Roman" w:eastAsia="Times New Roman" w:hAnsi="Times New Roman"/>
                <w:sz w:val="14"/>
                <w:szCs w:val="14"/>
                <w:color w:val="auto"/>
              </w:rPr>
              <w:t>First-lien loan ($27,500 par,</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8/16/2016</w:t>
            </w:r>
          </w:p>
        </w:tc>
        <w:tc>
          <w:tcPr>
            <w:tcW w:w="24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L + 8.00%</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9.00%</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26,973</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27,285</w:t>
            </w:r>
          </w:p>
        </w:tc>
        <w:tc>
          <w:tcPr>
            <w:tcW w:w="12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due 8/2021)</w:t>
            </w:r>
          </w:p>
        </w:tc>
        <w:tc>
          <w:tcPr>
            <w:tcW w:w="9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Sovos Compliance,</w:t>
            </w:r>
          </w:p>
        </w:tc>
        <w:tc>
          <w:tcPr>
            <w:tcW w:w="2480" w:type="dxa"/>
            <w:vAlign w:val="bottom"/>
            <w:gridSpan w:val="2"/>
            <w:shd w:val="clear" w:color="auto" w:fill="CCEEFF"/>
          </w:tcPr>
          <w:p>
            <w:pPr>
              <w:ind w:left="520"/>
              <w:spacing w:after="0" w:line="126" w:lineRule="exact"/>
              <w:rPr>
                <w:sz w:val="20"/>
                <w:szCs w:val="20"/>
                <w:color w:val="auto"/>
              </w:rPr>
            </w:pPr>
            <w:r>
              <w:rPr>
                <w:rFonts w:ascii="Times New Roman" w:cs="Times New Roman" w:eastAsia="Times New Roman" w:hAnsi="Times New Roman"/>
                <w:sz w:val="14"/>
                <w:szCs w:val="14"/>
                <w:color w:val="auto"/>
              </w:rPr>
              <w:t>First-lien loan ($29,177 par,</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7/1/2016</w:t>
            </w:r>
          </w:p>
        </w:tc>
        <w:tc>
          <w:tcPr>
            <w:tcW w:w="2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L + 7.25%</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8.25%</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28,621</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29,027</w:t>
            </w:r>
          </w:p>
        </w:tc>
        <w:tc>
          <w:tcPr>
            <w:tcW w:w="12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LLC</w:t>
            </w:r>
            <w:r>
              <w:rPr>
                <w:rFonts w:ascii="Times New Roman" w:cs="Times New Roman" w:eastAsia="Times New Roman" w:hAnsi="Times New Roman"/>
                <w:sz w:val="12"/>
                <w:szCs w:val="12"/>
                <w:color w:val="auto"/>
              </w:rPr>
              <w:t>(3)</w:t>
            </w:r>
          </w:p>
        </w:tc>
        <w:tc>
          <w:tcPr>
            <w:tcW w:w="24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due 3/2022)</w:t>
            </w: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Tibco Software</w:t>
            </w:r>
            <w:r>
              <w:rPr>
                <w:rFonts w:ascii="Times New Roman" w:cs="Times New Roman" w:eastAsia="Times New Roman" w:hAnsi="Times New Roman"/>
                <w:sz w:val="12"/>
                <w:szCs w:val="12"/>
                <w:color w:val="auto"/>
              </w:rPr>
              <w:t>(3)(11)</w:t>
            </w:r>
          </w:p>
        </w:tc>
        <w:tc>
          <w:tcPr>
            <w:tcW w:w="2480" w:type="dxa"/>
            <w:vAlign w:val="bottom"/>
            <w:gridSpan w:val="2"/>
          </w:tcPr>
          <w:p>
            <w:pPr>
              <w:ind w:left="520"/>
              <w:spacing w:after="0" w:line="126" w:lineRule="exact"/>
              <w:rPr>
                <w:sz w:val="20"/>
                <w:szCs w:val="20"/>
                <w:color w:val="auto"/>
              </w:rPr>
            </w:pPr>
            <w:r>
              <w:rPr>
                <w:rFonts w:ascii="Times New Roman" w:cs="Times New Roman" w:eastAsia="Times New Roman" w:hAnsi="Times New Roman"/>
                <w:sz w:val="14"/>
                <w:szCs w:val="14"/>
                <w:color w:val="auto"/>
              </w:rPr>
              <w:t>First-lien loan ($247 par,</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1/26/2016</w:t>
            </w:r>
          </w:p>
        </w:tc>
        <w:tc>
          <w:tcPr>
            <w:tcW w:w="24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L + 5.50%</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6.50%</w:t>
            </w:r>
          </w:p>
        </w:tc>
        <w:tc>
          <w:tcPr>
            <w:tcW w:w="140" w:type="dxa"/>
            <w:vAlign w:val="bottom"/>
            <w:vMerge w:val="restart"/>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240" w:type="dxa"/>
            <w:vAlign w:val="bottom"/>
            <w:vMerge w:val="restart"/>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260" w:type="dxa"/>
            <w:vAlign w:val="bottom"/>
            <w:vMerge w:val="restart"/>
          </w:tcPr>
          <w:p>
            <w:pPr>
              <w:spacing w:after="0"/>
              <w:rPr>
                <w:sz w:val="10"/>
                <w:szCs w:val="10"/>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due 12/2020)</w:t>
            </w:r>
          </w:p>
        </w:tc>
        <w:tc>
          <w:tcPr>
            <w:tcW w:w="9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272,574</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281,793</w:t>
            </w: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20" w:type="dxa"/>
            <w:vAlign w:val="bottom"/>
            <w:gridSpan w:val="2"/>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Chemicals</w:t>
            </w:r>
          </w:p>
        </w:tc>
        <w:tc>
          <w:tcPr>
            <w:tcW w:w="5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Vertellus Specialties, Inc.</w:t>
            </w:r>
            <w:r>
              <w:rPr>
                <w:rFonts w:ascii="Times New Roman" w:cs="Times New Roman" w:eastAsia="Times New Roman" w:hAnsi="Times New Roman"/>
                <w:sz w:val="12"/>
                <w:szCs w:val="12"/>
                <w:color w:val="auto"/>
              </w:rPr>
              <w:t>(3)</w:t>
            </w:r>
          </w:p>
        </w:tc>
        <w:tc>
          <w:tcPr>
            <w:tcW w:w="2480" w:type="dxa"/>
            <w:vAlign w:val="bottom"/>
            <w:gridSpan w:val="2"/>
            <w:shd w:val="clear" w:color="auto" w:fill="CCEEFF"/>
          </w:tcPr>
          <w:p>
            <w:pPr>
              <w:ind w:left="520"/>
              <w:spacing w:after="0" w:line="126" w:lineRule="exact"/>
              <w:rPr>
                <w:sz w:val="20"/>
                <w:szCs w:val="20"/>
                <w:color w:val="auto"/>
              </w:rPr>
            </w:pPr>
            <w:r>
              <w:rPr>
                <w:rFonts w:ascii="Times New Roman" w:cs="Times New Roman" w:eastAsia="Times New Roman" w:hAnsi="Times New Roman"/>
                <w:sz w:val="14"/>
                <w:szCs w:val="14"/>
                <w:color w:val="auto"/>
              </w:rPr>
              <w:t>First-lien loan ($4,967 par,</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10/31/2016</w:t>
            </w:r>
          </w:p>
        </w:tc>
        <w:tc>
          <w:tcPr>
            <w:tcW w:w="2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L + 9.00%</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4,937</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4,942</w:t>
            </w:r>
          </w:p>
        </w:tc>
        <w:tc>
          <w:tcPr>
            <w:tcW w:w="12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24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due 4/2018)</w:t>
            </w: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480" w:type="dxa"/>
            <w:vAlign w:val="bottom"/>
            <w:gridSpan w:val="2"/>
          </w:tcPr>
          <w:p>
            <w:pPr>
              <w:ind w:left="520"/>
              <w:spacing w:after="0" w:line="126" w:lineRule="exact"/>
              <w:rPr>
                <w:sz w:val="20"/>
                <w:szCs w:val="20"/>
                <w:color w:val="auto"/>
              </w:rPr>
            </w:pPr>
            <w:r>
              <w:rPr>
                <w:rFonts w:ascii="Times New Roman" w:cs="Times New Roman" w:eastAsia="Times New Roman" w:hAnsi="Times New Roman"/>
                <w:sz w:val="14"/>
                <w:szCs w:val="14"/>
                <w:color w:val="auto"/>
              </w:rPr>
              <w:t>Second-lien loan ($3,341 par,</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10/31/2016</w:t>
            </w:r>
          </w:p>
        </w:tc>
        <w:tc>
          <w:tcPr>
            <w:tcW w:w="24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L + 12.00%</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13.00%</w:t>
            </w:r>
          </w:p>
        </w:tc>
        <w:tc>
          <w:tcPr>
            <w:tcW w:w="140" w:type="dxa"/>
            <w:vAlign w:val="bottom"/>
            <w:vMerge w:val="restart"/>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3,341</w:t>
            </w:r>
          </w:p>
        </w:tc>
        <w:tc>
          <w:tcPr>
            <w:tcW w:w="240" w:type="dxa"/>
            <w:vAlign w:val="bottom"/>
            <w:vMerge w:val="restart"/>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3,350</w:t>
            </w:r>
          </w:p>
        </w:tc>
        <w:tc>
          <w:tcPr>
            <w:tcW w:w="260" w:type="dxa"/>
            <w:vAlign w:val="bottom"/>
            <w:vMerge w:val="restart"/>
          </w:tcPr>
          <w:p>
            <w:pPr>
              <w:spacing w:after="0"/>
              <w:rPr>
                <w:sz w:val="10"/>
                <w:szCs w:val="10"/>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due 10/2021)</w:t>
            </w:r>
          </w:p>
        </w:tc>
        <w:tc>
          <w:tcPr>
            <w:tcW w:w="9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8,278</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8,292</w:t>
            </w: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20" w:type="dxa"/>
            <w:vAlign w:val="bottom"/>
            <w:gridSpan w:val="2"/>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Education</w:t>
            </w:r>
          </w:p>
        </w:tc>
        <w:tc>
          <w:tcPr>
            <w:tcW w:w="5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Finalsite Holdings,</w:t>
            </w:r>
          </w:p>
        </w:tc>
        <w:tc>
          <w:tcPr>
            <w:tcW w:w="2480" w:type="dxa"/>
            <w:vAlign w:val="bottom"/>
            <w:gridSpan w:val="2"/>
            <w:shd w:val="clear" w:color="auto" w:fill="CCEEFF"/>
          </w:tcPr>
          <w:p>
            <w:pPr>
              <w:ind w:left="520"/>
              <w:spacing w:after="0" w:line="126" w:lineRule="exact"/>
              <w:rPr>
                <w:sz w:val="20"/>
                <w:szCs w:val="20"/>
                <w:color w:val="auto"/>
              </w:rPr>
            </w:pPr>
            <w:r>
              <w:rPr>
                <w:rFonts w:ascii="Times New Roman" w:cs="Times New Roman" w:eastAsia="Times New Roman" w:hAnsi="Times New Roman"/>
                <w:sz w:val="14"/>
                <w:szCs w:val="14"/>
                <w:color w:val="auto"/>
              </w:rPr>
              <w:t>First-lien loan ($45,000 par,</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8/31/2016</w:t>
            </w:r>
          </w:p>
        </w:tc>
        <w:tc>
          <w:tcPr>
            <w:tcW w:w="2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L + 7.00%</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8.00%</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43,830</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44,325</w:t>
            </w:r>
          </w:p>
        </w:tc>
        <w:tc>
          <w:tcPr>
            <w:tcW w:w="12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w:t>
            </w:r>
            <w:r>
              <w:rPr>
                <w:rFonts w:ascii="Times New Roman" w:cs="Times New Roman" w:eastAsia="Times New Roman" w:hAnsi="Times New Roman"/>
                <w:sz w:val="12"/>
                <w:szCs w:val="12"/>
                <w:color w:val="auto"/>
              </w:rPr>
              <w:t>(3)(5)</w:t>
            </w:r>
          </w:p>
        </w:tc>
        <w:tc>
          <w:tcPr>
            <w:tcW w:w="24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due 8/2022)</w:t>
            </w: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Frontline Technologies Group LLC</w:t>
            </w:r>
            <w:r>
              <w:rPr>
                <w:rFonts w:ascii="Times New Roman" w:cs="Times New Roman" w:eastAsia="Times New Roman" w:hAnsi="Times New Roman"/>
                <w:sz w:val="12"/>
                <w:szCs w:val="12"/>
                <w:color w:val="auto"/>
              </w:rPr>
              <w:t>(3)(5)</w:t>
            </w:r>
          </w:p>
        </w:tc>
        <w:tc>
          <w:tcPr>
            <w:tcW w:w="2480" w:type="dxa"/>
            <w:vAlign w:val="bottom"/>
            <w:gridSpan w:val="2"/>
          </w:tcPr>
          <w:p>
            <w:pPr>
              <w:ind w:left="520"/>
              <w:spacing w:after="0" w:line="126" w:lineRule="exact"/>
              <w:rPr>
                <w:sz w:val="20"/>
                <w:szCs w:val="20"/>
                <w:color w:val="auto"/>
              </w:rPr>
            </w:pPr>
            <w:r>
              <w:rPr>
                <w:rFonts w:ascii="Times New Roman" w:cs="Times New Roman" w:eastAsia="Times New Roman" w:hAnsi="Times New Roman"/>
                <w:sz w:val="14"/>
                <w:szCs w:val="14"/>
                <w:color w:val="auto"/>
              </w:rPr>
              <w:t>First-lien loan ($54,725 par,</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4/1/2016</w:t>
            </w:r>
          </w:p>
        </w:tc>
        <w:tc>
          <w:tcPr>
            <w:tcW w:w="24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L + 6.75%</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7.75%</w:t>
            </w:r>
          </w:p>
        </w:tc>
        <w:tc>
          <w:tcPr>
            <w:tcW w:w="140" w:type="dxa"/>
            <w:vAlign w:val="bottom"/>
            <w:vMerge w:val="restart"/>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53,447</w:t>
            </w:r>
          </w:p>
        </w:tc>
        <w:tc>
          <w:tcPr>
            <w:tcW w:w="240" w:type="dxa"/>
            <w:vAlign w:val="bottom"/>
            <w:vMerge w:val="restart"/>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54,862</w:t>
            </w:r>
          </w:p>
        </w:tc>
        <w:tc>
          <w:tcPr>
            <w:tcW w:w="260" w:type="dxa"/>
            <w:vAlign w:val="bottom"/>
            <w:vMerge w:val="restart"/>
          </w:tcPr>
          <w:p>
            <w:pPr>
              <w:spacing w:after="0"/>
              <w:rPr>
                <w:sz w:val="10"/>
                <w:szCs w:val="10"/>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due 4/2021)</w:t>
            </w:r>
          </w:p>
        </w:tc>
        <w:tc>
          <w:tcPr>
            <w:tcW w:w="9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97,277</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99,187</w:t>
            </w: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20" w:type="dxa"/>
            <w:vAlign w:val="bottom"/>
            <w:gridSpan w:val="2"/>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Electronics</w:t>
            </w:r>
          </w:p>
        </w:tc>
        <w:tc>
          <w:tcPr>
            <w:tcW w:w="5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MyAlarm Center, LLC</w:t>
            </w:r>
            <w:r>
              <w:rPr>
                <w:rFonts w:ascii="Times New Roman" w:cs="Times New Roman" w:eastAsia="Times New Roman" w:hAnsi="Times New Roman"/>
                <w:sz w:val="12"/>
                <w:szCs w:val="12"/>
                <w:color w:val="auto"/>
              </w:rPr>
              <w:t>(3)</w:t>
            </w:r>
          </w:p>
        </w:tc>
        <w:tc>
          <w:tcPr>
            <w:tcW w:w="2480" w:type="dxa"/>
            <w:vAlign w:val="bottom"/>
            <w:gridSpan w:val="2"/>
            <w:shd w:val="clear" w:color="auto" w:fill="CCEEFF"/>
          </w:tcPr>
          <w:p>
            <w:pPr>
              <w:ind w:left="520"/>
              <w:spacing w:after="0" w:line="126" w:lineRule="exact"/>
              <w:rPr>
                <w:sz w:val="20"/>
                <w:szCs w:val="20"/>
                <w:color w:val="auto"/>
              </w:rPr>
            </w:pPr>
            <w:r>
              <w:rPr>
                <w:rFonts w:ascii="Times New Roman" w:cs="Times New Roman" w:eastAsia="Times New Roman" w:hAnsi="Times New Roman"/>
                <w:sz w:val="14"/>
                <w:szCs w:val="14"/>
                <w:color w:val="auto"/>
              </w:rPr>
              <w:t>First-lien loan ($63,761 par,</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1/9/2014</w:t>
            </w:r>
          </w:p>
        </w:tc>
        <w:tc>
          <w:tcPr>
            <w:tcW w:w="2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L + 8.00%</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9.00%</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63,342</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64,568</w:t>
            </w:r>
          </w:p>
        </w:tc>
        <w:tc>
          <w:tcPr>
            <w:tcW w:w="12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24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due 1/2019)</w:t>
            </w:r>
          </w:p>
        </w:tc>
        <w:tc>
          <w:tcPr>
            <w:tcW w:w="9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APX Group Inc.</w:t>
            </w:r>
            <w:r>
              <w:rPr>
                <w:rFonts w:ascii="Times New Roman" w:cs="Times New Roman" w:eastAsia="Times New Roman" w:hAnsi="Times New Roman"/>
                <w:sz w:val="12"/>
                <w:szCs w:val="12"/>
                <w:color w:val="auto"/>
              </w:rPr>
              <w:t>(11)</w:t>
            </w:r>
          </w:p>
        </w:tc>
        <w:tc>
          <w:tcPr>
            <w:tcW w:w="2480" w:type="dxa"/>
            <w:vAlign w:val="bottom"/>
            <w:gridSpan w:val="2"/>
          </w:tcPr>
          <w:p>
            <w:pPr>
              <w:ind w:left="520"/>
              <w:spacing w:after="0" w:line="126" w:lineRule="exact"/>
              <w:rPr>
                <w:sz w:val="20"/>
                <w:szCs w:val="20"/>
                <w:color w:val="auto"/>
              </w:rPr>
            </w:pPr>
            <w:r>
              <w:rPr>
                <w:rFonts w:ascii="Times New Roman" w:cs="Times New Roman" w:eastAsia="Times New Roman" w:hAnsi="Times New Roman"/>
                <w:sz w:val="14"/>
                <w:szCs w:val="14"/>
                <w:color w:val="auto"/>
              </w:rPr>
              <w:t>Senior notes 8.75% ($5,470 par,</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12/11/2014</w:t>
            </w:r>
          </w:p>
        </w:tc>
        <w:tc>
          <w:tcPr>
            <w:tcW w:w="11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8.75%</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8.75%</w:t>
            </w:r>
          </w:p>
        </w:tc>
        <w:tc>
          <w:tcPr>
            <w:tcW w:w="140" w:type="dxa"/>
            <w:vAlign w:val="bottom"/>
            <w:vMerge w:val="restart"/>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4,717</w:t>
            </w:r>
          </w:p>
        </w:tc>
        <w:tc>
          <w:tcPr>
            <w:tcW w:w="240" w:type="dxa"/>
            <w:vAlign w:val="bottom"/>
            <w:vMerge w:val="restart"/>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5,511</w:t>
            </w:r>
          </w:p>
        </w:tc>
        <w:tc>
          <w:tcPr>
            <w:tcW w:w="260" w:type="dxa"/>
            <w:vAlign w:val="bottom"/>
            <w:vMerge w:val="restart"/>
          </w:tcPr>
          <w:p>
            <w:pPr>
              <w:spacing w:after="0"/>
              <w:rPr>
                <w:sz w:val="10"/>
                <w:szCs w:val="10"/>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due 12/2020)</w:t>
            </w:r>
          </w:p>
        </w:tc>
        <w:tc>
          <w:tcPr>
            <w:tcW w:w="920" w:type="dxa"/>
            <w:vAlign w:val="bottom"/>
            <w:gridSpan w:val="2"/>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68,059</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70,079</w:t>
            </w: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240"/>
          </w:cols>
          <w:pgMar w:left="240" w:top="456" w:right="41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1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8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3"/>
                <w:szCs w:val="13"/>
                <w:color w:val="auto"/>
              </w:rPr>
            </w:pPr>
          </w:p>
        </w:tc>
        <w:tc>
          <w:tcPr>
            <w:tcW w:w="9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3"/>
                <w:szCs w:val="13"/>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2"/>
                <w:szCs w:val="12"/>
                <w:b w:val="1"/>
                <w:bCs w:val="1"/>
                <w:color w:val="auto"/>
              </w:rPr>
              <w:t>(1)</w:t>
            </w:r>
          </w:p>
        </w:tc>
        <w:tc>
          <w:tcPr>
            <w:tcW w:w="420" w:type="dxa"/>
            <w:vAlign w:val="bottom"/>
          </w:tcPr>
          <w:p>
            <w:pPr>
              <w:spacing w:after="0"/>
              <w:rPr>
                <w:sz w:val="12"/>
                <w:szCs w:val="12"/>
                <w:color w:val="auto"/>
              </w:rPr>
            </w:pPr>
          </w:p>
        </w:tc>
        <w:tc>
          <w:tcPr>
            <w:tcW w:w="184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900" w:type="dxa"/>
            <w:vAlign w:val="bottom"/>
            <w:gridSpan w:val="2"/>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22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Rate and</w:t>
            </w:r>
          </w:p>
        </w:tc>
        <w:tc>
          <w:tcPr>
            <w:tcW w:w="8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820" w:type="dxa"/>
            <w:vAlign w:val="bottom"/>
            <w:gridSpan w:val="3"/>
            <w:vMerge w:val="continue"/>
          </w:tcPr>
          <w:p>
            <w:pPr>
              <w:spacing w:after="0"/>
              <w:rPr>
                <w:sz w:val="13"/>
                <w:szCs w:val="13"/>
                <w:color w:val="auto"/>
              </w:rPr>
            </w:pPr>
          </w:p>
        </w:tc>
        <w:tc>
          <w:tcPr>
            <w:tcW w:w="420" w:type="dxa"/>
            <w:vAlign w:val="bottom"/>
          </w:tcPr>
          <w:p>
            <w:pPr>
              <w:spacing w:after="0"/>
              <w:rPr>
                <w:sz w:val="13"/>
                <w:szCs w:val="13"/>
                <w:color w:val="auto"/>
              </w:rPr>
            </w:pPr>
          </w:p>
        </w:tc>
        <w:tc>
          <w:tcPr>
            <w:tcW w:w="18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220" w:type="dxa"/>
            <w:vAlign w:val="bottom"/>
          </w:tcPr>
          <w:p>
            <w:pPr>
              <w:spacing w:after="0"/>
              <w:rPr>
                <w:sz w:val="13"/>
                <w:szCs w:val="13"/>
                <w:color w:val="auto"/>
              </w:rPr>
            </w:pPr>
          </w:p>
        </w:tc>
        <w:tc>
          <w:tcPr>
            <w:tcW w:w="9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Spread</w:t>
            </w:r>
          </w:p>
        </w:tc>
        <w:tc>
          <w:tcPr>
            <w:tcW w:w="860" w:type="dxa"/>
            <w:vAlign w:val="bottom"/>
            <w:gridSpan w:val="2"/>
          </w:tcPr>
          <w:p>
            <w:pPr>
              <w:jc w:val="right"/>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Rate</w:t>
            </w:r>
          </w:p>
        </w:tc>
        <w:tc>
          <w:tcPr>
            <w:tcW w:w="120" w:type="dxa"/>
            <w:vAlign w:val="bottom"/>
          </w:tcPr>
          <w:p>
            <w:pPr>
              <w:spacing w:after="0"/>
              <w:rPr>
                <w:sz w:val="13"/>
                <w:szCs w:val="13"/>
                <w:color w:val="auto"/>
              </w:rPr>
            </w:pPr>
          </w:p>
        </w:tc>
        <w:tc>
          <w:tcPr>
            <w:tcW w:w="66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Cost</w:t>
            </w:r>
            <w:r>
              <w:rPr>
                <w:rFonts w:ascii="Times New Roman" w:cs="Times New Roman" w:eastAsia="Times New Roman" w:hAnsi="Times New Roman"/>
                <w:sz w:val="12"/>
                <w:szCs w:val="12"/>
                <w:b w:val="1"/>
                <w:bCs w:val="1"/>
                <w:color w:val="auto"/>
              </w:rPr>
              <w:t>(2)(8)</w:t>
            </w:r>
          </w:p>
        </w:tc>
        <w:tc>
          <w:tcPr>
            <w:tcW w:w="240" w:type="dxa"/>
            <w:vAlign w:val="bottom"/>
          </w:tcPr>
          <w:p>
            <w:pPr>
              <w:spacing w:after="0"/>
              <w:rPr>
                <w:sz w:val="13"/>
                <w:szCs w:val="13"/>
                <w:color w:val="auto"/>
              </w:rPr>
            </w:pPr>
          </w:p>
        </w:tc>
        <w:tc>
          <w:tcPr>
            <w:tcW w:w="980" w:type="dxa"/>
            <w:vAlign w:val="bottom"/>
            <w:gridSpan w:val="2"/>
          </w:tcPr>
          <w:p>
            <w:pPr>
              <w:jc w:val="right"/>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2"/>
                <w:szCs w:val="12"/>
                <w:b w:val="1"/>
                <w:bCs w:val="1"/>
                <w:color w:val="auto"/>
              </w:rPr>
              <w:t>(10)</w:t>
            </w:r>
          </w:p>
        </w:tc>
        <w:tc>
          <w:tcPr>
            <w:tcW w:w="1080" w:type="dxa"/>
            <w:vAlign w:val="bottom"/>
            <w:gridSpan w:val="3"/>
          </w:tcPr>
          <w:p>
            <w:pPr>
              <w:jc w:val="right"/>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800" w:type="dxa"/>
            <w:vAlign w:val="bottom"/>
            <w:gridSpan w:val="2"/>
            <w:shd w:val="clear" w:color="auto" w:fill="CCEEFF"/>
          </w:tcPr>
          <w:p>
            <w:pPr>
              <w:ind w:left="280"/>
              <w:spacing w:after="0" w:line="122" w:lineRule="exact"/>
              <w:rPr>
                <w:sz w:val="20"/>
                <w:szCs w:val="20"/>
                <w:color w:val="auto"/>
              </w:rPr>
            </w:pPr>
            <w:r>
              <w:rPr>
                <w:rFonts w:ascii="Times New Roman" w:cs="Times New Roman" w:eastAsia="Times New Roman" w:hAnsi="Times New Roman"/>
                <w:sz w:val="14"/>
                <w:szCs w:val="14"/>
                <w:b w:val="1"/>
                <w:bCs w:val="1"/>
                <w:color w:val="auto"/>
              </w:rPr>
              <w:t>Financial services</w:t>
            </w:r>
          </w:p>
        </w:tc>
        <w:tc>
          <w:tcPr>
            <w:tcW w:w="42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AppStar Financial, LLC</w:t>
            </w:r>
            <w:r>
              <w:rPr>
                <w:rFonts w:ascii="Times New Roman" w:cs="Times New Roman" w:eastAsia="Times New Roman" w:hAnsi="Times New Roman"/>
                <w:sz w:val="12"/>
                <w:szCs w:val="12"/>
                <w:color w:val="auto"/>
              </w:rPr>
              <w:t>(3)</w:t>
            </w:r>
          </w:p>
        </w:tc>
        <w:tc>
          <w:tcPr>
            <w:tcW w:w="2260" w:type="dxa"/>
            <w:vAlign w:val="bottom"/>
            <w:gridSpan w:val="2"/>
          </w:tcPr>
          <w:p>
            <w:pPr>
              <w:ind w:left="420"/>
              <w:spacing w:after="0" w:line="126" w:lineRule="exact"/>
              <w:rPr>
                <w:sz w:val="20"/>
                <w:szCs w:val="20"/>
                <w:color w:val="auto"/>
              </w:rPr>
            </w:pPr>
            <w:r>
              <w:rPr>
                <w:rFonts w:ascii="Times New Roman" w:cs="Times New Roman" w:eastAsia="Times New Roman" w:hAnsi="Times New Roman"/>
                <w:sz w:val="14"/>
                <w:szCs w:val="14"/>
                <w:color w:val="auto"/>
              </w:rPr>
              <w:t>First-lien loan ($22,200 par,</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8/18/2015</w:t>
            </w:r>
          </w:p>
        </w:tc>
        <w:tc>
          <w:tcPr>
            <w:tcW w:w="22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L + 8.00%</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9.00%</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21,781</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22,261</w:t>
            </w:r>
          </w:p>
        </w:tc>
        <w:tc>
          <w:tcPr>
            <w:tcW w:w="180" w:type="dxa"/>
            <w:vAlign w:val="bottom"/>
          </w:tcPr>
          <w:p>
            <w:pPr>
              <w:spacing w:after="0"/>
              <w:rPr>
                <w:sz w:val="10"/>
                <w:szCs w:val="10"/>
                <w:color w:val="auto"/>
              </w:rPr>
            </w:pPr>
          </w:p>
        </w:tc>
        <w:tc>
          <w:tcPr>
            <w:tcW w:w="10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due 8/2020)</w:t>
            </w:r>
          </w:p>
        </w:tc>
        <w:tc>
          <w:tcPr>
            <w:tcW w:w="9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AvidXchange, Inc.</w:t>
            </w:r>
            <w:r>
              <w:rPr>
                <w:rFonts w:ascii="Times New Roman" w:cs="Times New Roman" w:eastAsia="Times New Roman" w:hAnsi="Times New Roman"/>
                <w:sz w:val="12"/>
                <w:szCs w:val="12"/>
                <w:color w:val="auto"/>
              </w:rPr>
              <w:t>(3)</w:t>
            </w:r>
          </w:p>
        </w:tc>
        <w:tc>
          <w:tcPr>
            <w:tcW w:w="2260" w:type="dxa"/>
            <w:vAlign w:val="bottom"/>
            <w:gridSpan w:val="2"/>
            <w:shd w:val="clear" w:color="auto" w:fill="CCEEFF"/>
          </w:tcPr>
          <w:p>
            <w:pPr>
              <w:ind w:left="420"/>
              <w:spacing w:after="0" w:line="126" w:lineRule="exact"/>
              <w:rPr>
                <w:sz w:val="20"/>
                <w:szCs w:val="20"/>
                <w:color w:val="auto"/>
              </w:rPr>
            </w:pPr>
            <w:r>
              <w:rPr>
                <w:rFonts w:ascii="Times New Roman" w:cs="Times New Roman" w:eastAsia="Times New Roman" w:hAnsi="Times New Roman"/>
                <w:sz w:val="14"/>
                <w:szCs w:val="14"/>
                <w:color w:val="auto"/>
              </w:rPr>
              <w:t>First-lien loan ($53,528 par,</w:t>
            </w: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10.50%</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22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due 8/2020)</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(incl. 2.38%</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8/7/2015</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L + 9.50%</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PIK)</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52,779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53,394</w:t>
            </w:r>
          </w:p>
        </w:tc>
        <w:tc>
          <w:tcPr>
            <w:tcW w:w="18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Network Merchants,</w:t>
            </w:r>
          </w:p>
        </w:tc>
        <w:tc>
          <w:tcPr>
            <w:tcW w:w="2260" w:type="dxa"/>
            <w:vAlign w:val="bottom"/>
            <w:gridSpan w:val="2"/>
          </w:tcPr>
          <w:p>
            <w:pPr>
              <w:ind w:left="420"/>
              <w:spacing w:after="0" w:line="126" w:lineRule="exact"/>
              <w:rPr>
                <w:sz w:val="20"/>
                <w:szCs w:val="20"/>
                <w:color w:val="auto"/>
              </w:rPr>
            </w:pPr>
            <w:r>
              <w:rPr>
                <w:rFonts w:ascii="Times New Roman" w:cs="Times New Roman" w:eastAsia="Times New Roman" w:hAnsi="Times New Roman"/>
                <w:sz w:val="14"/>
                <w:szCs w:val="14"/>
                <w:color w:val="auto"/>
              </w:rPr>
              <w:t>First-lien loan ($25,782 par,</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9/12/2013</w:t>
            </w:r>
          </w:p>
        </w:tc>
        <w:tc>
          <w:tcPr>
            <w:tcW w:w="22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L + 6.50%</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7.75%</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25,585</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25,981</w:t>
            </w:r>
          </w:p>
        </w:tc>
        <w:tc>
          <w:tcPr>
            <w:tcW w:w="180" w:type="dxa"/>
            <w:vAlign w:val="bottom"/>
          </w:tcPr>
          <w:p>
            <w:pPr>
              <w:spacing w:after="0"/>
              <w:rPr>
                <w:sz w:val="10"/>
                <w:szCs w:val="10"/>
                <w:color w:val="auto"/>
              </w:rPr>
            </w:pPr>
          </w:p>
        </w:tc>
        <w:tc>
          <w:tcPr>
            <w:tcW w:w="10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Inc.</w:t>
            </w:r>
            <w:r>
              <w:rPr>
                <w:rFonts w:ascii="Times New Roman" w:cs="Times New Roman" w:eastAsia="Times New Roman" w:hAnsi="Times New Roman"/>
                <w:sz w:val="12"/>
                <w:szCs w:val="12"/>
                <w:color w:val="auto"/>
              </w:rPr>
              <w:t>(3)</w:t>
            </w:r>
          </w:p>
        </w:tc>
        <w:tc>
          <w:tcPr>
            <w:tcW w:w="22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due 9/2018)</w:t>
            </w:r>
          </w:p>
        </w:tc>
        <w:tc>
          <w:tcPr>
            <w:tcW w:w="9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PayLease, LLC</w:t>
            </w:r>
            <w:r>
              <w:rPr>
                <w:rFonts w:ascii="Times New Roman" w:cs="Times New Roman" w:eastAsia="Times New Roman" w:hAnsi="Times New Roman"/>
                <w:sz w:val="12"/>
                <w:szCs w:val="12"/>
                <w:color w:val="auto"/>
              </w:rPr>
              <w:t>(3)</w:t>
            </w:r>
          </w:p>
        </w:tc>
        <w:tc>
          <w:tcPr>
            <w:tcW w:w="2260" w:type="dxa"/>
            <w:vAlign w:val="bottom"/>
            <w:gridSpan w:val="2"/>
            <w:shd w:val="clear" w:color="auto" w:fill="CCEEFF"/>
          </w:tcPr>
          <w:p>
            <w:pPr>
              <w:ind w:left="420"/>
              <w:spacing w:after="0" w:line="126" w:lineRule="exact"/>
              <w:rPr>
                <w:sz w:val="20"/>
                <w:szCs w:val="20"/>
                <w:color w:val="auto"/>
              </w:rPr>
            </w:pPr>
            <w:r>
              <w:rPr>
                <w:rFonts w:ascii="Times New Roman" w:cs="Times New Roman" w:eastAsia="Times New Roman" w:hAnsi="Times New Roman"/>
                <w:sz w:val="14"/>
                <w:szCs w:val="14"/>
                <w:color w:val="auto"/>
              </w:rPr>
              <w:t>First-lien loan ($34,502 par,</w:t>
            </w: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10.00%</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22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due 3/2020)</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(incl. 2.50%</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3/6/2015</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L + 9.00%</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PIK)</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33,979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34,700</w:t>
            </w:r>
          </w:p>
        </w:tc>
        <w:tc>
          <w:tcPr>
            <w:tcW w:w="18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Smarsh, Inc.</w:t>
            </w:r>
            <w:r>
              <w:rPr>
                <w:rFonts w:ascii="Times New Roman" w:cs="Times New Roman" w:eastAsia="Times New Roman" w:hAnsi="Times New Roman"/>
                <w:sz w:val="12"/>
                <w:szCs w:val="12"/>
                <w:color w:val="auto"/>
              </w:rPr>
              <w:t>(3)(5)</w:t>
            </w:r>
          </w:p>
        </w:tc>
        <w:tc>
          <w:tcPr>
            <w:tcW w:w="2260" w:type="dxa"/>
            <w:vAlign w:val="bottom"/>
            <w:gridSpan w:val="2"/>
          </w:tcPr>
          <w:p>
            <w:pPr>
              <w:ind w:left="420"/>
              <w:spacing w:after="0" w:line="126" w:lineRule="exact"/>
              <w:rPr>
                <w:sz w:val="20"/>
                <w:szCs w:val="20"/>
                <w:color w:val="auto"/>
              </w:rPr>
            </w:pPr>
            <w:r>
              <w:rPr>
                <w:rFonts w:ascii="Times New Roman" w:cs="Times New Roman" w:eastAsia="Times New Roman" w:hAnsi="Times New Roman"/>
                <w:sz w:val="14"/>
                <w:szCs w:val="14"/>
                <w:color w:val="auto"/>
              </w:rPr>
              <w:t>First-lien loan ($30,000 par,</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1/7/2016</w:t>
            </w:r>
          </w:p>
        </w:tc>
        <w:tc>
          <w:tcPr>
            <w:tcW w:w="22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L + 7.50%</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8.50%</w:t>
            </w:r>
          </w:p>
        </w:tc>
        <w:tc>
          <w:tcPr>
            <w:tcW w:w="120" w:type="dxa"/>
            <w:vAlign w:val="bottom"/>
            <w:vMerge w:val="restart"/>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29,343</w:t>
            </w:r>
          </w:p>
        </w:tc>
        <w:tc>
          <w:tcPr>
            <w:tcW w:w="240" w:type="dxa"/>
            <w:vAlign w:val="bottom"/>
            <w:vMerge w:val="restart"/>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30,300</w:t>
            </w:r>
          </w:p>
        </w:tc>
        <w:tc>
          <w:tcPr>
            <w:tcW w:w="18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due 1/2021)</w:t>
            </w:r>
          </w:p>
        </w:tc>
        <w:tc>
          <w:tcPr>
            <w:tcW w:w="9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163,467</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166,636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00" w:type="dxa"/>
            <w:vAlign w:val="bottom"/>
            <w:gridSpan w:val="2"/>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Healthcare</w:t>
            </w:r>
          </w:p>
        </w:tc>
        <w:tc>
          <w:tcPr>
            <w:tcW w:w="4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Helix Health, Ltd.</w:t>
            </w:r>
            <w:r>
              <w:rPr>
                <w:rFonts w:ascii="Times New Roman" w:cs="Times New Roman" w:eastAsia="Times New Roman" w:hAnsi="Times New Roman"/>
                <w:sz w:val="12"/>
                <w:szCs w:val="12"/>
                <w:color w:val="auto"/>
              </w:rPr>
              <w:t>(3)(4)</w:t>
            </w:r>
          </w:p>
        </w:tc>
        <w:tc>
          <w:tcPr>
            <w:tcW w:w="2260" w:type="dxa"/>
            <w:vAlign w:val="bottom"/>
            <w:gridSpan w:val="2"/>
            <w:shd w:val="clear" w:color="auto" w:fill="CCEEFF"/>
          </w:tcPr>
          <w:p>
            <w:pPr>
              <w:ind w:left="420"/>
              <w:spacing w:after="0" w:line="135" w:lineRule="exact"/>
              <w:rPr>
                <w:sz w:val="20"/>
                <w:szCs w:val="20"/>
                <w:color w:val="auto"/>
              </w:rPr>
            </w:pPr>
            <w:r>
              <w:rPr>
                <w:rFonts w:ascii="Times New Roman" w:cs="Times New Roman" w:eastAsia="Times New Roman" w:hAnsi="Times New Roman"/>
                <w:sz w:val="14"/>
                <w:szCs w:val="14"/>
                <w:color w:val="auto"/>
              </w:rPr>
              <w:t>First-lien loan (EUR 40,573</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9/30/2014</w:t>
            </w:r>
          </w:p>
        </w:tc>
        <w:tc>
          <w:tcPr>
            <w:tcW w:w="22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E + 10.50%</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11.50%</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47,830</w:t>
            </w:r>
          </w:p>
        </w:tc>
        <w:tc>
          <w:tcPr>
            <w:tcW w:w="10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44,934</w:t>
            </w:r>
          </w:p>
        </w:tc>
        <w:tc>
          <w:tcPr>
            <w:tcW w:w="180" w:type="dxa"/>
            <w:vAlign w:val="bottom"/>
            <w:shd w:val="clear" w:color="auto" w:fill="CCEEFF"/>
          </w:tcPr>
          <w:p>
            <w:pPr>
              <w:spacing w:after="0"/>
              <w:rPr>
                <w:sz w:val="11"/>
                <w:szCs w:val="11"/>
                <w:color w:val="auto"/>
              </w:rPr>
            </w:pPr>
          </w:p>
        </w:tc>
        <w:tc>
          <w:tcPr>
            <w:tcW w:w="10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par, due 9/2019)</w:t>
            </w:r>
          </w:p>
        </w:tc>
        <w:tc>
          <w:tcPr>
            <w:tcW w:w="90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(EUR 43,158)</w:t>
            </w:r>
          </w:p>
        </w:tc>
        <w:tc>
          <w:tcPr>
            <w:tcW w:w="108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260" w:type="dxa"/>
            <w:vAlign w:val="bottom"/>
            <w:gridSpan w:val="2"/>
          </w:tcPr>
          <w:p>
            <w:pPr>
              <w:ind w:left="420"/>
              <w:spacing w:after="0" w:line="126" w:lineRule="exact"/>
              <w:rPr>
                <w:sz w:val="20"/>
                <w:szCs w:val="20"/>
                <w:color w:val="auto"/>
              </w:rPr>
            </w:pPr>
            <w:r>
              <w:rPr>
                <w:rFonts w:ascii="Times New Roman" w:cs="Times New Roman" w:eastAsia="Times New Roman" w:hAnsi="Times New Roman"/>
                <w:sz w:val="14"/>
                <w:szCs w:val="14"/>
                <w:color w:val="auto"/>
              </w:rPr>
              <w:t>First-lien revolving loan</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527</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2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(EUR 300 par, due 9/2019)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9/30/2014</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E + 10.50%</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11.50%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24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(EUR 500)</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MatrixCare, Inc.</w:t>
            </w:r>
            <w:r>
              <w:rPr>
                <w:rFonts w:ascii="Times New Roman" w:cs="Times New Roman" w:eastAsia="Times New Roman" w:hAnsi="Times New Roman"/>
                <w:sz w:val="12"/>
                <w:szCs w:val="12"/>
                <w:color w:val="auto"/>
              </w:rPr>
              <w:t>(3)(5)</w:t>
            </w:r>
          </w:p>
        </w:tc>
        <w:tc>
          <w:tcPr>
            <w:tcW w:w="2260" w:type="dxa"/>
            <w:vAlign w:val="bottom"/>
            <w:gridSpan w:val="2"/>
            <w:shd w:val="clear" w:color="auto" w:fill="CCEEFF"/>
          </w:tcPr>
          <w:p>
            <w:pPr>
              <w:ind w:left="420"/>
              <w:spacing w:after="0" w:line="126" w:lineRule="exact"/>
              <w:rPr>
                <w:sz w:val="20"/>
                <w:szCs w:val="20"/>
                <w:color w:val="auto"/>
              </w:rPr>
            </w:pPr>
            <w:r>
              <w:rPr>
                <w:rFonts w:ascii="Times New Roman" w:cs="Times New Roman" w:eastAsia="Times New Roman" w:hAnsi="Times New Roman"/>
                <w:sz w:val="14"/>
                <w:szCs w:val="14"/>
                <w:color w:val="auto"/>
              </w:rPr>
              <w:t>First-lien loan ($44,663 par,</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12/17/2015</w:t>
            </w:r>
          </w:p>
        </w:tc>
        <w:tc>
          <w:tcPr>
            <w:tcW w:w="2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L + 5.25%</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6.25%</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43,959</w:t>
            </w: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45,109</w:t>
            </w:r>
          </w:p>
        </w:tc>
        <w:tc>
          <w:tcPr>
            <w:tcW w:w="180" w:type="dxa"/>
            <w:vAlign w:val="bottom"/>
            <w:shd w:val="clear" w:color="auto" w:fill="CCEEFF"/>
          </w:tcPr>
          <w:p>
            <w:pPr>
              <w:spacing w:after="0"/>
              <w:rPr>
                <w:sz w:val="10"/>
                <w:szCs w:val="10"/>
                <w:color w:val="auto"/>
              </w:rPr>
            </w:pPr>
          </w:p>
        </w:tc>
        <w:tc>
          <w:tcPr>
            <w:tcW w:w="10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22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due 12/2021)</w:t>
            </w:r>
          </w:p>
        </w:tc>
        <w:tc>
          <w:tcPr>
            <w:tcW w:w="90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MedeAnalytics, Inc.</w:t>
            </w:r>
            <w:r>
              <w:rPr>
                <w:rFonts w:ascii="Times New Roman" w:cs="Times New Roman" w:eastAsia="Times New Roman" w:hAnsi="Times New Roman"/>
                <w:sz w:val="12"/>
                <w:szCs w:val="12"/>
                <w:color w:val="auto"/>
              </w:rPr>
              <w:t>(3)(5)</w:t>
            </w:r>
          </w:p>
        </w:tc>
        <w:tc>
          <w:tcPr>
            <w:tcW w:w="2260" w:type="dxa"/>
            <w:vAlign w:val="bottom"/>
            <w:gridSpan w:val="2"/>
          </w:tcPr>
          <w:p>
            <w:pPr>
              <w:ind w:left="420"/>
              <w:spacing w:after="0" w:line="126" w:lineRule="exact"/>
              <w:rPr>
                <w:sz w:val="20"/>
                <w:szCs w:val="20"/>
                <w:color w:val="auto"/>
              </w:rPr>
            </w:pPr>
            <w:r>
              <w:rPr>
                <w:rFonts w:ascii="Times New Roman" w:cs="Times New Roman" w:eastAsia="Times New Roman" w:hAnsi="Times New Roman"/>
                <w:sz w:val="14"/>
                <w:szCs w:val="14"/>
                <w:color w:val="auto"/>
              </w:rPr>
              <w:t>First-lien loan ($47,066 par,</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9.50%</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due 9/2020)</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(incl. 2.50%</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9/30/2015</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L + 8.50%</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PIK)</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45,920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47,184</w:t>
            </w:r>
          </w:p>
        </w:tc>
        <w:tc>
          <w:tcPr>
            <w:tcW w:w="180" w:type="dxa"/>
            <w:vAlign w:val="bottom"/>
          </w:tcPr>
          <w:p>
            <w:pPr>
              <w:spacing w:after="0"/>
              <w:rPr>
                <w:sz w:val="16"/>
                <w:szCs w:val="16"/>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Quantros, Inc.</w:t>
            </w:r>
            <w:r>
              <w:rPr>
                <w:rFonts w:ascii="Times New Roman" w:cs="Times New Roman" w:eastAsia="Times New Roman" w:hAnsi="Times New Roman"/>
                <w:sz w:val="12"/>
                <w:szCs w:val="12"/>
                <w:color w:val="auto"/>
              </w:rPr>
              <w:t>(3)(5)</w:t>
            </w:r>
          </w:p>
        </w:tc>
        <w:tc>
          <w:tcPr>
            <w:tcW w:w="2260" w:type="dxa"/>
            <w:vAlign w:val="bottom"/>
            <w:gridSpan w:val="2"/>
            <w:shd w:val="clear" w:color="auto" w:fill="CCEEFF"/>
          </w:tcPr>
          <w:p>
            <w:pPr>
              <w:ind w:left="420"/>
              <w:spacing w:after="0" w:line="126" w:lineRule="exact"/>
              <w:rPr>
                <w:sz w:val="20"/>
                <w:szCs w:val="20"/>
                <w:color w:val="auto"/>
              </w:rPr>
            </w:pPr>
            <w:r>
              <w:rPr>
                <w:rFonts w:ascii="Times New Roman" w:cs="Times New Roman" w:eastAsia="Times New Roman" w:hAnsi="Times New Roman"/>
                <w:sz w:val="14"/>
                <w:szCs w:val="14"/>
                <w:color w:val="auto"/>
              </w:rPr>
              <w:t>First-lien loan ($29,775 par,</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2/29/2016</w:t>
            </w:r>
          </w:p>
        </w:tc>
        <w:tc>
          <w:tcPr>
            <w:tcW w:w="2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L + 7.75%</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8.75%</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28,894</w:t>
            </w: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29,849</w:t>
            </w:r>
          </w:p>
        </w:tc>
        <w:tc>
          <w:tcPr>
            <w:tcW w:w="180" w:type="dxa"/>
            <w:vAlign w:val="bottom"/>
            <w:shd w:val="clear" w:color="auto" w:fill="CCEEFF"/>
          </w:tcPr>
          <w:p>
            <w:pPr>
              <w:spacing w:after="0"/>
              <w:rPr>
                <w:sz w:val="10"/>
                <w:szCs w:val="10"/>
                <w:color w:val="auto"/>
              </w:rPr>
            </w:pPr>
          </w:p>
        </w:tc>
        <w:tc>
          <w:tcPr>
            <w:tcW w:w="10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22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due 2/2021)</w:t>
            </w:r>
          </w:p>
        </w:tc>
        <w:tc>
          <w:tcPr>
            <w:tcW w:w="90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SRS Software, LLC</w:t>
            </w:r>
            <w:r>
              <w:rPr>
                <w:rFonts w:ascii="Times New Roman" w:cs="Times New Roman" w:eastAsia="Times New Roman" w:hAnsi="Times New Roman"/>
                <w:sz w:val="12"/>
                <w:szCs w:val="12"/>
                <w:color w:val="auto"/>
              </w:rPr>
              <w:t>(3)</w:t>
            </w:r>
          </w:p>
        </w:tc>
        <w:tc>
          <w:tcPr>
            <w:tcW w:w="2260" w:type="dxa"/>
            <w:vAlign w:val="bottom"/>
            <w:gridSpan w:val="2"/>
          </w:tcPr>
          <w:p>
            <w:pPr>
              <w:ind w:left="420"/>
              <w:spacing w:after="0" w:line="126" w:lineRule="exact"/>
              <w:rPr>
                <w:sz w:val="20"/>
                <w:szCs w:val="20"/>
                <w:color w:val="auto"/>
              </w:rPr>
            </w:pPr>
            <w:r>
              <w:rPr>
                <w:rFonts w:ascii="Times New Roman" w:cs="Times New Roman" w:eastAsia="Times New Roman" w:hAnsi="Times New Roman"/>
                <w:sz w:val="14"/>
                <w:szCs w:val="14"/>
                <w:color w:val="auto"/>
              </w:rPr>
              <w:t>First-lien loan ($30,000 par,</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12/28/2012</w:t>
            </w:r>
          </w:p>
        </w:tc>
        <w:tc>
          <w:tcPr>
            <w:tcW w:w="22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L + 7.50%</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8.75%</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29,820</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80" w:type="dxa"/>
            <w:vAlign w:val="bottom"/>
          </w:tcPr>
          <w:p>
            <w:pPr>
              <w:spacing w:after="0"/>
              <w:rPr>
                <w:sz w:val="10"/>
                <w:szCs w:val="10"/>
                <w:color w:val="auto"/>
              </w:rPr>
            </w:pPr>
          </w:p>
        </w:tc>
        <w:tc>
          <w:tcPr>
            <w:tcW w:w="10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due 12/2017)</w:t>
            </w:r>
          </w:p>
        </w:tc>
        <w:tc>
          <w:tcPr>
            <w:tcW w:w="9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80" w:type="dxa"/>
            <w:vAlign w:val="bottom"/>
            <w:shd w:val="clear" w:color="auto" w:fill="CCEEFF"/>
          </w:tcPr>
          <w:p>
            <w:pPr>
              <w:spacing w:after="0"/>
              <w:rPr>
                <w:sz w:val="10"/>
                <w:szCs w:val="10"/>
                <w:color w:val="auto"/>
              </w:rPr>
            </w:pPr>
          </w:p>
        </w:tc>
        <w:tc>
          <w:tcPr>
            <w:tcW w:w="2260" w:type="dxa"/>
            <w:vAlign w:val="bottom"/>
            <w:gridSpan w:val="2"/>
            <w:shd w:val="clear" w:color="auto" w:fill="CCEEFF"/>
          </w:tcPr>
          <w:p>
            <w:pPr>
              <w:ind w:left="420"/>
              <w:spacing w:after="0" w:line="126" w:lineRule="exact"/>
              <w:rPr>
                <w:sz w:val="20"/>
                <w:szCs w:val="20"/>
                <w:color w:val="auto"/>
              </w:rPr>
            </w:pPr>
            <w:r>
              <w:rPr>
                <w:rFonts w:ascii="Times New Roman" w:cs="Times New Roman" w:eastAsia="Times New Roman" w:hAnsi="Times New Roman"/>
                <w:sz w:val="14"/>
                <w:szCs w:val="14"/>
                <w:color w:val="auto"/>
              </w:rPr>
              <w:t>First-lien revolving loan</w:t>
            </w: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($2,000 par, due 12/2017)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12/28/2012</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L + 7.50%</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8.75%</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198,667</w:t>
            </w:r>
          </w:p>
        </w:tc>
        <w:tc>
          <w:tcPr>
            <w:tcW w:w="240" w:type="dxa"/>
            <w:vAlign w:val="bottom"/>
            <w:vMerge w:val="continue"/>
          </w:tcPr>
          <w:p>
            <w:pPr>
              <w:spacing w:after="0"/>
              <w:rPr>
                <w:sz w:val="14"/>
                <w:szCs w:val="14"/>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199,603</w:t>
            </w:r>
          </w:p>
        </w:tc>
        <w:tc>
          <w:tcPr>
            <w:tcW w:w="1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Hotel, gaming, and leisure</w:t>
            </w:r>
          </w:p>
        </w:tc>
        <w:tc>
          <w:tcPr>
            <w:tcW w:w="4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CrunchTime Information Systems, Inc.</w:t>
            </w:r>
            <w:r>
              <w:rPr>
                <w:rFonts w:ascii="Times New Roman" w:cs="Times New Roman" w:eastAsia="Times New Roman" w:hAnsi="Times New Roman"/>
                <w:sz w:val="12"/>
                <w:szCs w:val="12"/>
                <w:color w:val="auto"/>
              </w:rPr>
              <w:t>(3)</w:t>
            </w:r>
          </w:p>
        </w:tc>
        <w:tc>
          <w:tcPr>
            <w:tcW w:w="2260" w:type="dxa"/>
            <w:vAlign w:val="bottom"/>
            <w:gridSpan w:val="2"/>
          </w:tcPr>
          <w:p>
            <w:pPr>
              <w:ind w:left="420"/>
              <w:spacing w:after="0" w:line="126" w:lineRule="exact"/>
              <w:rPr>
                <w:sz w:val="20"/>
                <w:szCs w:val="20"/>
                <w:color w:val="auto"/>
              </w:rPr>
            </w:pPr>
            <w:r>
              <w:rPr>
                <w:rFonts w:ascii="Times New Roman" w:cs="Times New Roman" w:eastAsia="Times New Roman" w:hAnsi="Times New Roman"/>
                <w:sz w:val="14"/>
                <w:szCs w:val="14"/>
                <w:color w:val="auto"/>
              </w:rPr>
              <w:t>First-lien loan ($26,104 par,</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9.27%</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due 4/2020)</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(incl. 2.50%</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4/16/2015</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L + 8.50%</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PIK)</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25,643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26,104</w:t>
            </w:r>
          </w:p>
        </w:tc>
        <w:tc>
          <w:tcPr>
            <w:tcW w:w="180" w:type="dxa"/>
            <w:vAlign w:val="bottom"/>
          </w:tcPr>
          <w:p>
            <w:pPr>
              <w:spacing w:after="0"/>
              <w:rPr>
                <w:sz w:val="16"/>
                <w:szCs w:val="16"/>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IRGSE Holding Corp.</w:t>
            </w:r>
            <w:r>
              <w:rPr>
                <w:rFonts w:ascii="Times New Roman" w:cs="Times New Roman" w:eastAsia="Times New Roman" w:hAnsi="Times New Roman"/>
                <w:sz w:val="12"/>
                <w:szCs w:val="12"/>
                <w:color w:val="auto"/>
              </w:rPr>
              <w:t>(3)(7)</w:t>
            </w:r>
          </w:p>
        </w:tc>
        <w:tc>
          <w:tcPr>
            <w:tcW w:w="2260" w:type="dxa"/>
            <w:vAlign w:val="bottom"/>
            <w:gridSpan w:val="2"/>
            <w:shd w:val="clear" w:color="auto" w:fill="CCEEFF"/>
          </w:tcPr>
          <w:p>
            <w:pPr>
              <w:ind w:left="420"/>
              <w:spacing w:after="0" w:line="126" w:lineRule="exact"/>
              <w:rPr>
                <w:sz w:val="20"/>
                <w:szCs w:val="20"/>
                <w:color w:val="auto"/>
              </w:rPr>
            </w:pPr>
            <w:r>
              <w:rPr>
                <w:rFonts w:ascii="Times New Roman" w:cs="Times New Roman" w:eastAsia="Times New Roman" w:hAnsi="Times New Roman"/>
                <w:sz w:val="14"/>
                <w:szCs w:val="14"/>
                <w:color w:val="auto"/>
              </w:rPr>
              <w:t>First-lien loan ($21,311 par,</w:t>
            </w: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10.50%</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22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due 9/2019)</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(incl. 5.00%</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9/29/2015</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L + 9.50%</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PIK)</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18,807</w:t>
            </w:r>
          </w:p>
        </w:tc>
        <w:tc>
          <w:tcPr>
            <w:tcW w:w="18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260" w:type="dxa"/>
            <w:vAlign w:val="bottom"/>
            <w:gridSpan w:val="2"/>
          </w:tcPr>
          <w:p>
            <w:pPr>
              <w:ind w:left="420"/>
              <w:spacing w:after="0" w:line="126" w:lineRule="exact"/>
              <w:rPr>
                <w:sz w:val="20"/>
                <w:szCs w:val="20"/>
                <w:color w:val="auto"/>
              </w:rPr>
            </w:pPr>
            <w:r>
              <w:rPr>
                <w:rFonts w:ascii="Times New Roman" w:cs="Times New Roman" w:eastAsia="Times New Roman" w:hAnsi="Times New Roman"/>
                <w:sz w:val="14"/>
                <w:szCs w:val="14"/>
                <w:color w:val="auto"/>
              </w:rPr>
              <w:t>First-lien revolver loan</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10.50%</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($14,755 par, due 9/2019)</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(incl. 5.00%</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9/29/2015</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L + 9.50%</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PIK)</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14,755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13,021</w:t>
            </w:r>
          </w:p>
        </w:tc>
        <w:tc>
          <w:tcPr>
            <w:tcW w:w="180" w:type="dxa"/>
            <w:vAlign w:val="bottom"/>
          </w:tcPr>
          <w:p>
            <w:pPr>
              <w:spacing w:after="0"/>
              <w:rPr>
                <w:sz w:val="16"/>
                <w:szCs w:val="16"/>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Soho House</w:t>
            </w:r>
            <w:r>
              <w:rPr>
                <w:rFonts w:ascii="Times New Roman" w:cs="Times New Roman" w:eastAsia="Times New Roman" w:hAnsi="Times New Roman"/>
                <w:sz w:val="12"/>
                <w:szCs w:val="12"/>
                <w:color w:val="auto"/>
              </w:rPr>
              <w:t>(4)(11)</w:t>
            </w:r>
          </w:p>
        </w:tc>
        <w:tc>
          <w:tcPr>
            <w:tcW w:w="2260" w:type="dxa"/>
            <w:vAlign w:val="bottom"/>
            <w:gridSpan w:val="2"/>
            <w:shd w:val="clear" w:color="auto" w:fill="CCEEFF"/>
          </w:tcPr>
          <w:p>
            <w:pPr>
              <w:ind w:left="420"/>
              <w:spacing w:after="0" w:line="126" w:lineRule="exact"/>
              <w:rPr>
                <w:sz w:val="20"/>
                <w:szCs w:val="20"/>
                <w:color w:val="auto"/>
              </w:rPr>
            </w:pPr>
            <w:r>
              <w:rPr>
                <w:rFonts w:ascii="Times New Roman" w:cs="Times New Roman" w:eastAsia="Times New Roman" w:hAnsi="Times New Roman"/>
                <w:sz w:val="14"/>
                <w:szCs w:val="14"/>
                <w:color w:val="auto"/>
              </w:rPr>
              <w:t>Second-lien bond (GBP 12,875</w:t>
            </w: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16,227</w:t>
            </w: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par, due 10/2018)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9/20/2013</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9.13%</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9.13%</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20,618</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(GBP 13,133)</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82,327</w:t>
            </w:r>
          </w:p>
        </w:tc>
        <w:tc>
          <w:tcPr>
            <w:tcW w:w="240" w:type="dxa"/>
            <w:vAlign w:val="bottom"/>
            <w:vMerge w:val="continue"/>
          </w:tcPr>
          <w:p>
            <w:pPr>
              <w:spacing w:after="0"/>
              <w:rPr>
                <w:sz w:val="14"/>
                <w:szCs w:val="14"/>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74,159</w:t>
            </w:r>
          </w:p>
        </w:tc>
        <w:tc>
          <w:tcPr>
            <w:tcW w:w="1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Human resource support services</w:t>
            </w:r>
          </w:p>
        </w:tc>
        <w:tc>
          <w:tcPr>
            <w:tcW w:w="4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Bullhorn, Inc.</w:t>
            </w:r>
            <w:r>
              <w:rPr>
                <w:rFonts w:ascii="Times New Roman" w:cs="Times New Roman" w:eastAsia="Times New Roman" w:hAnsi="Times New Roman"/>
                <w:sz w:val="12"/>
                <w:szCs w:val="12"/>
                <w:color w:val="auto"/>
              </w:rPr>
              <w:t>(3)(5)</w:t>
            </w:r>
          </w:p>
        </w:tc>
        <w:tc>
          <w:tcPr>
            <w:tcW w:w="2260" w:type="dxa"/>
            <w:vAlign w:val="bottom"/>
            <w:gridSpan w:val="2"/>
          </w:tcPr>
          <w:p>
            <w:pPr>
              <w:ind w:left="420"/>
              <w:spacing w:after="0" w:line="126" w:lineRule="exact"/>
              <w:rPr>
                <w:sz w:val="20"/>
                <w:szCs w:val="20"/>
                <w:color w:val="auto"/>
              </w:rPr>
            </w:pPr>
            <w:r>
              <w:rPr>
                <w:rFonts w:ascii="Times New Roman" w:cs="Times New Roman" w:eastAsia="Times New Roman" w:hAnsi="Times New Roman"/>
                <w:sz w:val="14"/>
                <w:szCs w:val="14"/>
                <w:color w:val="auto"/>
              </w:rPr>
              <w:t>First-lien loan ($45,000 par,</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11/12/2015</w:t>
            </w:r>
          </w:p>
        </w:tc>
        <w:tc>
          <w:tcPr>
            <w:tcW w:w="22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L + 7.50%</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8.50%</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44,095</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45,225</w:t>
            </w:r>
          </w:p>
        </w:tc>
        <w:tc>
          <w:tcPr>
            <w:tcW w:w="180" w:type="dxa"/>
            <w:vAlign w:val="bottom"/>
          </w:tcPr>
          <w:p>
            <w:pPr>
              <w:spacing w:after="0"/>
              <w:rPr>
                <w:sz w:val="10"/>
                <w:szCs w:val="10"/>
                <w:color w:val="auto"/>
              </w:rPr>
            </w:pPr>
          </w:p>
        </w:tc>
        <w:tc>
          <w:tcPr>
            <w:tcW w:w="10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due 11/2020)</w:t>
            </w:r>
          </w:p>
        </w:tc>
        <w:tc>
          <w:tcPr>
            <w:tcW w:w="9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Saba Software, Inc.</w:t>
            </w:r>
            <w:r>
              <w:rPr>
                <w:rFonts w:ascii="Times New Roman" w:cs="Times New Roman" w:eastAsia="Times New Roman" w:hAnsi="Times New Roman"/>
                <w:sz w:val="12"/>
                <w:szCs w:val="12"/>
                <w:color w:val="auto"/>
              </w:rPr>
              <w:t>(3)(5)</w:t>
            </w:r>
          </w:p>
        </w:tc>
        <w:tc>
          <w:tcPr>
            <w:tcW w:w="2260" w:type="dxa"/>
            <w:vAlign w:val="bottom"/>
            <w:gridSpan w:val="2"/>
            <w:shd w:val="clear" w:color="auto" w:fill="CCEEFF"/>
          </w:tcPr>
          <w:p>
            <w:pPr>
              <w:ind w:left="420"/>
              <w:spacing w:after="0" w:line="126" w:lineRule="exact"/>
              <w:rPr>
                <w:sz w:val="20"/>
                <w:szCs w:val="20"/>
                <w:color w:val="auto"/>
              </w:rPr>
            </w:pPr>
            <w:r>
              <w:rPr>
                <w:rFonts w:ascii="Times New Roman" w:cs="Times New Roman" w:eastAsia="Times New Roman" w:hAnsi="Times New Roman"/>
                <w:sz w:val="14"/>
                <w:szCs w:val="14"/>
                <w:color w:val="auto"/>
              </w:rPr>
              <w:t>First-lien loan ($54,175 par,</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3/30/2015</w:t>
            </w:r>
          </w:p>
        </w:tc>
        <w:tc>
          <w:tcPr>
            <w:tcW w:w="2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L + 8.75%</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9.75%</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53,680</w:t>
            </w: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54,310</w:t>
            </w:r>
          </w:p>
        </w:tc>
        <w:tc>
          <w:tcPr>
            <w:tcW w:w="180" w:type="dxa"/>
            <w:vAlign w:val="bottom"/>
            <w:shd w:val="clear" w:color="auto" w:fill="CCEEFF"/>
          </w:tcPr>
          <w:p>
            <w:pPr>
              <w:spacing w:after="0"/>
              <w:rPr>
                <w:sz w:val="10"/>
                <w:szCs w:val="10"/>
                <w:color w:val="auto"/>
              </w:rPr>
            </w:pPr>
          </w:p>
        </w:tc>
        <w:tc>
          <w:tcPr>
            <w:tcW w:w="10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22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due 3/2021)</w:t>
            </w:r>
          </w:p>
        </w:tc>
        <w:tc>
          <w:tcPr>
            <w:tcW w:w="90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Skillsoft</w:t>
            </w:r>
            <w:r>
              <w:rPr>
                <w:rFonts w:ascii="Times New Roman" w:cs="Times New Roman" w:eastAsia="Times New Roman" w:hAnsi="Times New Roman"/>
                <w:sz w:val="12"/>
                <w:szCs w:val="12"/>
                <w:color w:val="auto"/>
              </w:rPr>
              <w:t>(3)(11)</w:t>
            </w:r>
          </w:p>
        </w:tc>
        <w:tc>
          <w:tcPr>
            <w:tcW w:w="2260" w:type="dxa"/>
            <w:vAlign w:val="bottom"/>
            <w:gridSpan w:val="2"/>
          </w:tcPr>
          <w:p>
            <w:pPr>
              <w:ind w:left="420"/>
              <w:spacing w:after="0" w:line="126" w:lineRule="exact"/>
              <w:rPr>
                <w:sz w:val="20"/>
                <w:szCs w:val="20"/>
                <w:color w:val="auto"/>
              </w:rPr>
            </w:pPr>
            <w:r>
              <w:rPr>
                <w:rFonts w:ascii="Times New Roman" w:cs="Times New Roman" w:eastAsia="Times New Roman" w:hAnsi="Times New Roman"/>
                <w:sz w:val="14"/>
                <w:szCs w:val="14"/>
                <w:color w:val="auto"/>
              </w:rPr>
              <w:t>First-lien loan ($9,571 par,</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11/5/2015</w:t>
            </w:r>
          </w:p>
        </w:tc>
        <w:tc>
          <w:tcPr>
            <w:tcW w:w="22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L + 4.75%</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5.84%</w:t>
            </w:r>
          </w:p>
        </w:tc>
        <w:tc>
          <w:tcPr>
            <w:tcW w:w="120" w:type="dxa"/>
            <w:vAlign w:val="bottom"/>
            <w:vMerge w:val="restart"/>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7,629</w:t>
            </w:r>
          </w:p>
        </w:tc>
        <w:tc>
          <w:tcPr>
            <w:tcW w:w="240" w:type="dxa"/>
            <w:vAlign w:val="bottom"/>
            <w:vMerge w:val="restart"/>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8,709</w:t>
            </w:r>
          </w:p>
        </w:tc>
        <w:tc>
          <w:tcPr>
            <w:tcW w:w="18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due 4/2021)</w:t>
            </w:r>
          </w:p>
        </w:tc>
        <w:tc>
          <w:tcPr>
            <w:tcW w:w="9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105,404</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108,244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00" w:type="dxa"/>
            <w:vAlign w:val="bottom"/>
            <w:gridSpan w:val="2"/>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4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Insurity, Inc.</w:t>
            </w:r>
            <w:r>
              <w:rPr>
                <w:rFonts w:ascii="Times New Roman" w:cs="Times New Roman" w:eastAsia="Times New Roman" w:hAnsi="Times New Roman"/>
                <w:sz w:val="12"/>
                <w:szCs w:val="12"/>
                <w:color w:val="auto"/>
              </w:rPr>
              <w:t>(3)(5)</w:t>
            </w:r>
          </w:p>
        </w:tc>
        <w:tc>
          <w:tcPr>
            <w:tcW w:w="2260" w:type="dxa"/>
            <w:vAlign w:val="bottom"/>
            <w:gridSpan w:val="2"/>
            <w:shd w:val="clear" w:color="auto" w:fill="CCEEFF"/>
          </w:tcPr>
          <w:p>
            <w:pPr>
              <w:ind w:left="420"/>
              <w:spacing w:after="0" w:line="126" w:lineRule="exact"/>
              <w:rPr>
                <w:sz w:val="20"/>
                <w:szCs w:val="20"/>
                <w:color w:val="auto"/>
              </w:rPr>
            </w:pPr>
            <w:r>
              <w:rPr>
                <w:rFonts w:ascii="Times New Roman" w:cs="Times New Roman" w:eastAsia="Times New Roman" w:hAnsi="Times New Roman"/>
                <w:sz w:val="14"/>
                <w:szCs w:val="14"/>
                <w:color w:val="auto"/>
              </w:rPr>
              <w:t>First-lien loan ($64,978 par,</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10/31/2014</w:t>
            </w:r>
          </w:p>
        </w:tc>
        <w:tc>
          <w:tcPr>
            <w:tcW w:w="2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L + 6.25%</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7.25%</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64,423</w:t>
            </w: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65,952</w:t>
            </w:r>
          </w:p>
        </w:tc>
        <w:tc>
          <w:tcPr>
            <w:tcW w:w="180" w:type="dxa"/>
            <w:vAlign w:val="bottom"/>
            <w:shd w:val="clear" w:color="auto" w:fill="CCEEFF"/>
          </w:tcPr>
          <w:p>
            <w:pPr>
              <w:spacing w:after="0"/>
              <w:rPr>
                <w:sz w:val="10"/>
                <w:szCs w:val="10"/>
                <w:color w:val="auto"/>
              </w:rPr>
            </w:pPr>
          </w:p>
        </w:tc>
        <w:tc>
          <w:tcPr>
            <w:tcW w:w="10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22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due 10/2020)</w:t>
            </w:r>
          </w:p>
        </w:tc>
        <w:tc>
          <w:tcPr>
            <w:tcW w:w="90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Internet services</w:t>
            </w:r>
          </w:p>
        </w:tc>
        <w:tc>
          <w:tcPr>
            <w:tcW w:w="4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Highwinds Capital, Inc.</w:t>
            </w:r>
            <w:r>
              <w:rPr>
                <w:rFonts w:ascii="Times New Roman" w:cs="Times New Roman" w:eastAsia="Times New Roman" w:hAnsi="Times New Roman"/>
                <w:sz w:val="12"/>
                <w:szCs w:val="12"/>
                <w:color w:val="auto"/>
              </w:rPr>
              <w:t>(3)</w:t>
            </w:r>
          </w:p>
        </w:tc>
        <w:tc>
          <w:tcPr>
            <w:tcW w:w="2260" w:type="dxa"/>
            <w:vAlign w:val="bottom"/>
            <w:gridSpan w:val="2"/>
            <w:shd w:val="clear" w:color="auto" w:fill="CCEEFF"/>
          </w:tcPr>
          <w:p>
            <w:pPr>
              <w:ind w:left="420"/>
              <w:spacing w:after="0" w:line="126" w:lineRule="exact"/>
              <w:rPr>
                <w:sz w:val="20"/>
                <w:szCs w:val="20"/>
                <w:color w:val="auto"/>
              </w:rPr>
            </w:pPr>
            <w:r>
              <w:rPr>
                <w:rFonts w:ascii="Times New Roman" w:cs="Times New Roman" w:eastAsia="Times New Roman" w:hAnsi="Times New Roman"/>
                <w:sz w:val="14"/>
                <w:szCs w:val="14"/>
                <w:color w:val="auto"/>
              </w:rPr>
              <w:t>First-lien loan ($47,988 par,</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3/7/2014</w:t>
            </w:r>
          </w:p>
        </w:tc>
        <w:tc>
          <w:tcPr>
            <w:tcW w:w="2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L + 7.50%</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9.00%</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47,679</w:t>
            </w: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48,588</w:t>
            </w:r>
          </w:p>
        </w:tc>
        <w:tc>
          <w:tcPr>
            <w:tcW w:w="180" w:type="dxa"/>
            <w:vAlign w:val="bottom"/>
            <w:shd w:val="clear" w:color="auto" w:fill="CCEEFF"/>
          </w:tcPr>
          <w:p>
            <w:pPr>
              <w:spacing w:after="0"/>
              <w:rPr>
                <w:sz w:val="10"/>
                <w:szCs w:val="10"/>
                <w:color w:val="auto"/>
              </w:rPr>
            </w:pPr>
          </w:p>
        </w:tc>
        <w:tc>
          <w:tcPr>
            <w:tcW w:w="10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22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due 7/2018)</w:t>
            </w:r>
          </w:p>
        </w:tc>
        <w:tc>
          <w:tcPr>
            <w:tcW w:w="90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260" w:type="dxa"/>
            <w:vAlign w:val="bottom"/>
            <w:gridSpan w:val="2"/>
          </w:tcPr>
          <w:p>
            <w:pPr>
              <w:ind w:left="420"/>
              <w:spacing w:after="0" w:line="126" w:lineRule="exact"/>
              <w:rPr>
                <w:sz w:val="20"/>
                <w:szCs w:val="20"/>
                <w:color w:val="auto"/>
              </w:rPr>
            </w:pPr>
            <w:r>
              <w:rPr>
                <w:rFonts w:ascii="Times New Roman" w:cs="Times New Roman" w:eastAsia="Times New Roman" w:hAnsi="Times New Roman"/>
                <w:sz w:val="14"/>
                <w:szCs w:val="14"/>
                <w:color w:val="auto"/>
              </w:rPr>
              <w:t>First-lien revolving loan</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3/7/2014</w:t>
            </w:r>
          </w:p>
        </w:tc>
        <w:tc>
          <w:tcPr>
            <w:tcW w:w="22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L + 7.50%</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9.00%</w:t>
            </w:r>
          </w:p>
        </w:tc>
        <w:tc>
          <w:tcPr>
            <w:tcW w:w="120" w:type="dxa"/>
            <w:vAlign w:val="bottom"/>
            <w:vMerge w:val="restart"/>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2,985</w:t>
            </w:r>
          </w:p>
        </w:tc>
        <w:tc>
          <w:tcPr>
            <w:tcW w:w="240" w:type="dxa"/>
            <w:vAlign w:val="bottom"/>
            <w:vMerge w:val="restart"/>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3,038</w:t>
            </w:r>
          </w:p>
        </w:tc>
        <w:tc>
          <w:tcPr>
            <w:tcW w:w="18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($3,000 par, due 7/2018)</w:t>
            </w:r>
          </w:p>
        </w:tc>
        <w:tc>
          <w:tcPr>
            <w:tcW w:w="9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50,664</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51,626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240"/>
          </w:cols>
          <w:pgMar w:left="240" w:top="456" w:right="41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1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8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3"/>
                <w:szCs w:val="13"/>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3"/>
                <w:szCs w:val="13"/>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2"/>
                <w:szCs w:val="12"/>
                <w:b w:val="1"/>
                <w:bCs w:val="1"/>
                <w:color w:val="auto"/>
              </w:rPr>
              <w:t>(1)</w:t>
            </w:r>
          </w:p>
        </w:tc>
        <w:tc>
          <w:tcPr>
            <w:tcW w:w="400" w:type="dxa"/>
            <w:vAlign w:val="bottom"/>
          </w:tcPr>
          <w:p>
            <w:pPr>
              <w:spacing w:after="0"/>
              <w:rPr>
                <w:sz w:val="12"/>
                <w:szCs w:val="12"/>
                <w:color w:val="auto"/>
              </w:rPr>
            </w:pPr>
          </w:p>
        </w:tc>
        <w:tc>
          <w:tcPr>
            <w:tcW w:w="192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900" w:type="dxa"/>
            <w:vAlign w:val="bottom"/>
            <w:gridSpan w:val="2"/>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24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Rate and</w:t>
            </w:r>
          </w:p>
        </w:tc>
        <w:tc>
          <w:tcPr>
            <w:tcW w:w="8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780" w:type="dxa"/>
            <w:vAlign w:val="bottom"/>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19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240" w:type="dxa"/>
            <w:vAlign w:val="bottom"/>
          </w:tcPr>
          <w:p>
            <w:pPr>
              <w:spacing w:after="0"/>
              <w:rPr>
                <w:sz w:val="13"/>
                <w:szCs w:val="13"/>
                <w:color w:val="auto"/>
              </w:rPr>
            </w:pPr>
          </w:p>
        </w:tc>
        <w:tc>
          <w:tcPr>
            <w:tcW w:w="88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Spread</w:t>
            </w:r>
          </w:p>
        </w:tc>
        <w:tc>
          <w:tcPr>
            <w:tcW w:w="880" w:type="dxa"/>
            <w:vAlign w:val="bottom"/>
            <w:gridSpan w:val="2"/>
          </w:tcPr>
          <w:p>
            <w:pPr>
              <w:jc w:val="right"/>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Rate</w:t>
            </w:r>
          </w:p>
        </w:tc>
        <w:tc>
          <w:tcPr>
            <w:tcW w:w="120" w:type="dxa"/>
            <w:vAlign w:val="bottom"/>
          </w:tcPr>
          <w:p>
            <w:pPr>
              <w:spacing w:after="0"/>
              <w:rPr>
                <w:sz w:val="13"/>
                <w:szCs w:val="13"/>
                <w:color w:val="auto"/>
              </w:rPr>
            </w:pPr>
          </w:p>
        </w:tc>
        <w:tc>
          <w:tcPr>
            <w:tcW w:w="66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Cost</w:t>
            </w:r>
            <w:r>
              <w:rPr>
                <w:rFonts w:ascii="Times New Roman" w:cs="Times New Roman" w:eastAsia="Times New Roman" w:hAnsi="Times New Roman"/>
                <w:sz w:val="12"/>
                <w:szCs w:val="12"/>
                <w:b w:val="1"/>
                <w:bCs w:val="1"/>
                <w:color w:val="auto"/>
              </w:rPr>
              <w:t>(2)(8)</w:t>
            </w:r>
          </w:p>
        </w:tc>
        <w:tc>
          <w:tcPr>
            <w:tcW w:w="260" w:type="dxa"/>
            <w:vAlign w:val="bottom"/>
          </w:tcPr>
          <w:p>
            <w:pPr>
              <w:spacing w:after="0"/>
              <w:rPr>
                <w:sz w:val="13"/>
                <w:szCs w:val="13"/>
                <w:color w:val="auto"/>
              </w:rPr>
            </w:pPr>
          </w:p>
        </w:tc>
        <w:tc>
          <w:tcPr>
            <w:tcW w:w="90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2"/>
                <w:szCs w:val="12"/>
                <w:b w:val="1"/>
                <w:bCs w:val="1"/>
                <w:color w:val="auto"/>
              </w:rPr>
              <w:t>(10)</w:t>
            </w:r>
          </w:p>
        </w:tc>
        <w:tc>
          <w:tcPr>
            <w:tcW w:w="1100" w:type="dxa"/>
            <w:vAlign w:val="bottom"/>
            <w:gridSpan w:val="3"/>
          </w:tcPr>
          <w:p>
            <w:pPr>
              <w:jc w:val="right"/>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760" w:type="dxa"/>
            <w:vAlign w:val="bottom"/>
            <w:gridSpan w:val="2"/>
            <w:shd w:val="clear" w:color="auto" w:fill="CCEEFF"/>
          </w:tcPr>
          <w:p>
            <w:pPr>
              <w:ind w:left="280"/>
              <w:spacing w:after="0" w:line="122"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40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Power Solutions International, Inc.</w:t>
            </w:r>
            <w:r>
              <w:rPr>
                <w:rFonts w:ascii="Times New Roman" w:cs="Times New Roman" w:eastAsia="Times New Roman" w:hAnsi="Times New Roman"/>
                <w:sz w:val="12"/>
                <w:szCs w:val="12"/>
                <w:color w:val="auto"/>
              </w:rPr>
              <w:t>(3)</w:t>
            </w:r>
          </w:p>
        </w:tc>
        <w:tc>
          <w:tcPr>
            <w:tcW w:w="2320" w:type="dxa"/>
            <w:vAlign w:val="bottom"/>
            <w:gridSpan w:val="2"/>
          </w:tcPr>
          <w:p>
            <w:pPr>
              <w:ind w:left="400"/>
              <w:spacing w:after="0" w:line="126" w:lineRule="exact"/>
              <w:rPr>
                <w:sz w:val="20"/>
                <w:szCs w:val="20"/>
                <w:color w:val="auto"/>
              </w:rPr>
            </w:pPr>
            <w:r>
              <w:rPr>
                <w:rFonts w:ascii="Times New Roman" w:cs="Times New Roman" w:eastAsia="Times New Roman" w:hAnsi="Times New Roman"/>
                <w:sz w:val="14"/>
                <w:szCs w:val="14"/>
                <w:color w:val="auto"/>
              </w:rPr>
              <w:t>ABL FILO term loan ($53,550</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6/28/2016</w:t>
            </w:r>
          </w:p>
        </w:tc>
        <w:tc>
          <w:tcPr>
            <w:tcW w:w="24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L + 9.75%</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10.75%</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47,285</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52,613</w:t>
            </w:r>
          </w:p>
        </w:tc>
        <w:tc>
          <w:tcPr>
            <w:tcW w:w="16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par, due 6/2021)</w:t>
            </w:r>
          </w:p>
        </w:tc>
        <w:tc>
          <w:tcPr>
            <w:tcW w:w="9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ScentAir Technologies,</w:t>
            </w:r>
          </w:p>
        </w:tc>
        <w:tc>
          <w:tcPr>
            <w:tcW w:w="2320" w:type="dxa"/>
            <w:vAlign w:val="bottom"/>
            <w:gridSpan w:val="2"/>
            <w:shd w:val="clear" w:color="auto" w:fill="CCEEFF"/>
          </w:tcPr>
          <w:p>
            <w:pPr>
              <w:ind w:left="400"/>
              <w:spacing w:after="0" w:line="126" w:lineRule="exact"/>
              <w:rPr>
                <w:sz w:val="20"/>
                <w:szCs w:val="20"/>
                <w:color w:val="auto"/>
              </w:rPr>
            </w:pPr>
            <w:r>
              <w:rPr>
                <w:rFonts w:ascii="Times New Roman" w:cs="Times New Roman" w:eastAsia="Times New Roman" w:hAnsi="Times New Roman"/>
                <w:sz w:val="14"/>
                <w:szCs w:val="14"/>
                <w:color w:val="auto"/>
              </w:rPr>
              <w:t>First-lien loan ($19,986 par,</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12/30/2014</w:t>
            </w:r>
          </w:p>
        </w:tc>
        <w:tc>
          <w:tcPr>
            <w:tcW w:w="2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L + 6.50%</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7.50%</w:t>
            </w:r>
          </w:p>
        </w:tc>
        <w:tc>
          <w:tcPr>
            <w:tcW w:w="120" w:type="dxa"/>
            <w:vAlign w:val="bottom"/>
            <w:vMerge w:val="restart"/>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19,717</w:t>
            </w:r>
          </w:p>
        </w:tc>
        <w:tc>
          <w:tcPr>
            <w:tcW w:w="260" w:type="dxa"/>
            <w:vAlign w:val="bottom"/>
            <w:vMerge w:val="restart"/>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20,263</w:t>
            </w:r>
          </w:p>
        </w:tc>
        <w:tc>
          <w:tcPr>
            <w:tcW w:w="16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w:t>
            </w:r>
            <w:r>
              <w:rPr>
                <w:rFonts w:ascii="Times New Roman" w:cs="Times New Roman" w:eastAsia="Times New Roman" w:hAnsi="Times New Roman"/>
                <w:sz w:val="12"/>
                <w:szCs w:val="12"/>
                <w:color w:val="auto"/>
              </w:rPr>
              <w:t>(3)</w:t>
            </w:r>
          </w:p>
        </w:tc>
        <w:tc>
          <w:tcPr>
            <w:tcW w:w="23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due 12/2019)</w:t>
            </w:r>
          </w:p>
        </w:tc>
        <w:tc>
          <w:tcPr>
            <w:tcW w:w="90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67,002</w:t>
            </w:r>
          </w:p>
        </w:tc>
        <w:tc>
          <w:tcPr>
            <w:tcW w:w="260" w:type="dxa"/>
            <w:vAlign w:val="bottom"/>
            <w:vMerge w:val="continue"/>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72,876</w:t>
            </w:r>
          </w:p>
        </w:tc>
        <w:tc>
          <w:tcPr>
            <w:tcW w:w="1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Marketing Services</w:t>
            </w:r>
          </w:p>
        </w:tc>
        <w:tc>
          <w:tcPr>
            <w:tcW w:w="4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Marketo, Inc.</w:t>
            </w:r>
            <w:r>
              <w:rPr>
                <w:rFonts w:ascii="Times New Roman" w:cs="Times New Roman" w:eastAsia="Times New Roman" w:hAnsi="Times New Roman"/>
                <w:sz w:val="12"/>
                <w:szCs w:val="12"/>
                <w:color w:val="auto"/>
              </w:rPr>
              <w:t>(3)</w:t>
            </w:r>
          </w:p>
        </w:tc>
        <w:tc>
          <w:tcPr>
            <w:tcW w:w="2320" w:type="dxa"/>
            <w:vAlign w:val="bottom"/>
            <w:gridSpan w:val="2"/>
          </w:tcPr>
          <w:p>
            <w:pPr>
              <w:ind w:left="400"/>
              <w:spacing w:after="0" w:line="126" w:lineRule="exact"/>
              <w:rPr>
                <w:sz w:val="20"/>
                <w:szCs w:val="20"/>
                <w:color w:val="auto"/>
              </w:rPr>
            </w:pPr>
            <w:r>
              <w:rPr>
                <w:rFonts w:ascii="Times New Roman" w:cs="Times New Roman" w:eastAsia="Times New Roman" w:hAnsi="Times New Roman"/>
                <w:sz w:val="14"/>
                <w:szCs w:val="14"/>
                <w:color w:val="auto"/>
              </w:rPr>
              <w:t>First-lien loan ($28,125 par,</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8/16/2016</w:t>
            </w:r>
          </w:p>
        </w:tc>
        <w:tc>
          <w:tcPr>
            <w:tcW w:w="24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L + 9.50%</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10.50%</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27,278</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27,750</w:t>
            </w:r>
          </w:p>
        </w:tc>
        <w:tc>
          <w:tcPr>
            <w:tcW w:w="16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due 8/2021)</w:t>
            </w:r>
          </w:p>
        </w:tc>
        <w:tc>
          <w:tcPr>
            <w:tcW w:w="9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Office products</w:t>
            </w:r>
          </w:p>
        </w:tc>
        <w:tc>
          <w:tcPr>
            <w:tcW w:w="4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Ecommerce Industries,</w:t>
            </w:r>
          </w:p>
        </w:tc>
        <w:tc>
          <w:tcPr>
            <w:tcW w:w="2320" w:type="dxa"/>
            <w:vAlign w:val="bottom"/>
            <w:gridSpan w:val="2"/>
          </w:tcPr>
          <w:p>
            <w:pPr>
              <w:ind w:left="400"/>
              <w:spacing w:after="0" w:line="126" w:lineRule="exact"/>
              <w:rPr>
                <w:sz w:val="20"/>
                <w:szCs w:val="20"/>
                <w:color w:val="auto"/>
              </w:rPr>
            </w:pPr>
            <w:r>
              <w:rPr>
                <w:rFonts w:ascii="Times New Roman" w:cs="Times New Roman" w:eastAsia="Times New Roman" w:hAnsi="Times New Roman"/>
                <w:sz w:val="14"/>
                <w:szCs w:val="14"/>
                <w:color w:val="auto"/>
              </w:rPr>
              <w:t>First-lien loan ($36,529 par,</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3/11/2014</w:t>
            </w:r>
          </w:p>
        </w:tc>
        <w:tc>
          <w:tcPr>
            <w:tcW w:w="24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L + 6.25%</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7.25%</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36,366</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36,627</w:t>
            </w:r>
          </w:p>
        </w:tc>
        <w:tc>
          <w:tcPr>
            <w:tcW w:w="16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Inc.</w:t>
            </w:r>
            <w:r>
              <w:rPr>
                <w:rFonts w:ascii="Times New Roman" w:cs="Times New Roman" w:eastAsia="Times New Roman" w:hAnsi="Times New Roman"/>
                <w:sz w:val="12"/>
                <w:szCs w:val="12"/>
                <w:color w:val="auto"/>
              </w:rPr>
              <w:t>(3)</w:t>
            </w:r>
          </w:p>
        </w:tc>
        <w:tc>
          <w:tcPr>
            <w:tcW w:w="23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due 3/2019)</w:t>
            </w:r>
          </w:p>
        </w:tc>
        <w:tc>
          <w:tcPr>
            <w:tcW w:w="9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Oil, gas and consumable fuels</w:t>
            </w:r>
          </w:p>
        </w:tc>
        <w:tc>
          <w:tcPr>
            <w:tcW w:w="4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Key Energy Services</w:t>
            </w:r>
            <w:r>
              <w:rPr>
                <w:rFonts w:ascii="Times New Roman" w:cs="Times New Roman" w:eastAsia="Times New Roman" w:hAnsi="Times New Roman"/>
                <w:sz w:val="12"/>
                <w:szCs w:val="12"/>
                <w:color w:val="auto"/>
              </w:rPr>
              <w:t>(3)(11)</w:t>
            </w:r>
          </w:p>
        </w:tc>
        <w:tc>
          <w:tcPr>
            <w:tcW w:w="2320" w:type="dxa"/>
            <w:vAlign w:val="bottom"/>
            <w:gridSpan w:val="2"/>
          </w:tcPr>
          <w:p>
            <w:pPr>
              <w:ind w:left="400"/>
              <w:spacing w:after="0" w:line="126" w:lineRule="exact"/>
              <w:rPr>
                <w:sz w:val="20"/>
                <w:szCs w:val="20"/>
                <w:color w:val="auto"/>
              </w:rPr>
            </w:pPr>
            <w:r>
              <w:rPr>
                <w:rFonts w:ascii="Times New Roman" w:cs="Times New Roman" w:eastAsia="Times New Roman" w:hAnsi="Times New Roman"/>
                <w:sz w:val="14"/>
                <w:szCs w:val="14"/>
                <w:color w:val="auto"/>
              </w:rPr>
              <w:t>First-lien loan ($10,771 par,</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5/27/2015</w:t>
            </w:r>
          </w:p>
        </w:tc>
        <w:tc>
          <w:tcPr>
            <w:tcW w:w="24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L + 10.25%</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11.25%</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10,454</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10,717</w:t>
            </w:r>
          </w:p>
        </w:tc>
        <w:tc>
          <w:tcPr>
            <w:tcW w:w="16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due 12/2021)</w:t>
            </w:r>
          </w:p>
        </w:tc>
        <w:tc>
          <w:tcPr>
            <w:tcW w:w="9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Mississippi Resources, LLC</w:t>
            </w:r>
            <w:r>
              <w:rPr>
                <w:rFonts w:ascii="Times New Roman" w:cs="Times New Roman" w:eastAsia="Times New Roman" w:hAnsi="Times New Roman"/>
                <w:sz w:val="12"/>
                <w:szCs w:val="12"/>
                <w:color w:val="auto"/>
              </w:rPr>
              <w:t>(3)(7)</w:t>
            </w:r>
          </w:p>
        </w:tc>
        <w:tc>
          <w:tcPr>
            <w:tcW w:w="2320" w:type="dxa"/>
            <w:vAlign w:val="bottom"/>
            <w:gridSpan w:val="2"/>
            <w:shd w:val="clear" w:color="auto" w:fill="CCEEFF"/>
          </w:tcPr>
          <w:p>
            <w:pPr>
              <w:ind w:left="400"/>
              <w:spacing w:after="0" w:line="126" w:lineRule="exact"/>
              <w:rPr>
                <w:sz w:val="20"/>
                <w:szCs w:val="20"/>
                <w:color w:val="auto"/>
              </w:rPr>
            </w:pPr>
            <w:r>
              <w:rPr>
                <w:rFonts w:ascii="Times New Roman" w:cs="Times New Roman" w:eastAsia="Times New Roman" w:hAnsi="Times New Roman"/>
                <w:sz w:val="14"/>
                <w:szCs w:val="14"/>
                <w:color w:val="auto"/>
              </w:rPr>
              <w:t>First-lien loan ($51,537 par,</w:t>
            </w: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13.00%</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32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due 6/2018)</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(incl. 1.50%</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6/4/2014</w:t>
            </w: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L + 12.00%</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PIK)</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51,078</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33,885</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61,532</w:t>
            </w:r>
          </w:p>
        </w:tc>
        <w:tc>
          <w:tcPr>
            <w:tcW w:w="260" w:type="dxa"/>
            <w:vAlign w:val="bottom"/>
            <w:vMerge w:val="continue"/>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44,602</w:t>
            </w:r>
          </w:p>
        </w:tc>
        <w:tc>
          <w:tcPr>
            <w:tcW w:w="1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Pharmaceuticals</w:t>
            </w:r>
          </w:p>
        </w:tc>
        <w:tc>
          <w:tcPr>
            <w:tcW w:w="4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Nektar Therapeutics</w:t>
            </w:r>
            <w:r>
              <w:rPr>
                <w:rFonts w:ascii="Times New Roman" w:cs="Times New Roman" w:eastAsia="Times New Roman" w:hAnsi="Times New Roman"/>
                <w:sz w:val="12"/>
                <w:szCs w:val="12"/>
                <w:color w:val="auto"/>
              </w:rPr>
              <w:t>(4)(5)(9)</w:t>
            </w:r>
          </w:p>
        </w:tc>
        <w:tc>
          <w:tcPr>
            <w:tcW w:w="2320" w:type="dxa"/>
            <w:vAlign w:val="bottom"/>
            <w:gridSpan w:val="2"/>
          </w:tcPr>
          <w:p>
            <w:pPr>
              <w:ind w:left="400"/>
              <w:spacing w:after="0" w:line="126" w:lineRule="exact"/>
              <w:rPr>
                <w:sz w:val="20"/>
                <w:szCs w:val="20"/>
                <w:color w:val="auto"/>
              </w:rPr>
            </w:pPr>
            <w:r>
              <w:rPr>
                <w:rFonts w:ascii="Times New Roman" w:cs="Times New Roman" w:eastAsia="Times New Roman" w:hAnsi="Times New Roman"/>
                <w:sz w:val="14"/>
                <w:szCs w:val="14"/>
                <w:color w:val="auto"/>
              </w:rPr>
              <w:t>Secured note ($74,950 par, due</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10/5/2015</w:t>
            </w:r>
          </w:p>
        </w:tc>
        <w:tc>
          <w:tcPr>
            <w:tcW w:w="11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7.75%</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7.75%</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74,184</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74,575</w:t>
            </w:r>
          </w:p>
        </w:tc>
        <w:tc>
          <w:tcPr>
            <w:tcW w:w="16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10/2020)</w:t>
            </w:r>
          </w:p>
        </w:tc>
        <w:tc>
          <w:tcPr>
            <w:tcW w:w="900" w:type="dxa"/>
            <w:vAlign w:val="bottom"/>
            <w:gridSpan w:val="2"/>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Retail and consumer products</w:t>
            </w:r>
          </w:p>
        </w:tc>
        <w:tc>
          <w:tcPr>
            <w:tcW w:w="4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American Achievement Corporation</w:t>
            </w:r>
            <w:r>
              <w:rPr>
                <w:rFonts w:ascii="Times New Roman" w:cs="Times New Roman" w:eastAsia="Times New Roman" w:hAnsi="Times New Roman"/>
                <w:sz w:val="12"/>
                <w:szCs w:val="12"/>
                <w:color w:val="auto"/>
              </w:rPr>
              <w:t>(3)(5)</w:t>
            </w:r>
          </w:p>
        </w:tc>
        <w:tc>
          <w:tcPr>
            <w:tcW w:w="2320" w:type="dxa"/>
            <w:vAlign w:val="bottom"/>
            <w:gridSpan w:val="2"/>
          </w:tcPr>
          <w:p>
            <w:pPr>
              <w:ind w:left="400"/>
              <w:spacing w:after="0" w:line="126" w:lineRule="exact"/>
              <w:rPr>
                <w:sz w:val="20"/>
                <w:szCs w:val="20"/>
                <w:color w:val="auto"/>
              </w:rPr>
            </w:pPr>
            <w:r>
              <w:rPr>
                <w:rFonts w:ascii="Times New Roman" w:cs="Times New Roman" w:eastAsia="Times New Roman" w:hAnsi="Times New Roman"/>
                <w:sz w:val="14"/>
                <w:szCs w:val="14"/>
                <w:color w:val="auto"/>
              </w:rPr>
              <w:t>First-lien loan ($23,918 par, due</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9/30/2015</w:t>
            </w:r>
          </w:p>
        </w:tc>
        <w:tc>
          <w:tcPr>
            <w:tcW w:w="24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L + 7.25%</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8.25%</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23,652</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23,858</w:t>
            </w:r>
          </w:p>
        </w:tc>
        <w:tc>
          <w:tcPr>
            <w:tcW w:w="16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9/2020)</w:t>
            </w:r>
          </w:p>
        </w:tc>
        <w:tc>
          <w:tcPr>
            <w:tcW w:w="9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Destination Maternity Corporation</w:t>
            </w:r>
            <w:r>
              <w:rPr>
                <w:rFonts w:ascii="Times New Roman" w:cs="Times New Roman" w:eastAsia="Times New Roman" w:hAnsi="Times New Roman"/>
                <w:sz w:val="12"/>
                <w:szCs w:val="12"/>
                <w:color w:val="auto"/>
              </w:rPr>
              <w:t>(3)(5)</w:t>
            </w:r>
          </w:p>
        </w:tc>
        <w:tc>
          <w:tcPr>
            <w:tcW w:w="2320" w:type="dxa"/>
            <w:vAlign w:val="bottom"/>
            <w:gridSpan w:val="2"/>
            <w:shd w:val="clear" w:color="auto" w:fill="CCEEFF"/>
          </w:tcPr>
          <w:p>
            <w:pPr>
              <w:ind w:left="400"/>
              <w:spacing w:after="0" w:line="126" w:lineRule="exact"/>
              <w:rPr>
                <w:sz w:val="20"/>
                <w:szCs w:val="20"/>
                <w:color w:val="auto"/>
              </w:rPr>
            </w:pPr>
            <w:r>
              <w:rPr>
                <w:rFonts w:ascii="Times New Roman" w:cs="Times New Roman" w:eastAsia="Times New Roman" w:hAnsi="Times New Roman"/>
                <w:sz w:val="14"/>
                <w:szCs w:val="14"/>
                <w:color w:val="auto"/>
              </w:rPr>
              <w:t>ABL FILO term loan ($17,371</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3/25/2016</w:t>
            </w:r>
          </w:p>
        </w:tc>
        <w:tc>
          <w:tcPr>
            <w:tcW w:w="2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L + 7.50%</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8.50%</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17,013</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17,328</w:t>
            </w:r>
          </w:p>
        </w:tc>
        <w:tc>
          <w:tcPr>
            <w:tcW w:w="160" w:type="dxa"/>
            <w:vAlign w:val="bottom"/>
            <w:shd w:val="clear" w:color="auto" w:fill="CCEEFF"/>
          </w:tcPr>
          <w:p>
            <w:pPr>
              <w:spacing w:after="0"/>
              <w:rPr>
                <w:sz w:val="10"/>
                <w:szCs w:val="10"/>
                <w:color w:val="auto"/>
              </w:rPr>
            </w:pPr>
          </w:p>
        </w:tc>
        <w:tc>
          <w:tcPr>
            <w:tcW w:w="11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3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par, due 3/2021)</w:t>
            </w:r>
          </w:p>
        </w:tc>
        <w:tc>
          <w:tcPr>
            <w:tcW w:w="90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Payless Inc.</w:t>
            </w:r>
            <w:r>
              <w:rPr>
                <w:rFonts w:ascii="Times New Roman" w:cs="Times New Roman" w:eastAsia="Times New Roman" w:hAnsi="Times New Roman"/>
                <w:sz w:val="12"/>
                <w:szCs w:val="12"/>
                <w:color w:val="auto"/>
              </w:rPr>
              <w:t>(3)</w:t>
            </w:r>
          </w:p>
        </w:tc>
        <w:tc>
          <w:tcPr>
            <w:tcW w:w="2320" w:type="dxa"/>
            <w:vAlign w:val="bottom"/>
            <w:gridSpan w:val="2"/>
          </w:tcPr>
          <w:p>
            <w:pPr>
              <w:ind w:left="400"/>
              <w:spacing w:after="0" w:line="126" w:lineRule="exact"/>
              <w:rPr>
                <w:sz w:val="20"/>
                <w:szCs w:val="20"/>
                <w:color w:val="auto"/>
              </w:rPr>
            </w:pPr>
            <w:r>
              <w:rPr>
                <w:rFonts w:ascii="Times New Roman" w:cs="Times New Roman" w:eastAsia="Times New Roman" w:hAnsi="Times New Roman"/>
                <w:sz w:val="14"/>
                <w:szCs w:val="14"/>
                <w:color w:val="auto"/>
              </w:rPr>
              <w:t>ABL FILO term loan ($50,000</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10/3/2016</w:t>
            </w:r>
          </w:p>
        </w:tc>
        <w:tc>
          <w:tcPr>
            <w:tcW w:w="24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L + 7.00%</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8.00%</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48,736</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49,125</w:t>
            </w:r>
          </w:p>
        </w:tc>
        <w:tc>
          <w:tcPr>
            <w:tcW w:w="16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par, due 3/2019)</w:t>
            </w:r>
          </w:p>
        </w:tc>
        <w:tc>
          <w:tcPr>
            <w:tcW w:w="9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Quiksilver - Boardriders</w:t>
            </w:r>
          </w:p>
        </w:tc>
        <w:tc>
          <w:tcPr>
            <w:tcW w:w="2320" w:type="dxa"/>
            <w:vAlign w:val="bottom"/>
            <w:gridSpan w:val="2"/>
            <w:shd w:val="clear" w:color="auto" w:fill="CCEEFF"/>
          </w:tcPr>
          <w:p>
            <w:pPr>
              <w:ind w:left="400"/>
              <w:spacing w:after="0" w:line="135" w:lineRule="exact"/>
              <w:rPr>
                <w:sz w:val="20"/>
                <w:szCs w:val="20"/>
                <w:color w:val="auto"/>
              </w:rPr>
            </w:pPr>
            <w:r>
              <w:rPr>
                <w:rFonts w:ascii="Times New Roman" w:cs="Times New Roman" w:eastAsia="Times New Roman" w:hAnsi="Times New Roman"/>
                <w:sz w:val="14"/>
                <w:szCs w:val="14"/>
                <w:color w:val="auto"/>
              </w:rPr>
              <w:t>Bond (EUR 5,699 par,</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5/26/2015</w:t>
            </w:r>
          </w:p>
        </w:tc>
        <w:tc>
          <w:tcPr>
            <w:tcW w:w="11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9.50%</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9.50%</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6,036</w:t>
            </w:r>
          </w:p>
        </w:tc>
        <w:tc>
          <w:tcPr>
            <w:tcW w:w="10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5,170</w:t>
            </w:r>
          </w:p>
        </w:tc>
        <w:tc>
          <w:tcPr>
            <w:tcW w:w="160" w:type="dxa"/>
            <w:vAlign w:val="bottom"/>
            <w:shd w:val="clear" w:color="auto" w:fill="CCEEFF"/>
          </w:tcPr>
          <w:p>
            <w:pPr>
              <w:spacing w:after="0"/>
              <w:rPr>
                <w:sz w:val="11"/>
                <w:szCs w:val="11"/>
                <w:color w:val="auto"/>
              </w:rPr>
            </w:pPr>
          </w:p>
        </w:tc>
        <w:tc>
          <w:tcPr>
            <w:tcW w:w="11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w:t>
            </w:r>
            <w:r>
              <w:rPr>
                <w:rFonts w:ascii="Times New Roman" w:cs="Times New Roman" w:eastAsia="Times New Roman" w:hAnsi="Times New Roman"/>
                <w:sz w:val="12"/>
                <w:szCs w:val="12"/>
                <w:color w:val="auto"/>
              </w:rPr>
              <w:t>(11)</w:t>
            </w:r>
          </w:p>
        </w:tc>
        <w:tc>
          <w:tcPr>
            <w:tcW w:w="23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due 12/2020)</w:t>
            </w:r>
          </w:p>
        </w:tc>
        <w:tc>
          <w:tcPr>
            <w:tcW w:w="900" w:type="dxa"/>
            <w:vAlign w:val="bottom"/>
            <w:gridSpan w:val="2"/>
            <w:vMerge w:val="continue"/>
            <w:shd w:val="clear" w:color="auto" w:fill="CCEEFF"/>
          </w:tcPr>
          <w:p>
            <w:pPr>
              <w:spacing w:after="0"/>
              <w:rPr>
                <w:sz w:val="15"/>
                <w:szCs w:val="15"/>
                <w:color w:val="auto"/>
              </w:rPr>
            </w:pPr>
          </w:p>
        </w:tc>
        <w:tc>
          <w:tcPr>
            <w:tcW w:w="1120" w:type="dxa"/>
            <w:vAlign w:val="bottom"/>
            <w:gridSpan w:val="3"/>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(EUR 4,901)</w:t>
            </w:r>
          </w:p>
        </w:tc>
        <w:tc>
          <w:tcPr>
            <w:tcW w:w="110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Sears</w:t>
            </w:r>
            <w:r>
              <w:rPr>
                <w:rFonts w:ascii="Times New Roman" w:cs="Times New Roman" w:eastAsia="Times New Roman" w:hAnsi="Times New Roman"/>
                <w:sz w:val="12"/>
                <w:szCs w:val="12"/>
                <w:color w:val="auto"/>
              </w:rPr>
              <w:t>(3)(4)(11)</w:t>
            </w:r>
          </w:p>
        </w:tc>
        <w:tc>
          <w:tcPr>
            <w:tcW w:w="2320" w:type="dxa"/>
            <w:vAlign w:val="bottom"/>
            <w:gridSpan w:val="2"/>
          </w:tcPr>
          <w:p>
            <w:pPr>
              <w:ind w:left="400"/>
              <w:spacing w:after="0" w:line="126" w:lineRule="exact"/>
              <w:rPr>
                <w:sz w:val="20"/>
                <w:szCs w:val="20"/>
                <w:color w:val="auto"/>
              </w:rPr>
            </w:pPr>
            <w:r>
              <w:rPr>
                <w:rFonts w:ascii="Times New Roman" w:cs="Times New Roman" w:eastAsia="Times New Roman" w:hAnsi="Times New Roman"/>
                <w:sz w:val="14"/>
                <w:szCs w:val="14"/>
                <w:color w:val="auto"/>
              </w:rPr>
              <w:t>First-lien loan ($3,642 par,</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1/28/2016</w:t>
            </w:r>
          </w:p>
        </w:tc>
        <w:tc>
          <w:tcPr>
            <w:tcW w:w="24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L + 4.50%</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5.50%</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3,457</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3,487</w:t>
            </w:r>
          </w:p>
        </w:tc>
        <w:tc>
          <w:tcPr>
            <w:tcW w:w="16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due 6/2018)</w:t>
            </w:r>
          </w:p>
        </w:tc>
        <w:tc>
          <w:tcPr>
            <w:tcW w:w="9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40" w:type="dxa"/>
            <w:vAlign w:val="bottom"/>
            <w:shd w:val="clear" w:color="auto" w:fill="CCEEFF"/>
          </w:tcPr>
          <w:p>
            <w:pPr>
              <w:spacing w:after="0"/>
              <w:rPr>
                <w:sz w:val="10"/>
                <w:szCs w:val="10"/>
                <w:color w:val="auto"/>
              </w:rPr>
            </w:pPr>
          </w:p>
        </w:tc>
        <w:tc>
          <w:tcPr>
            <w:tcW w:w="2320" w:type="dxa"/>
            <w:vAlign w:val="bottom"/>
            <w:gridSpan w:val="2"/>
            <w:shd w:val="clear" w:color="auto" w:fill="CCEEFF"/>
          </w:tcPr>
          <w:p>
            <w:pPr>
              <w:ind w:left="400"/>
              <w:spacing w:after="0" w:line="126" w:lineRule="exact"/>
              <w:rPr>
                <w:sz w:val="20"/>
                <w:szCs w:val="20"/>
                <w:color w:val="auto"/>
              </w:rPr>
            </w:pPr>
            <w:r>
              <w:rPr>
                <w:rFonts w:ascii="Times New Roman" w:cs="Times New Roman" w:eastAsia="Times New Roman" w:hAnsi="Times New Roman"/>
                <w:sz w:val="14"/>
                <w:szCs w:val="14"/>
                <w:color w:val="auto"/>
              </w:rPr>
              <w:t>First-lien ABL loan ($22,727</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3/18/2016</w:t>
            </w:r>
          </w:p>
        </w:tc>
        <w:tc>
          <w:tcPr>
            <w:tcW w:w="2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L + 7.50%</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8.50%</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22,143</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22,727</w:t>
            </w:r>
          </w:p>
        </w:tc>
        <w:tc>
          <w:tcPr>
            <w:tcW w:w="160" w:type="dxa"/>
            <w:vAlign w:val="bottom"/>
            <w:shd w:val="clear" w:color="auto" w:fill="CCEEFF"/>
          </w:tcPr>
          <w:p>
            <w:pPr>
              <w:spacing w:after="0"/>
              <w:rPr>
                <w:sz w:val="10"/>
                <w:szCs w:val="10"/>
                <w:color w:val="auto"/>
              </w:rPr>
            </w:pPr>
          </w:p>
        </w:tc>
        <w:tc>
          <w:tcPr>
            <w:tcW w:w="11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3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par, due 7/2020)</w:t>
            </w:r>
          </w:p>
        </w:tc>
        <w:tc>
          <w:tcPr>
            <w:tcW w:w="90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Toys ‘R’ Us-Delaware, Inc.</w:t>
            </w:r>
            <w:r>
              <w:rPr>
                <w:rFonts w:ascii="Times New Roman" w:cs="Times New Roman" w:eastAsia="Times New Roman" w:hAnsi="Times New Roman"/>
                <w:sz w:val="12"/>
                <w:szCs w:val="12"/>
                <w:color w:val="auto"/>
              </w:rPr>
              <w:t>(3)(11)</w:t>
            </w:r>
          </w:p>
        </w:tc>
        <w:tc>
          <w:tcPr>
            <w:tcW w:w="2320" w:type="dxa"/>
            <w:vAlign w:val="bottom"/>
            <w:gridSpan w:val="2"/>
          </w:tcPr>
          <w:p>
            <w:pPr>
              <w:ind w:left="400"/>
              <w:spacing w:after="0" w:line="126" w:lineRule="exact"/>
              <w:rPr>
                <w:sz w:val="20"/>
                <w:szCs w:val="20"/>
                <w:color w:val="auto"/>
              </w:rPr>
            </w:pPr>
            <w:r>
              <w:rPr>
                <w:rFonts w:ascii="Times New Roman" w:cs="Times New Roman" w:eastAsia="Times New Roman" w:hAnsi="Times New Roman"/>
                <w:sz w:val="14"/>
                <w:szCs w:val="14"/>
                <w:color w:val="auto"/>
              </w:rPr>
              <w:t>ABL FILO term loan ($25,500</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10/9/2014</w:t>
            </w:r>
          </w:p>
        </w:tc>
        <w:tc>
          <w:tcPr>
            <w:tcW w:w="24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L + 7.25%</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8.25%</w:t>
            </w:r>
          </w:p>
        </w:tc>
        <w:tc>
          <w:tcPr>
            <w:tcW w:w="120" w:type="dxa"/>
            <w:vAlign w:val="bottom"/>
            <w:vMerge w:val="restart"/>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25,349</w:t>
            </w:r>
          </w:p>
        </w:tc>
        <w:tc>
          <w:tcPr>
            <w:tcW w:w="260" w:type="dxa"/>
            <w:vAlign w:val="bottom"/>
            <w:vMerge w:val="restart"/>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25,118</w:t>
            </w:r>
          </w:p>
        </w:tc>
        <w:tc>
          <w:tcPr>
            <w:tcW w:w="160" w:type="dxa"/>
            <w:vAlign w:val="bottom"/>
          </w:tcPr>
          <w:p>
            <w:pPr>
              <w:spacing w:after="0"/>
              <w:rPr>
                <w:sz w:val="10"/>
                <w:szCs w:val="10"/>
                <w:color w:val="auto"/>
              </w:rPr>
            </w:pPr>
          </w:p>
        </w:tc>
        <w:tc>
          <w:tcPr>
            <w:tcW w:w="140" w:type="dxa"/>
            <w:vAlign w:val="bottom"/>
            <w:vMerge w:val="restart"/>
          </w:tcPr>
          <w:p>
            <w:pPr>
              <w:spacing w:after="0"/>
              <w:rPr>
                <w:sz w:val="10"/>
                <w:szCs w:val="10"/>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par, due 10/2019)</w:t>
            </w:r>
          </w:p>
        </w:tc>
        <w:tc>
          <w:tcPr>
            <w:tcW w:w="9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146,386</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146,813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gridSpan w:val="2"/>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Transportation</w:t>
            </w:r>
          </w:p>
        </w:tc>
        <w:tc>
          <w:tcPr>
            <w:tcW w:w="4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Carrix, Inc.</w:t>
            </w:r>
            <w:r>
              <w:rPr>
                <w:rFonts w:ascii="Times New Roman" w:cs="Times New Roman" w:eastAsia="Times New Roman" w:hAnsi="Times New Roman"/>
                <w:sz w:val="12"/>
                <w:szCs w:val="12"/>
                <w:color w:val="auto"/>
              </w:rPr>
              <w:t>(3)(11)</w:t>
            </w:r>
          </w:p>
        </w:tc>
        <w:tc>
          <w:tcPr>
            <w:tcW w:w="2320" w:type="dxa"/>
            <w:vAlign w:val="bottom"/>
            <w:gridSpan w:val="2"/>
            <w:shd w:val="clear" w:color="auto" w:fill="CCEEFF"/>
          </w:tcPr>
          <w:p>
            <w:pPr>
              <w:ind w:left="400"/>
              <w:spacing w:after="0" w:line="126" w:lineRule="exact"/>
              <w:rPr>
                <w:sz w:val="20"/>
                <w:szCs w:val="20"/>
                <w:color w:val="auto"/>
              </w:rPr>
            </w:pPr>
            <w:r>
              <w:rPr>
                <w:rFonts w:ascii="Times New Roman" w:cs="Times New Roman" w:eastAsia="Times New Roman" w:hAnsi="Times New Roman"/>
                <w:sz w:val="14"/>
                <w:szCs w:val="14"/>
                <w:color w:val="auto"/>
              </w:rPr>
              <w:t>First-lien loan ($12,878 par,</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3/17/2015</w:t>
            </w:r>
          </w:p>
        </w:tc>
        <w:tc>
          <w:tcPr>
            <w:tcW w:w="2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L + 3.50%</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4.50%</w:t>
            </w:r>
          </w:p>
        </w:tc>
        <w:tc>
          <w:tcPr>
            <w:tcW w:w="120" w:type="dxa"/>
            <w:vAlign w:val="bottom"/>
            <w:vMerge w:val="restart"/>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12,342</w:t>
            </w:r>
          </w:p>
        </w:tc>
        <w:tc>
          <w:tcPr>
            <w:tcW w:w="260" w:type="dxa"/>
            <w:vAlign w:val="bottom"/>
            <w:vMerge w:val="restart"/>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12,610</w:t>
            </w:r>
          </w:p>
        </w:tc>
        <w:tc>
          <w:tcPr>
            <w:tcW w:w="16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3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due 1/2019)</w:t>
            </w:r>
          </w:p>
        </w:tc>
        <w:tc>
          <w:tcPr>
            <w:tcW w:w="90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 Debt Investments</w:t>
            </w:r>
          </w:p>
        </w:tc>
        <w:tc>
          <w:tcPr>
            <w:tcW w:w="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7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1,627,465</w:t>
            </w:r>
          </w:p>
        </w:tc>
        <w:tc>
          <w:tcPr>
            <w:tcW w:w="260" w:type="dxa"/>
            <w:vAlign w:val="bottom"/>
            <w:vMerge w:val="continue"/>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1,629,836</w:t>
            </w:r>
          </w:p>
        </w:tc>
        <w:tc>
          <w:tcPr>
            <w:tcW w:w="1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171.0%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Equity and Other Investments</w:t>
            </w:r>
          </w:p>
        </w:tc>
        <w:tc>
          <w:tcPr>
            <w:tcW w:w="4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Chemicals</w:t>
            </w:r>
          </w:p>
        </w:tc>
        <w:tc>
          <w:tcPr>
            <w:tcW w:w="4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Vertellus Specialties, Inc.</w:t>
            </w:r>
            <w:r>
              <w:rPr>
                <w:rFonts w:ascii="Times New Roman" w:cs="Times New Roman" w:eastAsia="Times New Roman" w:hAnsi="Times New Roman"/>
                <w:sz w:val="12"/>
                <w:szCs w:val="12"/>
                <w:color w:val="auto"/>
              </w:rPr>
              <w:t>(13)</w:t>
            </w:r>
          </w:p>
        </w:tc>
        <w:tc>
          <w:tcPr>
            <w:tcW w:w="232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Common Units (2,672,990 units)</w:t>
            </w: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10/31/2016</w:t>
            </w: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3,828</w:t>
            </w:r>
          </w:p>
        </w:tc>
        <w:tc>
          <w:tcPr>
            <w:tcW w:w="1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3,627</w:t>
            </w:r>
          </w:p>
        </w:tc>
        <w:tc>
          <w:tcPr>
            <w:tcW w:w="16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Financial services</w:t>
            </w:r>
          </w:p>
        </w:tc>
        <w:tc>
          <w:tcPr>
            <w:tcW w:w="4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AvidXchange, Inc.</w:t>
            </w:r>
            <w:r>
              <w:rPr>
                <w:rFonts w:ascii="Times New Roman" w:cs="Times New Roman" w:eastAsia="Times New Roman" w:hAnsi="Times New Roman"/>
                <w:sz w:val="12"/>
                <w:szCs w:val="12"/>
                <w:color w:val="auto"/>
              </w:rPr>
              <w:t>(13)</w:t>
            </w:r>
          </w:p>
        </w:tc>
        <w:tc>
          <w:tcPr>
            <w:tcW w:w="2320" w:type="dxa"/>
            <w:vAlign w:val="bottom"/>
            <w:gridSpan w:val="2"/>
            <w:shd w:val="clear" w:color="auto" w:fill="CCEEFF"/>
          </w:tcPr>
          <w:p>
            <w:pPr>
              <w:ind w:left="400"/>
              <w:spacing w:after="0" w:line="126" w:lineRule="exact"/>
              <w:rPr>
                <w:sz w:val="20"/>
                <w:szCs w:val="20"/>
                <w:color w:val="auto"/>
              </w:rPr>
            </w:pPr>
            <w:r>
              <w:rPr>
                <w:rFonts w:ascii="Times New Roman" w:cs="Times New Roman" w:eastAsia="Times New Roman" w:hAnsi="Times New Roman"/>
                <w:sz w:val="14"/>
                <w:szCs w:val="14"/>
                <w:color w:val="auto"/>
              </w:rPr>
              <w:t>Series E Preferred Equity</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8/7/2015</w:t>
            </w:r>
          </w:p>
        </w:tc>
        <w:tc>
          <w:tcPr>
            <w:tcW w:w="2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3,846</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4,548</w:t>
            </w:r>
          </w:p>
        </w:tc>
        <w:tc>
          <w:tcPr>
            <w:tcW w:w="160" w:type="dxa"/>
            <w:vAlign w:val="bottom"/>
            <w:shd w:val="clear" w:color="auto" w:fill="CCEEFF"/>
          </w:tcPr>
          <w:p>
            <w:pPr>
              <w:spacing w:after="0"/>
              <w:rPr>
                <w:sz w:val="10"/>
                <w:szCs w:val="10"/>
                <w:color w:val="auto"/>
              </w:rPr>
            </w:pPr>
          </w:p>
        </w:tc>
        <w:tc>
          <w:tcPr>
            <w:tcW w:w="11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3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(214,132 shares)</w:t>
            </w:r>
          </w:p>
        </w:tc>
        <w:tc>
          <w:tcPr>
            <w:tcW w:w="90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Network Merchants, Inc.</w:t>
            </w:r>
            <w:r>
              <w:rPr>
                <w:rFonts w:ascii="Times New Roman" w:cs="Times New Roman" w:eastAsia="Times New Roman" w:hAnsi="Times New Roman"/>
                <w:sz w:val="12"/>
                <w:szCs w:val="12"/>
                <w:color w:val="auto"/>
              </w:rPr>
              <w:t>(13)</w:t>
            </w:r>
          </w:p>
        </w:tc>
        <w:tc>
          <w:tcPr>
            <w:tcW w:w="2320" w:type="dxa"/>
            <w:vAlign w:val="bottom"/>
            <w:gridSpan w:val="2"/>
          </w:tcPr>
          <w:p>
            <w:pPr>
              <w:ind w:left="400"/>
              <w:spacing w:after="0" w:line="126" w:lineRule="exact"/>
              <w:rPr>
                <w:sz w:val="20"/>
                <w:szCs w:val="20"/>
                <w:color w:val="auto"/>
              </w:rPr>
            </w:pPr>
            <w:r>
              <w:rPr>
                <w:rFonts w:ascii="Times New Roman" w:cs="Times New Roman" w:eastAsia="Times New Roman" w:hAnsi="Times New Roman"/>
                <w:sz w:val="14"/>
                <w:szCs w:val="14"/>
                <w:color w:val="auto"/>
              </w:rPr>
              <w:t>Non-Voting Preferred Units</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9/12/2013</w:t>
            </w: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1,550</w:t>
            </w:r>
          </w:p>
        </w:tc>
        <w:tc>
          <w:tcPr>
            <w:tcW w:w="16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(774,099 units)</w:t>
            </w:r>
          </w:p>
        </w:tc>
        <w:tc>
          <w:tcPr>
            <w:tcW w:w="9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TICC Capital Corp.</w:t>
            </w:r>
            <w:r>
              <w:rPr>
                <w:rFonts w:ascii="Times New Roman" w:cs="Times New Roman" w:eastAsia="Times New Roman" w:hAnsi="Times New Roman"/>
                <w:sz w:val="12"/>
                <w:szCs w:val="12"/>
                <w:color w:val="auto"/>
              </w:rPr>
              <w:t>(4)(12)</w:t>
            </w:r>
          </w:p>
        </w:tc>
        <w:tc>
          <w:tcPr>
            <w:tcW w:w="2320" w:type="dxa"/>
            <w:vAlign w:val="bottom"/>
            <w:gridSpan w:val="2"/>
            <w:shd w:val="clear" w:color="auto" w:fill="CCEEFF"/>
          </w:tcPr>
          <w:p>
            <w:pPr>
              <w:ind w:left="400"/>
              <w:spacing w:after="0" w:line="126" w:lineRule="exact"/>
              <w:rPr>
                <w:sz w:val="20"/>
                <w:szCs w:val="20"/>
                <w:color w:val="auto"/>
              </w:rPr>
            </w:pPr>
            <w:r>
              <w:rPr>
                <w:rFonts w:ascii="Times New Roman" w:cs="Times New Roman" w:eastAsia="Times New Roman" w:hAnsi="Times New Roman"/>
                <w:sz w:val="14"/>
                <w:szCs w:val="14"/>
                <w:color w:val="auto"/>
              </w:rPr>
              <w:t>Common Shares (995,419</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8/5/2015</w:t>
            </w:r>
          </w:p>
        </w:tc>
        <w:tc>
          <w:tcPr>
            <w:tcW w:w="2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6,673</w:t>
            </w:r>
          </w:p>
        </w:tc>
        <w:tc>
          <w:tcPr>
            <w:tcW w:w="260" w:type="dxa"/>
            <w:vAlign w:val="bottom"/>
            <w:vMerge w:val="restart"/>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6,580</w:t>
            </w:r>
          </w:p>
        </w:tc>
        <w:tc>
          <w:tcPr>
            <w:tcW w:w="16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23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shares)</w:t>
            </w:r>
          </w:p>
        </w:tc>
        <w:tc>
          <w:tcPr>
            <w:tcW w:w="90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11,299</w:t>
            </w:r>
          </w:p>
        </w:tc>
        <w:tc>
          <w:tcPr>
            <w:tcW w:w="260" w:type="dxa"/>
            <w:vAlign w:val="bottom"/>
            <w:vMerge w:val="continue"/>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12,678</w:t>
            </w:r>
          </w:p>
        </w:tc>
        <w:tc>
          <w:tcPr>
            <w:tcW w:w="16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9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240"/>
          </w:cols>
          <w:pgMar w:left="240" w:top="455" w:right="41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860" w:type="dxa"/>
            <w:vAlign w:val="bottom"/>
            <w:gridSpan w:val="3"/>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3"/>
                <w:szCs w:val="13"/>
                <w:color w:val="auto"/>
              </w:rPr>
            </w:pPr>
          </w:p>
        </w:tc>
        <w:tc>
          <w:tcPr>
            <w:tcW w:w="100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2"/>
                <w:szCs w:val="12"/>
                <w:b w:val="1"/>
                <w:bCs w:val="1"/>
                <w:color w:val="auto"/>
              </w:rPr>
              <w:t>(1)</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5"/>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2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Rate and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920" w:type="dxa"/>
            <w:vAlign w:val="bottom"/>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center"/>
              <w:ind w:right="68"/>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240" w:type="dxa"/>
            <w:vAlign w:val="bottom"/>
          </w:tcPr>
          <w:p>
            <w:pPr>
              <w:spacing w:after="0"/>
              <w:rPr>
                <w:sz w:val="13"/>
                <w:szCs w:val="13"/>
                <w:color w:val="auto"/>
              </w:rPr>
            </w:pPr>
          </w:p>
        </w:tc>
        <w:tc>
          <w:tcPr>
            <w:tcW w:w="6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Spread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3"/>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Rate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2"/>
          </w:tcPr>
          <w:p>
            <w:pPr>
              <w:jc w:val="right"/>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Cost</w:t>
            </w:r>
            <w:r>
              <w:rPr>
                <w:rFonts w:ascii="Times New Roman" w:cs="Times New Roman" w:eastAsia="Times New Roman" w:hAnsi="Times New Roman"/>
                <w:sz w:val="12"/>
                <w:szCs w:val="12"/>
                <w:b w:val="1"/>
                <w:bCs w:val="1"/>
                <w:color w:val="auto"/>
              </w:rPr>
              <w:t>(2)(8)</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3"/>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2"/>
                <w:szCs w:val="12"/>
                <w:b w:val="1"/>
                <w:bCs w:val="1"/>
                <w:color w:val="auto"/>
              </w:rPr>
              <w:t>(10)</w:t>
            </w:r>
          </w:p>
        </w:tc>
        <w:tc>
          <w:tcPr>
            <w:tcW w:w="1120" w:type="dxa"/>
            <w:vAlign w:val="bottom"/>
            <w:gridSpan w:val="5"/>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900" w:type="dxa"/>
            <w:vAlign w:val="bottom"/>
            <w:gridSpan w:val="2"/>
            <w:shd w:val="clear" w:color="auto" w:fill="CCEEFF"/>
          </w:tcPr>
          <w:p>
            <w:pPr>
              <w:ind w:left="280"/>
              <w:spacing w:after="0" w:line="122" w:lineRule="exact"/>
              <w:rPr>
                <w:sz w:val="20"/>
                <w:szCs w:val="20"/>
                <w:color w:val="auto"/>
              </w:rPr>
            </w:pPr>
            <w:r>
              <w:rPr>
                <w:rFonts w:ascii="Times New Roman" w:cs="Times New Roman" w:eastAsia="Times New Roman" w:hAnsi="Times New Roman"/>
                <w:sz w:val="14"/>
                <w:szCs w:val="14"/>
                <w:b w:val="1"/>
                <w:bCs w:val="1"/>
                <w:color w:val="auto"/>
              </w:rPr>
              <w:t>Healthcare</w:t>
            </w:r>
          </w:p>
        </w:tc>
        <w:tc>
          <w:tcPr>
            <w:tcW w:w="4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Global Healthcare Exchange, LLC</w:t>
            </w:r>
            <w:r>
              <w:rPr>
                <w:rFonts w:ascii="Times New Roman" w:cs="Times New Roman" w:eastAsia="Times New Roman" w:hAnsi="Times New Roman"/>
                <w:sz w:val="12"/>
                <w:szCs w:val="12"/>
                <w:color w:val="auto"/>
              </w:rPr>
              <w:t>(13)</w:t>
            </w:r>
          </w:p>
        </w:tc>
        <w:tc>
          <w:tcPr>
            <w:tcW w:w="2560" w:type="dxa"/>
            <w:vAlign w:val="bottom"/>
            <w:gridSpan w:val="8"/>
          </w:tcPr>
          <w:p>
            <w:pPr>
              <w:ind w:left="400"/>
              <w:spacing w:after="0" w:line="126" w:lineRule="exact"/>
              <w:rPr>
                <w:sz w:val="20"/>
                <w:szCs w:val="20"/>
                <w:color w:val="auto"/>
              </w:rPr>
            </w:pPr>
            <w:r>
              <w:rPr>
                <w:rFonts w:ascii="Times New Roman" w:cs="Times New Roman" w:eastAsia="Times New Roman" w:hAnsi="Times New Roman"/>
                <w:sz w:val="14"/>
                <w:szCs w:val="14"/>
                <w:color w:val="auto"/>
              </w:rPr>
              <w:t>Common Shares Class A (358</w:t>
            </w:r>
          </w:p>
        </w:tc>
        <w:tc>
          <w:tcPr>
            <w:tcW w:w="120" w:type="dxa"/>
            <w:vAlign w:val="bottom"/>
          </w:tcPr>
          <w:p>
            <w:pPr>
              <w:spacing w:after="0"/>
              <w:rPr>
                <w:sz w:val="10"/>
                <w:szCs w:val="10"/>
                <w:color w:val="auto"/>
              </w:rPr>
            </w:pP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w w:val="98"/>
              </w:rPr>
              <w:t>3/11/2014</w:t>
            </w: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80" w:type="dxa"/>
            <w:vAlign w:val="bottom"/>
            <w:gridSpan w:val="4"/>
          </w:tcPr>
          <w:p>
            <w:pPr>
              <w:ind w:left="400"/>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2560" w:type="dxa"/>
            <w:vAlign w:val="bottom"/>
            <w:gridSpan w:val="8"/>
            <w:shd w:val="clear" w:color="auto" w:fill="CCEEFF"/>
          </w:tcPr>
          <w:p>
            <w:pPr>
              <w:ind w:left="400"/>
              <w:spacing w:after="0" w:line="126" w:lineRule="exact"/>
              <w:rPr>
                <w:sz w:val="20"/>
                <w:szCs w:val="20"/>
                <w:color w:val="auto"/>
              </w:rPr>
            </w:pPr>
            <w:r>
              <w:rPr>
                <w:rFonts w:ascii="Times New Roman" w:cs="Times New Roman" w:eastAsia="Times New Roman" w:hAnsi="Times New Roman"/>
                <w:sz w:val="14"/>
                <w:szCs w:val="14"/>
                <w:color w:val="auto"/>
              </w:rPr>
              <w:t>Common Shares Class B (196</w:t>
            </w:r>
          </w:p>
        </w:tc>
        <w:tc>
          <w:tcPr>
            <w:tcW w:w="12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3/11/2014</w:t>
            </w: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880" w:type="dxa"/>
            <w:vAlign w:val="bottom"/>
            <w:gridSpan w:val="4"/>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3"/>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Helix Health, Ltd.</w:t>
            </w:r>
            <w:r>
              <w:rPr>
                <w:rFonts w:ascii="Times New Roman" w:cs="Times New Roman" w:eastAsia="Times New Roman" w:hAnsi="Times New Roman"/>
                <w:sz w:val="12"/>
                <w:szCs w:val="12"/>
                <w:color w:val="auto"/>
              </w:rPr>
              <w:t>(4)(13)</w:t>
            </w:r>
          </w:p>
        </w:tc>
        <w:tc>
          <w:tcPr>
            <w:tcW w:w="1880" w:type="dxa"/>
            <w:vAlign w:val="bottom"/>
            <w:gridSpan w:val="4"/>
          </w:tcPr>
          <w:p>
            <w:pPr>
              <w:ind w:left="400"/>
              <w:spacing w:after="0" w:line="126" w:lineRule="exact"/>
              <w:rPr>
                <w:sz w:val="20"/>
                <w:szCs w:val="20"/>
                <w:color w:val="auto"/>
              </w:rPr>
            </w:pPr>
            <w:r>
              <w:rPr>
                <w:rFonts w:ascii="Times New Roman" w:cs="Times New Roman" w:eastAsia="Times New Roman" w:hAnsi="Times New Roman"/>
                <w:sz w:val="14"/>
                <w:szCs w:val="14"/>
                <w:color w:val="auto"/>
              </w:rPr>
              <w:t>Warrants</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3"/>
          </w:tcPr>
          <w:p>
            <w:pPr>
              <w:jc w:val="right"/>
              <w:spacing w:after="0" w:line="126" w:lineRule="exact"/>
              <w:rPr>
                <w:sz w:val="20"/>
                <w:szCs w:val="20"/>
                <w:color w:val="auto"/>
              </w:rPr>
            </w:pPr>
            <w:r>
              <w:rPr>
                <w:rFonts w:ascii="Times New Roman" w:cs="Times New Roman" w:eastAsia="Times New Roman" w:hAnsi="Times New Roman"/>
                <w:sz w:val="14"/>
                <w:szCs w:val="14"/>
                <w:color w:val="auto"/>
              </w:rPr>
              <w:t>685</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8"/>
              </w:rPr>
              <w:t>9/30/2014</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(EUR 648)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SRS Parent Corp.</w:t>
            </w:r>
            <w:r>
              <w:rPr>
                <w:rFonts w:ascii="Times New Roman" w:cs="Times New Roman" w:eastAsia="Times New Roman" w:hAnsi="Times New Roman"/>
                <w:sz w:val="12"/>
                <w:szCs w:val="12"/>
                <w:color w:val="auto"/>
              </w:rPr>
              <w:t>(13)</w:t>
            </w:r>
          </w:p>
        </w:tc>
        <w:tc>
          <w:tcPr>
            <w:tcW w:w="1880" w:type="dxa"/>
            <w:vAlign w:val="bottom"/>
            <w:gridSpan w:val="4"/>
            <w:shd w:val="clear" w:color="auto" w:fill="CCEEFF"/>
          </w:tcPr>
          <w:p>
            <w:pPr>
              <w:ind w:left="400"/>
              <w:spacing w:after="0" w:line="126" w:lineRule="exact"/>
              <w:rPr>
                <w:sz w:val="20"/>
                <w:szCs w:val="20"/>
                <w:color w:val="auto"/>
              </w:rPr>
            </w:pPr>
            <w:r>
              <w:rPr>
                <w:rFonts w:ascii="Times New Roman" w:cs="Times New Roman" w:eastAsia="Times New Roman" w:hAnsi="Times New Roman"/>
                <w:sz w:val="14"/>
                <w:szCs w:val="14"/>
                <w:color w:val="auto"/>
              </w:rPr>
              <w:t>Common Shares Class A</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12/28/2012</w:t>
            </w: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880" w:type="dxa"/>
            <w:vAlign w:val="bottom"/>
            <w:gridSpan w:val="4"/>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(1,980 shares)</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gridSpan w:val="3"/>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3"/>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880" w:type="dxa"/>
            <w:vAlign w:val="bottom"/>
            <w:gridSpan w:val="4"/>
          </w:tcPr>
          <w:p>
            <w:pPr>
              <w:ind w:left="400"/>
              <w:spacing w:after="0" w:line="126" w:lineRule="exact"/>
              <w:rPr>
                <w:sz w:val="20"/>
                <w:szCs w:val="20"/>
                <w:color w:val="auto"/>
              </w:rPr>
            </w:pPr>
            <w:r>
              <w:rPr>
                <w:rFonts w:ascii="Times New Roman" w:cs="Times New Roman" w:eastAsia="Times New Roman" w:hAnsi="Times New Roman"/>
                <w:sz w:val="14"/>
                <w:szCs w:val="14"/>
                <w:color w:val="auto"/>
              </w:rPr>
              <w:t>Common Shares Class B</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12/28/2012</w:t>
            </w: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vMerge w:val="restart"/>
          </w:tcPr>
          <w:p>
            <w:pPr>
              <w:spacing w:after="0"/>
              <w:rPr>
                <w:sz w:val="10"/>
                <w:szCs w:val="10"/>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vMerge w:val="restart"/>
          </w:tcPr>
          <w:p>
            <w:pPr>
              <w:spacing w:after="0"/>
              <w:rPr>
                <w:sz w:val="10"/>
                <w:szCs w:val="10"/>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80" w:type="dxa"/>
            <w:vAlign w:val="bottom"/>
            <w:gridSpan w:val="4"/>
          </w:tcPr>
          <w:p>
            <w:pPr>
              <w:ind w:left="400"/>
              <w:spacing w:after="0"/>
              <w:rPr>
                <w:sz w:val="20"/>
                <w:szCs w:val="20"/>
                <w:color w:val="auto"/>
              </w:rPr>
            </w:pPr>
            <w:r>
              <w:rPr>
                <w:rFonts w:ascii="Times New Roman" w:cs="Times New Roman" w:eastAsia="Times New Roman" w:hAnsi="Times New Roman"/>
                <w:sz w:val="14"/>
                <w:szCs w:val="14"/>
                <w:color w:val="auto"/>
              </w:rPr>
              <w:t>(2,953,020 shares)</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3,241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00" w:type="dxa"/>
            <w:vAlign w:val="bottom"/>
            <w:gridSpan w:val="2"/>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Hotel, gaming, and leisure</w:t>
            </w: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IRGSE Holding Corp.</w:t>
            </w:r>
            <w:r>
              <w:rPr>
                <w:rFonts w:ascii="Times New Roman" w:cs="Times New Roman" w:eastAsia="Times New Roman" w:hAnsi="Times New Roman"/>
                <w:sz w:val="12"/>
                <w:szCs w:val="12"/>
                <w:color w:val="auto"/>
              </w:rPr>
              <w:t>(7)(13)</w:t>
            </w:r>
          </w:p>
        </w:tc>
        <w:tc>
          <w:tcPr>
            <w:tcW w:w="2560" w:type="dxa"/>
            <w:vAlign w:val="bottom"/>
            <w:gridSpan w:val="8"/>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Class A Units (5,000,000 units)</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9/29/2015</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3,897</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560" w:type="dxa"/>
            <w:vAlign w:val="bottom"/>
            <w:gridSpan w:val="8"/>
          </w:tcPr>
          <w:p>
            <w:pPr>
              <w:ind w:left="400"/>
              <w:spacing w:after="0" w:line="149" w:lineRule="exact"/>
              <w:rPr>
                <w:sz w:val="20"/>
                <w:szCs w:val="20"/>
                <w:color w:val="auto"/>
              </w:rPr>
            </w:pPr>
            <w:r>
              <w:rPr>
                <w:rFonts w:ascii="Times New Roman" w:cs="Times New Roman" w:eastAsia="Times New Roman" w:hAnsi="Times New Roman"/>
                <w:sz w:val="14"/>
                <w:szCs w:val="14"/>
                <w:color w:val="auto"/>
              </w:rPr>
              <w:t>Class C-1 Units (8,800,000 units)</w:t>
            </w:r>
          </w:p>
        </w:tc>
        <w:tc>
          <w:tcPr>
            <w:tcW w:w="1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9/29/2015</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3,997</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00" w:type="dxa"/>
            <w:vAlign w:val="bottom"/>
            <w:gridSpan w:val="2"/>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Oil, gas and consumable fuels</w:t>
            </w: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Mississippi Resources,</w:t>
            </w:r>
          </w:p>
        </w:tc>
        <w:tc>
          <w:tcPr>
            <w:tcW w:w="2560" w:type="dxa"/>
            <w:vAlign w:val="bottom"/>
            <w:gridSpan w:val="8"/>
            <w:shd w:val="clear" w:color="auto" w:fill="CCEEFF"/>
          </w:tcPr>
          <w:p>
            <w:pPr>
              <w:ind w:left="400"/>
              <w:spacing w:after="0" w:line="126" w:lineRule="exact"/>
              <w:rPr>
                <w:sz w:val="20"/>
                <w:szCs w:val="20"/>
                <w:color w:val="auto"/>
              </w:rPr>
            </w:pPr>
            <w:r>
              <w:rPr>
                <w:rFonts w:ascii="Times New Roman" w:cs="Times New Roman" w:eastAsia="Times New Roman" w:hAnsi="Times New Roman"/>
                <w:sz w:val="14"/>
                <w:szCs w:val="14"/>
                <w:color w:val="auto"/>
              </w:rPr>
              <w:t>Class A Member Units (933</w:t>
            </w:r>
          </w:p>
        </w:tc>
        <w:tc>
          <w:tcPr>
            <w:tcW w:w="12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6/4/2014</w:t>
            </w: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8,874</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3"/>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LLC</w:t>
            </w:r>
            <w:r>
              <w:rPr>
                <w:rFonts w:ascii="Times New Roman" w:cs="Times New Roman" w:eastAsia="Times New Roman" w:hAnsi="Times New Roman"/>
                <w:sz w:val="12"/>
                <w:szCs w:val="12"/>
                <w:color w:val="auto"/>
              </w:rPr>
              <w:t>(7)(13)</w:t>
            </w:r>
          </w:p>
        </w:tc>
        <w:tc>
          <w:tcPr>
            <w:tcW w:w="1880" w:type="dxa"/>
            <w:vAlign w:val="bottom"/>
            <w:gridSpan w:val="4"/>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units)</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3"/>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Oak Hill Credit Partners VIII, Ltd.</w:t>
            </w:r>
            <w:r>
              <w:rPr>
                <w:rFonts w:ascii="Times New Roman" w:cs="Times New Roman" w:eastAsia="Times New Roman" w:hAnsi="Times New Roman"/>
                <w:sz w:val="12"/>
                <w:szCs w:val="12"/>
                <w:color w:val="auto"/>
              </w:rPr>
              <w:t>(4)(6)(11)</w:t>
            </w:r>
          </w:p>
        </w:tc>
        <w:tc>
          <w:tcPr>
            <w:tcW w:w="2560" w:type="dxa"/>
            <w:vAlign w:val="bottom"/>
            <w:gridSpan w:val="8"/>
            <w:shd w:val="clear" w:color="auto" w:fill="CCEEFF"/>
          </w:tcPr>
          <w:p>
            <w:pPr>
              <w:ind w:left="400"/>
              <w:spacing w:after="0" w:line="126" w:lineRule="exact"/>
              <w:rPr>
                <w:sz w:val="20"/>
                <w:szCs w:val="20"/>
                <w:color w:val="auto"/>
              </w:rPr>
            </w:pPr>
            <w:r>
              <w:rPr>
                <w:rFonts w:ascii="Times New Roman" w:cs="Times New Roman" w:eastAsia="Times New Roman" w:hAnsi="Times New Roman"/>
                <w:sz w:val="14"/>
                <w:szCs w:val="14"/>
                <w:color w:val="auto"/>
              </w:rPr>
              <w:t>Structured Product (Class F</w:t>
            </w:r>
          </w:p>
        </w:tc>
        <w:tc>
          <w:tcPr>
            <w:tcW w:w="12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8/21/2015</w:t>
            </w:r>
          </w:p>
        </w:tc>
        <w:tc>
          <w:tcPr>
            <w:tcW w:w="240" w:type="dxa"/>
            <w:vAlign w:val="bottom"/>
            <w:shd w:val="clear" w:color="auto" w:fill="CCEEFF"/>
          </w:tcPr>
          <w:p>
            <w:pPr>
              <w:spacing w:after="0"/>
              <w:rPr>
                <w:sz w:val="10"/>
                <w:szCs w:val="10"/>
                <w:color w:val="auto"/>
              </w:rPr>
            </w:pPr>
          </w:p>
        </w:tc>
        <w:tc>
          <w:tcPr>
            <w:tcW w:w="740" w:type="dxa"/>
            <w:vAlign w:val="bottom"/>
            <w:gridSpan w:val="4"/>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97"/>
              </w:rPr>
              <w:t>L + 5.50%</w:t>
            </w:r>
          </w:p>
        </w:tc>
        <w:tc>
          <w:tcPr>
            <w:tcW w:w="820" w:type="dxa"/>
            <w:vAlign w:val="bottom"/>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6.38%</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3,345</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3,162</w:t>
            </w: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880" w:type="dxa"/>
            <w:vAlign w:val="bottom"/>
            <w:gridSpan w:val="4"/>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Notes)</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4"/>
            <w:vMerge w:val="continue"/>
            <w:shd w:val="clear" w:color="auto" w:fill="CCEEFF"/>
          </w:tcPr>
          <w:p>
            <w:pPr>
              <w:spacing w:after="0"/>
              <w:rPr>
                <w:sz w:val="14"/>
                <w:szCs w:val="14"/>
                <w:color w:val="auto"/>
              </w:rPr>
            </w:pPr>
          </w:p>
        </w:tc>
        <w:tc>
          <w:tcPr>
            <w:tcW w:w="820" w:type="dxa"/>
            <w:vAlign w:val="bottom"/>
            <w:gridSpan w:val="4"/>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3"/>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Symphony CLO XV,</w:t>
            </w:r>
          </w:p>
        </w:tc>
        <w:tc>
          <w:tcPr>
            <w:tcW w:w="2560" w:type="dxa"/>
            <w:vAlign w:val="bottom"/>
            <w:gridSpan w:val="8"/>
          </w:tcPr>
          <w:p>
            <w:pPr>
              <w:ind w:left="400"/>
              <w:spacing w:after="0" w:line="126" w:lineRule="exact"/>
              <w:rPr>
                <w:sz w:val="20"/>
                <w:szCs w:val="20"/>
                <w:color w:val="auto"/>
              </w:rPr>
            </w:pPr>
            <w:r>
              <w:rPr>
                <w:rFonts w:ascii="Times New Roman" w:cs="Times New Roman" w:eastAsia="Times New Roman" w:hAnsi="Times New Roman"/>
                <w:sz w:val="14"/>
                <w:szCs w:val="14"/>
                <w:color w:val="auto"/>
              </w:rPr>
              <w:t>Structured Product (Class F</w:t>
            </w: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11/17/2014</w:t>
            </w:r>
          </w:p>
        </w:tc>
        <w:tc>
          <w:tcPr>
            <w:tcW w:w="240" w:type="dxa"/>
            <w:vAlign w:val="bottom"/>
          </w:tcPr>
          <w:p>
            <w:pPr>
              <w:spacing w:after="0"/>
              <w:rPr>
                <w:sz w:val="10"/>
                <w:szCs w:val="10"/>
                <w:color w:val="auto"/>
              </w:rPr>
            </w:pPr>
          </w:p>
        </w:tc>
        <w:tc>
          <w:tcPr>
            <w:tcW w:w="74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color w:val="auto"/>
                <w:w w:val="97"/>
              </w:rPr>
              <w:t>L + 5.75%</w:t>
            </w:r>
          </w:p>
        </w:tc>
        <w:tc>
          <w:tcPr>
            <w:tcW w:w="82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6.63%</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vMerge w:val="restart"/>
          </w:tcPr>
          <w:p>
            <w:pPr>
              <w:spacing w:after="0"/>
              <w:rPr>
                <w:sz w:val="10"/>
                <w:szCs w:val="10"/>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5,638</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vMerge w:val="restart"/>
          </w:tcPr>
          <w:p>
            <w:pPr>
              <w:spacing w:after="0"/>
              <w:rPr>
                <w:sz w:val="10"/>
                <w:szCs w:val="10"/>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5,360</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Ltd.</w:t>
            </w:r>
            <w:r>
              <w:rPr>
                <w:rFonts w:ascii="Times New Roman" w:cs="Times New Roman" w:eastAsia="Times New Roman" w:hAnsi="Times New Roman"/>
                <w:sz w:val="12"/>
                <w:szCs w:val="12"/>
                <w:color w:val="auto"/>
              </w:rPr>
              <w:t>(4)(6)(11)</w:t>
            </w:r>
          </w:p>
        </w:tc>
        <w:tc>
          <w:tcPr>
            <w:tcW w:w="1880" w:type="dxa"/>
            <w:vAlign w:val="bottom"/>
            <w:gridSpan w:val="4"/>
          </w:tcPr>
          <w:p>
            <w:pPr>
              <w:ind w:left="400"/>
              <w:spacing w:after="0"/>
              <w:rPr>
                <w:sz w:val="20"/>
                <w:szCs w:val="20"/>
                <w:color w:val="auto"/>
              </w:rPr>
            </w:pPr>
            <w:r>
              <w:rPr>
                <w:rFonts w:ascii="Times New Roman" w:cs="Times New Roman" w:eastAsia="Times New Roman" w:hAnsi="Times New Roman"/>
                <w:sz w:val="14"/>
                <w:szCs w:val="14"/>
                <w:color w:val="auto"/>
              </w:rPr>
              <w:t>Notes)</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8,983</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8,522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 Equity and Other Investments</w:t>
            </w: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9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6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40,222</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6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27,567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Investments</w:t>
            </w: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1,667,687</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$ 1,657,403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173.8%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1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Interest Rate Swaps as of December 31, 2016</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6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40" w:type="dxa"/>
            <w:vAlign w:val="bottom"/>
          </w:tcPr>
          <w:p>
            <w:pPr>
              <w:spacing w:after="0"/>
              <w:rPr>
                <w:sz w:val="10"/>
                <w:szCs w:val="10"/>
                <w:color w:val="auto"/>
              </w:rPr>
            </w:pPr>
          </w:p>
        </w:tc>
        <w:tc>
          <w:tcPr>
            <w:tcW w:w="9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4"/>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Upfront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5"/>
            <w:vMerge w:val="continue"/>
          </w:tcPr>
          <w:p>
            <w:pPr>
              <w:spacing w:after="0"/>
              <w:rPr>
                <w:sz w:val="12"/>
                <w:szCs w:val="12"/>
                <w:color w:val="auto"/>
              </w:rPr>
            </w:pPr>
          </w:p>
        </w:tc>
        <w:tc>
          <w:tcPr>
            <w:tcW w:w="840" w:type="dxa"/>
            <w:vAlign w:val="bottom"/>
            <w:gridSpan w:val="5"/>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1100" w:type="dxa"/>
            <w:vAlign w:val="bottom"/>
            <w:gridSpan w:val="6"/>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Payments /</w:t>
            </w:r>
          </w:p>
        </w:tc>
        <w:tc>
          <w:tcPr>
            <w:tcW w:w="1120" w:type="dxa"/>
            <w:vAlign w:val="bottom"/>
            <w:gridSpan w:val="5"/>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 /</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218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Receives</w:t>
            </w:r>
            <w:r>
              <w:rPr>
                <w:rFonts w:ascii="Times New Roman" w:cs="Times New Roman" w:eastAsia="Times New Roman" w:hAnsi="Times New Roman"/>
                <w:sz w:val="12"/>
                <w:szCs w:val="12"/>
                <w:b w:val="1"/>
                <w:bCs w:val="1"/>
                <w:color w:val="auto"/>
                <w:w w:val="97"/>
              </w:rPr>
              <w:t>(a)</w:t>
            </w:r>
          </w:p>
        </w:tc>
        <w:tc>
          <w:tcPr>
            <w:tcW w:w="4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Pays</w:t>
            </w:r>
            <w:r>
              <w:rPr>
                <w:rFonts w:ascii="Times New Roman" w:cs="Times New Roman" w:eastAsia="Times New Roman" w:hAnsi="Times New Roman"/>
                <w:sz w:val="12"/>
                <w:szCs w:val="12"/>
                <w:b w:val="1"/>
                <w:bCs w:val="1"/>
                <w:color w:val="auto"/>
                <w:w w:val="99"/>
              </w:rPr>
              <w:t>(a)</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Borders>
              <w:bottom w:val="single" w:sz="8" w:color="CCEEFF"/>
            </w:tcBorders>
            <w:gridSpan w:val="2"/>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Receipts</w:t>
            </w:r>
          </w:p>
        </w:tc>
        <w:tc>
          <w:tcPr>
            <w:tcW w:w="280" w:type="dxa"/>
            <w:vAlign w:val="bottom"/>
            <w:tcBorders>
              <w:bottom w:val="single" w:sz="8" w:color="CCEEFF"/>
            </w:tcBorders>
            <w:gridSpan w:val="2"/>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0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Interest rate swap</w:t>
            </w: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L</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4"/>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1.16%</w:t>
            </w:r>
          </w:p>
        </w:tc>
        <w:tc>
          <w:tcPr>
            <w:tcW w:w="4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10/5/2018</w:t>
            </w: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92,500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276</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center"/>
              <w:ind w:left="188"/>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gridSpan w:val="2"/>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1880" w:type="dxa"/>
            <w:vAlign w:val="bottom"/>
            <w:gridSpan w:val="4"/>
          </w:tcPr>
          <w:p>
            <w:pPr>
              <w:ind w:left="1180"/>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80" w:type="dxa"/>
            <w:vAlign w:val="bottom"/>
          </w:tcPr>
          <w:p>
            <w:pPr>
              <w:spacing w:after="0"/>
              <w:rPr>
                <w:sz w:val="12"/>
                <w:szCs w:val="12"/>
                <w:color w:val="auto"/>
              </w:rPr>
            </w:pPr>
          </w:p>
        </w:tc>
        <w:tc>
          <w:tcPr>
            <w:tcW w:w="72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L + 2.86%</w:t>
            </w:r>
          </w:p>
        </w:tc>
        <w:tc>
          <w:tcPr>
            <w:tcW w:w="110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12/15/2019</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115,000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207,500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3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960" w:hanging="432"/>
        <w:spacing w:after="0"/>
        <w:tabs>
          <w:tab w:leader="none" w:pos="960" w:val="left"/>
        </w:tabs>
        <w:numPr>
          <w:ilvl w:val="1"/>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Contains a variable rate structure. Bears interest at a rate determined by three-month LIBOR.</w:t>
      </w:r>
    </w:p>
    <w:p>
      <w:pPr>
        <w:spacing w:after="0" w:line="109" w:lineRule="exact"/>
        <w:rPr>
          <w:rFonts w:ascii="Times New Roman" w:cs="Times New Roman" w:eastAsia="Times New Roman" w:hAnsi="Times New Roman"/>
          <w:sz w:val="14"/>
          <w:szCs w:val="14"/>
          <w:color w:val="auto"/>
        </w:rPr>
      </w:pPr>
    </w:p>
    <w:p>
      <w:pPr>
        <w:ind w:left="520" w:hanging="316"/>
        <w:spacing w:after="0"/>
        <w:tabs>
          <w:tab w:leader="none" w:pos="52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portfolio company investments are subject to contractual restrictions on sales.</w:t>
      </w:r>
    </w:p>
    <w:p>
      <w:pPr>
        <w:spacing w:after="0" w:line="109" w:lineRule="exact"/>
        <w:rPr>
          <w:rFonts w:ascii="Times New Roman" w:cs="Times New Roman" w:eastAsia="Times New Roman" w:hAnsi="Times New Roman"/>
          <w:sz w:val="14"/>
          <w:szCs w:val="14"/>
          <w:color w:val="auto"/>
        </w:rPr>
      </w:pPr>
    </w:p>
    <w:p>
      <w:pPr>
        <w:ind w:left="520" w:hanging="316"/>
        <w:spacing w:after="0"/>
        <w:tabs>
          <w:tab w:leader="none" w:pos="52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amortized cost represents the original cost adjusted for the amortization of discounts and premiums, as applicable, on debt investments using the effective interest method.</w:t>
      </w:r>
    </w:p>
    <w:p>
      <w:pPr>
        <w:spacing w:after="0" w:line="109" w:lineRule="exact"/>
        <w:rPr>
          <w:rFonts w:ascii="Times New Roman" w:cs="Times New Roman" w:eastAsia="Times New Roman" w:hAnsi="Times New Roman"/>
          <w:sz w:val="14"/>
          <w:szCs w:val="14"/>
          <w:color w:val="auto"/>
        </w:rPr>
      </w:pPr>
    </w:p>
    <w:p>
      <w:pPr>
        <w:ind w:left="520" w:right="400" w:hanging="316"/>
        <w:spacing w:after="0" w:line="236" w:lineRule="auto"/>
        <w:tabs>
          <w:tab w:leader="none" w:pos="52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Euro Interbank Offered Rate ( “EURIBOR” or “E”) or an alternate base rate (which can include the Federal Funds Effective Rate or the Prime Rate or “P”), at the borrower’s option, which reset periodically based on the terms of the credit agreement. For investments with multiple interest rate contracts, the interest rate shown is the weighted average interest rate in effect at December 31, 2016.</w:t>
      </w:r>
    </w:p>
    <w:p>
      <w:pPr>
        <w:spacing w:after="0" w:line="82" w:lineRule="exact"/>
        <w:rPr>
          <w:rFonts w:ascii="Times New Roman" w:cs="Times New Roman" w:eastAsia="Times New Roman" w:hAnsi="Times New Roman"/>
          <w:sz w:val="14"/>
          <w:szCs w:val="14"/>
          <w:color w:val="auto"/>
        </w:rPr>
      </w:pPr>
    </w:p>
    <w:p>
      <w:pPr>
        <w:ind w:left="520" w:right="300" w:hanging="316"/>
        <w:spacing w:after="0" w:line="262" w:lineRule="auto"/>
        <w:tabs>
          <w:tab w:leader="none" w:pos="52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portfolio company is not a qualifying asset under Section 55(a) of the 1940 Act. Under the 1940 Act, the Company may not acquire any non-qualifying asset unless, at the time such acquisition is made, qualifying assets represent at least 70% of total assets. Non-qualifying assets represented 12.3% of total assets as of December 31, 2016.</w:t>
      </w:r>
    </w:p>
    <w:p>
      <w:pPr>
        <w:spacing w:after="0" w:line="67" w:lineRule="exact"/>
        <w:rPr>
          <w:rFonts w:ascii="Times New Roman" w:cs="Times New Roman" w:eastAsia="Times New Roman" w:hAnsi="Times New Roman"/>
          <w:sz w:val="14"/>
          <w:szCs w:val="14"/>
          <w:color w:val="auto"/>
        </w:rPr>
      </w:pPr>
    </w:p>
    <w:p>
      <w:pPr>
        <w:jc w:val="both"/>
        <w:ind w:left="520" w:right="260" w:hanging="316"/>
        <w:spacing w:after="0" w:line="241" w:lineRule="auto"/>
        <w:tabs>
          <w:tab w:leader="none" w:pos="52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 the “last out” tranche.</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240"/>
          </w:cols>
          <w:pgMar w:left="240" w:top="456" w:right="41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20" w:hanging="316"/>
        <w:spacing w:after="0"/>
        <w:tabs>
          <w:tab w:leader="none" w:pos="52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Contains a variable rate structure. Bears interest at a rate determined by three-month LIBOR.</w:t>
      </w:r>
    </w:p>
    <w:p>
      <w:pPr>
        <w:spacing w:after="0" w:line="109" w:lineRule="exact"/>
        <w:rPr>
          <w:rFonts w:ascii="Times New Roman" w:cs="Times New Roman" w:eastAsia="Times New Roman" w:hAnsi="Times New Roman"/>
          <w:sz w:val="14"/>
          <w:szCs w:val="14"/>
          <w:color w:val="auto"/>
        </w:rPr>
      </w:pPr>
    </w:p>
    <w:p>
      <w:pPr>
        <w:ind w:left="520" w:right="260" w:hanging="316"/>
        <w:spacing w:after="0" w:line="236" w:lineRule="auto"/>
        <w:tabs>
          <w:tab w:leader="none" w:pos="52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2016 in which the issuer was an Affiliated Person of and was deemed to Control a portfolio company are as follows:</w:t>
      </w:r>
    </w:p>
    <w:p>
      <w:pPr>
        <w:spacing w:after="0" w:line="28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u w:val="single" w:color="auto"/>
          <w:color w:val="auto"/>
        </w:rPr>
        <w:t>Controlled, Affiliated Investments during the year ended December 31, 2016</w:t>
      </w:r>
    </w:p>
    <w:p>
      <w:pPr>
        <w:spacing w:after="0" w:line="240"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Fair Value at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w w:val="92"/>
              </w:rPr>
              <w:t>Gross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2"/>
              </w:rPr>
              <w:t>Gross</w:t>
            </w:r>
          </w:p>
        </w:tc>
        <w:tc>
          <w:tcPr>
            <w:tcW w:w="180" w:type="dxa"/>
            <w:vAlign w:val="bottom"/>
          </w:tcPr>
          <w:p>
            <w:pPr>
              <w:spacing w:after="0"/>
              <w:rPr>
                <w:sz w:val="12"/>
                <w:szCs w:val="12"/>
                <w:color w:val="auto"/>
              </w:rPr>
            </w:pP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Net Change</w:t>
            </w:r>
          </w:p>
        </w:tc>
        <w:tc>
          <w:tcPr>
            <w:tcW w:w="660" w:type="dxa"/>
            <w:vAlign w:val="bottom"/>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w w:val="96"/>
              </w:rPr>
              <w:t>Realized</w:t>
            </w:r>
          </w:p>
        </w:tc>
        <w:tc>
          <w:tcPr>
            <w:tcW w:w="34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Fair Value at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80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80" w:type="dxa"/>
            <w:vAlign w:val="bottom"/>
            <w:gridSpan w:val="3"/>
          </w:tcPr>
          <w:p>
            <w:pPr>
              <w:ind w:lef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Additions</w:t>
            </w:r>
          </w:p>
        </w:tc>
        <w:tc>
          <w:tcPr>
            <w:tcW w:w="1160" w:type="dxa"/>
            <w:vAlign w:val="bottom"/>
            <w:gridSpan w:val="4"/>
          </w:tcPr>
          <w:p>
            <w:pPr>
              <w:jc w:val="center"/>
              <w:ind w:left="1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Reductions</w:t>
            </w:r>
          </w:p>
        </w:tc>
        <w:tc>
          <w:tcPr>
            <w:tcW w:w="1120" w:type="dxa"/>
            <w:vAlign w:val="bottom"/>
            <w:gridSpan w:val="4"/>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In Unrealized</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Gain/</w:t>
            </w:r>
          </w:p>
        </w:tc>
        <w:tc>
          <w:tcPr>
            <w:tcW w:w="108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40" w:type="dxa"/>
            <w:vAlign w:val="bottom"/>
          </w:tcPr>
          <w:p>
            <w:pPr>
              <w:spacing w:after="0"/>
              <w:rPr>
                <w:sz w:val="11"/>
                <w:szCs w:val="11"/>
                <w:color w:val="auto"/>
              </w:rPr>
            </w:pPr>
          </w:p>
        </w:tc>
        <w:tc>
          <w:tcPr>
            <w:tcW w:w="4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34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0" w:type="dxa"/>
            <w:vAlign w:val="bottom"/>
          </w:tcPr>
          <w:p>
            <w:pPr>
              <w:spacing w:after="0"/>
              <w:rPr>
                <w:sz w:val="1"/>
                <w:szCs w:val="1"/>
                <w:color w:val="auto"/>
              </w:rPr>
            </w:pPr>
          </w:p>
        </w:tc>
      </w:tr>
      <w:tr>
        <w:trPr>
          <w:trHeight w:val="155"/>
        </w:trPr>
        <w:tc>
          <w:tcPr>
            <w:tcW w:w="27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7"/>
              <w:spacing w:after="0"/>
              <w:rPr>
                <w:sz w:val="20"/>
                <w:szCs w:val="20"/>
                <w:color w:val="auto"/>
              </w:rPr>
            </w:pPr>
            <w:r>
              <w:rPr>
                <w:rFonts w:ascii="Times New Roman" w:cs="Times New Roman" w:eastAsia="Times New Roman" w:hAnsi="Times New Roman"/>
                <w:sz w:val="13"/>
                <w:szCs w:val="13"/>
                <w:b w:val="1"/>
                <w:bCs w:val="1"/>
                <w:color w:val="auto"/>
              </w:rPr>
              <w:t>2015</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(a)</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87"/>
              </w:rPr>
              <w:t>(b)</w:t>
            </w:r>
          </w:p>
        </w:tc>
        <w:tc>
          <w:tcPr>
            <w:tcW w:w="180" w:type="dxa"/>
            <w:vAlign w:val="bottom"/>
          </w:tcPr>
          <w:p>
            <w:pPr>
              <w:spacing w:after="0"/>
              <w:rPr>
                <w:sz w:val="13"/>
                <w:szCs w:val="13"/>
                <w:color w:val="auto"/>
              </w:rPr>
            </w:pP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8"/>
              </w:rPr>
              <w:t>Gain/(Loss)</w:t>
            </w:r>
          </w:p>
        </w:tc>
        <w:tc>
          <w:tcPr>
            <w:tcW w:w="180" w:type="dxa"/>
            <w:vAlign w:val="bottom"/>
          </w:tcPr>
          <w:p>
            <w:pPr>
              <w:spacing w:after="0"/>
              <w:rPr>
                <w:sz w:val="13"/>
                <w:szCs w:val="13"/>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(Losses)</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ind w:right="187"/>
              <w:spacing w:after="0"/>
              <w:rPr>
                <w:sz w:val="20"/>
                <w:szCs w:val="20"/>
                <w:color w:val="auto"/>
              </w:rPr>
            </w:pPr>
            <w:r>
              <w:rPr>
                <w:rFonts w:ascii="Times New Roman" w:cs="Times New Roman" w:eastAsia="Times New Roman" w:hAnsi="Times New Roman"/>
                <w:sz w:val="13"/>
                <w:szCs w:val="13"/>
                <w:b w:val="1"/>
                <w:bCs w:val="1"/>
                <w:color w:val="auto"/>
              </w:rPr>
              <w:t>2016</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34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000000"/>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vMerge w:val="restart"/>
            <w:shd w:val="clear" w:color="auto" w:fill="CCEEFF"/>
          </w:tcPr>
          <w:p>
            <w:pPr>
              <w:jc w:val="right"/>
              <w:ind w:right="10"/>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tcBorders>
            <w:vMerge w:val="restart"/>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36,682</w:t>
            </w: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vMerge w:val="restart"/>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top w:val="single" w:sz="8" w:color="auto"/>
            </w:tcBorders>
            <w:vMerge w:val="restart"/>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5,491</w:t>
            </w: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vMerge w:val="restart"/>
            <w:shd w:val="clear" w:color="auto" w:fill="CCEEFF"/>
          </w:tcPr>
          <w:p>
            <w:pPr>
              <w:ind w:left="220"/>
              <w:spacing w:after="0" w:line="156" w:lineRule="exact"/>
              <w:rPr>
                <w:sz w:val="20"/>
                <w:szCs w:val="20"/>
                <w:color w:val="auto"/>
              </w:rPr>
            </w:pPr>
            <w:r>
              <w:rPr>
                <w:rFonts w:ascii="Times New Roman" w:cs="Times New Roman" w:eastAsia="Times New Roman" w:hAnsi="Times New Roman"/>
                <w:sz w:val="15"/>
                <w:szCs w:val="15"/>
                <w:color w:val="auto"/>
                <w:w w:val="79"/>
              </w:rPr>
              <w:t>(494)</w:t>
            </w: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vMerge w:val="restart"/>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(7,794)</w:t>
            </w: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vMerge w:val="restart"/>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tcBorders>
              <w:top w:val="single" w:sz="8" w:color="auto"/>
            </w:tcBorders>
            <w:vMerge w:val="restart"/>
            <w:shd w:val="clear" w:color="auto" w:fill="CCEEFF"/>
          </w:tcPr>
          <w:p>
            <w:pPr>
              <w:ind w:left="160"/>
              <w:spacing w:after="0" w:line="156" w:lineRule="exact"/>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vMerge w:val="restart"/>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33,885</w:t>
            </w: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vMerge w:val="restart"/>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200</w:t>
            </w: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vMerge w:val="restart"/>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96"/>
              </w:rPr>
              <w:t>$6,746</w:t>
            </w: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76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auto"/>
              </w:rPr>
              <w:t>Mississippi Resources, LLC</w:t>
            </w:r>
          </w:p>
        </w:tc>
        <w:tc>
          <w:tcPr>
            <w:tcW w:w="1060" w:type="dxa"/>
            <w:vAlign w:val="bottom"/>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280" w:type="dxa"/>
            <w:vAlign w:val="bottom"/>
            <w:vMerge w:val="continue"/>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IRGSE Holding Corp.</w:t>
            </w: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26,816</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8,358</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(3,200)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31,974</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w:t>
            </w:r>
          </w:p>
        </w:tc>
        <w:tc>
          <w:tcPr>
            <w:tcW w:w="7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3,229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gridSpan w:val="2"/>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b w:val="1"/>
                <w:bCs w:val="1"/>
                <w:color w:val="auto"/>
              </w:rPr>
              <w:t>Total</w:t>
            </w:r>
          </w:p>
        </w:tc>
        <w:tc>
          <w:tcPr>
            <w:tcW w:w="1220" w:type="dxa"/>
            <w:vAlign w:val="bottom"/>
            <w:gridSpan w:val="2"/>
            <w:shd w:val="clear" w:color="auto" w:fill="CCEEFF"/>
          </w:tcPr>
          <w:p>
            <w:pPr>
              <w:jc w:val="right"/>
              <w:ind w:right="1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63,498</w:t>
            </w:r>
          </w:p>
        </w:tc>
        <w:tc>
          <w:tcPr>
            <w:tcW w:w="440" w:type="dxa"/>
            <w:vAlign w:val="bottom"/>
            <w:gridSpan w:val="2"/>
            <w:shd w:val="clear" w:color="auto" w:fill="CCEEFF"/>
          </w:tcPr>
          <w:p>
            <w:pPr>
              <w:ind w:left="34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w w:val="96"/>
              </w:rPr>
              <w:t>13,849</w:t>
            </w:r>
          </w:p>
        </w:tc>
        <w:tc>
          <w:tcPr>
            <w:tcW w:w="44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b w:val="1"/>
                <w:bCs w:val="1"/>
                <w:color w:val="auto"/>
              </w:rPr>
              <w:t>(494)</w:t>
            </w:r>
          </w:p>
        </w:tc>
        <w:tc>
          <w:tcPr>
            <w:tcW w:w="34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(10,994)</w:t>
            </w:r>
          </w:p>
        </w:tc>
        <w:tc>
          <w:tcPr>
            <w:tcW w:w="26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400" w:type="dxa"/>
            <w:vAlign w:val="bottom"/>
            <w:shd w:val="clear" w:color="auto" w:fill="CCEEFF"/>
          </w:tcPr>
          <w:p>
            <w:pPr>
              <w:ind w:left="16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gridSpan w:val="2"/>
            <w:shd w:val="clear" w:color="auto" w:fill="CCEEFF"/>
          </w:tcPr>
          <w:p>
            <w:pPr>
              <w:jc w:val="right"/>
              <w:ind w:right="21"/>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65,859</w:t>
            </w:r>
          </w:p>
        </w:tc>
        <w:tc>
          <w:tcPr>
            <w:tcW w:w="460" w:type="dxa"/>
            <w:vAlign w:val="bottom"/>
            <w:gridSpan w:val="2"/>
            <w:shd w:val="clear" w:color="auto" w:fill="CCEEFF"/>
          </w:tcPr>
          <w:p>
            <w:pPr>
              <w:jc w:val="right"/>
              <w:ind w:right="1"/>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2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204</w:t>
            </w:r>
          </w:p>
        </w:tc>
        <w:tc>
          <w:tcPr>
            <w:tcW w:w="78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9,975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960" w:right="460" w:hanging="432"/>
        <w:spacing w:after="0" w:line="262" w:lineRule="auto"/>
        <w:tabs>
          <w:tab w:leader="none" w:pos="960" w:val="left"/>
        </w:tabs>
        <w:numPr>
          <w:ilvl w:val="1"/>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67" w:lineRule="exact"/>
        <w:rPr>
          <w:rFonts w:ascii="Times New Roman" w:cs="Times New Roman" w:eastAsia="Times New Roman" w:hAnsi="Times New Roman"/>
          <w:sz w:val="14"/>
          <w:szCs w:val="14"/>
          <w:color w:val="auto"/>
        </w:rPr>
      </w:pPr>
    </w:p>
    <w:p>
      <w:pPr>
        <w:ind w:left="960" w:right="300" w:hanging="432"/>
        <w:spacing w:after="0" w:line="262" w:lineRule="auto"/>
        <w:tabs>
          <w:tab w:leader="none" w:pos="960" w:val="left"/>
        </w:tabs>
        <w:numPr>
          <w:ilvl w:val="1"/>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reductions include decreases in the cost basis of investments resulting from principal collections related to investment repayments or sales, and the amortization of any premiums on debt investments, as applicable.</w:t>
      </w:r>
    </w:p>
    <w:p>
      <w:pPr>
        <w:spacing w:after="0" w:line="67" w:lineRule="exact"/>
        <w:rPr>
          <w:rFonts w:ascii="Times New Roman" w:cs="Times New Roman" w:eastAsia="Times New Roman" w:hAnsi="Times New Roman"/>
          <w:sz w:val="14"/>
          <w:szCs w:val="14"/>
          <w:color w:val="auto"/>
        </w:rPr>
      </w:pPr>
    </w:p>
    <w:p>
      <w:pPr>
        <w:ind w:left="520" w:hanging="316"/>
        <w:spacing w:after="0"/>
        <w:tabs>
          <w:tab w:leader="none" w:pos="52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2016, the tax cost of the Company’s investments approximates the amortized cost.</w:t>
      </w:r>
    </w:p>
    <w:p>
      <w:pPr>
        <w:spacing w:after="0" w:line="109" w:lineRule="exact"/>
        <w:rPr>
          <w:rFonts w:ascii="Times New Roman" w:cs="Times New Roman" w:eastAsia="Times New Roman" w:hAnsi="Times New Roman"/>
          <w:sz w:val="14"/>
          <w:szCs w:val="14"/>
          <w:color w:val="auto"/>
        </w:rPr>
      </w:pPr>
    </w:p>
    <w:p>
      <w:pPr>
        <w:ind w:left="520" w:right="680" w:hanging="316"/>
        <w:spacing w:after="0" w:line="262" w:lineRule="auto"/>
        <w:tabs>
          <w:tab w:leader="none" w:pos="52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Notes contain a fixed rate structure. The Company entered into an interest rate swap agreement to swap to a floating rate. Refer to Note 5 for further information related to the Company’s interest rate swaps on investments.</w:t>
      </w:r>
    </w:p>
    <w:p>
      <w:pPr>
        <w:spacing w:after="0" w:line="65" w:lineRule="exact"/>
        <w:rPr>
          <w:rFonts w:ascii="Times New Roman" w:cs="Times New Roman" w:eastAsia="Times New Roman" w:hAnsi="Times New Roman"/>
          <w:sz w:val="14"/>
          <w:szCs w:val="14"/>
          <w:color w:val="auto"/>
        </w:rPr>
      </w:pPr>
    </w:p>
    <w:p>
      <w:pPr>
        <w:ind w:left="520" w:right="60" w:hanging="316"/>
        <w:spacing w:after="0" w:line="265" w:lineRule="auto"/>
        <w:tabs>
          <w:tab w:leader="none" w:pos="52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accordance with Financial Accounting Standards Board Accounting Standards Codification 820,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xml:space="preserve"> (“ASC 820”), unless otherwise indicated, the fair values of all investments were determined using significant unobservable inputs and are considered Level 3 investments. See Note 6 for further information related to investments at fair value.</w:t>
      </w:r>
    </w:p>
    <w:p>
      <w:pPr>
        <w:spacing w:after="0" w:line="65" w:lineRule="exact"/>
        <w:rPr>
          <w:rFonts w:ascii="Times New Roman" w:cs="Times New Roman" w:eastAsia="Times New Roman" w:hAnsi="Times New Roman"/>
          <w:sz w:val="14"/>
          <w:szCs w:val="14"/>
          <w:color w:val="auto"/>
        </w:rPr>
      </w:pPr>
    </w:p>
    <w:p>
      <w:pPr>
        <w:ind w:left="520" w:hanging="316"/>
        <w:spacing w:after="0"/>
        <w:tabs>
          <w:tab w:leader="none" w:pos="52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investment is valued using observable inputs and is considered a Level 2 investment. See Note 6 for further information related to investments at fair value.</w:t>
      </w:r>
    </w:p>
    <w:p>
      <w:pPr>
        <w:spacing w:after="0" w:line="109" w:lineRule="exact"/>
        <w:rPr>
          <w:rFonts w:ascii="Times New Roman" w:cs="Times New Roman" w:eastAsia="Times New Roman" w:hAnsi="Times New Roman"/>
          <w:sz w:val="14"/>
          <w:szCs w:val="14"/>
          <w:color w:val="auto"/>
        </w:rPr>
      </w:pPr>
    </w:p>
    <w:p>
      <w:pPr>
        <w:ind w:left="520" w:hanging="316"/>
        <w:spacing w:after="0"/>
        <w:tabs>
          <w:tab w:leader="none" w:pos="52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investment is valued using observable inputs and is considered a Level 1 investment. See Note 6 for further information related to investments at fair value.</w:t>
      </w:r>
    </w:p>
    <w:p>
      <w:pPr>
        <w:spacing w:after="0" w:line="109" w:lineRule="exact"/>
        <w:rPr>
          <w:rFonts w:ascii="Times New Roman" w:cs="Times New Roman" w:eastAsia="Times New Roman" w:hAnsi="Times New Roman"/>
          <w:sz w:val="14"/>
          <w:szCs w:val="14"/>
          <w:color w:val="auto"/>
        </w:rPr>
      </w:pPr>
    </w:p>
    <w:p>
      <w:pPr>
        <w:ind w:left="520" w:hanging="316"/>
        <w:spacing w:after="0"/>
        <w:tabs>
          <w:tab w:leader="none" w:pos="52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equity investment is non-income producing.</w:t>
      </w:r>
    </w:p>
    <w:p>
      <w:pPr>
        <w:spacing w:after="0" w:line="2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240"/>
          </w:cols>
          <w:pgMar w:left="240" w:top="455" w:right="41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11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Net Assets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1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206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98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6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196"/>
        </w:trPr>
        <w:tc>
          <w:tcPr>
            <w:tcW w:w="20" w:type="dxa"/>
            <w:vAlign w:val="bottom"/>
          </w:tcPr>
          <w:p>
            <w:pPr>
              <w:spacing w:after="0"/>
              <w:rPr>
                <w:sz w:val="17"/>
                <w:szCs w:val="17"/>
                <w:color w:val="auto"/>
              </w:rPr>
            </w:pPr>
          </w:p>
        </w:tc>
        <w:tc>
          <w:tcPr>
            <w:tcW w:w="5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Increase in Net Assets Resulting from Operations</w:t>
            </w: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6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120,259</w:t>
            </w:r>
          </w:p>
        </w:tc>
        <w:tc>
          <w:tcPr>
            <w:tcW w:w="4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107,333</w:t>
            </w:r>
          </w:p>
        </w:tc>
        <w:tc>
          <w:tcPr>
            <w:tcW w:w="440" w:type="dxa"/>
            <w:vAlign w:val="bottom"/>
          </w:tcPr>
          <w:p>
            <w:pPr>
              <w:spacing w:after="0"/>
              <w:rPr>
                <w:sz w:val="18"/>
                <w:szCs w:val="18"/>
                <w:color w:val="auto"/>
              </w:rPr>
            </w:pPr>
          </w:p>
        </w:tc>
        <w:tc>
          <w:tcPr>
            <w:tcW w:w="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95,298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29,802</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(28,568)</w:t>
            </w: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losses</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(13,945)</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(128)</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(3,162)</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Increase in Net Assets Resulting from Operations</w:t>
            </w: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111,609</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137,007</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63,568</w:t>
            </w:r>
          </w:p>
        </w:tc>
        <w:tc>
          <w:tcPr>
            <w:tcW w:w="120" w:type="dxa"/>
            <w:vAlign w:val="bottom"/>
            <w:shd w:val="clear" w:color="auto" w:fill="CCEEFF"/>
          </w:tcPr>
          <w:p>
            <w:pPr>
              <w:spacing w:after="0"/>
              <w:rPr>
                <w:sz w:val="18"/>
                <w:szCs w:val="18"/>
                <w:color w:val="auto"/>
              </w:rPr>
            </w:pPr>
          </w:p>
        </w:tc>
      </w:tr>
      <w:tr>
        <w:trPr>
          <w:trHeight w:val="201"/>
        </w:trPr>
        <w:tc>
          <w:tcPr>
            <w:tcW w:w="53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Increase (Decrease) in Net Assets Resulting from Capital Share</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8"/>
        </w:trPr>
        <w:tc>
          <w:tcPr>
            <w:tcW w:w="20" w:type="dxa"/>
            <w:vAlign w:val="bottom"/>
          </w:tcPr>
          <w:p>
            <w:pPr>
              <w:spacing w:after="0"/>
              <w:rPr>
                <w:sz w:val="20"/>
                <w:szCs w:val="20"/>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Transactions</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shares, net of offering and underwriting costs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78,250</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convertible notes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Reinvestment of dividends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10,158</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10,337</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(1,329)</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from net investment income</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(92,027)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(82,777)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(62,332)</w:t>
            </w: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from realized gains</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(13,024)</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(10,017)</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(21,966)</w:t>
            </w:r>
          </w:p>
        </w:tc>
      </w:tr>
      <w:tr>
        <w:trPr>
          <w:trHeight w:val="194"/>
        </w:trPr>
        <w:tc>
          <w:tcPr>
            <w:tcW w:w="20" w:type="dxa"/>
            <w:vAlign w:val="bottom"/>
          </w:tcPr>
          <w:p>
            <w:pPr>
              <w:spacing w:after="0"/>
              <w:rPr>
                <w:sz w:val="16"/>
                <w:szCs w:val="16"/>
                <w:color w:val="auto"/>
              </w:rPr>
            </w:pPr>
          </w:p>
        </w:tc>
        <w:tc>
          <w:tcPr>
            <w:tcW w:w="5320" w:type="dxa"/>
            <w:vAlign w:val="bottom"/>
            <w:shd w:val="clear" w:color="auto" w:fill="CCEEFF"/>
          </w:tcPr>
          <w:p>
            <w:pPr>
              <w:ind w:left="340"/>
              <w:spacing w:after="0" w:line="194" w:lineRule="exact"/>
              <w:rPr>
                <w:sz w:val="20"/>
                <w:szCs w:val="20"/>
                <w:color w:val="auto"/>
              </w:rPr>
            </w:pPr>
            <w:r>
              <w:rPr>
                <w:rFonts w:ascii="Times New Roman" w:cs="Times New Roman" w:eastAsia="Times New Roman" w:hAnsi="Times New Roman"/>
                <w:sz w:val="18"/>
                <w:szCs w:val="18"/>
                <w:b w:val="1"/>
                <w:bCs w:val="1"/>
                <w:color w:val="auto"/>
              </w:rPr>
              <w:t>Decrease in Net Assets Resulting from Capital Share</w:t>
            </w:r>
          </w:p>
        </w:tc>
        <w:tc>
          <w:tcPr>
            <w:tcW w:w="4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5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Transactions</w:t>
            </w: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(94,537)</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(5,536)</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(78,232)</w:t>
            </w:r>
          </w:p>
        </w:tc>
      </w:tr>
      <w:tr>
        <w:trPr>
          <w:trHeight w:val="223"/>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Increase (Decrease) in Net Assets</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17,072</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131,471</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beginning of period</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952,212</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820,741</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835,405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Assets, End of Period</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969,284</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952,212</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820,741</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53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Undistributed Net Investment Income Included in Net Assets at</w:t>
            </w: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5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the End of the Period</w:t>
            </w:r>
          </w:p>
        </w:tc>
        <w:tc>
          <w:tcPr>
            <w:tcW w:w="6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61,790</w:t>
            </w:r>
          </w:p>
        </w:tc>
        <w:tc>
          <w:tcPr>
            <w:tcW w:w="4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50,142</w:t>
            </w:r>
          </w:p>
        </w:tc>
        <w:tc>
          <w:tcPr>
            <w:tcW w:w="4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27,521</w:t>
            </w:r>
          </w:p>
        </w:tc>
        <w:tc>
          <w:tcPr>
            <w:tcW w:w="12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240"/>
          </w:cols>
          <w:pgMar w:left="240" w:top="456" w:right="41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11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1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90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94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6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183"/>
        </w:trPr>
        <w:tc>
          <w:tcPr>
            <w:tcW w:w="20" w:type="dxa"/>
            <w:vAlign w:val="bottom"/>
          </w:tcPr>
          <w:p>
            <w:pPr>
              <w:spacing w:after="0"/>
              <w:rPr>
                <w:sz w:val="15"/>
                <w:szCs w:val="15"/>
                <w:color w:val="auto"/>
              </w:rPr>
            </w:pPr>
          </w:p>
        </w:tc>
        <w:tc>
          <w:tcPr>
            <w:tcW w:w="556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Increase in net assets resulting from operations</w:t>
            </w: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111,609</w:t>
            </w:r>
          </w:p>
        </w:tc>
        <w:tc>
          <w:tcPr>
            <w:tcW w:w="400" w:type="dxa"/>
            <w:vAlign w:val="bottom"/>
          </w:tcPr>
          <w:p>
            <w:pPr>
              <w:spacing w:after="0"/>
              <w:rPr>
                <w:sz w:val="17"/>
                <w:szCs w:val="17"/>
                <w:color w:val="auto"/>
              </w:rPr>
            </w:pP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137,007</w:t>
            </w:r>
          </w:p>
        </w:tc>
        <w:tc>
          <w:tcPr>
            <w:tcW w:w="420" w:type="dxa"/>
            <w:vAlign w:val="bottom"/>
          </w:tcPr>
          <w:p>
            <w:pPr>
              <w:spacing w:after="0"/>
              <w:rPr>
                <w:sz w:val="17"/>
                <w:szCs w:val="17"/>
                <w:color w:val="auto"/>
              </w:rPr>
            </w:pPr>
          </w:p>
        </w:tc>
        <w:tc>
          <w:tcPr>
            <w:tcW w:w="50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63,568</w:t>
            </w:r>
          </w:p>
        </w:tc>
        <w:tc>
          <w:tcPr>
            <w:tcW w:w="10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increase in net assets resulting from operations to net</w:t>
            </w: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provided by (used) in operating activities: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Net change in unrealized gains (losses) on investments</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(17,758)</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(33,682)</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34,225</w:t>
            </w:r>
          </w:p>
        </w:tc>
        <w:tc>
          <w:tcPr>
            <w:tcW w:w="10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55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Net change in unrealized (gains) losses on foreign currency</w:t>
            </w: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transactions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11,432</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3,547</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(6,275)</w:t>
            </w:r>
          </w:p>
        </w:tc>
      </w:tr>
      <w:tr>
        <w:trPr>
          <w:trHeight w:val="203"/>
        </w:trPr>
        <w:tc>
          <w:tcPr>
            <w:tcW w:w="20" w:type="dxa"/>
            <w:vAlign w:val="bottom"/>
          </w:tcPr>
          <w:p>
            <w:pPr>
              <w:spacing w:after="0"/>
              <w:rPr>
                <w:sz w:val="17"/>
                <w:szCs w:val="17"/>
                <w:color w:val="auto"/>
              </w:rPr>
            </w:pPr>
          </w:p>
        </w:tc>
        <w:tc>
          <w:tcPr>
            <w:tcW w:w="55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Net change in unrealized gains on interest rate swaps</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Net realized losses on investments</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14,295</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5,042</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Net realized gains on foreign currency transactions</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(359)</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(870)</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Net realized gains on interest rate swaps</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(1,851)</w:t>
            </w:r>
          </w:p>
        </w:tc>
      </w:tr>
      <w:tr>
        <w:trPr>
          <w:trHeight w:val="203"/>
        </w:trPr>
        <w:tc>
          <w:tcPr>
            <w:tcW w:w="20" w:type="dxa"/>
            <w:vAlign w:val="bottom"/>
          </w:tcPr>
          <w:p>
            <w:pPr>
              <w:spacing w:after="0"/>
              <w:rPr>
                <w:sz w:val="17"/>
                <w:szCs w:val="17"/>
                <w:color w:val="auto"/>
              </w:rPr>
            </w:pPr>
          </w:p>
        </w:tc>
        <w:tc>
          <w:tcPr>
            <w:tcW w:w="55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Net amortization of discount on investments</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(29,606)</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(15,624)</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(12,729)</w:t>
            </w: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3,172</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5,874</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Amortization of discount on Convertible Senior Notes</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Purchases and originations of investments, net</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(1,027,978)</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(720,728)</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(757,295)</w:t>
            </w:r>
          </w:p>
        </w:tc>
      </w:tr>
      <w:tr>
        <w:trPr>
          <w:trHeight w:val="203"/>
        </w:trPr>
        <w:tc>
          <w:tcPr>
            <w:tcW w:w="20" w:type="dxa"/>
            <w:vAlign w:val="bottom"/>
          </w:tcPr>
          <w:p>
            <w:pPr>
              <w:spacing w:after="0"/>
              <w:rPr>
                <w:sz w:val="17"/>
                <w:szCs w:val="17"/>
                <w:color w:val="auto"/>
              </w:rPr>
            </w:pPr>
          </w:p>
        </w:tc>
        <w:tc>
          <w:tcPr>
            <w:tcW w:w="55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Proceeds from investments, net</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103,599</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71,355</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39,077</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Repayments on investments</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922,473</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524,194</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474,483</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Paid-in-kind interest</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(6,206)</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(8,920)</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(5,410)</w:t>
            </w: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Interest receivable</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2,619</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(3,725)</w:t>
            </w: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Interest receivable paid-in-kind</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(298)</w:t>
            </w:r>
          </w:p>
        </w:tc>
      </w:tr>
      <w:tr>
        <w:trPr>
          <w:trHeight w:val="203"/>
        </w:trPr>
        <w:tc>
          <w:tcPr>
            <w:tcW w:w="20" w:type="dxa"/>
            <w:vAlign w:val="bottom"/>
          </w:tcPr>
          <w:p>
            <w:pPr>
              <w:spacing w:after="0"/>
              <w:rPr>
                <w:sz w:val="17"/>
                <w:szCs w:val="17"/>
                <w:color w:val="auto"/>
              </w:rPr>
            </w:pPr>
          </w:p>
        </w:tc>
        <w:tc>
          <w:tcPr>
            <w:tcW w:w="55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(10,660)</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Management fees payable to affiliate</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(50)</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Incentive fees payable to affiliate</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(261)</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(1,040)</w:t>
            </w: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Payable to affiliate</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(1,426)</w:t>
            </w:r>
          </w:p>
        </w:tc>
      </w:tr>
      <w:tr>
        <w:trPr>
          <w:trHeight w:val="203"/>
        </w:trPr>
        <w:tc>
          <w:tcPr>
            <w:tcW w:w="20" w:type="dxa"/>
            <w:vAlign w:val="bottom"/>
          </w:tcPr>
          <w:p>
            <w:pPr>
              <w:spacing w:after="0"/>
              <w:rPr>
                <w:sz w:val="17"/>
                <w:szCs w:val="17"/>
                <w:color w:val="auto"/>
              </w:rPr>
            </w:pPr>
          </w:p>
        </w:tc>
        <w:tc>
          <w:tcPr>
            <w:tcW w:w="55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Other liabilities</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3,719</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(4,734)</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(27,378)</w:t>
            </w:r>
          </w:p>
        </w:tc>
      </w:tr>
      <w:tr>
        <w:trPr>
          <w:trHeight w:val="27"/>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82,388</w:t>
            </w: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(41,844)</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(190,992)</w:t>
            </w:r>
          </w:p>
        </w:tc>
      </w:tr>
      <w:tr>
        <w:trPr>
          <w:trHeight w:val="204"/>
        </w:trPr>
        <w:tc>
          <w:tcPr>
            <w:tcW w:w="5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Borrowings on debt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1,188,532</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580,364</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847,547</w:t>
            </w:r>
          </w:p>
        </w:tc>
        <w:tc>
          <w:tcPr>
            <w:tcW w:w="10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Repayments on debt</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(1,171,592)</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(533,772)</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(584,481)</w:t>
            </w: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financing costs</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(3,922)</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(2,892)</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(1,452)</w:t>
            </w:r>
          </w:p>
        </w:tc>
      </w:tr>
      <w:tr>
        <w:trPr>
          <w:trHeight w:val="203"/>
        </w:trPr>
        <w:tc>
          <w:tcPr>
            <w:tcW w:w="2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common stock, net of offering and underwriting costs</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78,250</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(1,329)</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w:t>
            </w:r>
          </w:p>
        </w:tc>
      </w:tr>
      <w:tr>
        <w:trPr>
          <w:trHeight w:val="203"/>
        </w:trPr>
        <w:tc>
          <w:tcPr>
            <w:tcW w:w="2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Dividends paid to stockholders</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(94,695)</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(80,291)</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(78,063)</w:t>
            </w:r>
          </w:p>
        </w:tc>
      </w:tr>
      <w:tr>
        <w:trPr>
          <w:trHeight w:val="27"/>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(81,677)</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40,330</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183,524</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56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Net Increase in Cash, Cash Equivalents, and Restricted Cash</w:t>
            </w: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(7,468)</w:t>
            </w:r>
          </w:p>
        </w:tc>
        <w:tc>
          <w:tcPr>
            <w:tcW w:w="10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5,954</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14,936</w:t>
            </w:r>
          </w:p>
        </w:tc>
        <w:tc>
          <w:tcPr>
            <w:tcW w:w="100" w:type="dxa"/>
            <w:vAlign w:val="bottom"/>
            <w:shd w:val="clear" w:color="auto" w:fill="CCEEFF"/>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556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34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6,665</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5,954</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7,468</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Supplemental Information:</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Interest paid during the period</w:t>
            </w: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21,148</w:t>
            </w:r>
          </w:p>
        </w:tc>
        <w:tc>
          <w:tcPr>
            <w:tcW w:w="400" w:type="dxa"/>
            <w:vAlign w:val="bottom"/>
          </w:tcPr>
          <w:p>
            <w:pPr>
              <w:spacing w:after="0"/>
              <w:rPr>
                <w:sz w:val="17"/>
                <w:szCs w:val="17"/>
                <w:color w:val="auto"/>
              </w:rPr>
            </w:pP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22,008</w:t>
            </w:r>
          </w:p>
        </w:tc>
        <w:tc>
          <w:tcPr>
            <w:tcW w:w="420" w:type="dxa"/>
            <w:vAlign w:val="bottom"/>
          </w:tcPr>
          <w:p>
            <w:pPr>
              <w:spacing w:after="0"/>
              <w:rPr>
                <w:sz w:val="17"/>
                <w:szCs w:val="17"/>
                <w:color w:val="auto"/>
              </w:rPr>
            </w:pPr>
          </w:p>
        </w:tc>
        <w:tc>
          <w:tcPr>
            <w:tcW w:w="50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16,175</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Excise taxes paid during the period</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4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4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Dividends declared during the period</w:t>
            </w: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105,051</w:t>
            </w:r>
          </w:p>
        </w:tc>
        <w:tc>
          <w:tcPr>
            <w:tcW w:w="400" w:type="dxa"/>
            <w:vAlign w:val="bottom"/>
          </w:tcPr>
          <w:p>
            <w:pPr>
              <w:spacing w:after="0"/>
              <w:rPr>
                <w:sz w:val="17"/>
                <w:szCs w:val="17"/>
                <w:color w:val="auto"/>
              </w:rPr>
            </w:pP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92,794</w:t>
            </w:r>
          </w:p>
        </w:tc>
        <w:tc>
          <w:tcPr>
            <w:tcW w:w="420" w:type="dxa"/>
            <w:vAlign w:val="bottom"/>
          </w:tcPr>
          <w:p>
            <w:pPr>
              <w:spacing w:after="0"/>
              <w:rPr>
                <w:sz w:val="17"/>
                <w:szCs w:val="17"/>
                <w:color w:val="auto"/>
              </w:rPr>
            </w:pPr>
          </w:p>
        </w:tc>
        <w:tc>
          <w:tcPr>
            <w:tcW w:w="50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84,297</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Reinvestment of dividends during the period</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10,158</w:t>
            </w:r>
          </w:p>
        </w:tc>
        <w:tc>
          <w:tcPr>
            <w:tcW w:w="4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10,337</w:t>
            </w:r>
          </w:p>
        </w:tc>
        <w:tc>
          <w:tcPr>
            <w:tcW w:w="4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6,094</w:t>
            </w:r>
          </w:p>
        </w:tc>
        <w:tc>
          <w:tcPr>
            <w:tcW w:w="100" w:type="dxa"/>
            <w:vAlign w:val="bottom"/>
            <w:shd w:val="clear" w:color="auto" w:fill="CCEEFF"/>
          </w:tcPr>
          <w:p>
            <w:pPr>
              <w:spacing w:after="0"/>
              <w:rPr>
                <w:sz w:val="17"/>
                <w:szCs w:val="17"/>
                <w:color w:val="auto"/>
              </w:rPr>
            </w:pPr>
          </w:p>
        </w:tc>
      </w:tr>
    </w:tbl>
    <w:p>
      <w:pPr>
        <w:spacing w:after="0" w:line="1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240"/>
          </w:cols>
          <w:pgMar w:left="240" w:top="456" w:right="41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(Amounts in thousands, unless otherwise indicated)</w:t>
      </w:r>
    </w:p>
    <w:p>
      <w:pPr>
        <w:spacing w:after="0" w:line="3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119" w:lineRule="exact"/>
        <w:rPr>
          <w:sz w:val="20"/>
          <w:szCs w:val="20"/>
          <w:color w:val="auto"/>
        </w:rPr>
      </w:pPr>
    </w:p>
    <w:p>
      <w:pPr>
        <w:ind w:left="200" w:right="40" w:firstLine="441"/>
        <w:spacing w:after="0" w:line="255" w:lineRule="auto"/>
        <w:rPr>
          <w:sz w:val="20"/>
          <w:szCs w:val="20"/>
          <w:color w:val="auto"/>
        </w:rPr>
      </w:pPr>
      <w:r>
        <w:rPr>
          <w:rFonts w:ascii="Times New Roman" w:cs="Times New Roman" w:eastAsia="Times New Roman" w:hAnsi="Times New Roman"/>
          <w:sz w:val="18"/>
          <w:szCs w:val="18"/>
          <w:color w:val="auto"/>
        </w:rPr>
        <w:t>TPG Specialty Lending, Inc. (“TSLX” or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TSLX is managed by TSL Advisers, LLC (the “Adviser”). On June 1, 2011, the Company formed a wholly-owned subsidiary, TC Lending, LLC, a Delaware limited liability company. On March 22, 2012, the Company formed a wholly-owned subsidiary, TPG SL SPV, LLC, a Delaware limited liability company (“TPG SL SPV”). On May 19, 2014, the Company formed a wholly-owned subsidiary, TSL MR, LLC, a Delaware limited liability company.</w:t>
      </w:r>
    </w:p>
    <w:p>
      <w:pPr>
        <w:spacing w:after="0" w:line="189" w:lineRule="exact"/>
        <w:rPr>
          <w:sz w:val="20"/>
          <w:szCs w:val="20"/>
          <w:color w:val="auto"/>
        </w:rPr>
      </w:pPr>
    </w:p>
    <w:p>
      <w:pPr>
        <w:ind w:left="200" w:right="140" w:firstLine="441"/>
        <w:spacing w:after="0" w:line="282" w:lineRule="auto"/>
        <w:rPr>
          <w:sz w:val="20"/>
          <w:szCs w:val="20"/>
          <w:color w:val="auto"/>
        </w:rPr>
      </w:pPr>
      <w:r>
        <w:rPr>
          <w:rFonts w:ascii="Times New Roman" w:cs="Times New Roman" w:eastAsia="Times New Roman" w:hAnsi="Times New Roman"/>
          <w:sz w:val="18"/>
          <w:szCs w:val="18"/>
          <w:color w:val="auto"/>
        </w:rPr>
        <w:t>On March 21, 2014, the Company completed its initial public offering (“IPO”) and the Company’s shares began trading on the New York Stock Exchange (“NYSE”) under the symbol “TSLX.”</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left="200" w:right="160" w:firstLine="441"/>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All intercompany balances and transactions have been eliminated in consolidation.</w:t>
      </w:r>
    </w:p>
    <w:p>
      <w:pPr>
        <w:spacing w:after="0" w:line="180" w:lineRule="exact"/>
        <w:rPr>
          <w:sz w:val="20"/>
          <w:szCs w:val="20"/>
          <w:color w:val="auto"/>
        </w:rPr>
      </w:pPr>
    </w:p>
    <w:p>
      <w:pPr>
        <w:ind w:left="200" w:right="80" w:firstLine="441"/>
        <w:spacing w:after="0" w:line="282" w:lineRule="auto"/>
        <w:rPr>
          <w:sz w:val="20"/>
          <w:szCs w:val="20"/>
          <w:color w:val="auto"/>
        </w:rPr>
      </w:pPr>
      <w:r>
        <w:rPr>
          <w:rFonts w:ascii="Times New Roman" w:cs="Times New Roman" w:eastAsia="Times New Roman" w:hAnsi="Times New Roman"/>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162" w:lineRule="exact"/>
        <w:rPr>
          <w:sz w:val="20"/>
          <w:szCs w:val="20"/>
          <w:color w:val="auto"/>
        </w:rPr>
      </w:pPr>
    </w:p>
    <w:p>
      <w:pPr>
        <w:ind w:left="200" w:right="440" w:firstLine="441"/>
        <w:spacing w:after="0" w:line="282" w:lineRule="auto"/>
        <w:rPr>
          <w:sz w:val="20"/>
          <w:szCs w:val="20"/>
          <w:color w:val="auto"/>
        </w:rPr>
      </w:pPr>
      <w:r>
        <w:rPr>
          <w:rFonts w:ascii="Times New Roman" w:cs="Times New Roman" w:eastAsia="Times New Roman" w:hAnsi="Times New Roman"/>
          <w:sz w:val="18"/>
          <w:szCs w:val="18"/>
          <w:color w:val="auto"/>
        </w:rPr>
        <w:t xml:space="preserve">The Company is an investment company and, therefore, applies the specialized accounting and reporting guidance in Accounting Standards Codification (“ASC”) Topic 946, </w:t>
      </w:r>
      <w:r>
        <w:rPr>
          <w:rFonts w:ascii="Times New Roman" w:cs="Times New Roman" w:eastAsia="Times New Roman" w:hAnsi="Times New Roman"/>
          <w:sz w:val="18"/>
          <w:szCs w:val="18"/>
          <w:i w:val="1"/>
          <w:iCs w:val="1"/>
          <w:color w:val="auto"/>
        </w:rPr>
        <w:t>Financial Services – Investment Companies.</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Fiscal Year End</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Company’s fiscal year ends on December 31.</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ind w:left="200" w:right="180" w:firstLine="441"/>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2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Cash and cash equivalents may consist of demand deposits, highly liquid investments (e.g., money market funds, U.S. Treasury notes, and similar type instruments) with original maturities of three months or less, and</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40"/>
          </w:cols>
          <w:pgMar w:left="240" w:top="456" w:right="51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6" w:lineRule="auto"/>
        <w:rPr>
          <w:sz w:val="20"/>
          <w:szCs w:val="20"/>
          <w:color w:val="auto"/>
        </w:rPr>
      </w:pPr>
      <w:r>
        <w:rPr>
          <w:rFonts w:ascii="Times New Roman" w:cs="Times New Roman" w:eastAsia="Times New Roman" w:hAnsi="Times New Roman"/>
          <w:sz w:val="18"/>
          <w:szCs w:val="18"/>
          <w:color w:val="auto"/>
        </w:rPr>
        <w:t>restricted cash pledged as collateral.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2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Investments at Fair Value</w:t>
      </w:r>
    </w:p>
    <w:p>
      <w:pPr>
        <w:spacing w:after="0" w:line="119"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reflects the change in investment values and also includes the reversal of previously recorded unrealized gains or losses with respect to investments realized during the period.</w:t>
      </w:r>
    </w:p>
    <w:p>
      <w:pPr>
        <w:spacing w:after="0" w:line="184" w:lineRule="exact"/>
        <w:rPr>
          <w:sz w:val="20"/>
          <w:szCs w:val="20"/>
          <w:color w:val="auto"/>
        </w:rPr>
      </w:pPr>
    </w:p>
    <w:p>
      <w:pPr>
        <w:ind w:left="200" w:right="60" w:firstLine="441"/>
        <w:spacing w:after="0" w:line="258" w:lineRule="auto"/>
        <w:rPr>
          <w:sz w:val="20"/>
          <w:szCs w:val="20"/>
          <w:color w:val="auto"/>
        </w:rPr>
      </w:pPr>
      <w:r>
        <w:rPr>
          <w:rFonts w:ascii="Times New Roman" w:cs="Times New Roman" w:eastAsia="Times New Roman" w:hAnsi="Times New Roman"/>
          <w:sz w:val="18"/>
          <w:szCs w:val="18"/>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84"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As part of the valuation process, the Board takes into account relevant factors in determining the fair value of its investments, including: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1060" w:right="480" w:hanging="316"/>
        <w:spacing w:after="0" w:line="282" w:lineRule="auto"/>
        <w:tabs>
          <w:tab w:leader="none" w:pos="10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7" w:lineRule="exact"/>
        <w:rPr>
          <w:rFonts w:ascii="Times New Roman" w:cs="Times New Roman" w:eastAsia="Times New Roman" w:hAnsi="Times New Roman"/>
          <w:sz w:val="18"/>
          <w:szCs w:val="18"/>
          <w:color w:val="auto"/>
        </w:rPr>
      </w:pPr>
    </w:p>
    <w:p>
      <w:pPr>
        <w:ind w:left="1060" w:right="60" w:hanging="316"/>
        <w:spacing w:after="0" w:line="282" w:lineRule="auto"/>
        <w:tabs>
          <w:tab w:leader="none" w:pos="10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management reviews the preliminary valuations with the investment professionals. Agreed upon valuation recommendations are presented to the Audit Committee.</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reviews the valuations presented and recommends values for each investment to the Board.</w:t>
      </w:r>
    </w:p>
    <w:p>
      <w:pPr>
        <w:spacing w:after="0" w:line="130" w:lineRule="exact"/>
        <w:rPr>
          <w:rFonts w:ascii="Times New Roman" w:cs="Times New Roman" w:eastAsia="Times New Roman" w:hAnsi="Times New Roman"/>
          <w:sz w:val="18"/>
          <w:szCs w:val="18"/>
          <w:color w:val="auto"/>
        </w:rPr>
      </w:pPr>
    </w:p>
    <w:p>
      <w:pPr>
        <w:jc w:val="both"/>
        <w:ind w:left="1060" w:right="180" w:hanging="316"/>
        <w:spacing w:after="0" w:line="266" w:lineRule="auto"/>
        <w:tabs>
          <w:tab w:leader="none" w:pos="10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conducts this valuation process on a quarterly basis.</w:t>
      </w:r>
    </w:p>
    <w:p>
      <w:pPr>
        <w:spacing w:after="0" w:line="225" w:lineRule="exact"/>
        <w:rPr>
          <w:sz w:val="20"/>
          <w:szCs w:val="20"/>
          <w:color w:val="auto"/>
        </w:rPr>
      </w:pPr>
    </w:p>
    <w:p>
      <w:pPr>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The Board has engaged independent third-party valuation firms to perform certain limited procedures that the Board has identified and requested them to perform in connection with the valuation process. At December 31, 2017, the independent third-party valuation firms performed their procedures over substantially all</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80"/>
          </w:cols>
          <w:pgMar w:left="240" w:top="455" w:right="47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2" w:lineRule="auto"/>
        <w:rPr>
          <w:sz w:val="20"/>
          <w:szCs w:val="20"/>
          <w:color w:val="auto"/>
        </w:rPr>
      </w:pPr>
      <w:r>
        <w:rPr>
          <w:rFonts w:ascii="Times New Roman" w:cs="Times New Roman" w:eastAsia="Times New Roman" w:hAnsi="Times New Roman"/>
          <w:sz w:val="18"/>
          <w:szCs w:val="18"/>
          <w:color w:val="auto"/>
        </w:rPr>
        <w:t>of the Company’s investments. Upon completion of such limited procedures, the third-party valuation firms determined that the fair value, as determined by the Board, of those investments subjected to their limited procedures, appeared reasonable.</w:t>
      </w:r>
    </w:p>
    <w:p>
      <w:pPr>
        <w:spacing w:after="0" w:line="160"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 xml:space="preserve">The Company applies Financial Accounting Standards Board Accounting Standards Codification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91" w:lineRule="exact"/>
        <w:rPr>
          <w:sz w:val="20"/>
          <w:szCs w:val="20"/>
          <w:color w:val="auto"/>
        </w:rPr>
      </w:pPr>
    </w:p>
    <w:p>
      <w:pPr>
        <w:ind w:left="1060" w:hanging="316"/>
        <w:spacing w:after="0"/>
        <w:tabs>
          <w:tab w:leader="none" w:pos="10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quoted prices in active markets for identical assets or liabilities that the Company has the ability to access.</w:t>
      </w:r>
    </w:p>
    <w:p>
      <w:pPr>
        <w:spacing w:after="0" w:line="130" w:lineRule="exact"/>
        <w:rPr>
          <w:rFonts w:ascii="Times New Roman" w:cs="Times New Roman" w:eastAsia="Times New Roman" w:hAnsi="Times New Roman"/>
          <w:sz w:val="18"/>
          <w:szCs w:val="18"/>
          <w:color w:val="auto"/>
        </w:rPr>
      </w:pPr>
    </w:p>
    <w:p>
      <w:pPr>
        <w:ind w:left="1060" w:right="20" w:hanging="316"/>
        <w:spacing w:after="0" w:line="282" w:lineRule="auto"/>
        <w:tabs>
          <w:tab w:leader="none" w:pos="10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in markets that are not active or for which all significant inputs are observable, either directly or indirectly.</w:t>
      </w:r>
    </w:p>
    <w:p>
      <w:pPr>
        <w:spacing w:after="0" w:line="67"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85"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88" w:lineRule="exact"/>
        <w:rPr>
          <w:sz w:val="20"/>
          <w:szCs w:val="20"/>
          <w:color w:val="auto"/>
        </w:rPr>
      </w:pPr>
    </w:p>
    <w:p>
      <w:pPr>
        <w:ind w:left="200" w:right="400" w:firstLine="441"/>
        <w:spacing w:after="0" w:line="282" w:lineRule="auto"/>
        <w:rPr>
          <w:sz w:val="20"/>
          <w:szCs w:val="20"/>
          <w:color w:val="auto"/>
        </w:rPr>
      </w:pPr>
      <w:r>
        <w:rPr>
          <w:rFonts w:ascii="Times New Roman" w:cs="Times New Roman" w:eastAsia="Times New Roman" w:hAnsi="Times New Roman"/>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Financial and Derivative Instruments</w:t>
      </w:r>
    </w:p>
    <w:p>
      <w:pPr>
        <w:spacing w:after="0" w:line="119"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220"/>
          </w:cols>
          <w:pgMar w:left="240" w:top="455" w:right="43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Derivatives, including the Company’s interest rate swaps, for which broker quotes are available are typically valued at those broker quotes.</w:t>
      </w:r>
    </w:p>
    <w:p>
      <w:pPr>
        <w:spacing w:after="0" w:line="3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Offsetting Assets and Liabilities</w:t>
      </w:r>
    </w:p>
    <w:p>
      <w:pPr>
        <w:spacing w:after="0" w:line="119"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Foreign currency amounts are translated into U.S. dollars on the following basis:</w:t>
      </w:r>
    </w:p>
    <w:p>
      <w:pPr>
        <w:spacing w:after="0" w:line="131" w:lineRule="exact"/>
        <w:rPr>
          <w:sz w:val="20"/>
          <w:szCs w:val="20"/>
          <w:color w:val="auto"/>
        </w:rPr>
      </w:pPr>
    </w:p>
    <w:p>
      <w:pPr>
        <w:ind w:left="860" w:right="240" w:hanging="224"/>
        <w:spacing w:after="0" w:line="282" w:lineRule="auto"/>
        <w:tabs>
          <w:tab w:leader="none" w:pos="8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67" w:lineRule="exact"/>
        <w:rPr>
          <w:rFonts w:ascii="Times New Roman" w:cs="Times New Roman" w:eastAsia="Times New Roman" w:hAnsi="Times New Roman"/>
          <w:sz w:val="18"/>
          <w:szCs w:val="18"/>
          <w:color w:val="auto"/>
        </w:rPr>
      </w:pPr>
    </w:p>
    <w:p>
      <w:pPr>
        <w:ind w:left="860" w:right="140" w:hanging="224"/>
        <w:spacing w:after="0" w:line="282" w:lineRule="auto"/>
        <w:tabs>
          <w:tab w:leader="none" w:pos="8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sales of investments, borrowings and repayments of such borrowings, income and expenses: at the rates of exchange prevailing on the respective dates of such transactions.</w:t>
      </w:r>
    </w:p>
    <w:p>
      <w:pPr>
        <w:spacing w:after="0" w:line="162"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89" w:lineRule="exact"/>
        <w:rPr>
          <w:sz w:val="20"/>
          <w:szCs w:val="20"/>
          <w:color w:val="auto"/>
        </w:rPr>
      </w:pPr>
    </w:p>
    <w:p>
      <w:pPr>
        <w:ind w:left="200" w:right="540" w:firstLine="441"/>
        <w:spacing w:after="0" w:line="282" w:lineRule="auto"/>
        <w:rPr>
          <w:sz w:val="20"/>
          <w:szCs w:val="20"/>
          <w:color w:val="auto"/>
        </w:rPr>
      </w:pPr>
      <w:r>
        <w:rPr>
          <w:rFonts w:ascii="Times New Roman" w:cs="Times New Roman" w:eastAsia="Times New Roman" w:hAnsi="Times New Roman"/>
          <w:sz w:val="18"/>
          <w:szCs w:val="18"/>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Equity Offering Expenses</w:t>
      </w:r>
    </w:p>
    <w:p>
      <w:pPr>
        <w:spacing w:after="0" w:line="119" w:lineRule="exact"/>
        <w:rPr>
          <w:sz w:val="20"/>
          <w:szCs w:val="20"/>
          <w:color w:val="auto"/>
        </w:rPr>
      </w:pPr>
    </w:p>
    <w:p>
      <w:pPr>
        <w:ind w:left="200" w:right="140" w:firstLine="441"/>
        <w:spacing w:after="0" w:line="266" w:lineRule="auto"/>
        <w:rPr>
          <w:sz w:val="20"/>
          <w:szCs w:val="20"/>
          <w:color w:val="auto"/>
        </w:rPr>
      </w:pPr>
      <w:r>
        <w:rPr>
          <w:rFonts w:ascii="Times New Roman" w:cs="Times New Roman" w:eastAsia="Times New Roman" w:hAnsi="Times New Roman"/>
          <w:sz w:val="18"/>
          <w:szCs w:val="18"/>
          <w:color w:val="auto"/>
        </w:rPr>
        <w:t>The Company records expenses related to initial registration statement filings and applicable offering costs as deferred financing costs in other assets and a portion of these expenses are charged as a reduction of capital upon completion of an offering of registered securities. The costs associated with subsequent renewals of the Company’s shelf registration statement are expensed as incurred.</w:t>
      </w:r>
    </w:p>
    <w:p>
      <w:pPr>
        <w:spacing w:after="0" w:line="2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119" w:lineRule="exact"/>
        <w:rPr>
          <w:sz w:val="20"/>
          <w:szCs w:val="20"/>
          <w:color w:val="auto"/>
        </w:rPr>
      </w:pPr>
    </w:p>
    <w:p>
      <w:pPr>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obligation.</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220"/>
          </w:cols>
          <w:pgMar w:left="240" w:top="456" w:right="43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Interest and Dividend Income Recognition</w:t>
      </w:r>
    </w:p>
    <w:p>
      <w:pPr>
        <w:spacing w:after="0" w:line="119" w:lineRule="exact"/>
        <w:rPr>
          <w:sz w:val="20"/>
          <w:szCs w:val="20"/>
          <w:color w:val="auto"/>
        </w:rPr>
      </w:pPr>
    </w:p>
    <w:p>
      <w:pPr>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76"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62"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88" w:lineRule="exact"/>
        <w:rPr>
          <w:sz w:val="20"/>
          <w:szCs w:val="20"/>
          <w:color w:val="auto"/>
        </w:rPr>
      </w:pPr>
    </w:p>
    <w:p>
      <w:pPr>
        <w:ind w:left="200" w:right="60" w:firstLine="441"/>
        <w:spacing w:after="0" w:line="266" w:lineRule="auto"/>
        <w:rPr>
          <w:sz w:val="20"/>
          <w:szCs w:val="20"/>
          <w:color w:val="auto"/>
        </w:rPr>
      </w:pPr>
      <w:r>
        <w:rPr>
          <w:rFonts w:ascii="Times New Roman" w:cs="Times New Roman" w:eastAsia="Times New Roman" w:hAnsi="Times New Roman"/>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jc w:val="both"/>
        <w:ind w:left="200" w:right="380" w:firstLine="441"/>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w:t>
      </w:r>
    </w:p>
    <w:p>
      <w:pPr>
        <w:spacing w:after="0" w:line="2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Reimbursement of Transaction-Related Expenses</w:t>
      </w:r>
    </w:p>
    <w:p>
      <w:pPr>
        <w:spacing w:after="0" w:line="119" w:lineRule="exact"/>
        <w:rPr>
          <w:sz w:val="20"/>
          <w:szCs w:val="20"/>
          <w:color w:val="auto"/>
        </w:rPr>
      </w:pPr>
    </w:p>
    <w:p>
      <w:pPr>
        <w:ind w:left="200" w:right="140" w:firstLine="441"/>
        <w:spacing w:after="0" w:line="258" w:lineRule="auto"/>
        <w:rPr>
          <w:sz w:val="20"/>
          <w:szCs w:val="20"/>
          <w:color w:val="auto"/>
        </w:rPr>
      </w:pPr>
      <w:r>
        <w:rPr>
          <w:rFonts w:ascii="Times New Roman" w:cs="Times New Roman" w:eastAsia="Times New Roman" w:hAnsi="Times New Roman"/>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 Subsequent to closing, investments are recorded at fair value at each reporting period.</w:t>
      </w:r>
    </w:p>
    <w:p>
      <w:pPr>
        <w:spacing w:after="0" w:line="184" w:lineRule="exact"/>
        <w:rPr>
          <w:sz w:val="20"/>
          <w:szCs w:val="20"/>
          <w:color w:val="auto"/>
        </w:rPr>
      </w:pPr>
    </w:p>
    <w:p>
      <w:pPr>
        <w:ind w:left="200" w:right="200" w:firstLine="441"/>
        <w:spacing w:after="0" w:line="282" w:lineRule="auto"/>
        <w:rPr>
          <w:sz w:val="20"/>
          <w:szCs w:val="20"/>
          <w:color w:val="auto"/>
        </w:rPr>
      </w:pPr>
      <w:r>
        <w:rPr>
          <w:rFonts w:ascii="Times New Roman" w:cs="Times New Roman" w:eastAsia="Times New Roman" w:hAnsi="Times New Roman"/>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left="200" w:right="220" w:firstLine="441"/>
        <w:spacing w:after="0" w:line="258" w:lineRule="auto"/>
        <w:rPr>
          <w:sz w:val="20"/>
          <w:szCs w:val="20"/>
          <w:color w:val="auto"/>
        </w:rPr>
      </w:pPr>
      <w:r>
        <w:rPr>
          <w:rFonts w:ascii="Times New Roman" w:cs="Times New Roman" w:eastAsia="Times New Roman" w:hAnsi="Times New Roman"/>
          <w:sz w:val="18"/>
          <w:szCs w:val="18"/>
          <w:color w:val="auto"/>
        </w:rPr>
        <w:t>The Company has elected to be treated as a BDC under the 1940 Act. The Company also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200"/>
          </w:cols>
          <w:pgMar w:left="240" w:top="456" w:right="45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4" w:lineRule="auto"/>
        <w:rPr>
          <w:sz w:val="20"/>
          <w:szCs w:val="20"/>
          <w:color w:val="auto"/>
        </w:rPr>
      </w:pPr>
      <w:r>
        <w:rPr>
          <w:rFonts w:ascii="Times New Roman" w:cs="Times New Roman" w:eastAsia="Times New Roman" w:hAnsi="Times New Roman"/>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 As of December 31, 2017, the Company did not have any uncertain tax positions that met the recognition or measurement criteria, nor did the Company have any unrecognized tax benefits. Conclusions regarding tax positions are subject to review and may be adjusted at a later date based on factors including on-going analyses of tax laws, regulations and interpretations thereof. The Company’s 2016, 2015 and 2014 tax year returns remain subject to examination by the relevant federal, state, and local tax authorities.</w:t>
      </w:r>
    </w:p>
    <w:p>
      <w:pPr>
        <w:spacing w:after="0" w:line="2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Dividends to Common Stockholders</w:t>
      </w:r>
    </w:p>
    <w:p>
      <w:pPr>
        <w:spacing w:after="0" w:line="119" w:lineRule="exact"/>
        <w:rPr>
          <w:sz w:val="20"/>
          <w:szCs w:val="20"/>
          <w:color w:val="auto"/>
        </w:rPr>
      </w:pPr>
    </w:p>
    <w:p>
      <w:pPr>
        <w:ind w:left="200" w:right="160" w:firstLine="441"/>
        <w:spacing w:after="0" w:line="313" w:lineRule="auto"/>
        <w:rPr>
          <w:sz w:val="20"/>
          <w:szCs w:val="20"/>
          <w:color w:val="auto"/>
        </w:rPr>
      </w:pPr>
      <w:r>
        <w:rPr>
          <w:rFonts w:ascii="Times New Roman" w:cs="Times New Roman" w:eastAsia="Times New Roman" w:hAnsi="Times New Roman"/>
          <w:sz w:val="17"/>
          <w:szCs w:val="17"/>
          <w:color w:val="auto"/>
        </w:rPr>
        <w:t>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38"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satisfy the dividend reinvestment plan.</w:t>
      </w: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Accounting Standards Adopted in 2017</w:t>
      </w:r>
    </w:p>
    <w:p>
      <w:pPr>
        <w:spacing w:after="0" w:line="119" w:lineRule="exact"/>
        <w:rPr>
          <w:sz w:val="20"/>
          <w:szCs w:val="20"/>
          <w:color w:val="auto"/>
        </w:rPr>
      </w:pPr>
    </w:p>
    <w:p>
      <w:pPr>
        <w:ind w:left="200" w:right="100" w:firstLine="441"/>
        <w:spacing w:after="0" w:line="256" w:lineRule="auto"/>
        <w:rPr>
          <w:sz w:val="20"/>
          <w:szCs w:val="20"/>
          <w:color w:val="auto"/>
        </w:rPr>
      </w:pPr>
      <w:r>
        <w:rPr>
          <w:rFonts w:ascii="Times New Roman" w:cs="Times New Roman" w:eastAsia="Times New Roman" w:hAnsi="Times New Roman"/>
          <w:sz w:val="18"/>
          <w:szCs w:val="18"/>
          <w:color w:val="auto"/>
        </w:rPr>
        <w:t>In November 2016, the Financial Accounting Standards Board issued Accounting Standards Update 2016-18 (“ASU 2016-18”), “Statement of Cash Flows (Topic 230)—Restricted Cash.” The standard requires an entity’s reconciliation of the beginning-of-period and end-of-period total amounts shown on the statement of cash flows to include in cash and cash equivalents amounts generally described as restricted cash and restricted cash equivalents. ASU 2016-18 is effective for public business entities for annual and interim periods in fiscal years beginning after December 15, 2017. Early adoption is permitted, including adoption in an interim period. The Company adopted this guidance during the quarter ended March 31, 2017 and adjusted the prior period consolidated statement of cash flows to reflect the change.</w:t>
      </w: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New Accounting Pronouncements</w:t>
      </w:r>
    </w:p>
    <w:p>
      <w:pPr>
        <w:spacing w:after="0" w:line="119"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In May 2014, the Financial Accounting Standards Board issued Accounting Standards Update 2014-09 (“ASU 2014-09”), “Revenue from Contracts with Customers (Topic 606).” The guidance in this ASU supersedes the revenue recognition requirements in Topic 605, Revenue Recognition. Under the new guidance, an entity should recognize revenue to depict the transfer of promised goods or services to customers in an amount that reflects the consideration to which the entity expects to be entitled in exchange for those goods or services. The amendments in ASU 2014-09 are effective for public companies for interim and annual periods in fiscal years beginning after December 15, 2017, with early adoption permitted for interim and annual periods in fiscal years beginning after December 15, 2016. The Company expects that the adoption of this guidance will not have a material impact on the Company’s financial position, results of operations or cash flows.</w:t>
      </w:r>
    </w:p>
    <w:p>
      <w:pPr>
        <w:spacing w:after="0" w:line="12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220"/>
          </w:cols>
          <w:pgMar w:left="240" w:top="456" w:right="43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3. Agreements and Related Party Transactions</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Administration Agreement</w:t>
      </w:r>
    </w:p>
    <w:p>
      <w:pPr>
        <w:spacing w:after="0" w:line="119"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88" w:lineRule="exact"/>
        <w:rPr>
          <w:sz w:val="20"/>
          <w:szCs w:val="20"/>
          <w:color w:val="auto"/>
        </w:rPr>
      </w:pPr>
    </w:p>
    <w:p>
      <w:pPr>
        <w:ind w:left="200" w:right="780" w:firstLine="441"/>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2017, 2016 and 2015, the Company incurred expenses of $3.5 million, $3.1 million and $3.6 million, respectively, for administrative services payable to the Adviser under the terms of the Administration Agreement.</w:t>
      </w:r>
    </w:p>
    <w:p>
      <w:pPr>
        <w:spacing w:after="0" w:line="162" w:lineRule="exact"/>
        <w:rPr>
          <w:sz w:val="20"/>
          <w:szCs w:val="20"/>
          <w:color w:val="auto"/>
        </w:rPr>
      </w:pPr>
    </w:p>
    <w:p>
      <w:pPr>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On February 22, 2017, the Board of Directors of the Company and the Adviser entered into an amended and restated administration agreement (the “Amended and Restated Administration Agreement”) reflecting certain clarifications to the agreement to provide greater detail regarding the scope of the reimbursable costs and expenses of the Administrator’s services.</w:t>
      </w:r>
    </w:p>
    <w:p>
      <w:pPr>
        <w:spacing w:after="0" w:line="176" w:lineRule="exact"/>
        <w:rPr>
          <w:sz w:val="20"/>
          <w:szCs w:val="20"/>
          <w:color w:val="auto"/>
        </w:rPr>
      </w:pPr>
    </w:p>
    <w:p>
      <w:pPr>
        <w:jc w:val="both"/>
        <w:ind w:left="200" w:right="460" w:firstLine="441"/>
        <w:spacing w:after="0" w:line="266" w:lineRule="auto"/>
        <w:rPr>
          <w:sz w:val="20"/>
          <w:szCs w:val="20"/>
          <w:color w:val="auto"/>
        </w:rPr>
      </w:pPr>
      <w:r>
        <w:rPr>
          <w:rFonts w:ascii="Times New Roman" w:cs="Times New Roman" w:eastAsia="Times New Roman" w:hAnsi="Times New Roman"/>
          <w:sz w:val="18"/>
          <w:szCs w:val="18"/>
          <w:color w:val="auto"/>
        </w:rPr>
        <w:t>On November 7, 2017, the Board renewed the Administration Agreement. Unless earlier terminated as described below, the Administration Agreement will remain in effect until November 2018, and may be extended subject to required approvals. The Administration Agreement may be terminated by either party without penalty on 60 days’ written notice to the other party.</w:t>
      </w:r>
    </w:p>
    <w:p>
      <w:pPr>
        <w:spacing w:after="0" w:line="176" w:lineRule="exact"/>
        <w:rPr>
          <w:sz w:val="20"/>
          <w:szCs w:val="20"/>
          <w:color w:val="auto"/>
        </w:rPr>
      </w:pPr>
    </w:p>
    <w:p>
      <w:pPr>
        <w:ind w:left="200" w:right="100" w:firstLine="441"/>
        <w:spacing w:after="0" w:line="256" w:lineRule="auto"/>
        <w:rPr>
          <w:sz w:val="20"/>
          <w:szCs w:val="20"/>
          <w:color w:val="auto"/>
        </w:rPr>
      </w:pPr>
      <w:r>
        <w:rPr>
          <w:rFonts w:ascii="Times New Roman" w:cs="Times New Roman" w:eastAsia="Times New Roman" w:hAnsi="Times New Roman"/>
          <w:sz w:val="18"/>
          <w:szCs w:val="18"/>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Investment Advisory Agreement</w:t>
      </w:r>
    </w:p>
    <w:p>
      <w:pPr>
        <w:spacing w:after="0" w:line="119" w:lineRule="exact"/>
        <w:rPr>
          <w:sz w:val="20"/>
          <w:szCs w:val="20"/>
          <w:color w:val="auto"/>
        </w:rPr>
      </w:pPr>
    </w:p>
    <w:p>
      <w:pPr>
        <w:ind w:left="200" w:right="120" w:firstLine="441"/>
        <w:spacing w:after="0" w:line="258" w:lineRule="auto"/>
        <w:rPr>
          <w:sz w:val="20"/>
          <w:szCs w:val="20"/>
          <w:color w:val="auto"/>
        </w:rPr>
      </w:pPr>
      <w:r>
        <w:rPr>
          <w:rFonts w:ascii="Times New Roman" w:cs="Times New Roman" w:eastAsia="Times New Roman" w:hAnsi="Times New Roman"/>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4" w:lineRule="exact"/>
        <w:rPr>
          <w:sz w:val="20"/>
          <w:szCs w:val="20"/>
          <w:color w:val="auto"/>
        </w:rPr>
      </w:pPr>
    </w:p>
    <w:p>
      <w:pPr>
        <w:jc w:val="both"/>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76" w:lineRule="exact"/>
        <w:rPr>
          <w:sz w:val="20"/>
          <w:szCs w:val="20"/>
          <w:color w:val="auto"/>
        </w:rPr>
      </w:pPr>
    </w:p>
    <w:p>
      <w:pPr>
        <w:ind w:left="200" w:right="160" w:firstLine="441"/>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2017, 2016 and 2015, Management Fees were $24.3 million, $24.3 million and $21.3 million, respectively, of which less than $0.1 million, $0.1 million and $0.1 million were waived.</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20"/>
          </w:cols>
          <w:pgMar w:left="240" w:top="455" w:right="43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82" w:lineRule="auto"/>
        <w:rPr>
          <w:sz w:val="20"/>
          <w:szCs w:val="20"/>
          <w:color w:val="auto"/>
        </w:rPr>
      </w:pPr>
      <w:r>
        <w:rPr>
          <w:rFonts w:ascii="Times New Roman" w:cs="Times New Roman" w:eastAsia="Times New Roman" w:hAnsi="Times New Roman"/>
          <w:sz w:val="18"/>
          <w:szCs w:val="18"/>
          <w:color w:val="auto"/>
        </w:rPr>
        <w:t>For the periods ended December 31, 2016 and prior, the Adviser voluntarily waived the Management Fee on the Company’s ownership of shares of common stock in TICC Capital Corp.</w:t>
      </w:r>
    </w:p>
    <w:p>
      <w:pPr>
        <w:spacing w:after="0" w:line="162" w:lineRule="exact"/>
        <w:rPr>
          <w:sz w:val="20"/>
          <w:szCs w:val="20"/>
          <w:color w:val="auto"/>
        </w:rPr>
      </w:pPr>
    </w:p>
    <w:p>
      <w:pPr>
        <w:ind w:left="200" w:right="100" w:firstLine="441"/>
        <w:spacing w:after="0" w:line="282" w:lineRule="auto"/>
        <w:rPr>
          <w:sz w:val="20"/>
          <w:szCs w:val="20"/>
          <w:color w:val="auto"/>
        </w:rPr>
      </w:pPr>
      <w:r>
        <w:rPr>
          <w:rFonts w:ascii="Times New Roman" w:cs="Times New Roman" w:eastAsia="Times New Roman" w:hAnsi="Times New Roman"/>
          <w:sz w:val="18"/>
          <w:szCs w:val="18"/>
          <w:color w:val="auto"/>
        </w:rPr>
        <w:t>In addition, the Adviser has voluntarily waived the Management Fee on the Company’s ownership of shares of common stock in Triangle Capital Corp. for any period in which Triangle Capital Corp. remains the Company’s portfolio company.</w:t>
      </w:r>
    </w:p>
    <w:p>
      <w:pPr>
        <w:spacing w:after="0" w:line="162"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2017, Management Fees of less than $0.1 million were waived consisting solely of Management Fees attributable to the Company’s ownership of the TCAP Shares. For the years ended December 31, 2016 and 2015, Management Fees of $0.1 million and $0.1 million, respectively, were waived consisting solely of Management Fees attributable to the Company’s ownership of the TICC Shares. Any waived Management Fees are not subject to recoupment by the Adviser.</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Incentive Fee consists of two parts, as follows:</w:t>
      </w:r>
    </w:p>
    <w:p>
      <w:pPr>
        <w:spacing w:after="0" w:line="131" w:lineRule="exact"/>
        <w:rPr>
          <w:sz w:val="20"/>
          <w:szCs w:val="20"/>
          <w:color w:val="auto"/>
        </w:rPr>
      </w:pPr>
    </w:p>
    <w:p>
      <w:pPr>
        <w:ind w:left="1060" w:right="100" w:hanging="424"/>
        <w:spacing w:after="0" w:line="257" w:lineRule="auto"/>
        <w:tabs>
          <w:tab w:leader="none" w:pos="10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w:t>
      </w:r>
    </w:p>
    <w:p>
      <w:pPr>
        <w:spacing w:after="0" w:line="1" w:lineRule="exact"/>
        <w:rPr>
          <w:rFonts w:ascii="Times New Roman" w:cs="Times New Roman" w:eastAsia="Times New Roman" w:hAnsi="Times New Roman"/>
          <w:sz w:val="18"/>
          <w:szCs w:val="18"/>
          <w:color w:val="auto"/>
        </w:rPr>
      </w:pPr>
    </w:p>
    <w:p>
      <w:pPr>
        <w:ind w:left="10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187" w:lineRule="exact"/>
        <w:rPr>
          <w:rFonts w:ascii="Times New Roman" w:cs="Times New Roman" w:eastAsia="Times New Roman" w:hAnsi="Times New Roman"/>
          <w:sz w:val="18"/>
          <w:szCs w:val="18"/>
          <w:color w:val="auto"/>
        </w:rPr>
      </w:pPr>
    </w:p>
    <w:p>
      <w:pPr>
        <w:ind w:left="1080" w:right="1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appreciation or depreciation.</w:t>
      </w:r>
    </w:p>
    <w:p>
      <w:pPr>
        <w:spacing w:after="0" w:line="94" w:lineRule="exact"/>
        <w:rPr>
          <w:rFonts w:ascii="Times New Roman" w:cs="Times New Roman" w:eastAsia="Times New Roman" w:hAnsi="Times New Roman"/>
          <w:sz w:val="18"/>
          <w:szCs w:val="18"/>
          <w:color w:val="auto"/>
        </w:rPr>
      </w:pPr>
    </w:p>
    <w:p>
      <w:pPr>
        <w:ind w:left="1060" w:right="20" w:hanging="424"/>
        <w:spacing w:after="0" w:line="254" w:lineRule="auto"/>
        <w:tabs>
          <w:tab w:leader="none" w:pos="10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depreciation.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appreciation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w:t>
      </w:r>
    </w:p>
    <w:p>
      <w:pPr>
        <w:spacing w:after="0" w:line="186" w:lineRule="exact"/>
        <w:rPr>
          <w:sz w:val="20"/>
          <w:szCs w:val="20"/>
          <w:color w:val="auto"/>
        </w:rPr>
      </w:pPr>
    </w:p>
    <w:p>
      <w:pPr>
        <w:ind w:left="200" w:right="20" w:firstLine="441"/>
        <w:spacing w:after="0" w:line="282" w:lineRule="auto"/>
        <w:rPr>
          <w:sz w:val="20"/>
          <w:szCs w:val="20"/>
          <w:color w:val="auto"/>
        </w:rPr>
      </w:pPr>
      <w:r>
        <w:rPr>
          <w:rFonts w:ascii="Times New Roman" w:cs="Times New Roman" w:eastAsia="Times New Roman" w:hAnsi="Times New Roman"/>
          <w:sz w:val="18"/>
          <w:szCs w:val="18"/>
          <w:color w:val="auto"/>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220"/>
          </w:cols>
          <w:pgMar w:left="240" w:top="456" w:right="43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82" w:lineRule="auto"/>
        <w:rPr>
          <w:sz w:val="20"/>
          <w:szCs w:val="20"/>
          <w:color w:val="auto"/>
        </w:rPr>
      </w:pPr>
      <w:r>
        <w:rPr>
          <w:rFonts w:ascii="Times New Roman" w:cs="Times New Roman" w:eastAsia="Times New Roman" w:hAnsi="Times New Roman"/>
          <w:sz w:val="18"/>
          <w:szCs w:val="18"/>
          <w:color w:val="auto"/>
        </w:rPr>
        <w:t>Section 205(b)(3) of the Investment Advisers Act of 1940, as amended, prohibits the Adviser from receiving the payment of fees on unrealized gains until those gains are realized, if ever. There can be no assurance that such unrealized gains will be realized in the future.</w:t>
      </w:r>
    </w:p>
    <w:p>
      <w:pPr>
        <w:spacing w:after="0" w:line="162" w:lineRule="exact"/>
        <w:rPr>
          <w:sz w:val="20"/>
          <w:szCs w:val="20"/>
          <w:color w:val="auto"/>
        </w:rPr>
      </w:pPr>
    </w:p>
    <w:p>
      <w:pPr>
        <w:ind w:left="200" w:right="180" w:firstLine="441"/>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2017, 2016 and 2015, Incentive Fees were $25.5 million, $22.7 million and $20.2 million, respectively, all of which were realized and payable to the Adviser. For the years ended December 31, 2017, 2016 and 2015, no incentive fees were accrued related to capital gains.</w:t>
      </w:r>
    </w:p>
    <w:p>
      <w:pPr>
        <w:spacing w:after="0" w:line="176" w:lineRule="exact"/>
        <w:rPr>
          <w:sz w:val="20"/>
          <w:szCs w:val="20"/>
          <w:color w:val="auto"/>
        </w:rPr>
      </w:pPr>
    </w:p>
    <w:p>
      <w:pPr>
        <w:ind w:left="200" w:right="260" w:firstLine="441"/>
        <w:spacing w:after="0" w:line="258" w:lineRule="auto"/>
        <w:rPr>
          <w:sz w:val="20"/>
          <w:szCs w:val="20"/>
          <w:color w:val="auto"/>
        </w:rPr>
      </w:pPr>
      <w:r>
        <w:rPr>
          <w:rFonts w:ascii="Times New Roman" w:cs="Times New Roman" w:eastAsia="Times New Roman" w:hAnsi="Times New Roman"/>
          <w:sz w:val="18"/>
          <w:szCs w:val="18"/>
          <w:color w:val="auto"/>
        </w:rPr>
        <w:t>For the periods ended December 31, 2016 and prior, the Adviser voluntarily waived the Incentive Fees attributable to pre-Incentive Fee net investment income accrued by the Company as a result of its ownership of the TICC Shares. The Adviser did not waive any part of the Capital Gains Fee attributable to the Company’s ownership of the TICC Shares and, accordingly, any realized capital gains or losses and unrealized capital depreciation with respect to the TICC Shares apply against the Company’s cumulative realized capital gains on which the Capital Gains Fee is calculated.</w:t>
      </w:r>
    </w:p>
    <w:p>
      <w:pPr>
        <w:spacing w:after="0" w:line="184" w:lineRule="exact"/>
        <w:rPr>
          <w:sz w:val="20"/>
          <w:szCs w:val="20"/>
          <w:color w:val="auto"/>
        </w:rPr>
      </w:pPr>
    </w:p>
    <w:p>
      <w:pPr>
        <w:ind w:left="200" w:right="200" w:firstLine="441"/>
        <w:spacing w:after="0" w:line="258" w:lineRule="auto"/>
        <w:rPr>
          <w:sz w:val="20"/>
          <w:szCs w:val="20"/>
          <w:color w:val="auto"/>
        </w:rPr>
      </w:pPr>
      <w:r>
        <w:rPr>
          <w:rFonts w:ascii="Times New Roman" w:cs="Times New Roman" w:eastAsia="Times New Roman" w:hAnsi="Times New Roman"/>
          <w:sz w:val="18"/>
          <w:szCs w:val="18"/>
          <w:color w:val="auto"/>
        </w:rPr>
        <w:t>In addition, the Adviser has voluntarily waived the Incentive Fees attributable to pre-Incentive Fee net investment income accrued by the Company as a result of its ownership of the TCAP Shares for any period in which Triangle Capital Corp. remains the Company’s portfolio company. The Adviser has not waived any part of the Capital Gains Fee attributable to the Company’s ownership of the TCAP Shares and, accordingly, any realized capital gains or losses and unrealized capital depreciation with respect to the TCAP Shares will be applied against the Company’s cumulative realized capital gains on which the Capital Gains Fee is calculated.</w:t>
      </w:r>
    </w:p>
    <w:p>
      <w:pPr>
        <w:spacing w:after="0" w:line="184"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2017, Incentive Fees of less than $0.1 million were waived consisting solely of Incentive Fees attributable to the Company’s ownership of the TCAP Shares. For the years ended December 31, 2016 and 2015, Incentive Fees of $0.3 million and $0.2 million were waived, respectively, consisting solely of Incentive Fees attributable to the Company’s ownership of the TICC Shares. Any waived Incentive Fees are not subject to recoupment by the Adviser.</w:t>
      </w:r>
    </w:p>
    <w:p>
      <w:pPr>
        <w:spacing w:after="0" w:line="180" w:lineRule="exact"/>
        <w:rPr>
          <w:sz w:val="20"/>
          <w:szCs w:val="20"/>
          <w:color w:val="auto"/>
        </w:rPr>
      </w:pPr>
    </w:p>
    <w:p>
      <w:pPr>
        <w:ind w:left="200" w:right="520" w:firstLine="441"/>
        <w:spacing w:after="0" w:line="266" w:lineRule="auto"/>
        <w:rPr>
          <w:sz w:val="20"/>
          <w:szCs w:val="20"/>
          <w:color w:val="auto"/>
        </w:rPr>
      </w:pPr>
      <w:r>
        <w:rPr>
          <w:rFonts w:ascii="Times New Roman" w:cs="Times New Roman" w:eastAsia="Times New Roman" w:hAnsi="Times New Roman"/>
          <w:sz w:val="18"/>
          <w:szCs w:val="18"/>
          <w:color w:val="auto"/>
        </w:rPr>
        <w:t>Since the Company’s IPO, with the exception of its waiver of Management Fees and certain Incentive Fees attributable to the Company’s ownership of the TCAP Shares and TICC Shares, the Adviser has not waived its right to receive any Management Fees or Incentive Fees payable pursuant to the Investment Advisory Agreement.</w:t>
      </w:r>
    </w:p>
    <w:p>
      <w:pPr>
        <w:spacing w:after="0" w:line="176" w:lineRule="exact"/>
        <w:rPr>
          <w:sz w:val="20"/>
          <w:szCs w:val="20"/>
          <w:color w:val="auto"/>
        </w:rPr>
      </w:pPr>
    </w:p>
    <w:p>
      <w:pPr>
        <w:ind w:left="200" w:right="400" w:firstLine="441"/>
        <w:spacing w:after="0" w:line="261" w:lineRule="auto"/>
        <w:rPr>
          <w:sz w:val="20"/>
          <w:szCs w:val="20"/>
          <w:color w:val="auto"/>
        </w:rPr>
      </w:pPr>
      <w:r>
        <w:rPr>
          <w:rFonts w:ascii="Times New Roman" w:cs="Times New Roman" w:eastAsia="Times New Roman" w:hAnsi="Times New Roman"/>
          <w:sz w:val="18"/>
          <w:szCs w:val="18"/>
          <w:color w:val="auto"/>
        </w:rPr>
        <w:t>In November 2017, the Board renewed the Investment Advisory Agreement. Unless earlier terminated as described below, the Investment Advisory Agreement will remain in effect until November 2018,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180" w:lineRule="exact"/>
        <w:rPr>
          <w:sz w:val="20"/>
          <w:szCs w:val="20"/>
          <w:color w:val="auto"/>
        </w:rPr>
      </w:pPr>
    </w:p>
    <w:p>
      <w:pPr>
        <w:jc w:val="both"/>
        <w:ind w:left="200" w:firstLine="441"/>
        <w:spacing w:after="0" w:line="266" w:lineRule="auto"/>
        <w:rPr>
          <w:sz w:val="20"/>
          <w:szCs w:val="20"/>
          <w:color w:val="auto"/>
        </w:rPr>
      </w:pPr>
      <w:r>
        <w:rPr>
          <w:rFonts w:ascii="Times New Roman" w:cs="Times New Roman" w:eastAsia="Times New Roman" w:hAnsi="Times New Roman"/>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4. Investments at Fair Value</w:t>
      </w:r>
    </w:p>
    <w:p>
      <w:pPr>
        <w:spacing w:after="0" w:line="121"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200"/>
          </w:cols>
          <w:pgMar w:left="240" w:top="456" w:right="45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2" w:lineRule="auto"/>
        <w:rPr>
          <w:sz w:val="20"/>
          <w:szCs w:val="20"/>
          <w:color w:val="auto"/>
        </w:rPr>
      </w:pPr>
      <w:r>
        <w:rPr>
          <w:rFonts w:ascii="Times New Roman" w:cs="Times New Roman" w:eastAsia="Times New Roman" w:hAnsi="Times New Roman"/>
          <w:sz w:val="18"/>
          <w:szCs w:val="18"/>
          <w:color w:val="auto"/>
        </w:rPr>
        <w:t>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Investments at fair value consisted of the following at December 31, 2017 and 2016:</w:t>
      </w:r>
    </w:p>
    <w:p>
      <w:pPr>
        <w:spacing w:after="0" w:line="246" w:lineRule="exact"/>
        <w:rPr>
          <w:sz w:val="20"/>
          <w:szCs w:val="20"/>
          <w:color w:val="auto"/>
        </w:rPr>
      </w:pPr>
    </w:p>
    <w:tbl>
      <w:tblPr>
        <w:tblLayout w:type="fixed"/>
        <w:tblInd w:w="108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1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Amortized Cost </w:t>
            </w:r>
            <w:r>
              <w:rPr>
                <w:rFonts w:ascii="Times New Roman" w:cs="Times New Roman" w:eastAsia="Times New Roman" w:hAnsi="Times New Roman"/>
                <w:sz w:val="12"/>
                <w:szCs w:val="12"/>
                <w:b w:val="1"/>
                <w:bCs w:val="1"/>
                <w:color w:val="auto"/>
              </w:rPr>
              <w:t>(1)</w:t>
            </w:r>
          </w:p>
        </w:tc>
        <w:tc>
          <w:tcPr>
            <w:tcW w:w="500" w:type="dxa"/>
            <w:vAlign w:val="bottom"/>
          </w:tcPr>
          <w:p>
            <w:pPr>
              <w:spacing w:after="0"/>
              <w:rPr>
                <w:sz w:val="10"/>
                <w:szCs w:val="10"/>
                <w:color w:val="auto"/>
              </w:rPr>
            </w:pPr>
          </w:p>
        </w:tc>
        <w:tc>
          <w:tcPr>
            <w:tcW w:w="12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Pr>
          <w:p>
            <w:pPr>
              <w:spacing w:after="0"/>
              <w:rPr>
                <w:sz w:val="10"/>
                <w:szCs w:val="10"/>
                <w:color w:val="auto"/>
              </w:rPr>
            </w:pPr>
          </w:p>
        </w:tc>
        <w:tc>
          <w:tcPr>
            <w:tcW w:w="9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1,561,275</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$1,581,355</w:t>
            </w: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62,962</w:t>
            </w:r>
          </w:p>
        </w:tc>
        <w:tc>
          <w:tcPr>
            <w:tcW w:w="17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60,900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(2,062)</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and unsecured debt investments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62,013</w:t>
            </w:r>
          </w:p>
        </w:tc>
        <w:tc>
          <w:tcPr>
            <w:tcW w:w="17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51,468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(10,545)</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1,686,250</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1,693,723</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7,473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8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1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Amortized Cost </w:t>
            </w:r>
            <w:r>
              <w:rPr>
                <w:rFonts w:ascii="Times New Roman" w:cs="Times New Roman" w:eastAsia="Times New Roman" w:hAnsi="Times New Roman"/>
                <w:sz w:val="12"/>
                <w:szCs w:val="12"/>
                <w:b w:val="1"/>
                <w:bCs w:val="1"/>
                <w:color w:val="auto"/>
              </w:rPr>
              <w:t>(1)</w:t>
            </w:r>
          </w:p>
        </w:tc>
        <w:tc>
          <w:tcPr>
            <w:tcW w:w="500" w:type="dxa"/>
            <w:vAlign w:val="bottom"/>
          </w:tcPr>
          <w:p>
            <w:pPr>
              <w:spacing w:after="0"/>
              <w:rPr>
                <w:sz w:val="10"/>
                <w:szCs w:val="10"/>
                <w:color w:val="auto"/>
              </w:rPr>
            </w:pPr>
          </w:p>
        </w:tc>
        <w:tc>
          <w:tcPr>
            <w:tcW w:w="12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Pr>
          <w:p>
            <w:pPr>
              <w:spacing w:after="0"/>
              <w:rPr>
                <w:sz w:val="10"/>
                <w:szCs w:val="10"/>
                <w:color w:val="auto"/>
              </w:rPr>
            </w:pPr>
          </w:p>
        </w:tc>
        <w:tc>
          <w:tcPr>
            <w:tcW w:w="9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1,592,753</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$1,599,578</w:t>
            </w: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23,959</w:t>
            </w:r>
          </w:p>
        </w:tc>
        <w:tc>
          <w:tcPr>
            <w:tcW w:w="17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19,577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(4,382)</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and unsecured debt investments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10,753</w:t>
            </w:r>
          </w:p>
        </w:tc>
        <w:tc>
          <w:tcPr>
            <w:tcW w:w="17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10,681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40,222</w:t>
            </w:r>
          </w:p>
        </w:tc>
        <w:tc>
          <w:tcPr>
            <w:tcW w:w="17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27,567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(12,655)</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1,667,687</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1,657,403</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(10,284)</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060" w:right="20" w:hanging="424"/>
        <w:spacing w:after="0" w:line="282" w:lineRule="auto"/>
        <w:tabs>
          <w:tab w:leader="none" w:pos="10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or premiums, as applicable, on debt investments using the effective interest method.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industry composition of Investments at fair value at December 31, 2017 and 2016 is as follows:</w:t>
      </w:r>
    </w:p>
    <w:p>
      <w:pPr>
        <w:spacing w:after="0" w:line="246" w:lineRule="exact"/>
        <w:rPr>
          <w:sz w:val="20"/>
          <w:szCs w:val="20"/>
          <w:color w:val="auto"/>
        </w:rPr>
      </w:pPr>
    </w:p>
    <w:tbl>
      <w:tblPr>
        <w:tblLayout w:type="fixed"/>
        <w:tblInd w:w="15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w:t>
            </w:r>
          </w:p>
        </w:tc>
        <w:tc>
          <w:tcPr>
            <w:tcW w:w="142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vMerge w:val="continue"/>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8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1.8%</w:t>
            </w:r>
          </w:p>
        </w:tc>
        <w:tc>
          <w:tcPr>
            <w:tcW w:w="54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Beverage, food, and tobacco</w:t>
            </w:r>
          </w:p>
        </w:tc>
        <w:tc>
          <w:tcPr>
            <w:tcW w:w="32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4.5%</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32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13.8%</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Chemicals</w:t>
            </w:r>
          </w:p>
        </w:tc>
        <w:tc>
          <w:tcPr>
            <w:tcW w:w="32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0.7%</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32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6.7%</w:t>
            </w:r>
          </w:p>
        </w:tc>
        <w:tc>
          <w:tcPr>
            <w:tcW w:w="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Education</w:t>
            </w:r>
          </w:p>
        </w:tc>
        <w:tc>
          <w:tcPr>
            <w:tcW w:w="32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8.8%</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Electronics</w:t>
            </w:r>
          </w:p>
        </w:tc>
        <w:tc>
          <w:tcPr>
            <w:tcW w:w="14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32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14.0%</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w:t>
            </w:r>
          </w:p>
        </w:tc>
        <w:tc>
          <w:tcPr>
            <w:tcW w:w="32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12.6%</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Hotel, gaming, and leisure</w:t>
            </w:r>
          </w:p>
        </w:tc>
        <w:tc>
          <w:tcPr>
            <w:tcW w:w="32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2.1%</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Human resource support services</w:t>
            </w:r>
          </w:p>
        </w:tc>
        <w:tc>
          <w:tcPr>
            <w:tcW w:w="14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32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3.8%</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Internet services</w:t>
            </w:r>
          </w:p>
        </w:tc>
        <w:tc>
          <w:tcPr>
            <w:tcW w:w="32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2.9%</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32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3.3%</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services</w:t>
            </w:r>
          </w:p>
        </w:tc>
        <w:tc>
          <w:tcPr>
            <w:tcW w:w="32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3.6%</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Office products</w:t>
            </w:r>
          </w:p>
        </w:tc>
        <w:tc>
          <w:tcPr>
            <w:tcW w:w="32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1.2%</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gas and consumable fuels</w:t>
            </w:r>
          </w:p>
        </w:tc>
        <w:tc>
          <w:tcPr>
            <w:tcW w:w="32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5.5%</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Pr>
          <w:p>
            <w:pPr>
              <w:spacing w:after="0"/>
              <w:rPr>
                <w:sz w:val="18"/>
                <w:szCs w:val="18"/>
                <w:color w:val="auto"/>
              </w:rPr>
            </w:pPr>
          </w:p>
        </w:tc>
        <w:tc>
          <w:tcPr>
            <w:tcW w:w="18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Pharmaceuticals</w:t>
            </w:r>
          </w:p>
        </w:tc>
        <w:tc>
          <w:tcPr>
            <w:tcW w:w="32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8.2%</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Retail and consumer products</w:t>
            </w:r>
          </w:p>
        </w:tc>
        <w:tc>
          <w:tcPr>
            <w:tcW w:w="32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6.5%</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Transportation</w:t>
            </w:r>
          </w:p>
        </w:tc>
        <w:tc>
          <w:tcPr>
            <w:tcW w:w="1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18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100.0%</w:t>
            </w:r>
          </w:p>
        </w:tc>
        <w:tc>
          <w:tcPr>
            <w:tcW w:w="54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260" w:type="dxa"/>
            <w:vAlign w:val="bottom"/>
            <w:gridSpan w:val="3"/>
          </w:tcPr>
          <w:p>
            <w:pPr>
              <w:jc w:val="right"/>
              <w:ind w:right="2120"/>
              <w:spacing w:after="0"/>
              <w:rPr>
                <w:sz w:val="20"/>
                <w:szCs w:val="20"/>
                <w:color w:val="auto"/>
              </w:rPr>
            </w:pPr>
            <w:r>
              <w:rPr>
                <w:rFonts w:ascii="Times New Roman" w:cs="Times New Roman" w:eastAsia="Times New Roman" w:hAnsi="Times New Roman"/>
                <w:sz w:val="18"/>
                <w:szCs w:val="18"/>
                <w:color w:val="auto"/>
              </w:rPr>
              <w:t>F-27</w:t>
            </w: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240" w:top="455" w:right="65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geographic composition of Investments at fair value at December 31, 2017 and 2016 is as follows:</w:t>
      </w:r>
    </w:p>
    <w:p>
      <w:pPr>
        <w:spacing w:after="0" w:line="246" w:lineRule="exact"/>
        <w:rPr>
          <w:sz w:val="20"/>
          <w:szCs w:val="20"/>
          <w:color w:val="auto"/>
        </w:rPr>
      </w:pPr>
    </w:p>
    <w:tbl>
      <w:tblPr>
        <w:tblLayout w:type="fixed"/>
        <w:tblInd w:w="15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362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United States</w:t>
            </w:r>
          </w:p>
        </w:tc>
        <w:tc>
          <w:tcPr>
            <w:tcW w:w="17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Midwest</w:t>
            </w:r>
          </w:p>
        </w:tc>
        <w:tc>
          <w:tcPr>
            <w:tcW w:w="36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10.0%</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Northeast</w:t>
            </w:r>
          </w:p>
        </w:tc>
        <w:tc>
          <w:tcPr>
            <w:tcW w:w="36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22.9%</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South</w:t>
            </w:r>
          </w:p>
        </w:tc>
        <w:tc>
          <w:tcPr>
            <w:tcW w:w="36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21.6%</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West</w:t>
            </w:r>
          </w:p>
        </w:tc>
        <w:tc>
          <w:tcPr>
            <w:tcW w:w="36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40.6%</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36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2.0%</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7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2.9%</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8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840" w:type="dxa"/>
            <w:vAlign w:val="bottom"/>
            <w:vMerge w:val="continue"/>
          </w:tcPr>
          <w:p>
            <w:pPr>
              <w:spacing w:after="0"/>
              <w:rPr>
                <w:sz w:val="19"/>
                <w:szCs w:val="19"/>
                <w:color w:val="auto"/>
              </w:rPr>
            </w:pPr>
          </w:p>
        </w:tc>
        <w:tc>
          <w:tcPr>
            <w:tcW w:w="1780" w:type="dxa"/>
            <w:vAlign w:val="bottom"/>
            <w:vMerge w:val="continue"/>
          </w:tcPr>
          <w:p>
            <w:pPr>
              <w:spacing w:after="0"/>
              <w:rPr>
                <w:sz w:val="19"/>
                <w:szCs w:val="19"/>
                <w:color w:val="auto"/>
              </w:rPr>
            </w:pPr>
          </w:p>
        </w:tc>
        <w:tc>
          <w:tcPr>
            <w:tcW w:w="18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100.0%</w:t>
            </w:r>
          </w:p>
        </w:tc>
        <w:tc>
          <w:tcPr>
            <w:tcW w:w="54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5. Derivatives</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19" w:lineRule="exact"/>
        <w:rPr>
          <w:sz w:val="20"/>
          <w:szCs w:val="20"/>
          <w:color w:val="auto"/>
        </w:rPr>
      </w:pPr>
    </w:p>
    <w:p>
      <w:pPr>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In January 2015, in connection with its 2019 Convertible Senior Notes, the Company entered into two interest rate swap transactions, each with a $57.5 million notional amount. The Company receives fixed rate interest at 4.50% and pays variable rate interest based on the three-month London Interbank Offered Rate (“LIBOR”) plus 286 basis points. The swap transactions mature on December 15, 2019.</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November 2015, in connection with a fixed rate investment, the Company entered into two interest rate swap transactions, each with a</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$46.3 million notional amount. The Company receives three-month LIBOR and pays fixed rate interest at 1.16%. The swap transactions mature on</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October 5, 2018.</w:t>
      </w:r>
    </w:p>
    <w:p>
      <w:pPr>
        <w:spacing w:after="0" w:line="207" w:lineRule="exact"/>
        <w:rPr>
          <w:sz w:val="20"/>
          <w:szCs w:val="20"/>
          <w:color w:val="auto"/>
        </w:rPr>
      </w:pPr>
    </w:p>
    <w:p>
      <w:pPr>
        <w:ind w:left="200" w:right="240" w:firstLine="441"/>
        <w:spacing w:after="0" w:line="266" w:lineRule="auto"/>
        <w:rPr>
          <w:sz w:val="20"/>
          <w:szCs w:val="20"/>
          <w:color w:val="auto"/>
        </w:rPr>
      </w:pPr>
      <w:r>
        <w:rPr>
          <w:rFonts w:ascii="Times New Roman" w:cs="Times New Roman" w:eastAsia="Times New Roman" w:hAnsi="Times New Roman"/>
          <w:sz w:val="18"/>
          <w:szCs w:val="18"/>
          <w:color w:val="auto"/>
        </w:rPr>
        <w:t>In January 2017, in connection with a fixed rate investment, the Company entered into an interest rate swap transaction with a $33.3 million notional amount. On a net basis, the Company receives three-month LIBOR and pays fixed rate interest at 1.7225%. The swap transaction matures on January 10, 2020.</w:t>
      </w:r>
    </w:p>
    <w:p>
      <w:pPr>
        <w:spacing w:after="0" w:line="176" w:lineRule="exact"/>
        <w:rPr>
          <w:sz w:val="20"/>
          <w:szCs w:val="20"/>
          <w:color w:val="auto"/>
        </w:rPr>
      </w:pPr>
    </w:p>
    <w:p>
      <w:pPr>
        <w:ind w:left="200" w:right="240" w:firstLine="441"/>
        <w:spacing w:after="0" w:line="266" w:lineRule="auto"/>
        <w:rPr>
          <w:sz w:val="20"/>
          <w:szCs w:val="20"/>
          <w:color w:val="auto"/>
        </w:rPr>
      </w:pPr>
      <w:r>
        <w:rPr>
          <w:rFonts w:ascii="Times New Roman" w:cs="Times New Roman" w:eastAsia="Times New Roman" w:hAnsi="Times New Roman"/>
          <w:sz w:val="18"/>
          <w:szCs w:val="18"/>
          <w:color w:val="auto"/>
        </w:rPr>
        <w:t>In February 2017, in connection with the issuance of the 2022 Convertible Senior Notes, the Company entered into an interest rate swap transaction with a $115 million notional amount. The Company receives fixed rate interest at 4.50% and pays variable rate interest based on the three-month LIBOR plus 237.2 basis points. The swap transaction matures on August 1, 2022.</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tables present the gross and net information on the Company’s interest rate swap transactions that are eligible for offset in the</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Company’s consolidated balance sheets as of December 31, 2017 and 2016:</w:t>
      </w:r>
    </w:p>
    <w:p>
      <w:pPr>
        <w:spacing w:after="0" w:line="227"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420" w:type="dxa"/>
            <w:vAlign w:val="bottom"/>
          </w:tcPr>
          <w:p>
            <w:pPr>
              <w:spacing w:after="0"/>
              <w:rPr>
                <w:sz w:val="10"/>
                <w:szCs w:val="10"/>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16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Net Amount of</w:t>
            </w:r>
          </w:p>
        </w:tc>
        <w:tc>
          <w:tcPr>
            <w:tcW w:w="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4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3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Account in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88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480" w:type="dxa"/>
            <w:vAlign w:val="bottom"/>
          </w:tcPr>
          <w:p>
            <w:pPr>
              <w:spacing w:after="0"/>
              <w:rPr>
                <w:sz w:val="12"/>
                <w:szCs w:val="12"/>
                <w:color w:val="auto"/>
              </w:rPr>
            </w:pPr>
          </w:p>
        </w:tc>
        <w:tc>
          <w:tcPr>
            <w:tcW w:w="70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300" w:type="dxa"/>
            <w:vAlign w:val="bottom"/>
            <w:gridSpan w:val="4"/>
          </w:tcPr>
          <w:p>
            <w:pPr>
              <w:jc w:val="center"/>
              <w:ind w:left="279"/>
              <w:spacing w:after="0" w:line="14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420" w:type="dxa"/>
            <w:vAlign w:val="bottom"/>
          </w:tcPr>
          <w:p>
            <w:pPr>
              <w:spacing w:after="0"/>
              <w:rPr>
                <w:sz w:val="12"/>
                <w:szCs w:val="12"/>
                <w:color w:val="auto"/>
              </w:rPr>
            </w:pPr>
          </w:p>
        </w:tc>
        <w:tc>
          <w:tcPr>
            <w:tcW w:w="120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240" w:type="dxa"/>
            <w:vAlign w:val="bottom"/>
          </w:tcPr>
          <w:p>
            <w:pPr>
              <w:spacing w:after="0"/>
              <w:rPr>
                <w:sz w:val="12"/>
                <w:szCs w:val="12"/>
                <w:color w:val="auto"/>
              </w:rPr>
            </w:pPr>
          </w:p>
        </w:tc>
        <w:tc>
          <w:tcPr>
            <w:tcW w:w="9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Assets in the</w:t>
            </w:r>
          </w:p>
        </w:tc>
        <w:tc>
          <w:tcPr>
            <w:tcW w:w="5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Asset</w:t>
            </w:r>
          </w:p>
        </w:tc>
        <w:tc>
          <w:tcPr>
            <w:tcW w:w="420" w:type="dxa"/>
            <w:vAlign w:val="bottom"/>
          </w:tcPr>
          <w:p>
            <w:pPr>
              <w:spacing w:after="0"/>
              <w:rPr>
                <w:sz w:val="12"/>
                <w:szCs w:val="12"/>
                <w:color w:val="auto"/>
              </w:rPr>
            </w:pPr>
          </w:p>
        </w:tc>
        <w:tc>
          <w:tcPr>
            <w:tcW w:w="120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40" w:type="dxa"/>
            <w:vAlign w:val="bottom"/>
          </w:tcPr>
          <w:p>
            <w:pPr>
              <w:spacing w:after="0"/>
              <w:rPr>
                <w:sz w:val="12"/>
                <w:szCs w:val="12"/>
                <w:color w:val="auto"/>
              </w:rPr>
            </w:pPr>
          </w:p>
        </w:tc>
        <w:tc>
          <w:tcPr>
            <w:tcW w:w="9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880" w:type="dxa"/>
            <w:vAlign w:val="bottom"/>
            <w:gridSpan w:val="3"/>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Balance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8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Date</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480" w:type="dxa"/>
            <w:vAlign w:val="bottom"/>
          </w:tcPr>
          <w:p>
            <w:pPr>
              <w:spacing w:after="0"/>
              <w:rPr>
                <w:sz w:val="15"/>
                <w:szCs w:val="15"/>
                <w:color w:val="auto"/>
              </w:rPr>
            </w:pPr>
          </w:p>
        </w:tc>
        <w:tc>
          <w:tcPr>
            <w:tcW w:w="8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62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16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500" w:type="dxa"/>
            <w:vAlign w:val="bottom"/>
          </w:tcPr>
          <w:p>
            <w:pPr>
              <w:spacing w:after="0"/>
              <w:rPr>
                <w:sz w:val="15"/>
                <w:szCs w:val="15"/>
                <w:color w:val="auto"/>
              </w:rPr>
            </w:pPr>
          </w:p>
        </w:tc>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Sheets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(1)</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10/5/2018</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92,500</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12/15/2019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115,000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(1,024)</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1/10/2020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115,000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(710)</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355,833</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(962)</w:t>
            </w: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060" w:right="300" w:hanging="424"/>
        <w:spacing w:after="0" w:line="282" w:lineRule="auto"/>
        <w:tabs>
          <w:tab w:leader="none" w:pos="10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notional amount of certain interest rate swaps may exceed the Company’s investment in individual portfolio companies as a result of arrangements with other lenders in the syndicate.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240"/>
          </w:cols>
          <w:pgMar w:left="240" w:top="456" w:right="41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440" w:type="dxa"/>
            <w:vAlign w:val="bottom"/>
          </w:tcPr>
          <w:p>
            <w:pPr>
              <w:spacing w:after="0"/>
              <w:rPr>
                <w:sz w:val="10"/>
                <w:szCs w:val="10"/>
                <w:color w:val="auto"/>
              </w:rPr>
            </w:pPr>
          </w:p>
        </w:tc>
        <w:tc>
          <w:tcPr>
            <w:tcW w:w="11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 Amount</w:t>
            </w:r>
          </w:p>
        </w:tc>
        <w:tc>
          <w:tcPr>
            <w:tcW w:w="220" w:type="dxa"/>
            <w:vAlign w:val="bottom"/>
          </w:tcPr>
          <w:p>
            <w:pPr>
              <w:spacing w:after="0"/>
              <w:rPr>
                <w:sz w:val="10"/>
                <w:szCs w:val="10"/>
                <w:color w:val="auto"/>
              </w:rPr>
            </w:pPr>
          </w:p>
        </w:tc>
        <w:tc>
          <w:tcPr>
            <w:tcW w:w="1520" w:type="dxa"/>
            <w:vAlign w:val="bottom"/>
            <w:gridSpan w:val="3"/>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Net Amount of</w:t>
            </w:r>
          </w:p>
        </w:tc>
        <w:tc>
          <w:tcPr>
            <w:tcW w:w="1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Account in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420" w:type="dxa"/>
            <w:vAlign w:val="bottom"/>
          </w:tcPr>
          <w:p>
            <w:pPr>
              <w:spacing w:after="0"/>
              <w:rPr>
                <w:sz w:val="12"/>
                <w:szCs w:val="12"/>
                <w:color w:val="auto"/>
              </w:rPr>
            </w:pPr>
          </w:p>
        </w:tc>
        <w:tc>
          <w:tcPr>
            <w:tcW w:w="70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4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440" w:type="dxa"/>
            <w:vAlign w:val="bottom"/>
          </w:tcPr>
          <w:p>
            <w:pPr>
              <w:spacing w:after="0"/>
              <w:rPr>
                <w:sz w:val="12"/>
                <w:szCs w:val="12"/>
                <w:color w:val="auto"/>
              </w:rPr>
            </w:pPr>
          </w:p>
        </w:tc>
        <w:tc>
          <w:tcPr>
            <w:tcW w:w="1180" w:type="dxa"/>
            <w:vAlign w:val="bottom"/>
            <w:gridSpan w:val="3"/>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Assets in</w:t>
            </w: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140" w:type="dxa"/>
            <w:vAlign w:val="bottom"/>
            <w:gridSpan w:val="3"/>
          </w:tcPr>
          <w:p>
            <w:pPr>
              <w:jc w:val="center"/>
              <w:ind w:left="336"/>
              <w:spacing w:after="0" w:line="14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440" w:type="dxa"/>
            <w:vAlign w:val="bottom"/>
          </w:tcPr>
          <w:p>
            <w:pPr>
              <w:spacing w:after="0"/>
              <w:rPr>
                <w:sz w:val="12"/>
                <w:szCs w:val="12"/>
                <w:color w:val="auto"/>
              </w:rPr>
            </w:pPr>
          </w:p>
        </w:tc>
        <w:tc>
          <w:tcPr>
            <w:tcW w:w="118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74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the Consolidated</w:t>
            </w:r>
          </w:p>
        </w:tc>
        <w:tc>
          <w:tcPr>
            <w:tcW w:w="14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Balance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8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Date</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2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220" w:type="dxa"/>
            <w:vAlign w:val="bottom"/>
          </w:tcPr>
          <w:p>
            <w:pPr>
              <w:spacing w:after="0"/>
              <w:rPr>
                <w:sz w:val="15"/>
                <w:szCs w:val="15"/>
                <w:color w:val="auto"/>
              </w:rPr>
            </w:pPr>
          </w:p>
        </w:tc>
        <w:tc>
          <w:tcPr>
            <w:tcW w:w="15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4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Sheets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06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(1)</w:t>
            </w:r>
          </w:p>
        </w:tc>
        <w:tc>
          <w:tcPr>
            <w:tcW w:w="8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Receivable for</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10/5/2018</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92,500</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276</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4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interest rate swaps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Interest rate swap</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gridSpan w:val="2"/>
          </w:tcPr>
          <w:p>
            <w:pPr>
              <w:jc w:val="center"/>
              <w:ind w:right="20"/>
              <w:spacing w:after="0" w:line="198" w:lineRule="exact"/>
              <w:rPr>
                <w:sz w:val="20"/>
                <w:szCs w:val="20"/>
                <w:color w:val="auto"/>
              </w:rPr>
            </w:pPr>
            <w:r>
              <w:rPr>
                <w:rFonts w:ascii="Times New Roman" w:cs="Times New Roman" w:eastAsia="Times New Roman" w:hAnsi="Times New Roman"/>
                <w:sz w:val="18"/>
                <w:szCs w:val="18"/>
                <w:color w:val="auto"/>
                <w:w w:val="98"/>
              </w:rPr>
              <w:t>Receivable for</w:t>
            </w:r>
          </w:p>
        </w:tc>
        <w:tc>
          <w:tcPr>
            <w:tcW w:w="0" w:type="dxa"/>
            <w:vAlign w:val="bottom"/>
          </w:tcPr>
          <w:p>
            <w:pPr>
              <w:spacing w:after="0"/>
              <w:rPr>
                <w:sz w:val="1"/>
                <w:szCs w:val="1"/>
                <w:color w:val="auto"/>
              </w:rPr>
            </w:pPr>
          </w:p>
        </w:tc>
      </w:tr>
      <w:tr>
        <w:trPr>
          <w:trHeight w:val="234"/>
        </w:trPr>
        <w:tc>
          <w:tcPr>
            <w:tcW w:w="3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12/15/2019</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115,000</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(207)</w:t>
            </w:r>
          </w:p>
        </w:tc>
        <w:tc>
          <w:tcPr>
            <w:tcW w:w="14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interest rate swaps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jc w:val="right"/>
              <w:ind w:right="3128"/>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207,500</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276</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w:t>
            </w:r>
          </w:p>
        </w:tc>
        <w:tc>
          <w:tcPr>
            <w:tcW w:w="38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40" w:right="720" w:hanging="436"/>
        <w:spacing w:after="0" w:line="282" w:lineRule="auto"/>
        <w:tabs>
          <w:tab w:leader="none" w:pos="6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notional amount of certain interest rate swaps may exceed the Company’s investment in individual portfolio companies as a result of arrangements with other lenders in the syndicate.</w:t>
      </w:r>
    </w:p>
    <w:p>
      <w:pPr>
        <w:spacing w:after="0" w:line="162" w:lineRule="exact"/>
        <w:rPr>
          <w:sz w:val="20"/>
          <w:szCs w:val="20"/>
          <w:color w:val="auto"/>
        </w:rPr>
      </w:pPr>
    </w:p>
    <w:p>
      <w:pPr>
        <w:jc w:val="both"/>
        <w:ind w:left="200" w:right="240" w:firstLine="441"/>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2017, and 2016, the Company received $5.2 million and $5.2 million, respectively, and paid $4.7 million and $4.1 million, respectively, related to the settlements of its $115 million notional amount interest rate swaps, which mature on December 15, 2019. The net amounts of these settlements are reductions to interest expense in the Company’s consolidated statements of operations.</w:t>
      </w:r>
    </w:p>
    <w:p>
      <w:pPr>
        <w:spacing w:after="0" w:line="176" w:lineRule="exact"/>
        <w:rPr>
          <w:sz w:val="20"/>
          <w:szCs w:val="20"/>
          <w:color w:val="auto"/>
        </w:rPr>
      </w:pPr>
    </w:p>
    <w:p>
      <w:pPr>
        <w:ind w:left="200" w:right="160" w:firstLine="441"/>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2017, the Company received $4.7 million and paid $3.8 million related to the settlement of its $115 million notional amount interest rate swap, which matures on August 1, 2022. The net amounts of these settlements are reductions to interest expense in the Company’s consolidated statements of operations.</w:t>
      </w:r>
    </w:p>
    <w:p>
      <w:pPr>
        <w:spacing w:after="0" w:line="176" w:lineRule="exact"/>
        <w:rPr>
          <w:sz w:val="20"/>
          <w:szCs w:val="20"/>
          <w:color w:val="auto"/>
        </w:rPr>
      </w:pPr>
    </w:p>
    <w:p>
      <w:pPr>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2017, and 2016, the Company received $1.0 million and $0.5 million, respectively, and paid $1.1 million and $1.1 million, respectively, related to the settlement of its $92.5 million notional amount interest rate swaps, which mature on October 5, 2018. The net amounts of these settlements are reductions to interest income in the Company’s consolidated statements of operations.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During the year ended December 31, 2017, the Company received $2.5 million and paid $2.6 million, related to the settlements of its</w:t>
      </w:r>
    </w:p>
    <w:p>
      <w:pPr>
        <w:spacing w:after="0" w:line="27" w:lineRule="exact"/>
        <w:rPr>
          <w:sz w:val="20"/>
          <w:szCs w:val="20"/>
          <w:color w:val="auto"/>
        </w:rPr>
      </w:pPr>
    </w:p>
    <w:p>
      <w:pPr>
        <w:ind w:left="200" w:right="320"/>
        <w:spacing w:after="0" w:line="261" w:lineRule="auto"/>
        <w:rPr>
          <w:sz w:val="20"/>
          <w:szCs w:val="20"/>
          <w:color w:val="auto"/>
        </w:rPr>
      </w:pPr>
      <w:r>
        <w:rPr>
          <w:rFonts w:ascii="Times New Roman" w:cs="Times New Roman" w:eastAsia="Times New Roman" w:hAnsi="Times New Roman"/>
          <w:sz w:val="18"/>
          <w:szCs w:val="18"/>
          <w:color w:val="auto"/>
        </w:rPr>
        <w:t>$33.3 million notional amount interest rate swap, which matures on January 10, 2020. The net amounts of these settlements are reductions to interest income in the Company’s consolidated statements of operations.</w:t>
      </w:r>
    </w:p>
    <w:p>
      <w:pPr>
        <w:spacing w:after="0" w:line="180" w:lineRule="exact"/>
        <w:rPr>
          <w:sz w:val="20"/>
          <w:szCs w:val="20"/>
          <w:color w:val="auto"/>
        </w:rPr>
      </w:pPr>
    </w:p>
    <w:p>
      <w:pPr>
        <w:ind w:left="200" w:right="440" w:firstLine="441"/>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2017 and 2016, the Company recognized ($1.0) million and ($0.3) million, respectively, in unrealized depreciation on interest rate swaps in the consolidated statement of operations related to the swap transactions. As of December 31, 2017, the swap transactions had a fair value of ($1.0) million which is netted against restricted cash collateral on the Company’s consolidated balance sheet. As of December 31, 2016, the swap transactions had a fair value of $0.1 million which is included in receivable for interest rate swaps on the Company’s consolidated balance sheet.</w:t>
      </w:r>
    </w:p>
    <w:p>
      <w:pPr>
        <w:spacing w:after="0" w:line="184"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 As of December 31, 2017, $4.1 million of cash is pledged as collateral under the Company’s derivative instruments and is included in restricted cash as a component of cash and cash equivalents on the Company’s consolidated balance sheet. The Company also had $1.1 million of cash collateral posted as of December 31, 2016, which is also included in restricted cash as a component of cash and cash equivalents on the Company’s consolidated balance sheet.</w:t>
      </w:r>
    </w:p>
    <w:p>
      <w:pPr>
        <w:spacing w:after="0" w:line="185" w:lineRule="exact"/>
        <w:rPr>
          <w:sz w:val="20"/>
          <w:szCs w:val="20"/>
          <w:color w:val="auto"/>
        </w:rPr>
      </w:pPr>
    </w:p>
    <w:p>
      <w:pPr>
        <w:jc w:val="center"/>
        <w:ind w:right="200"/>
        <w:spacing w:after="0" w:line="454" w:lineRule="auto"/>
        <w:rPr>
          <w:sz w:val="20"/>
          <w:szCs w:val="20"/>
          <w:color w:val="auto"/>
        </w:rPr>
      </w:pPr>
      <w:r>
        <w:rPr>
          <w:rFonts w:ascii="Times New Roman" w:cs="Times New Roman" w:eastAsia="Times New Roman" w:hAnsi="Times New Roman"/>
          <w:sz w:val="18"/>
          <w:szCs w:val="18"/>
          <w:color w:val="auto"/>
        </w:rPr>
        <w:t>The Company may enter into other derivative instruments and incur other exposures with the same or other counterparties in the future. F-29</w:t>
      </w:r>
    </w:p>
    <w:p>
      <w:pPr>
        <w:sectPr>
          <w:pgSz w:w="11900" w:h="16838" w:orient="portrait"/>
          <w:cols w:equalWidth="0" w:num="1">
            <w:col w:w="11240"/>
          </w:cols>
          <w:pgMar w:left="240" w:top="455" w:right="41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6. Fair Value of Financial Instruments</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tables present fair value measurements of investments as of December 31, 2017 and 2016:</w:t>
      </w:r>
    </w:p>
    <w:p>
      <w:pPr>
        <w:spacing w:after="0" w:line="246"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9"/>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 Hierarchy at December 31, 2017</w:t>
            </w: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0" w:type="dxa"/>
            <w:vAlign w:val="bottom"/>
            <w:gridSpan w:val="4"/>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2"/>
                <w:szCs w:val="12"/>
                <w:color w:val="auto"/>
              </w:rPr>
            </w:pPr>
          </w:p>
        </w:tc>
        <w:tc>
          <w:tcPr>
            <w:tcW w:w="800" w:type="dxa"/>
            <w:vAlign w:val="bottom"/>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2"/>
                <w:szCs w:val="12"/>
                <w:color w:val="auto"/>
              </w:rPr>
            </w:pPr>
          </w:p>
        </w:tc>
        <w:tc>
          <w:tcPr>
            <w:tcW w:w="78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$17,383</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$1,563,972</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$1,581,355</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60,900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60,900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and unsecured debt investments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220" w:type="dxa"/>
            <w:vAlign w:val="bottom"/>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13,146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38,322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51,468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$13,146</w:t>
            </w: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$17,383</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$1,663,194</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$1,693,723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(962)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4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13,146</w:t>
            </w: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16,421</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1,663,194</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1,692,761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60" w:type="dxa"/>
            <w:vAlign w:val="bottom"/>
            <w:gridSpan w:val="13"/>
          </w:tcPr>
          <w:p>
            <w:pPr>
              <w:ind w:left="220"/>
              <w:spacing w:after="0"/>
              <w:rPr>
                <w:sz w:val="20"/>
                <w:szCs w:val="20"/>
                <w:color w:val="auto"/>
              </w:rPr>
            </w:pPr>
            <w:r>
              <w:rPr>
                <w:rFonts w:ascii="Times New Roman" w:cs="Times New Roman" w:eastAsia="Times New Roman" w:hAnsi="Times New Roman"/>
                <w:sz w:val="14"/>
                <w:szCs w:val="14"/>
                <w:b w:val="1"/>
                <w:bCs w:val="1"/>
                <w:color w:val="auto"/>
              </w:rPr>
              <w:t>Fair Value Hierarchy at December 31, 2016</w:t>
            </w: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Borders>
              <w:top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4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$145,491</w:t>
            </w:r>
          </w:p>
        </w:tc>
        <w:tc>
          <w:tcPr>
            <w:tcW w:w="460" w:type="dxa"/>
            <w:vAlign w:val="bottom"/>
            <w:tcBorders>
              <w:top w:val="single" w:sz="8" w:color="CCEEFF"/>
            </w:tcBorders>
            <w:gridSpan w:val="2"/>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$1,454,087</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$1,599,578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16,227</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38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19,577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10,681</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460" w:type="dxa"/>
            <w:vAlign w:val="bottom"/>
            <w:gridSpan w:val="2"/>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8,522</w:t>
            </w:r>
          </w:p>
        </w:tc>
        <w:tc>
          <w:tcPr>
            <w:tcW w:w="460" w:type="dxa"/>
            <w:vAlign w:val="bottom"/>
            <w:gridSpan w:val="2"/>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12,465</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27,567</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20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$175,410</w:t>
            </w: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$1,469,902</w:t>
            </w: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$1,657,403</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12,091</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175,479</w:t>
            </w: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1,469,902</w:t>
            </w: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1,657,472</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w:t>
      </w:r>
    </w:p>
    <w:p>
      <w:pPr>
        <w:spacing w:after="0" w:line="225" w:lineRule="exact"/>
        <w:rPr>
          <w:sz w:val="20"/>
          <w:szCs w:val="20"/>
          <w:color w:val="auto"/>
        </w:rPr>
      </w:pPr>
    </w:p>
    <w:p>
      <w:pPr>
        <w:ind w:left="200" w:right="14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changes in the fair value of investments for which Level 3 inputs were used to determine the fair value as of and for the year ended December 31, 2017 and 2016:</w:t>
      </w: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and for the Year Ended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80" w:type="dxa"/>
            <w:vAlign w:val="bottom"/>
            <w:gridSpan w:val="2"/>
          </w:tcPr>
          <w:p>
            <w:pPr>
              <w:jc w:val="center"/>
              <w:ind w:right="390"/>
              <w:spacing w:after="0" w:line="118" w:lineRule="exact"/>
              <w:rPr>
                <w:sz w:val="20"/>
                <w:szCs w:val="20"/>
                <w:color w:val="auto"/>
              </w:rPr>
            </w:pPr>
            <w:r>
              <w:rPr>
                <w:rFonts w:ascii="Times New Roman" w:cs="Times New Roman" w:eastAsia="Times New Roman" w:hAnsi="Times New Roman"/>
                <w:sz w:val="13"/>
                <w:szCs w:val="13"/>
                <w:b w:val="1"/>
                <w:bCs w:val="1"/>
                <w:color w:val="auto"/>
              </w:rPr>
              <w:t>First-lien</w:t>
            </w:r>
          </w:p>
        </w:tc>
        <w:tc>
          <w:tcPr>
            <w:tcW w:w="80" w:type="dxa"/>
            <w:vAlign w:val="bottom"/>
          </w:tcPr>
          <w:p>
            <w:pPr>
              <w:spacing w:after="0"/>
              <w:rPr>
                <w:sz w:val="10"/>
                <w:szCs w:val="10"/>
                <w:color w:val="auto"/>
              </w:rPr>
            </w:pPr>
          </w:p>
        </w:tc>
        <w:tc>
          <w:tcPr>
            <w:tcW w:w="8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Second-lien</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Mezzanine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gridSpan w:val="2"/>
          </w:tcPr>
          <w:p>
            <w:pPr>
              <w:jc w:val="center"/>
              <w:ind w:right="37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198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unsecured debt</w:t>
            </w:r>
          </w:p>
        </w:tc>
        <w:tc>
          <w:tcPr>
            <w:tcW w:w="120" w:type="dxa"/>
            <w:vAlign w:val="bottom"/>
          </w:tcPr>
          <w:p>
            <w:pPr>
              <w:spacing w:after="0"/>
              <w:rPr>
                <w:sz w:val="12"/>
                <w:szCs w:val="12"/>
                <w:color w:val="auto"/>
              </w:rPr>
            </w:pPr>
          </w:p>
        </w:tc>
        <w:tc>
          <w:tcPr>
            <w:tcW w:w="104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240" w:type="dxa"/>
            <w:vAlign w:val="bottom"/>
          </w:tcPr>
          <w:p>
            <w:pPr>
              <w:spacing w:after="0"/>
              <w:rPr>
                <w:sz w:val="12"/>
                <w:szCs w:val="12"/>
                <w:color w:val="auto"/>
              </w:rPr>
            </w:pPr>
          </w:p>
        </w:tc>
        <w:tc>
          <w:tcPr>
            <w:tcW w:w="9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80" w:type="dxa"/>
            <w:vAlign w:val="bottom"/>
            <w:gridSpan w:val="2"/>
          </w:tcPr>
          <w:p>
            <w:pPr>
              <w:jc w:val="center"/>
              <w:ind w:right="39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16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7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$1,454,087</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12,465</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$1,469,902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Purchases or originations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995,968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1,012,968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 redemptions</w:t>
            </w:r>
          </w:p>
        </w:tc>
        <w:tc>
          <w:tcPr>
            <w:tcW w:w="2020" w:type="dxa"/>
            <w:vAlign w:val="bottom"/>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(846,714)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(4,833)</w:t>
            </w: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(851,547)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gains (losses)</w:t>
            </w:r>
          </w:p>
        </w:tc>
        <w:tc>
          <w:tcPr>
            <w:tcW w:w="202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(21,013)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30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Transfers within Level 3</w:t>
            </w:r>
          </w:p>
        </w:tc>
        <w:tc>
          <w:tcPr>
            <w:tcW w:w="202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(67,775)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into (out of) Level 3</w:t>
            </w:r>
          </w:p>
        </w:tc>
        <w:tc>
          <w:tcPr>
            <w:tcW w:w="7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7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1,563,972</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60,900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38,322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1,663,194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F-30</w:t>
            </w: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6" w:right="41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and for the Year Ended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4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First-lien</w:t>
            </w:r>
          </w:p>
        </w:tc>
        <w:tc>
          <w:tcPr>
            <w:tcW w:w="240" w:type="dxa"/>
            <w:vAlign w:val="bottom"/>
          </w:tcPr>
          <w:p>
            <w:pPr>
              <w:spacing w:after="0"/>
              <w:rPr>
                <w:sz w:val="10"/>
                <w:szCs w:val="10"/>
                <w:color w:val="auto"/>
              </w:rPr>
            </w:pPr>
          </w:p>
        </w:tc>
        <w:tc>
          <w:tcPr>
            <w:tcW w:w="9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Second-lien</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gridSpan w:val="2"/>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Mezzanine</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202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and unsecured debt</w:t>
            </w:r>
          </w:p>
        </w:tc>
        <w:tc>
          <w:tcPr>
            <w:tcW w:w="140" w:type="dxa"/>
            <w:vAlign w:val="bottom"/>
          </w:tcPr>
          <w:p>
            <w:pPr>
              <w:spacing w:after="0"/>
              <w:rPr>
                <w:sz w:val="12"/>
                <w:szCs w:val="12"/>
                <w:color w:val="auto"/>
              </w:rPr>
            </w:pPr>
          </w:p>
        </w:tc>
        <w:tc>
          <w:tcPr>
            <w:tcW w:w="10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260" w:type="dxa"/>
            <w:vAlign w:val="bottom"/>
          </w:tcPr>
          <w:p>
            <w:pPr>
              <w:spacing w:after="0"/>
              <w:rPr>
                <w:sz w:val="12"/>
                <w:szCs w:val="12"/>
                <w:color w:val="auto"/>
              </w:rPr>
            </w:pPr>
          </w:p>
        </w:tc>
        <w:tc>
          <w:tcPr>
            <w:tcW w:w="9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1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1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6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$1,229,491</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90,442</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7,801</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8,206</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$1,335,940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Purchases or originations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675,813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675,808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investments</w:t>
            </w:r>
          </w:p>
        </w:tc>
        <w:tc>
          <w:tcPr>
            <w:tcW w:w="6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(241)</w:t>
            </w: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Repayments / redemptions</w:t>
            </w:r>
          </w:p>
        </w:tc>
        <w:tc>
          <w:tcPr>
            <w:tcW w:w="1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(455,697)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(62,500)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(520,362)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gains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18,593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672</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gains (losses)</w:t>
            </w:r>
          </w:p>
        </w:tc>
        <w:tc>
          <w:tcPr>
            <w:tcW w:w="18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(8,585)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12,483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within Level 3</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(34,082)</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Transfers into (out of) Level 3</w:t>
            </w:r>
          </w:p>
        </w:tc>
        <w:tc>
          <w:tcPr>
            <w:tcW w:w="6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(58,456)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30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(57,310)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1,454,087</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12,465</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1,469,902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right="200" w:firstLine="441"/>
        <w:spacing w:after="0" w:line="261" w:lineRule="auto"/>
        <w:rPr>
          <w:sz w:val="20"/>
          <w:szCs w:val="20"/>
          <w:color w:val="auto"/>
        </w:rPr>
      </w:pPr>
      <w:r>
        <w:rPr>
          <w:rFonts w:ascii="Times New Roman" w:cs="Times New Roman" w:eastAsia="Times New Roman" w:hAnsi="Times New Roman"/>
          <w:sz w:val="18"/>
          <w:szCs w:val="18"/>
          <w:color w:val="auto"/>
        </w:rPr>
        <w:t>Idera and Quiksilver – Boardriders SA were transferred out of Level 3 for fair value measurement purposes during the year ended December 31, 2016, as a result of changes in the observability of inputs into these securities valuations. Vertellus was transferred into Level 3 for fair value measurement purposes as a result of changes in the observability of inputs into the valuation. APX Group was transferred into Level 1 as a result of changes in the observability of inputs into the valuation.</w:t>
      </w:r>
    </w:p>
    <w:p>
      <w:pPr>
        <w:spacing w:after="0" w:line="180" w:lineRule="exact"/>
        <w:rPr>
          <w:sz w:val="20"/>
          <w:szCs w:val="20"/>
          <w:color w:val="auto"/>
        </w:rPr>
      </w:pPr>
    </w:p>
    <w:p>
      <w:pPr>
        <w:ind w:left="200" w:right="22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with respect to net change in unrealized appreciation or depreciation on investments for which Level 3 inputs were used in determining fair value that are still held by the Company at December 31, 2017 and 2016:</w:t>
      </w:r>
    </w:p>
    <w:p>
      <w:pPr>
        <w:spacing w:after="0" w:line="170"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r>
      <w:tr>
        <w:trPr>
          <w:trHeight w:val="149"/>
        </w:trPr>
        <w:tc>
          <w:tcPr>
            <w:tcW w:w="3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 or (Depreciation)</w:t>
            </w:r>
          </w:p>
        </w:tc>
        <w:tc>
          <w:tcPr>
            <w:tcW w:w="240" w:type="dxa"/>
            <w:vAlign w:val="bottom"/>
          </w:tcPr>
          <w:p>
            <w:pPr>
              <w:spacing w:after="0"/>
              <w:rPr>
                <w:sz w:val="12"/>
                <w:szCs w:val="12"/>
                <w:color w:val="auto"/>
              </w:rPr>
            </w:pPr>
          </w:p>
        </w:tc>
        <w:tc>
          <w:tcPr>
            <w:tcW w:w="19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 or (Depreciation)</w:t>
            </w:r>
          </w:p>
        </w:tc>
      </w:tr>
      <w:tr>
        <w:trPr>
          <w:trHeight w:val="149"/>
        </w:trPr>
        <w:tc>
          <w:tcPr>
            <w:tcW w:w="3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for the Year Ended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49"/>
        </w:trPr>
        <w:tc>
          <w:tcPr>
            <w:tcW w:w="3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2017 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2016 on</w:t>
            </w:r>
          </w:p>
        </w:tc>
      </w:tr>
      <w:tr>
        <w:trPr>
          <w:trHeight w:val="149"/>
        </w:trPr>
        <w:tc>
          <w:tcPr>
            <w:tcW w:w="3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Investments Held at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Investments Held at</w:t>
            </w:r>
          </w:p>
        </w:tc>
      </w:tr>
      <w:tr>
        <w:trPr>
          <w:trHeight w:val="173"/>
        </w:trPr>
        <w:tc>
          <w:tcPr>
            <w:tcW w:w="3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16,835</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(2,070)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and unsecured debt investments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(5,737)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672</w:t>
            </w:r>
          </w:p>
        </w:tc>
      </w:tr>
      <w:tr>
        <w:trPr>
          <w:trHeight w:val="27"/>
        </w:trPr>
        <w:tc>
          <w:tcPr>
            <w:tcW w:w="3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9,028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18,909</w:t>
            </w:r>
          </w:p>
        </w:tc>
      </w:tr>
      <w:tr>
        <w:trPr>
          <w:trHeight w:val="20"/>
        </w:trPr>
        <w:tc>
          <w:tcPr>
            <w:tcW w:w="3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800" w:type="dxa"/>
            <w:vAlign w:val="bottom"/>
          </w:tcPr>
          <w:p>
            <w:pPr>
              <w:spacing w:after="0"/>
              <w:rPr>
                <w:sz w:val="24"/>
                <w:szCs w:val="24"/>
                <w:color w:val="auto"/>
              </w:rPr>
            </w:pPr>
          </w:p>
        </w:tc>
        <w:tc>
          <w:tcPr>
            <w:tcW w:w="11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F-31</w:t>
            </w: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6" w:right="41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fair value of Level 3 Investments at fair value and the significant unobservable inputs used in the valuations as of December 31, 2017 and 2016. The tables are not intended to be all-inclusive, but instead capture the significant unobservable inputs relevant to the Company’s determination of fair values.</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2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Impact to Valuation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36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Range (Weighted Average)</w:t>
            </w:r>
          </w:p>
        </w:tc>
        <w:tc>
          <w:tcPr>
            <w:tcW w:w="13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from an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7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2080" w:type="dxa"/>
            <w:vAlign w:val="bottom"/>
            <w:gridSpan w:val="2"/>
            <w:vMerge w:val="continue"/>
          </w:tcPr>
          <w:p>
            <w:pPr>
              <w:spacing w:after="0"/>
              <w:rPr>
                <w:sz w:val="15"/>
                <w:szCs w:val="15"/>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Increase to Input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1,563,972</w:t>
            </w:r>
          </w:p>
        </w:tc>
        <w:tc>
          <w:tcPr>
            <w:tcW w:w="36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ind w:left="40"/>
              <w:spacing w:after="0" w:line="197" w:lineRule="exact"/>
              <w:rPr>
                <w:sz w:val="20"/>
                <w:szCs w:val="20"/>
                <w:color w:val="auto"/>
              </w:rPr>
            </w:pPr>
            <w:r>
              <w:rPr>
                <w:rFonts w:ascii="Times New Roman" w:cs="Times New Roman" w:eastAsia="Times New Roman" w:hAnsi="Times New Roman"/>
                <w:sz w:val="14"/>
                <w:szCs w:val="14"/>
                <w:color w:val="auto"/>
              </w:rPr>
              <w:t>Income approach</w:t>
            </w:r>
            <w:r>
              <w:rPr>
                <w:rFonts w:ascii="Times New Roman" w:cs="Times New Roman" w:eastAsia="Times New Roman" w:hAnsi="Times New Roman"/>
                <w:sz w:val="22"/>
                <w:szCs w:val="22"/>
                <w:color w:val="auto"/>
                <w:vertAlign w:val="superscript"/>
              </w:rPr>
              <w:t>(1)</w:t>
            </w:r>
          </w:p>
        </w:tc>
        <w:tc>
          <w:tcPr>
            <w:tcW w:w="3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Market yield</w:t>
            </w:r>
          </w:p>
        </w:tc>
        <w:tc>
          <w:tcPr>
            <w:tcW w:w="36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7.3% —14.6% (10.2%)</w:t>
            </w:r>
          </w:p>
        </w:tc>
        <w:tc>
          <w:tcPr>
            <w:tcW w:w="3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Decrease</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Second-lien debt investments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60,900</w:t>
            </w:r>
          </w:p>
        </w:tc>
        <w:tc>
          <w:tcPr>
            <w:tcW w:w="360" w:type="dxa"/>
            <w:vAlign w:val="bottom"/>
          </w:tcPr>
          <w:p>
            <w:pPr>
              <w:spacing w:after="0"/>
              <w:rPr>
                <w:sz w:val="17"/>
                <w:szCs w:val="17"/>
                <w:color w:val="auto"/>
              </w:rPr>
            </w:pP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Income approach</w:t>
            </w: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Market yield</w:t>
            </w:r>
          </w:p>
        </w:tc>
        <w:tc>
          <w:tcPr>
            <w:tcW w:w="20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12.9% —14.0% (13.0%)</w:t>
            </w: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7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Market Multiple</w:t>
            </w:r>
            <w:r>
              <w:rPr>
                <w:rFonts w:ascii="Times New Roman" w:cs="Times New Roman" w:eastAsia="Times New Roman" w:hAnsi="Times New Roman"/>
                <w:sz w:val="27"/>
                <w:szCs w:val="27"/>
                <w:color w:val="auto"/>
                <w:vertAlign w:val="superscript"/>
              </w:rPr>
              <w:t>(2)</w:t>
            </w:r>
          </w:p>
        </w:tc>
        <w:tc>
          <w:tcPr>
            <w:tcW w:w="1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Comparable</w:t>
            </w:r>
          </w:p>
        </w:tc>
        <w:tc>
          <w:tcPr>
            <w:tcW w:w="1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38,322</w:t>
            </w:r>
          </w:p>
        </w:tc>
        <w:tc>
          <w:tcPr>
            <w:tcW w:w="360" w:type="dxa"/>
            <w:vAlign w:val="bottom"/>
            <w:shd w:val="clear" w:color="auto" w:fill="CCEEFF"/>
          </w:tcPr>
          <w:p>
            <w:pPr>
              <w:spacing w:after="0"/>
              <w:rPr>
                <w:sz w:val="18"/>
                <w:szCs w:val="18"/>
                <w:color w:val="auto"/>
              </w:rPr>
            </w:pPr>
          </w:p>
        </w:tc>
        <w:tc>
          <w:tcPr>
            <w:tcW w:w="1740" w:type="dxa"/>
            <w:vAlign w:val="bottom"/>
            <w:gridSpan w:val="2"/>
            <w:vMerge w:val="continue"/>
            <w:shd w:val="clear" w:color="auto" w:fill="CCEEFF"/>
          </w:tcPr>
          <w:p>
            <w:pPr>
              <w:spacing w:after="0"/>
              <w:rPr>
                <w:sz w:val="18"/>
                <w:szCs w:val="18"/>
                <w:color w:val="auto"/>
              </w:rPr>
            </w:pPr>
          </w:p>
        </w:tc>
        <w:tc>
          <w:tcPr>
            <w:tcW w:w="1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multiple</w:t>
            </w:r>
          </w:p>
        </w:tc>
        <w:tc>
          <w:tcPr>
            <w:tcW w:w="20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6"/>
                <w:szCs w:val="16"/>
                <w:color w:val="auto"/>
              </w:rPr>
              <w:t>4.6x —13.2x (11.2x)</w:t>
            </w:r>
          </w:p>
        </w:tc>
        <w:tc>
          <w:tcPr>
            <w:tcW w:w="1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Increase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1,663,194</w:t>
            </w: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40" w:hanging="436"/>
        <w:spacing w:after="0"/>
        <w:tabs>
          <w:tab w:leader="none" w:pos="6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$34.6 million of first-lien debt investments which were valued using an asset valuation waterfall.</w:t>
      </w:r>
    </w:p>
    <w:p>
      <w:pPr>
        <w:spacing w:after="0" w:line="27"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$18.6 million of equity investments which were valued using a weighted valuation approach.</w:t>
      </w:r>
    </w:p>
    <w:p>
      <w:pPr>
        <w:spacing w:after="0" w:line="227"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5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Impact to Valuation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36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8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Range (Weighted Average)</w:t>
            </w:r>
          </w:p>
        </w:tc>
        <w:tc>
          <w:tcPr>
            <w:tcW w:w="13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from an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7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2080" w:type="dxa"/>
            <w:vAlign w:val="bottom"/>
            <w:gridSpan w:val="3"/>
            <w:vMerge w:val="continue"/>
          </w:tcPr>
          <w:p>
            <w:pPr>
              <w:spacing w:after="0"/>
              <w:rPr>
                <w:sz w:val="15"/>
                <w:szCs w:val="15"/>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Increase to Input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1,454,087</w:t>
            </w:r>
          </w:p>
        </w:tc>
        <w:tc>
          <w:tcPr>
            <w:tcW w:w="36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ind w:left="40"/>
              <w:spacing w:after="0" w:line="197" w:lineRule="exact"/>
              <w:rPr>
                <w:sz w:val="20"/>
                <w:szCs w:val="20"/>
                <w:color w:val="auto"/>
              </w:rPr>
            </w:pPr>
            <w:r>
              <w:rPr>
                <w:rFonts w:ascii="Times New Roman" w:cs="Times New Roman" w:eastAsia="Times New Roman" w:hAnsi="Times New Roman"/>
                <w:sz w:val="14"/>
                <w:szCs w:val="14"/>
                <w:color w:val="auto"/>
              </w:rPr>
              <w:t>Income approach</w:t>
            </w:r>
            <w:r>
              <w:rPr>
                <w:rFonts w:ascii="Times New Roman" w:cs="Times New Roman" w:eastAsia="Times New Roman" w:hAnsi="Times New Roman"/>
                <w:sz w:val="22"/>
                <w:szCs w:val="22"/>
                <w:color w:val="auto"/>
                <w:vertAlign w:val="superscript"/>
              </w:rPr>
              <w:t>(1)</w:t>
            </w:r>
          </w:p>
        </w:tc>
        <w:tc>
          <w:tcPr>
            <w:tcW w:w="3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Market yield</w:t>
            </w: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—12.9% (9.3%)</w:t>
            </w:r>
          </w:p>
        </w:tc>
        <w:tc>
          <w:tcPr>
            <w:tcW w:w="3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Decrease</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Second-lien debt investments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3,350</w:t>
            </w:r>
          </w:p>
        </w:tc>
        <w:tc>
          <w:tcPr>
            <w:tcW w:w="360" w:type="dxa"/>
            <w:vAlign w:val="bottom"/>
          </w:tcPr>
          <w:p>
            <w:pPr>
              <w:spacing w:after="0"/>
              <w:rPr>
                <w:sz w:val="17"/>
                <w:szCs w:val="17"/>
                <w:color w:val="auto"/>
              </w:rPr>
            </w:pP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Income approach</w:t>
            </w: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Market yield</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5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—13.6% (13.6%)</w:t>
            </w: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7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Market Multiple</w:t>
            </w:r>
            <w:r>
              <w:rPr>
                <w:rFonts w:ascii="Times New Roman" w:cs="Times New Roman" w:eastAsia="Times New Roman" w:hAnsi="Times New Roman"/>
                <w:sz w:val="27"/>
                <w:szCs w:val="27"/>
                <w:color w:val="auto"/>
                <w:vertAlign w:val="superscript"/>
              </w:rPr>
              <w:t>(2)</w:t>
            </w:r>
          </w:p>
        </w:tc>
        <w:tc>
          <w:tcPr>
            <w:tcW w:w="1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Comparable</w:t>
            </w:r>
          </w:p>
        </w:tc>
        <w:tc>
          <w:tcPr>
            <w:tcW w:w="5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12,465</w:t>
            </w:r>
          </w:p>
        </w:tc>
        <w:tc>
          <w:tcPr>
            <w:tcW w:w="360" w:type="dxa"/>
            <w:vAlign w:val="bottom"/>
            <w:shd w:val="clear" w:color="auto" w:fill="CCEEFF"/>
          </w:tcPr>
          <w:p>
            <w:pPr>
              <w:spacing w:after="0"/>
              <w:rPr>
                <w:sz w:val="18"/>
                <w:szCs w:val="18"/>
                <w:color w:val="auto"/>
              </w:rPr>
            </w:pPr>
          </w:p>
        </w:tc>
        <w:tc>
          <w:tcPr>
            <w:tcW w:w="1740" w:type="dxa"/>
            <w:vAlign w:val="bottom"/>
            <w:gridSpan w:val="2"/>
            <w:vMerge w:val="continue"/>
            <w:shd w:val="clear" w:color="auto" w:fill="CCEEFF"/>
          </w:tcPr>
          <w:p>
            <w:pPr>
              <w:spacing w:after="0"/>
              <w:rPr>
                <w:sz w:val="18"/>
                <w:szCs w:val="18"/>
                <w:color w:val="auto"/>
              </w:rPr>
            </w:pPr>
          </w:p>
        </w:tc>
        <w:tc>
          <w:tcPr>
            <w:tcW w:w="1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multiple</w:t>
            </w:r>
          </w:p>
        </w:tc>
        <w:tc>
          <w:tcPr>
            <w:tcW w:w="20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8.4x —13.5x (10.1x)</w:t>
            </w:r>
          </w:p>
        </w:tc>
        <w:tc>
          <w:tcPr>
            <w:tcW w:w="1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Increase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1,469,902</w:t>
            </w: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40" w:hanging="436"/>
        <w:spacing w:after="0"/>
        <w:tabs>
          <w:tab w:leader="none" w:pos="6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$123.6 million of first-lien debt investments which were valued using an asset valuation waterfall.</w:t>
      </w:r>
    </w:p>
    <w:p>
      <w:pPr>
        <w:spacing w:after="0" w:line="27"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$4.7 million of equity investments which were valued using a weighted valuation approach.</w:t>
      </w:r>
    </w:p>
    <w:p>
      <w:pPr>
        <w:spacing w:after="0" w:line="207"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4" w:lineRule="exact"/>
        <w:rPr>
          <w:sz w:val="20"/>
          <w:szCs w:val="20"/>
          <w:color w:val="auto"/>
        </w:rPr>
      </w:pPr>
    </w:p>
    <w:p>
      <w:pPr>
        <w:ind w:left="200" w:right="160" w:firstLine="441"/>
        <w:spacing w:after="0" w:line="256" w:lineRule="auto"/>
        <w:rPr>
          <w:sz w:val="20"/>
          <w:szCs w:val="20"/>
          <w:color w:val="auto"/>
        </w:rPr>
      </w:pPr>
      <w:r>
        <w:rPr>
          <w:rFonts w:ascii="Times New Roman" w:cs="Times New Roman" w:eastAsia="Times New Roman" w:hAnsi="Times New Roman"/>
          <w:sz w:val="18"/>
          <w:szCs w:val="18"/>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240"/>
          </w:cols>
          <w:pgMar w:left="240" w:top="456" w:right="41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Debt</w:t>
      </w:r>
    </w:p>
    <w:p>
      <w:pPr>
        <w:spacing w:after="0" w:line="117" w:lineRule="exact"/>
        <w:rPr>
          <w:sz w:val="20"/>
          <w:szCs w:val="20"/>
          <w:color w:val="auto"/>
        </w:rPr>
      </w:pPr>
    </w:p>
    <w:p>
      <w:pPr>
        <w:ind w:left="200" w:right="100" w:firstLine="441"/>
        <w:spacing w:after="0" w:line="261" w:lineRule="auto"/>
        <w:rPr>
          <w:sz w:val="20"/>
          <w:szCs w:val="20"/>
          <w:color w:val="auto"/>
        </w:rPr>
      </w:pPr>
      <w:r>
        <w:rPr>
          <w:rFonts w:ascii="Times New Roman" w:cs="Times New Roman" w:eastAsia="Times New Roman" w:hAnsi="Times New Roman"/>
          <w:sz w:val="18"/>
          <w:szCs w:val="18"/>
          <w:color w:val="auto"/>
        </w:rPr>
        <w:t>The fair value of the Company’s Revolving Credit Facility, which is categorized as Level 3 within the fair value hierarchy, as of December 31, 2017, approximates its carrying value as the outstanding balance is callable at carrying value. The fair value of the Company’s Convertible Senior Notes, which are categorized as Level 2 within the fair value hierarchy, as of December 31, 2017, was $237.9 million, based on broker quotes received by the Company.</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Other Financial Assets and Liabilities</w:t>
      </w:r>
    </w:p>
    <w:p>
      <w:pPr>
        <w:spacing w:after="0" w:line="117" w:lineRule="exact"/>
        <w:rPr>
          <w:sz w:val="20"/>
          <w:szCs w:val="20"/>
          <w:color w:val="auto"/>
        </w:rPr>
      </w:pPr>
    </w:p>
    <w:p>
      <w:pPr>
        <w:jc w:val="both"/>
        <w:ind w:left="200" w:firstLine="441"/>
        <w:spacing w:after="0" w:line="261" w:lineRule="auto"/>
        <w:rPr>
          <w:sz w:val="20"/>
          <w:szCs w:val="20"/>
          <w:color w:val="auto"/>
        </w:rPr>
      </w:pPr>
      <w:r>
        <w:rPr>
          <w:rFonts w:ascii="Times New Roman" w:cs="Times New Roman" w:eastAsia="Times New Roman" w:hAnsi="Times New Roman"/>
          <w:sz w:val="18"/>
          <w:szCs w:val="18"/>
          <w:color w:val="auto"/>
        </w:rPr>
        <w:t>The carrying amounts of the Company’s assets and liabilities, other than investments at fair value and the Convertible Senior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21" w:lineRule="exact"/>
        <w:rPr>
          <w:sz w:val="20"/>
          <w:szCs w:val="20"/>
          <w:color w:val="auto"/>
        </w:rPr>
      </w:pPr>
    </w:p>
    <w:p>
      <w:pPr>
        <w:ind w:left="200" w:right="160" w:firstLine="441"/>
        <w:spacing w:after="0" w:line="266" w:lineRule="auto"/>
        <w:rPr>
          <w:sz w:val="20"/>
          <w:szCs w:val="20"/>
          <w:color w:val="auto"/>
        </w:rPr>
      </w:pPr>
      <w:r>
        <w:rPr>
          <w:rFonts w:ascii="Times New Roman" w:cs="Times New Roman" w:eastAsia="Times New Roman" w:hAnsi="Times New Roman"/>
          <w:sz w:val="18"/>
          <w:szCs w:val="18"/>
          <w:color w:val="auto"/>
        </w:rPr>
        <w:t>In accordance with the 1940 Act, with certain limitations, the Company is allowed to borrow amounts such that its asset coverage, as defined in the 1940 Act, is at least 200% after such borrowing. As of December 31, 2017 and 2016, the Company’s asset coverage was 235.5% and 237.7% respectively.</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Debt obligations consisted of the following as of December 31, 2017 and 2016:</w:t>
      </w:r>
    </w:p>
    <w:p>
      <w:pPr>
        <w:spacing w:after="0" w:line="246"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17"/>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Aggregate Principal</w:t>
            </w:r>
          </w:p>
        </w:tc>
        <w:tc>
          <w:tcPr>
            <w:tcW w:w="1960" w:type="dxa"/>
            <w:vAlign w:val="bottom"/>
            <w:gridSpan w:val="4"/>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20" w:type="dxa"/>
            <w:vAlign w:val="bottom"/>
          </w:tcPr>
          <w:p>
            <w:pPr>
              <w:spacing w:after="0"/>
              <w:rPr>
                <w:sz w:val="10"/>
                <w:szCs w:val="10"/>
                <w:color w:val="auto"/>
              </w:rPr>
            </w:pP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620" w:type="dxa"/>
            <w:vAlign w:val="bottom"/>
          </w:tcPr>
          <w:p>
            <w:pPr>
              <w:spacing w:after="0"/>
              <w:rPr>
                <w:sz w:val="10"/>
                <w:szCs w:val="10"/>
                <w:color w:val="auto"/>
              </w:rPr>
            </w:pPr>
          </w:p>
        </w:tc>
        <w:tc>
          <w:tcPr>
            <w:tcW w:w="7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4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Available</w:t>
            </w:r>
            <w:r>
              <w:rPr>
                <w:rFonts w:ascii="Times New Roman" w:cs="Times New Roman" w:eastAsia="Times New Roman" w:hAnsi="Times New Roman"/>
                <w:sz w:val="12"/>
                <w:szCs w:val="12"/>
                <w:b w:val="1"/>
                <w:bCs w:val="1"/>
                <w:color w:val="auto"/>
              </w:rPr>
              <w:t>(1)</w:t>
            </w:r>
          </w:p>
        </w:tc>
        <w:tc>
          <w:tcPr>
            <w:tcW w:w="620" w:type="dxa"/>
            <w:vAlign w:val="bottom"/>
          </w:tcPr>
          <w:p>
            <w:pPr>
              <w:spacing w:after="0"/>
              <w:rPr>
                <w:sz w:val="15"/>
                <w:szCs w:val="15"/>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Value</w:t>
            </w:r>
            <w:r>
              <w:rPr>
                <w:rFonts w:ascii="Times New Roman" w:cs="Times New Roman" w:eastAsia="Times New Roman" w:hAnsi="Times New Roman"/>
                <w:sz w:val="12"/>
                <w:szCs w:val="12"/>
                <w:b w:val="1"/>
                <w:bCs w:val="1"/>
                <w:color w:val="auto"/>
                <w:w w:val="97"/>
              </w:rPr>
              <w:t>(2)</w:t>
            </w: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975,000</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486,808</w:t>
            </w:r>
          </w:p>
        </w:tc>
        <w:tc>
          <w:tcPr>
            <w:tcW w:w="5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$ 488,192</w:t>
            </w:r>
          </w:p>
        </w:tc>
        <w:tc>
          <w:tcPr>
            <w:tcW w:w="6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$479,724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2019 Convertible Senior Notes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112,182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Convertible Senior Notes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111,522</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1,205,000</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716,808</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$ 488,192</w:t>
            </w:r>
          </w:p>
        </w:tc>
        <w:tc>
          <w:tcPr>
            <w:tcW w:w="6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703,428</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7" w:lineRule="exact"/>
        <w:rPr>
          <w:sz w:val="20"/>
          <w:szCs w:val="20"/>
          <w:color w:val="auto"/>
        </w:rPr>
      </w:pPr>
    </w:p>
    <w:p>
      <w:pPr>
        <w:ind w:left="1060" w:hanging="424"/>
        <w:spacing w:after="0"/>
        <w:tabs>
          <w:tab w:leader="none" w:pos="10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reflects any limitations related to the respective debt facilities’ borrowing bases.</w:t>
      </w:r>
    </w:p>
    <w:p>
      <w:pPr>
        <w:spacing w:after="0" w:line="27" w:lineRule="exact"/>
        <w:rPr>
          <w:rFonts w:ascii="Times New Roman" w:cs="Times New Roman" w:eastAsia="Times New Roman" w:hAnsi="Times New Roman"/>
          <w:sz w:val="18"/>
          <w:szCs w:val="18"/>
          <w:color w:val="auto"/>
        </w:rPr>
      </w:pPr>
    </w:p>
    <w:p>
      <w:pPr>
        <w:ind w:left="1060" w:right="60" w:hanging="424"/>
        <w:spacing w:after="0" w:line="261" w:lineRule="auto"/>
        <w:tabs>
          <w:tab w:leader="none" w:pos="10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Company’s Revolving Credit Facility and 2019 and 2022 Convertible Senior Notes are presented net of deferred financing costs of $7.1 million, $1.5 million, and $3.2 million, respectively.</w:t>
      </w:r>
    </w:p>
    <w:p>
      <w:pPr>
        <w:spacing w:after="0" w:line="200"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17"/>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Aggregate Principal</w:t>
            </w:r>
          </w:p>
        </w:tc>
        <w:tc>
          <w:tcPr>
            <w:tcW w:w="1960" w:type="dxa"/>
            <w:vAlign w:val="bottom"/>
            <w:gridSpan w:val="4"/>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20" w:type="dxa"/>
            <w:vAlign w:val="bottom"/>
          </w:tcPr>
          <w:p>
            <w:pPr>
              <w:spacing w:after="0"/>
              <w:rPr>
                <w:sz w:val="10"/>
                <w:szCs w:val="10"/>
                <w:color w:val="auto"/>
              </w:rPr>
            </w:pP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620" w:type="dxa"/>
            <w:vAlign w:val="bottom"/>
          </w:tcPr>
          <w:p>
            <w:pPr>
              <w:spacing w:after="0"/>
              <w:rPr>
                <w:sz w:val="10"/>
                <w:szCs w:val="10"/>
                <w:color w:val="auto"/>
              </w:rPr>
            </w:pPr>
          </w:p>
        </w:tc>
        <w:tc>
          <w:tcPr>
            <w:tcW w:w="7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4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Available</w:t>
            </w:r>
            <w:r>
              <w:rPr>
                <w:rFonts w:ascii="Times New Roman" w:cs="Times New Roman" w:eastAsia="Times New Roman" w:hAnsi="Times New Roman"/>
                <w:sz w:val="12"/>
                <w:szCs w:val="12"/>
                <w:b w:val="1"/>
                <w:bCs w:val="1"/>
                <w:color w:val="auto"/>
              </w:rPr>
              <w:t>(1)</w:t>
            </w:r>
          </w:p>
        </w:tc>
        <w:tc>
          <w:tcPr>
            <w:tcW w:w="620" w:type="dxa"/>
            <w:vAlign w:val="bottom"/>
          </w:tcPr>
          <w:p>
            <w:pPr>
              <w:spacing w:after="0"/>
              <w:rPr>
                <w:sz w:val="15"/>
                <w:szCs w:val="15"/>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Value</w:t>
            </w:r>
            <w:r>
              <w:rPr>
                <w:rFonts w:ascii="Times New Roman" w:cs="Times New Roman" w:eastAsia="Times New Roman" w:hAnsi="Times New Roman"/>
                <w:sz w:val="12"/>
                <w:szCs w:val="12"/>
                <w:b w:val="1"/>
                <w:bCs w:val="1"/>
                <w:color w:val="auto"/>
                <w:w w:val="97"/>
              </w:rPr>
              <w:t>(2)</w:t>
            </w:r>
          </w:p>
        </w:tc>
      </w:tr>
      <w:tr>
        <w:trPr>
          <w:trHeight w:val="210"/>
        </w:trPr>
        <w:tc>
          <w:tcPr>
            <w:tcW w:w="2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945,000</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578,657</w:t>
            </w:r>
          </w:p>
        </w:tc>
        <w:tc>
          <w:tcPr>
            <w:tcW w:w="5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$ 366,343</w:t>
            </w:r>
          </w:p>
        </w:tc>
        <w:tc>
          <w:tcPr>
            <w:tcW w:w="6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$569,919</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2019 Convertible Senior Notes</w:t>
            </w:r>
          </w:p>
        </w:tc>
        <w:tc>
          <w:tcPr>
            <w:tcW w:w="1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110,790</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60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1,060,000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693,657</w:t>
            </w: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$ 366,343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680,709</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7" w:lineRule="exact"/>
        <w:rPr>
          <w:sz w:val="20"/>
          <w:szCs w:val="20"/>
          <w:color w:val="auto"/>
        </w:rPr>
      </w:pPr>
    </w:p>
    <w:p>
      <w:pPr>
        <w:ind w:left="1060" w:hanging="424"/>
        <w:spacing w:after="0"/>
        <w:tabs>
          <w:tab w:leader="none" w:pos="10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reflects any limitations related to the respective debt facilities’ borrowing bases.</w:t>
      </w:r>
    </w:p>
    <w:p>
      <w:pPr>
        <w:spacing w:after="0" w:line="27" w:lineRule="exact"/>
        <w:rPr>
          <w:rFonts w:ascii="Times New Roman" w:cs="Times New Roman" w:eastAsia="Times New Roman" w:hAnsi="Times New Roman"/>
          <w:sz w:val="18"/>
          <w:szCs w:val="18"/>
          <w:color w:val="auto"/>
        </w:rPr>
      </w:pPr>
    </w:p>
    <w:p>
      <w:pPr>
        <w:ind w:left="1060" w:right="40" w:hanging="424"/>
        <w:spacing w:after="0" w:line="261" w:lineRule="auto"/>
        <w:tabs>
          <w:tab w:leader="none" w:pos="10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Company’s Revolving Credit Facility and 2019 Convertible Senior Notes are presented net of deferred financing costs of $8.7 million and $2.3 million, respectively.</w:t>
      </w:r>
    </w:p>
    <w:p>
      <w:pPr>
        <w:spacing w:after="0" w:line="1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60"/>
          </w:cols>
          <w:pgMar w:left="240" w:top="456" w:right="49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the years ended December 31, 2017, 2016 and 2015, the components of interest expense were as follows:</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96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14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80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22,933</w:t>
            </w:r>
          </w:p>
        </w:tc>
        <w:tc>
          <w:tcPr>
            <w:tcW w:w="5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20,501</w:t>
            </w:r>
          </w:p>
        </w:tc>
        <w:tc>
          <w:tcPr>
            <w:tcW w:w="5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15,342</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Commitment fees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Swap settlement </w:t>
            </w:r>
            <w:r>
              <w:rPr>
                <w:rFonts w:ascii="Times New Roman" w:cs="Times New Roman" w:eastAsia="Times New Roman" w:hAnsi="Times New Roman"/>
                <w:sz w:val="15"/>
                <w:szCs w:val="15"/>
                <w:color w:val="auto"/>
              </w:rPr>
              <w:t>(1)</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(1,379)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(1,057)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(1,539)</w:t>
            </w:r>
          </w:p>
        </w:tc>
      </w:tr>
      <w:tr>
        <w:trPr>
          <w:trHeight w:val="223"/>
        </w:trPr>
        <w:tc>
          <w:tcPr>
            <w:tcW w:w="20" w:type="dxa"/>
            <w:vAlign w:val="bottom"/>
          </w:tcPr>
          <w:p>
            <w:pPr>
              <w:spacing w:after="0"/>
              <w:rPr>
                <w:sz w:val="19"/>
                <w:szCs w:val="19"/>
                <w:color w:val="auto"/>
              </w:rPr>
            </w:pPr>
          </w:p>
        </w:tc>
        <w:tc>
          <w:tcPr>
            <w:tcW w:w="41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27,441</w:t>
            </w: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23,108</w:t>
            </w: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22,010</w:t>
            </w:r>
          </w:p>
        </w:tc>
        <w:tc>
          <w:tcPr>
            <w:tcW w:w="2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debt outstanding (in millions)</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5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w:t>
            </w:r>
          </w:p>
        </w:tc>
        <w:tc>
          <w:tcPr>
            <w:tcW w:w="5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1-month LIBOR rate</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r>
    </w:tbl>
    <w:p>
      <w:pPr>
        <w:spacing w:after="0" w:line="103" w:lineRule="exact"/>
        <w:rPr>
          <w:sz w:val="20"/>
          <w:szCs w:val="20"/>
          <w:color w:val="auto"/>
        </w:rPr>
      </w:pPr>
    </w:p>
    <w:p>
      <w:pPr>
        <w:ind w:left="640" w:hanging="436"/>
        <w:spacing w:after="0"/>
        <w:tabs>
          <w:tab w:leader="none" w:pos="6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settlement of the interest rate swaps related to the Company’s 2019 and 2022 Convertible Senior Notes.</w:t>
      </w:r>
    </w:p>
    <w:p>
      <w:pPr>
        <w:spacing w:after="0" w:line="3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August 23, 2012, the Company entered into a senior secured revolving credit agreement with SunTrust Bank, as administrative agent, and J.P.</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Morgan Chase Bank, N.A., as syndication agent, and certain other lenders (as amended, the “Revolving Credit Facility”).</w:t>
      </w:r>
    </w:p>
    <w:p>
      <w:pPr>
        <w:spacing w:after="0" w:line="207" w:lineRule="exact"/>
        <w:rPr>
          <w:sz w:val="20"/>
          <w:szCs w:val="20"/>
          <w:color w:val="auto"/>
        </w:rPr>
      </w:pPr>
    </w:p>
    <w:p>
      <w:pPr>
        <w:ind w:left="200" w:right="220" w:firstLine="441"/>
        <w:spacing w:after="0" w:line="282" w:lineRule="auto"/>
        <w:rPr>
          <w:sz w:val="20"/>
          <w:szCs w:val="20"/>
          <w:color w:val="auto"/>
        </w:rPr>
      </w:pPr>
      <w:r>
        <w:rPr>
          <w:rFonts w:ascii="Times New Roman" w:cs="Times New Roman" w:eastAsia="Times New Roman" w:hAnsi="Times New Roman"/>
          <w:sz w:val="18"/>
          <w:szCs w:val="18"/>
          <w:color w:val="auto"/>
        </w:rPr>
        <w:t>As of December 31, 2017, aggregate commitments under the facility were $975 million. The facility includes an uncommitted accordion feature that allows the Company, under certain circumstances, to increase the size of the facility to up to $1.25 billion.</w:t>
      </w:r>
    </w:p>
    <w:p>
      <w:pPr>
        <w:spacing w:after="0" w:line="162" w:lineRule="exact"/>
        <w:rPr>
          <w:sz w:val="20"/>
          <w:szCs w:val="20"/>
          <w:color w:val="auto"/>
        </w:rPr>
      </w:pPr>
    </w:p>
    <w:p>
      <w:pPr>
        <w:ind w:left="200" w:right="280" w:firstLine="441"/>
        <w:spacing w:after="0" w:line="266" w:lineRule="auto"/>
        <w:rPr>
          <w:sz w:val="20"/>
          <w:szCs w:val="20"/>
          <w:color w:val="auto"/>
        </w:rPr>
      </w:pPr>
      <w:r>
        <w:rPr>
          <w:rFonts w:ascii="Times New Roman" w:cs="Times New Roman" w:eastAsia="Times New Roman" w:hAnsi="Times New Roman"/>
          <w:sz w:val="18"/>
          <w:szCs w:val="18"/>
          <w:color w:val="auto"/>
        </w:rPr>
        <w:t>With respect to $915 million in commitments, the revolving period, during which period the Company, subject to certain conditions, may make borrowings under the facility, ends December 22, 2020 and the stated maturity date is December 22, 2021. For the remaining $60 million of commitments, the revolving period ends October 2, 2019 and the stated maturity date is October 2, 2020.</w:t>
      </w:r>
    </w:p>
    <w:p>
      <w:pPr>
        <w:spacing w:after="0" w:line="176"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The Company may borrow amounts in U.S. dollars or certain other permitted currencies. As of December 31, 2017, the Company had outstanding debt denominated in Euro (EUR) of 59.4 million on its Revolving Credit Facility, included in the Outstanding Principal amount in the table above.</w:t>
      </w:r>
    </w:p>
    <w:p>
      <w:pPr>
        <w:spacing w:after="0" w:line="162" w:lineRule="exact"/>
        <w:rPr>
          <w:sz w:val="20"/>
          <w:szCs w:val="20"/>
          <w:color w:val="auto"/>
        </w:rPr>
      </w:pPr>
    </w:p>
    <w:p>
      <w:pPr>
        <w:ind w:left="200" w:right="160" w:firstLine="441"/>
        <w:spacing w:after="0" w:line="266" w:lineRule="auto"/>
        <w:rPr>
          <w:sz w:val="20"/>
          <w:szCs w:val="20"/>
          <w:color w:val="auto"/>
        </w:rPr>
      </w:pPr>
      <w:r>
        <w:rPr>
          <w:rFonts w:ascii="Times New Roman" w:cs="Times New Roman" w:eastAsia="Times New Roman" w:hAnsi="Times New Roman"/>
          <w:sz w:val="18"/>
          <w:szCs w:val="18"/>
          <w:color w:val="auto"/>
        </w:rPr>
        <w:t>The Revolving Credit Facility also provides for the issuance of letters of credit up to an aggregate amount of $75 million. As of December 31, 2017 and December 31, 2016, the Company had no outstanding letters of credit issued through the Revolving Credit Facility. The amount available for borrowing under the Revolving Credit Facility is reduced by any letters of credit issued through the Revolving Credit Facility.</w:t>
      </w:r>
    </w:p>
    <w:p>
      <w:pPr>
        <w:spacing w:after="0" w:line="176" w:lineRule="exact"/>
        <w:rPr>
          <w:sz w:val="20"/>
          <w:szCs w:val="20"/>
          <w:color w:val="auto"/>
        </w:rPr>
      </w:pPr>
    </w:p>
    <w:p>
      <w:pPr>
        <w:ind w:left="200" w:right="140" w:firstLine="441"/>
        <w:spacing w:after="0" w:line="256" w:lineRule="auto"/>
        <w:rPr>
          <w:sz w:val="20"/>
          <w:szCs w:val="20"/>
          <w:color w:val="auto"/>
        </w:rPr>
      </w:pPr>
      <w:r>
        <w:rPr>
          <w:rFonts w:ascii="Times New Roman" w:cs="Times New Roman" w:eastAsia="Times New Roman" w:hAnsi="Times New Roman"/>
          <w:sz w:val="18"/>
          <w:szCs w:val="18"/>
          <w:color w:val="auto"/>
        </w:rPr>
        <w:t>Amounts drawn under the Revolving Credit Facility, including amounts drawn in respect of letters of credit, bear interest at either LIBOR plus a margin of either 1.75% or 2.00%, or the prime rate plus a margin of either 0.75% or 1.00%, in each case, based on the total amount of the borrowing base relative to the sum of the total commitments (or, if greater, the total exposure) under the Revolving Credit Facility plus certain other designated secured debt.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240"/>
          </w:cols>
          <w:pgMar w:left="240" w:top="455" w:right="41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80" w:lineRule="exact"/>
        <w:rPr>
          <w:sz w:val="20"/>
          <w:szCs w:val="20"/>
          <w:color w:val="auto"/>
        </w:rPr>
      </w:pPr>
    </w:p>
    <w:p>
      <w:pPr>
        <w:ind w:left="200" w:right="20" w:firstLine="441"/>
        <w:spacing w:after="0" w:line="282" w:lineRule="auto"/>
        <w:rPr>
          <w:sz w:val="20"/>
          <w:szCs w:val="20"/>
          <w:color w:val="auto"/>
        </w:rPr>
      </w:pPr>
      <w:r>
        <w:rPr>
          <w:rFonts w:ascii="Times New Roman" w:cs="Times New Roman" w:eastAsia="Times New Roman" w:hAnsi="Times New Roman"/>
          <w:sz w:val="18"/>
          <w:szCs w:val="18"/>
          <w:color w:val="auto"/>
        </w:rPr>
        <w:t>The Revolving Credit Facility includes customary events of default, as well as customary covenants, including restrictions on certain distributions and financial covenants requiring:</w:t>
      </w:r>
    </w:p>
    <w:p>
      <w:pPr>
        <w:spacing w:after="0" w:line="67" w:lineRule="exact"/>
        <w:rPr>
          <w:sz w:val="20"/>
          <w:szCs w:val="20"/>
          <w:color w:val="auto"/>
        </w:rPr>
      </w:pPr>
    </w:p>
    <w:p>
      <w:pPr>
        <w:ind w:left="1060" w:hanging="316"/>
        <w:spacing w:after="0"/>
        <w:tabs>
          <w:tab w:leader="none" w:pos="10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coverage ratio of no less than 2 to 1 on the last day of any fiscal quarter;</w:t>
      </w:r>
    </w:p>
    <w:p>
      <w:pPr>
        <w:spacing w:after="0" w:line="130" w:lineRule="exact"/>
        <w:rPr>
          <w:rFonts w:ascii="Times New Roman" w:cs="Times New Roman" w:eastAsia="Times New Roman" w:hAnsi="Times New Roman"/>
          <w:sz w:val="18"/>
          <w:szCs w:val="18"/>
          <w:color w:val="auto"/>
        </w:rPr>
      </w:pPr>
    </w:p>
    <w:p>
      <w:pPr>
        <w:ind w:left="1060" w:hanging="316"/>
        <w:spacing w:after="0" w:line="266" w:lineRule="auto"/>
        <w:tabs>
          <w:tab w:leader="none" w:pos="10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liquidity test under which the Company must not maintain cash and liquid investments of less than 10% of the covered debt amount for more than 30 consecutive business days under circumstances where the Company’s adjusted covered debt balance is greater than 90% of the Company’s adjusted borrowing base under the facility; and</w:t>
      </w:r>
    </w:p>
    <w:p>
      <w:pPr>
        <w:spacing w:after="0" w:line="81" w:lineRule="exact"/>
        <w:rPr>
          <w:rFonts w:ascii="Times New Roman" w:cs="Times New Roman" w:eastAsia="Times New Roman" w:hAnsi="Times New Roman"/>
          <w:sz w:val="18"/>
          <w:szCs w:val="18"/>
          <w:color w:val="auto"/>
        </w:rPr>
      </w:pPr>
    </w:p>
    <w:p>
      <w:pPr>
        <w:ind w:left="1060" w:hanging="316"/>
        <w:spacing w:after="0"/>
        <w:tabs>
          <w:tab w:leader="none" w:pos="10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equity of at least $500 million plus 25% of the net proceeds of the sale of equity interests after December 22, 2016.</w:t>
      </w:r>
    </w:p>
    <w:p>
      <w:pPr>
        <w:spacing w:after="0" w:line="225" w:lineRule="exact"/>
        <w:rPr>
          <w:sz w:val="20"/>
          <w:szCs w:val="20"/>
          <w:color w:val="auto"/>
        </w:rPr>
      </w:pPr>
    </w:p>
    <w:p>
      <w:pPr>
        <w:ind w:left="200" w:right="460" w:firstLine="441"/>
        <w:spacing w:after="0" w:line="282" w:lineRule="auto"/>
        <w:rPr>
          <w:sz w:val="20"/>
          <w:szCs w:val="20"/>
          <w:color w:val="auto"/>
        </w:rPr>
      </w:pPr>
      <w:r>
        <w:rPr>
          <w:rFonts w:ascii="Times New Roman" w:cs="Times New Roman" w:eastAsia="Times New Roman" w:hAnsi="Times New Roman"/>
          <w:sz w:val="18"/>
          <w:szCs w:val="18"/>
          <w:color w:val="auto"/>
        </w:rPr>
        <w:t>Net proceeds received from the Company’s common stock issuance in March 2016 and net proceeds received from the issuance of the 2022 Convertible Senior Notes were used to pay down borrowings on the Revolving Credit Facility.</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2019 Convertible Senior Notes</w:t>
      </w:r>
    </w:p>
    <w:p>
      <w:pPr>
        <w:spacing w:after="0" w:line="119" w:lineRule="exact"/>
        <w:rPr>
          <w:sz w:val="20"/>
          <w:szCs w:val="20"/>
          <w:color w:val="auto"/>
        </w:rPr>
      </w:pPr>
    </w:p>
    <w:p>
      <w:pPr>
        <w:ind w:left="200" w:right="20" w:firstLine="441"/>
        <w:spacing w:after="0" w:line="253" w:lineRule="auto"/>
        <w:rPr>
          <w:sz w:val="20"/>
          <w:szCs w:val="20"/>
          <w:color w:val="auto"/>
        </w:rPr>
      </w:pPr>
      <w:r>
        <w:rPr>
          <w:rFonts w:ascii="Times New Roman" w:cs="Times New Roman" w:eastAsia="Times New Roman" w:hAnsi="Times New Roman"/>
          <w:sz w:val="18"/>
          <w:szCs w:val="18"/>
          <w:color w:val="auto"/>
        </w:rPr>
        <w:t>In June 2014, the Company issued in a private offering $115 million aggregate principal amount convertible senior notes due December 2019 (the “2019 Convertible Senior Notes”). The 2019 Convertible Senior Notes were issued in a private placement only to qualified institutional buyers pursuant to Rule 144A under the Securities Act. The 2019 Convertible Senior Notes are unsecured, and bear interest at a rate of 4.50% per year, payable semiannually. The 2019 Convertible Senior Notes will mature on December 15, 2019. In certain circumstances, the 2019 Convertible Senior Notes will be convertible into cash, shares of the Company’s common stock or a combination of cash and shares of the Company’s common stock, at the Company’s election, at an initial conversion rate of 38.7162 shares of common stock per $1,000 principal amount of 2019 Convertible Senior Notes, which is equivalent to an initial conversion price of approximately $25.83 per share of the Company’s common stock, subject to customary anti-dilution adjustments. As of December 31, 2017, the estimated adjusted conversion price was approximately $25.41. The sale of the 2019 Convertible Senior Notes generated net proceeds of approximately $110.8 million. The Company used the net proceeds of the offering to pay down debt under the Revolving Credit Facility. In connection with the offering of 2019 Convertible Senior Notes, the Company has entered into interest rate swaps to continue to align the interest rates of its liabilities with its investment portfolio, which consists of predominately floating rate loans. As a result of the swaps, the Company’s effective interest rate on the 2019 Convertible Senior Notes is three-month LIBOR plus 286 basis points. See Note 5 for further information related to the Company’s interest rate swaps.</w:t>
      </w:r>
    </w:p>
    <w:p>
      <w:pPr>
        <w:spacing w:after="0" w:line="189" w:lineRule="exact"/>
        <w:rPr>
          <w:sz w:val="20"/>
          <w:szCs w:val="20"/>
          <w:color w:val="auto"/>
        </w:rPr>
      </w:pPr>
    </w:p>
    <w:p>
      <w:pPr>
        <w:ind w:left="200" w:right="20" w:firstLine="441"/>
        <w:spacing w:after="0" w:line="255" w:lineRule="auto"/>
        <w:rPr>
          <w:sz w:val="20"/>
          <w:szCs w:val="20"/>
          <w:color w:val="auto"/>
        </w:rPr>
      </w:pPr>
      <w:r>
        <w:rPr>
          <w:rFonts w:ascii="Times New Roman" w:cs="Times New Roman" w:eastAsia="Times New Roman" w:hAnsi="Times New Roman"/>
          <w:sz w:val="18"/>
          <w:szCs w:val="18"/>
          <w:color w:val="auto"/>
        </w:rPr>
        <w:t>Holders may convert their 2019 Convertible Senior Notes at their option at any time prior to June 15, 2019 only under the following circumstances: (1) 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2019 Convertible Senior Notes) per $1,000 principal amount of notes for each trading day of the measurement period was less than 98% of the product of the last reported sale price of the Company’s common stock and the conversion rate on each such trading day; or (3) upon the occurrence of specified</w:t>
      </w:r>
    </w:p>
    <w:p>
      <w:pPr>
        <w:spacing w:after="0" w:line="11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80"/>
          </w:cols>
          <w:pgMar w:left="240" w:top="455" w:right="47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82" w:lineRule="auto"/>
        <w:rPr>
          <w:sz w:val="20"/>
          <w:szCs w:val="20"/>
          <w:color w:val="auto"/>
        </w:rPr>
      </w:pPr>
      <w:r>
        <w:rPr>
          <w:rFonts w:ascii="Times New Roman" w:cs="Times New Roman" w:eastAsia="Times New Roman" w:hAnsi="Times New Roman"/>
          <w:sz w:val="18"/>
          <w:szCs w:val="18"/>
          <w:color w:val="auto"/>
        </w:rPr>
        <w:t>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2022 Convertible Senior Notes</w:t>
      </w:r>
    </w:p>
    <w:p>
      <w:pPr>
        <w:spacing w:after="0" w:line="119" w:lineRule="exact"/>
        <w:rPr>
          <w:sz w:val="20"/>
          <w:szCs w:val="20"/>
          <w:color w:val="auto"/>
        </w:rPr>
      </w:pPr>
    </w:p>
    <w:p>
      <w:pPr>
        <w:ind w:left="200" w:firstLine="441"/>
        <w:spacing w:after="0" w:line="253" w:lineRule="auto"/>
        <w:rPr>
          <w:sz w:val="20"/>
          <w:szCs w:val="20"/>
          <w:color w:val="auto"/>
        </w:rPr>
      </w:pPr>
      <w:r>
        <w:rPr>
          <w:rFonts w:ascii="Times New Roman" w:cs="Times New Roman" w:eastAsia="Times New Roman" w:hAnsi="Times New Roman"/>
          <w:sz w:val="18"/>
          <w:szCs w:val="18"/>
          <w:color w:val="auto"/>
        </w:rPr>
        <w:t>In February 2017, the Company issued in a private offering $115 million aggregate principal amount convertible senior notes due August 2022 (the “2022 Convertible Senior Notes” and, together with the 2019 Convertible Senior Notes, the “Convertible Senior Notes”). The 2022 Convertible Senior Notes were issued in a private placement only to qualified institutional buyers pursuant to Rule 144A under the Securities Act. The 2022 Convertible Senior Notes are unsecured, and bear interest at a rate of 4.50% per year, payable semiannually. The 2022 Convertible Senior Notes will mature on August 1, 2022. In certain circumstances, the 2022 Convertible Senior Notes will be convertible into cash, shares of the Company’s common stock or a combination of cash and shares of the Company’s common stock, at the Company’s election, at an initial conversion rate of 46.8516 shares of common stock per $1,000 principal amount of 2022 Convertible Senior Notes, which is equivalent to an initial conversion price of approximately $21.34 per share of the Company’s common stock, subject to customary anti-dilution adjustments. As of December 31, 2017, the estimated adjusted conversion price was approximately $21.15. The sale of the 2022 Convertible Senior Notes generated net proceeds of approximately $111.2 million. The Company used the net proceeds of the offering to pay down debt under the Revolving Credit Facility. In connection with the offering of 2022 Convertible Senior Notes, the Company has entered into an interest rate swap to continue to align the interest rates of its liabilities with its investment portfolio, which consists of predominately floating rate loans. As a result of the swap, the Company’s effective interest rate on the 2022 Convertible Senior Notes is three-month LIBOR plus 237.2 basis points. See Note 5 for further information related to the Company’s interest rate swaps.</w:t>
      </w:r>
    </w:p>
    <w:p>
      <w:pPr>
        <w:spacing w:after="0" w:line="189" w:lineRule="exact"/>
        <w:rPr>
          <w:sz w:val="20"/>
          <w:szCs w:val="20"/>
          <w:color w:val="auto"/>
        </w:rPr>
      </w:pPr>
    </w:p>
    <w:p>
      <w:pPr>
        <w:ind w:left="200" w:right="60" w:firstLine="441"/>
        <w:spacing w:after="0" w:line="254" w:lineRule="auto"/>
        <w:rPr>
          <w:sz w:val="20"/>
          <w:szCs w:val="20"/>
          <w:color w:val="auto"/>
        </w:rPr>
      </w:pPr>
      <w:r>
        <w:rPr>
          <w:rFonts w:ascii="Times New Roman" w:cs="Times New Roman" w:eastAsia="Times New Roman" w:hAnsi="Times New Roman"/>
          <w:sz w:val="18"/>
          <w:szCs w:val="18"/>
          <w:color w:val="auto"/>
        </w:rPr>
        <w:t>Holders may convert their 2022 Convertible Senior Notes at their option at any time prior to February 1, 2022 only under the following circumstances: (1) 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2022 Convertible Senior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86"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The Convertible Senior Notes are the Company’s senior unsecured obligations and rank senior in right of payment to the Company’s future indebtedness that is expressly subordinated in right of payment to the Convertible Senior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220"/>
          </w:cols>
          <w:pgMar w:left="240" w:top="456" w:right="43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500" w:firstLine="441"/>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2017, 2016, and 2015 the components of interest expense related to the Convertible Senior Notes were as follows:</w:t>
      </w:r>
    </w:p>
    <w:p>
      <w:pPr>
        <w:spacing w:after="0" w:line="182"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12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180" w:type="dxa"/>
            <w:vAlign w:val="bottom"/>
            <w:gridSpan w:val="4"/>
          </w:tcPr>
          <w:p>
            <w:pPr>
              <w:ind w:left="940"/>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210"/>
        </w:trPr>
        <w:tc>
          <w:tcPr>
            <w:tcW w:w="2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9,919</w:t>
            </w:r>
          </w:p>
        </w:tc>
        <w:tc>
          <w:tcPr>
            <w:tcW w:w="9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9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9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9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12,001</w:t>
            </w:r>
          </w:p>
        </w:tc>
        <w:tc>
          <w:tcPr>
            <w:tcW w:w="960" w:type="dxa"/>
            <w:vAlign w:val="bottom"/>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6,538</w:t>
            </w:r>
          </w:p>
        </w:tc>
        <w:tc>
          <w:tcPr>
            <w:tcW w:w="960" w:type="dxa"/>
            <w:vAlign w:val="bottom"/>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right="260" w:firstLine="441"/>
        <w:spacing w:after="0" w:line="261" w:lineRule="auto"/>
        <w:rPr>
          <w:sz w:val="20"/>
          <w:szCs w:val="20"/>
          <w:color w:val="auto"/>
        </w:rPr>
      </w:pPr>
      <w:r>
        <w:rPr>
          <w:rFonts w:ascii="Times New Roman" w:cs="Times New Roman" w:eastAsia="Times New Roman" w:hAnsi="Times New Roman"/>
          <w:sz w:val="18"/>
          <w:szCs w:val="18"/>
          <w:color w:val="auto"/>
        </w:rPr>
        <w:t>Total interest expense in the table above does not include the effect of the interest rate swaps. During the years ended December 31, 2017, 2016 and 2015, the Company received $9.9 million, $5.2 million, and $5.2 million, respectively, and paid $8.5 million, $4.1 million, and $3.7 million, respectively, related to the quarterly settlement of its interest rate swaps. These net amounts are reductions to interest expense in the Company’s consolidated statements of operations.</w:t>
      </w:r>
    </w:p>
    <w:p>
      <w:pPr>
        <w:spacing w:after="0" w:line="180" w:lineRule="exact"/>
        <w:rPr>
          <w:sz w:val="20"/>
          <w:szCs w:val="20"/>
          <w:color w:val="auto"/>
        </w:rPr>
      </w:pPr>
    </w:p>
    <w:p>
      <w:pPr>
        <w:ind w:left="200" w:right="80" w:firstLine="441"/>
        <w:spacing w:after="0" w:line="282" w:lineRule="auto"/>
        <w:rPr>
          <w:sz w:val="20"/>
          <w:szCs w:val="20"/>
          <w:color w:val="auto"/>
        </w:rPr>
      </w:pPr>
      <w:r>
        <w:rPr>
          <w:rFonts w:ascii="Times New Roman" w:cs="Times New Roman" w:eastAsia="Times New Roman" w:hAnsi="Times New Roman"/>
          <w:sz w:val="18"/>
          <w:szCs w:val="18"/>
          <w:color w:val="auto"/>
        </w:rPr>
        <w:t>As of December 31, 2017 and December 31, 2016, the principal amount of the 2019 and 2022 Convertible Senior Notes exceeded the value of the underlying shares multiplied by the per share closing price of the Company’s common stock.</w:t>
      </w:r>
    </w:p>
    <w:p>
      <w:pPr>
        <w:spacing w:after="0" w:line="162" w:lineRule="exact"/>
        <w:rPr>
          <w:sz w:val="20"/>
          <w:szCs w:val="20"/>
          <w:color w:val="auto"/>
        </w:rPr>
      </w:pPr>
    </w:p>
    <w:p>
      <w:pPr>
        <w:ind w:left="200" w:right="200" w:firstLine="441"/>
        <w:spacing w:after="0" w:line="282" w:lineRule="auto"/>
        <w:rPr>
          <w:sz w:val="20"/>
          <w:szCs w:val="20"/>
          <w:color w:val="auto"/>
        </w:rPr>
      </w:pPr>
      <w:r>
        <w:rPr>
          <w:rFonts w:ascii="Times New Roman" w:cs="Times New Roman" w:eastAsia="Times New Roman" w:hAnsi="Times New Roman"/>
          <w:sz w:val="18"/>
          <w:szCs w:val="18"/>
          <w:color w:val="auto"/>
        </w:rPr>
        <w:t>As of December 31, 2017 and December 31, 2016, the components of the carrying value of the 2019 and 2022 Convertible Senior Notes and the stated interest rate were as follows:</w:t>
      </w:r>
    </w:p>
    <w:p>
      <w:pPr>
        <w:spacing w:after="0" w:line="182" w:lineRule="exact"/>
        <w:rPr>
          <w:sz w:val="20"/>
          <w:szCs w:val="20"/>
          <w:color w:val="auto"/>
        </w:rPr>
      </w:pPr>
    </w:p>
    <w:tbl>
      <w:tblPr>
        <w:tblLayout w:type="fixed"/>
        <w:tblInd w:w="15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20" w:type="dxa"/>
            <w:vAlign w:val="bottom"/>
            <w:gridSpan w:val="5"/>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117"/>
        </w:trPr>
        <w:tc>
          <w:tcPr>
            <w:tcW w:w="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4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2019</w:t>
            </w:r>
          </w:p>
        </w:tc>
        <w:tc>
          <w:tcPr>
            <w:tcW w:w="4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August 2022</w:t>
            </w:r>
          </w:p>
        </w:tc>
        <w:tc>
          <w:tcPr>
            <w:tcW w:w="2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648"/>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r>
      <w:tr>
        <w:trPr>
          <w:trHeight w:val="173"/>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Senior Notes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Senior Notes</w:t>
            </w:r>
          </w:p>
        </w:tc>
      </w:tr>
      <w:tr>
        <w:trPr>
          <w:trHeight w:val="210"/>
        </w:trPr>
        <w:tc>
          <w:tcPr>
            <w:tcW w:w="2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amount of debt</w:t>
            </w:r>
          </w:p>
        </w:tc>
        <w:tc>
          <w:tcPr>
            <w:tcW w:w="10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6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discount, net of accretion</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(1,308)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(1,510)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(3,176)</w:t>
            </w:r>
          </w:p>
        </w:tc>
      </w:tr>
      <w:tr>
        <w:trPr>
          <w:trHeight w:val="223"/>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Carrying value of debt</w:t>
            </w:r>
          </w:p>
        </w:tc>
        <w:tc>
          <w:tcPr>
            <w:tcW w:w="10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112,182</w:t>
            </w: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111,522</w:t>
            </w:r>
          </w:p>
        </w:tc>
        <w:tc>
          <w:tcPr>
            <w:tcW w:w="2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Stated interest rate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4.50%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w:t>
            </w:r>
          </w:p>
        </w:tc>
      </w:tr>
      <w:tr>
        <w:trPr>
          <w:trHeight w:val="365"/>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117"/>
        </w:trPr>
        <w:tc>
          <w:tcPr>
            <w:tcW w:w="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37"/>
              <w:spacing w:after="0" w:line="118" w:lineRule="exact"/>
              <w:rPr>
                <w:sz w:val="20"/>
                <w:szCs w:val="20"/>
                <w:color w:val="auto"/>
              </w:rPr>
            </w:pPr>
            <w:r>
              <w:rPr>
                <w:rFonts w:ascii="Times New Roman" w:cs="Times New Roman" w:eastAsia="Times New Roman" w:hAnsi="Times New Roman"/>
                <w:sz w:val="13"/>
                <w:szCs w:val="13"/>
                <w:b w:val="1"/>
                <w:bCs w:val="1"/>
                <w:color w:val="auto"/>
              </w:rPr>
              <w:t>December 2019</w:t>
            </w:r>
          </w:p>
        </w:tc>
        <w:tc>
          <w:tcPr>
            <w:tcW w:w="2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r>
      <w:tr>
        <w:trPr>
          <w:trHeight w:val="173"/>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Senior Notes</w:t>
            </w:r>
          </w:p>
        </w:tc>
      </w:tr>
      <w:tr>
        <w:trPr>
          <w:trHeight w:val="210"/>
        </w:trPr>
        <w:tc>
          <w:tcPr>
            <w:tcW w:w="2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amount of debt</w:t>
            </w:r>
          </w:p>
        </w:tc>
        <w:tc>
          <w:tcPr>
            <w:tcW w:w="10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discount, net of accretion</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(1,928)</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(2,282)</w:t>
            </w:r>
          </w:p>
        </w:tc>
      </w:tr>
      <w:tr>
        <w:trPr>
          <w:trHeight w:val="223"/>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Carrying value of debt</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110,790</w:t>
            </w:r>
          </w:p>
        </w:tc>
        <w:tc>
          <w:tcPr>
            <w:tcW w:w="2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Stated interest rate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w:t>
            </w:r>
          </w:p>
        </w:tc>
      </w:tr>
    </w:tbl>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stated interest rate in the table above does not include the effect of the interest rate swaps. The Company’s swap-adjusted interest rate on the</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2019 and 2022 Convertible Senior Notes is three month LIBOR plus 286 basis points, and three month LIBOR plus 237.2 basis points, respectively.</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Please see Note 5 for further information about the Company’s interest rate swaps.</w:t>
      </w:r>
    </w:p>
    <w:p>
      <w:pPr>
        <w:spacing w:after="0" w:line="207" w:lineRule="exact"/>
        <w:rPr>
          <w:sz w:val="20"/>
          <w:szCs w:val="20"/>
          <w:color w:val="auto"/>
        </w:rPr>
      </w:pPr>
    </w:p>
    <w:p>
      <w:pPr>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The indentures governing the 2019 and 2022 Convertible Senior Notes contain certain covenants, including covenants requiring the Company to comply with the requirement under the 1940 Act that the Company’s asset coverage ratio, as defined in the 1940 Act, equal at least 200% and to provide financial information to the holders of the 2019 and 2022 Convertible Senior Notes under certain circumstances. These covenants are subject to</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240"/>
          </w:cols>
          <w:pgMar w:left="240" w:top="456" w:right="41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82" w:lineRule="auto"/>
        <w:rPr>
          <w:sz w:val="20"/>
          <w:szCs w:val="20"/>
          <w:color w:val="auto"/>
        </w:rPr>
      </w:pPr>
      <w:r>
        <w:rPr>
          <w:rFonts w:ascii="Times New Roman" w:cs="Times New Roman" w:eastAsia="Times New Roman" w:hAnsi="Times New Roman"/>
          <w:sz w:val="18"/>
          <w:szCs w:val="18"/>
          <w:color w:val="auto"/>
        </w:rPr>
        <w:t>important limitations and exceptions that are described in the indentures governing the 2019 and 2022 Convertible Senior Notes. As of December 31, 2017, the Company was in compliance with the terms of the indentures governing the 2019 and 2022 Convertible Senior Notes.</w:t>
      </w:r>
    </w:p>
    <w:p>
      <w:pPr>
        <w:spacing w:after="0" w:line="162" w:lineRule="exact"/>
        <w:rPr>
          <w:sz w:val="20"/>
          <w:szCs w:val="20"/>
          <w:color w:val="auto"/>
        </w:rPr>
      </w:pPr>
    </w:p>
    <w:p>
      <w:pPr>
        <w:ind w:left="200" w:right="20" w:firstLine="441"/>
        <w:spacing w:after="0" w:line="254" w:lineRule="auto"/>
        <w:rPr>
          <w:sz w:val="20"/>
          <w:szCs w:val="20"/>
          <w:color w:val="auto"/>
        </w:rPr>
      </w:pPr>
      <w:r>
        <w:rPr>
          <w:rFonts w:ascii="Times New Roman" w:cs="Times New Roman" w:eastAsia="Times New Roman" w:hAnsi="Times New Roman"/>
          <w:sz w:val="18"/>
          <w:szCs w:val="18"/>
          <w:color w:val="auto"/>
        </w:rPr>
        <w:t>The Convertible Senior Notes are accounted for in accordance with Accounting Standards Codification (“ASC”) 470-20. Upon conversion of any of the Convertible Senior Notes, the Company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indentures governing the 2019 and 2022 Convertible Senior Notes. The Company has determined that the embedded conversion options in the 2019 and 2022 Convertible Senior Notes are not required to be separately accounted for as a derivative under U.S. GAAP. In accounting for the 2019 and 2022 Convertible Senior Notes, the Company estimated at the time of issuance separate debt and equity components of the 2019 and 2022 Convertible Senior Notes. An original issue discount equal to the equity components of the 2019 and 2022 Convertible Senior Notes was recorded in “additional paid-in capital” in the accompanying consolidated balance sheet. Additionally, the issuance costs associated with the 2019 and 2022 Convertible Senior Notes were allocated to the debt and equity components in proportion to the allocation of the proceeds and accounted for as deferred financing costs and equity issuance costs, respectively.</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December 31, 2017 and December 31, 2016, the Company was in compliance with the terms of its debt obligations.</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Portfolio Company Commitments</w:t>
      </w:r>
    </w:p>
    <w:p>
      <w:pPr>
        <w:spacing w:after="0" w:line="119"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w:t>
      </w:r>
    </w:p>
    <w:p>
      <w:pPr>
        <w:spacing w:after="0" w:line="11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60"/>
          </w:cols>
          <w:pgMar w:left="240" w:top="455" w:right="49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600" w:firstLine="441"/>
        <w:spacing w:after="0" w:line="282" w:lineRule="auto"/>
        <w:rPr>
          <w:sz w:val="20"/>
          <w:szCs w:val="20"/>
          <w:color w:val="auto"/>
        </w:rPr>
      </w:pPr>
      <w:r>
        <w:rPr>
          <w:rFonts w:ascii="Times New Roman" w:cs="Times New Roman" w:eastAsia="Times New Roman" w:hAnsi="Times New Roman"/>
          <w:sz w:val="18"/>
          <w:szCs w:val="18"/>
          <w:color w:val="auto"/>
        </w:rPr>
        <w:t>As of December 31, 2017 and December 31, 2016, the Company had the following commitments to fund investments in current portfolio companies:</w:t>
      </w:r>
    </w:p>
    <w:p>
      <w:pPr>
        <w:spacing w:after="0" w:line="170"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7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CEEFF"/>
            </w:tcBorders>
          </w:tcPr>
          <w:p>
            <w:pPr>
              <w:spacing w:after="0"/>
              <w:rPr>
                <w:sz w:val="15"/>
                <w:szCs w:val="15"/>
                <w:color w:val="auto"/>
              </w:rPr>
            </w:pPr>
          </w:p>
        </w:tc>
      </w:tr>
      <w:tr>
        <w:trPr>
          <w:trHeight w:val="21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AppStar Financial, LLC—Revolver</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6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Clarabridge, Inc.—Revolver</w:t>
            </w:r>
          </w:p>
        </w:tc>
        <w:tc>
          <w:tcPr>
            <w:tcW w:w="180" w:type="dxa"/>
            <w:vAlign w:val="bottom"/>
          </w:tcPr>
          <w:p>
            <w:pPr>
              <w:spacing w:after="0"/>
              <w:rPr>
                <w:sz w:val="18"/>
                <w:szCs w:val="18"/>
                <w:color w:val="auto"/>
              </w:rPr>
            </w:pPr>
          </w:p>
        </w:tc>
        <w:tc>
          <w:tcPr>
            <w:tcW w:w="14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CrunchTime Information Systems, Inc.—Delayed Draw</w:t>
            </w: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12,000</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CrunchTime Information Systems, Inc.—Revolver</w:t>
            </w:r>
          </w:p>
        </w:tc>
        <w:tc>
          <w:tcPr>
            <w:tcW w:w="180" w:type="dxa"/>
            <w:vAlign w:val="bottom"/>
          </w:tcPr>
          <w:p>
            <w:pPr>
              <w:spacing w:after="0"/>
              <w:rPr>
                <w:sz w:val="18"/>
                <w:szCs w:val="18"/>
                <w:color w:val="auto"/>
              </w:rPr>
            </w:pPr>
          </w:p>
        </w:tc>
        <w:tc>
          <w:tcPr>
            <w:tcW w:w="14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Ecommerce Industries, Inc.—Revolver</w:t>
            </w: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2,486</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Frontline Technologies Group LLC—Delayed Draw</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9,377</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Heartland Automotive Holdings, LLC—Revolver</w:t>
            </w: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4,139</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Helix Health Ltd.—Revolver</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4,443</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3,903</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Illuminate Education, Inc.—Revolver</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Industrial Physics LLC—Revolver</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IRGSE Holding Corp.—Revolver</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335</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Lithium Technologies LLC—Revolver</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3,659</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Leaf US Holdings, Inc.—Revolver</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Marketo, Inc.—Revolver</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1,875</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1,875</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Northern Oil &amp; Gas—Delayed Draw</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16,250</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My Alarm Center, LLC—Delayed Draw</w:t>
            </w:r>
          </w:p>
        </w:tc>
        <w:tc>
          <w:tcPr>
            <w:tcW w:w="180" w:type="dxa"/>
            <w:vAlign w:val="bottom"/>
          </w:tcPr>
          <w:p>
            <w:pPr>
              <w:spacing w:after="0"/>
              <w:rPr>
                <w:sz w:val="18"/>
                <w:szCs w:val="18"/>
                <w:color w:val="auto"/>
              </w:rPr>
            </w:pPr>
          </w:p>
        </w:tc>
        <w:tc>
          <w:tcPr>
            <w:tcW w:w="14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774</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Network Merchants, Inc.—Revolver</w:t>
            </w: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780</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PayLease, LLC—Revolver</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3,333</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PaySimple—Revolver</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Rex Energy Corporation—Delayed Draw</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11,050</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Riskonnect, Inc.—Revolver</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Sailpoint Technologies, Inc.—Revolver</w:t>
            </w:r>
          </w:p>
        </w:tc>
        <w:tc>
          <w:tcPr>
            <w:tcW w:w="180" w:type="dxa"/>
            <w:vAlign w:val="bottom"/>
          </w:tcPr>
          <w:p>
            <w:pPr>
              <w:spacing w:after="0"/>
              <w:rPr>
                <w:sz w:val="18"/>
                <w:szCs w:val="18"/>
                <w:color w:val="auto"/>
              </w:rPr>
            </w:pPr>
          </w:p>
        </w:tc>
        <w:tc>
          <w:tcPr>
            <w:tcW w:w="14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1,200</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ScentAir Technologies, Inc.—Revolver</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750</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2,143</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Sovos Compliance, LLC—Delayed Draw</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3,030</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Sovos Compliance, LLC—Revolver</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1,657</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w:t>
            </w:r>
          </w:p>
        </w:tc>
      </w:tr>
      <w:tr>
        <w:trPr>
          <w:trHeight w:val="223"/>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Portfolio Company Commitments</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79,759</w:t>
            </w:r>
          </w:p>
        </w:tc>
        <w:tc>
          <w:tcPr>
            <w:tcW w:w="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43,795</w:t>
            </w:r>
          </w:p>
        </w:tc>
        <w:tc>
          <w:tcPr>
            <w:tcW w:w="6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Other Commitments and Contingencies</w:t>
      </w:r>
    </w:p>
    <w:p>
      <w:pPr>
        <w:spacing w:after="0" w:line="119" w:lineRule="exact"/>
        <w:rPr>
          <w:sz w:val="20"/>
          <w:szCs w:val="20"/>
          <w:color w:val="auto"/>
        </w:rPr>
      </w:pPr>
    </w:p>
    <w:p>
      <w:pPr>
        <w:ind w:left="200" w:right="280" w:firstLine="441"/>
        <w:spacing w:after="0" w:line="266" w:lineRule="auto"/>
        <w:rPr>
          <w:sz w:val="20"/>
          <w:szCs w:val="20"/>
          <w:color w:val="auto"/>
        </w:rPr>
      </w:pPr>
      <w:r>
        <w:rPr>
          <w:rFonts w:ascii="Times New Roman" w:cs="Times New Roman" w:eastAsia="Times New Roman" w:hAnsi="Times New Roman"/>
          <w:sz w:val="18"/>
          <w:szCs w:val="18"/>
          <w:color w:val="auto"/>
        </w:rPr>
        <w:t>As of December 31, 2017, the Company did not have any unfunded commitments to fund investments to new borrowers that were not current portfolio companies as of such date. As of December 31, 2016, the Company had additional unfunded commitments of $50.0 million to fund investments to new borrowers that were not current portfolio companies as of such date.</w:t>
      </w:r>
    </w:p>
    <w:p>
      <w:pPr>
        <w:spacing w:after="0" w:line="176" w:lineRule="exact"/>
        <w:rPr>
          <w:sz w:val="20"/>
          <w:szCs w:val="20"/>
          <w:color w:val="auto"/>
        </w:rPr>
      </w:pPr>
    </w:p>
    <w:p>
      <w:pPr>
        <w:ind w:left="200" w:right="780" w:firstLine="441"/>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become a party to certain legal proceedings incidental to the normal course of its business. As of December 31, 2017, management is not aware of any pending or threatened litigation.</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9. Net Assets</w:t>
      </w:r>
    </w:p>
    <w:p>
      <w:pPr>
        <w:spacing w:after="0" w:line="121"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In March 2016, the Company issued a total of 5,000,000 shares of common stock at $16.42 per share. Net of underwriting fees and offering costs, the Company received total cash proceeds of $78.3 million.</w:t>
      </w:r>
    </w:p>
    <w:p>
      <w:pPr>
        <w:spacing w:after="0" w:line="162" w:lineRule="exact"/>
        <w:rPr>
          <w:sz w:val="20"/>
          <w:szCs w:val="20"/>
          <w:color w:val="auto"/>
        </w:rPr>
      </w:pPr>
    </w:p>
    <w:p>
      <w:pPr>
        <w:ind w:left="200" w:right="160" w:firstLine="441"/>
        <w:spacing w:after="0" w:line="266" w:lineRule="auto"/>
        <w:rPr>
          <w:sz w:val="20"/>
          <w:szCs w:val="20"/>
          <w:color w:val="auto"/>
        </w:rPr>
      </w:pPr>
      <w:r>
        <w:rPr>
          <w:rFonts w:ascii="Times New Roman" w:cs="Times New Roman" w:eastAsia="Times New Roman" w:hAnsi="Times New Roman"/>
          <w:sz w:val="18"/>
          <w:szCs w:val="18"/>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w:t>
      </w:r>
    </w:p>
    <w:p>
      <w:pPr>
        <w:spacing w:after="0" w:line="10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40"/>
          </w:cols>
          <w:pgMar w:left="240" w:top="456" w:right="51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Times New Roman" w:cs="Times New Roman" w:eastAsia="Times New Roman" w:hAnsi="Times New Roman"/>
          <w:sz w:val="18"/>
          <w:szCs w:val="18"/>
          <w:color w:val="auto"/>
        </w:rPr>
        <w:t>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9" w:lineRule="exact"/>
        <w:rPr>
          <w:sz w:val="20"/>
          <w:szCs w:val="20"/>
          <w:color w:val="auto"/>
        </w:rPr>
      </w:pPr>
    </w:p>
    <w:p>
      <w:pPr>
        <w:jc w:val="both"/>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Pursuant to the Company’s dividend reinvestment plan, the following tables summarize the shares issued to stockholders who have not opted out of the Company’s dividend reinvestment plan during the year ended December 31, 2017 and 2016. All shares issued to stockholders in the tables below are newly issued shares.</w:t>
      </w:r>
    </w:p>
    <w:p>
      <w:pPr>
        <w:spacing w:after="0" w:line="18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00" w:type="dxa"/>
            <w:vAlign w:val="bottom"/>
            <w:tcBorders>
              <w:bottom w:val="single" w:sz="8" w:color="auto"/>
            </w:tcBorders>
            <w:gridSpan w:val="8"/>
          </w:tcPr>
          <w:p>
            <w:pPr>
              <w:ind w:left="120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00" w:type="dxa"/>
            <w:vAlign w:val="bottom"/>
          </w:tcPr>
          <w:p>
            <w:pPr>
              <w:spacing w:after="0"/>
              <w:rPr>
                <w:sz w:val="10"/>
                <w:szCs w:val="10"/>
                <w:color w:val="auto"/>
              </w:rPr>
            </w:pPr>
          </w:p>
        </w:tc>
        <w:tc>
          <w:tcPr>
            <w:tcW w:w="12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Dividend</w:t>
            </w:r>
            <w:r>
              <w:rPr>
                <w:rFonts w:ascii="Times New Roman" w:cs="Times New Roman" w:eastAsia="Times New Roman" w:hAnsi="Times New Roman"/>
                <w:sz w:val="12"/>
                <w:szCs w:val="12"/>
                <w:b w:val="1"/>
                <w:bCs w:val="1"/>
                <w:color w:val="auto"/>
              </w:rPr>
              <w:t>(1)</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60" w:type="dxa"/>
            <w:vAlign w:val="bottom"/>
            <w:gridSpan w:val="3"/>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Date</w:t>
            </w: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0" w:type="dxa"/>
            <w:vAlign w:val="bottom"/>
          </w:tcPr>
          <w:p>
            <w:pPr>
              <w:spacing w:after="0"/>
              <w:rPr>
                <w:sz w:val="1"/>
                <w:szCs w:val="1"/>
                <w:color w:val="auto"/>
              </w:rPr>
            </w:pPr>
          </w:p>
        </w:tc>
      </w:tr>
      <w:tr>
        <w:trPr>
          <w:trHeight w:val="173"/>
        </w:trPr>
        <w:tc>
          <w:tcPr>
            <w:tcW w:w="37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0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040" w:type="dxa"/>
            <w:vAlign w:val="bottom"/>
            <w:tcBorders>
              <w:top w:val="single" w:sz="8" w:color="auto"/>
            </w:tcBorders>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Base</w:t>
            </w: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400" w:type="dxa"/>
            <w:vAlign w:val="bottom"/>
            <w:tcBorders>
              <w:top w:val="single" w:sz="8" w:color="auto"/>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4"/>
              </w:rPr>
              <w:t>2016</w:t>
            </w: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600" w:type="dxa"/>
            <w:vAlign w:val="bottom"/>
            <w:tcBorders>
              <w:top w:val="single" w:sz="8" w:color="auto"/>
            </w:tcBorders>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February 1, 2017</w:t>
            </w: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122,836</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7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November 7, 2016</w:t>
            </w: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22, 2017</w:t>
            </w:r>
          </w:p>
        </w:tc>
        <w:tc>
          <w:tcPr>
            <w:tcW w:w="100" w:type="dxa"/>
            <w:vAlign w:val="bottom"/>
          </w:tcPr>
          <w:p>
            <w:pPr>
              <w:spacing w:after="0"/>
              <w:rPr>
                <w:sz w:val="18"/>
                <w:szCs w:val="18"/>
                <w:color w:val="auto"/>
              </w:rPr>
            </w:pP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Base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7,</w:t>
            </w: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2017</w:t>
            </w:r>
            <w:r>
              <w:rPr>
                <w:rFonts w:ascii="Times New Roman" w:cs="Times New Roman" w:eastAsia="Times New Roman" w:hAnsi="Times New Roman"/>
                <w:sz w:val="15"/>
                <w:szCs w:val="15"/>
                <w:color w:val="auto"/>
              </w:rPr>
              <w:t>(2)</w:t>
            </w:r>
          </w:p>
        </w:tc>
        <w:tc>
          <w:tcPr>
            <w:tcW w:w="60" w:type="dxa"/>
            <w:vAlign w:val="bottom"/>
          </w:tcPr>
          <w:p>
            <w:pPr>
              <w:spacing w:after="0"/>
              <w:rPr>
                <w:sz w:val="18"/>
                <w:szCs w:val="18"/>
                <w:color w:val="auto"/>
              </w:rPr>
            </w:pPr>
          </w:p>
        </w:tc>
        <w:tc>
          <w:tcPr>
            <w:tcW w:w="18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May 1, 2017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109,847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3, 2017</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Supplemental</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May 31,</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4"/>
              </w:rPr>
              <w:t>2017</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June 30, 2017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3, 2017</w:t>
            </w:r>
          </w:p>
        </w:tc>
        <w:tc>
          <w:tcPr>
            <w:tcW w:w="100" w:type="dxa"/>
            <w:vAlign w:val="bottom"/>
          </w:tcPr>
          <w:p>
            <w:pPr>
              <w:spacing w:after="0"/>
              <w:rPr>
                <w:sz w:val="18"/>
                <w:szCs w:val="18"/>
                <w:color w:val="auto"/>
              </w:rPr>
            </w:pP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Base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15,</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4"/>
              </w:rPr>
              <w:t>2017</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July 14, 2017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 2017</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Supplemental</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31,</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4"/>
              </w:rPr>
              <w:t>2017</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September 29, 2017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 2017</w:t>
            </w:r>
          </w:p>
        </w:tc>
        <w:tc>
          <w:tcPr>
            <w:tcW w:w="100" w:type="dxa"/>
            <w:vAlign w:val="bottom"/>
          </w:tcPr>
          <w:p>
            <w:pPr>
              <w:spacing w:after="0"/>
              <w:rPr>
                <w:sz w:val="18"/>
                <w:szCs w:val="18"/>
                <w:color w:val="auto"/>
              </w:rPr>
            </w:pP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Base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15,</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4"/>
              </w:rPr>
              <w:t>2017</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October 13, 2017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125,519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7, 2017</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Supplemental</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4"/>
              </w:rPr>
              <w:t>2017</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December 29, 2017</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Shares Issued</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530,996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760" w:type="dxa"/>
            <w:vAlign w:val="bottom"/>
            <w:gridSpan w:val="7"/>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760" w:type="dxa"/>
            <w:vAlign w:val="bottom"/>
            <w:gridSpan w:val="7"/>
            <w:vMerge w:val="continue"/>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00" w:type="dxa"/>
            <w:vAlign w:val="bottom"/>
          </w:tcPr>
          <w:p>
            <w:pPr>
              <w:spacing w:after="0"/>
              <w:rPr>
                <w:sz w:val="10"/>
                <w:szCs w:val="10"/>
                <w:color w:val="auto"/>
              </w:rPr>
            </w:pPr>
          </w:p>
        </w:tc>
        <w:tc>
          <w:tcPr>
            <w:tcW w:w="12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Dividend</w:t>
            </w:r>
            <w:r>
              <w:rPr>
                <w:rFonts w:ascii="Times New Roman" w:cs="Times New Roman" w:eastAsia="Times New Roman" w:hAnsi="Times New Roman"/>
                <w:sz w:val="12"/>
                <w:szCs w:val="12"/>
                <w:b w:val="1"/>
                <w:bCs w:val="1"/>
                <w:color w:val="auto"/>
              </w:rPr>
              <w:t>(1)</w:t>
            </w:r>
          </w:p>
        </w:tc>
        <w:tc>
          <w:tcPr>
            <w:tcW w:w="124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60" w:type="dxa"/>
            <w:vAlign w:val="bottom"/>
            <w:gridSpan w:val="3"/>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Date</w:t>
            </w:r>
          </w:p>
        </w:tc>
        <w:tc>
          <w:tcPr>
            <w:tcW w:w="60" w:type="dxa"/>
            <w:vAlign w:val="bottom"/>
          </w:tcPr>
          <w:p>
            <w:pPr>
              <w:spacing w:after="0"/>
              <w:rPr>
                <w:sz w:val="10"/>
                <w:szCs w:val="10"/>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0" w:type="dxa"/>
            <w:vAlign w:val="bottom"/>
          </w:tcPr>
          <w:p>
            <w:pPr>
              <w:spacing w:after="0"/>
              <w:rPr>
                <w:sz w:val="1"/>
                <w:szCs w:val="1"/>
                <w:color w:val="auto"/>
              </w:rPr>
            </w:pPr>
          </w:p>
        </w:tc>
      </w:tr>
      <w:tr>
        <w:trPr>
          <w:trHeight w:val="173"/>
        </w:trPr>
        <w:tc>
          <w:tcPr>
            <w:tcW w:w="37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7"/>
              </w:rPr>
              <w:t>Base</w:t>
            </w:r>
          </w:p>
        </w:tc>
        <w:tc>
          <w:tcPr>
            <w:tcW w:w="560" w:type="dxa"/>
            <w:vAlign w:val="bottom"/>
            <w:tcBorders>
              <w:top w:val="single" w:sz="8" w:color="CCEEFF"/>
            </w:tcBorders>
            <w:gridSpan w:val="2"/>
            <w:shd w:val="clear" w:color="auto" w:fill="CCEEFF"/>
          </w:tcPr>
          <w:p>
            <w:pPr>
              <w:spacing w:after="0" w:line="20" w:lineRule="exact"/>
              <w:rPr>
                <w:sz w:val="1"/>
                <w:szCs w:val="1"/>
                <w:color w:val="auto"/>
              </w:rPr>
            </w:pPr>
          </w:p>
        </w:tc>
        <w:tc>
          <w:tcPr>
            <w:tcW w:w="152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December 31, 2015</w:t>
            </w:r>
          </w:p>
        </w:tc>
        <w:tc>
          <w:tcPr>
            <w:tcW w:w="560" w:type="dxa"/>
            <w:vAlign w:val="bottom"/>
            <w:tcBorders>
              <w:top w:val="single" w:sz="8" w:color="CCEEFF"/>
            </w:tcBorders>
            <w:gridSpan w:val="2"/>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1, 2016</w:t>
            </w:r>
          </w:p>
        </w:tc>
        <w:tc>
          <w:tcPr>
            <w:tcW w:w="500" w:type="dxa"/>
            <w:vAlign w:val="bottom"/>
            <w:tcBorders>
              <w:top w:val="single" w:sz="8" w:color="CCEEFF"/>
            </w:tcBorders>
            <w:gridSpan w:val="2"/>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147,809</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7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November 3, 2015</w:t>
            </w: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24, 2016</w:t>
            </w:r>
          </w:p>
        </w:tc>
        <w:tc>
          <w:tcPr>
            <w:tcW w:w="100" w:type="dxa"/>
            <w:vAlign w:val="bottom"/>
          </w:tcPr>
          <w:p>
            <w:pPr>
              <w:spacing w:after="0"/>
              <w:rPr>
                <w:sz w:val="18"/>
                <w:szCs w:val="18"/>
                <w:color w:val="auto"/>
              </w:rPr>
            </w:pPr>
          </w:p>
        </w:tc>
        <w:tc>
          <w:tcPr>
            <w:tcW w:w="1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Base</w:t>
            </w:r>
          </w:p>
        </w:tc>
        <w:tc>
          <w:tcPr>
            <w:tcW w:w="21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color w:val="auto"/>
              </w:rPr>
              <w:t>March 31, 2016</w:t>
            </w:r>
          </w:p>
        </w:tc>
        <w:tc>
          <w:tcPr>
            <w:tcW w:w="18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May 2, 2016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186,204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4, 2016</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Base</w:t>
            </w:r>
          </w:p>
        </w:tc>
        <w:tc>
          <w:tcPr>
            <w:tcW w:w="2140" w:type="dxa"/>
            <w:vAlign w:val="bottom"/>
            <w:gridSpan w:val="5"/>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June 30, 2016</w:t>
            </w:r>
          </w:p>
        </w:tc>
        <w:tc>
          <w:tcPr>
            <w:tcW w:w="18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August 1, 2016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3, 2016</w:t>
            </w:r>
          </w:p>
        </w:tc>
        <w:tc>
          <w:tcPr>
            <w:tcW w:w="100" w:type="dxa"/>
            <w:vAlign w:val="bottom"/>
          </w:tcPr>
          <w:p>
            <w:pPr>
              <w:spacing w:after="0"/>
              <w:rPr>
                <w:sz w:val="19"/>
                <w:szCs w:val="19"/>
                <w:color w:val="auto"/>
              </w:rPr>
            </w:pPr>
          </w:p>
        </w:tc>
        <w:tc>
          <w:tcPr>
            <w:tcW w:w="1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Base</w:t>
            </w:r>
          </w:p>
        </w:tc>
        <w:tc>
          <w:tcPr>
            <w:tcW w:w="21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color w:val="auto"/>
              </w:rPr>
              <w:t>September 30, 2016</w:t>
            </w:r>
          </w:p>
        </w:tc>
        <w:tc>
          <w:tcPr>
            <w:tcW w:w="18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w w:val="99"/>
              </w:rPr>
              <w:t>November 1, 2016</w:t>
            </w:r>
          </w:p>
        </w:tc>
        <w:tc>
          <w:tcPr>
            <w:tcW w:w="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Shares Issued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638,326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060" w:hanging="424"/>
        <w:spacing w:after="0"/>
        <w:tabs>
          <w:tab w:leader="none" w:pos="10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11 for further information on base and supplemental dividends.</w:t>
      </w:r>
    </w:p>
    <w:p>
      <w:pPr>
        <w:spacing w:after="0" w:line="27" w:lineRule="exact"/>
        <w:rPr>
          <w:rFonts w:ascii="Times New Roman" w:cs="Times New Roman" w:eastAsia="Times New Roman" w:hAnsi="Times New Roman"/>
          <w:sz w:val="18"/>
          <w:szCs w:val="18"/>
          <w:color w:val="auto"/>
        </w:rPr>
      </w:pPr>
    </w:p>
    <w:p>
      <w:pPr>
        <w:ind w:left="1060" w:right="140" w:hanging="424"/>
        <w:spacing w:after="0" w:line="254" w:lineRule="auto"/>
        <w:tabs>
          <w:tab w:leader="none" w:pos="10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declaration date, the record date for the dividend declared on February 22, 2017 was moved from its original date of March 31, 2017 to a revised date of April 7, 2017 in order to ensure compliance with notification requirements promulgated by the NYSE. The dividend payable associated with this declaration was recognized in the Company’s consolidated balance sheet as of March 31, 2017. There was no change to the dividend amount or payment date.</w:t>
      </w:r>
    </w:p>
    <w:p>
      <w:pPr>
        <w:spacing w:after="0" w:line="186" w:lineRule="exact"/>
        <w:rPr>
          <w:sz w:val="20"/>
          <w:szCs w:val="20"/>
          <w:color w:val="auto"/>
        </w:rPr>
      </w:pPr>
    </w:p>
    <w:p>
      <w:pPr>
        <w:jc w:val="both"/>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On November 3, 2014, the Company’s Board approved a stock repurchase plan (the “Company 10b5-1 Plan”) to acquire up to $50 million in the aggregate of the Company’s common stock at prices just below the Company’s net asset value per share over a specified period, in accordance with the guidelines specified in Rule 10b-18 and Rule 10b5-1 of the Exchange Act.</w:t>
      </w:r>
    </w:p>
    <w:p>
      <w:pPr>
        <w:spacing w:after="0" w:line="176" w:lineRule="exact"/>
        <w:rPr>
          <w:sz w:val="20"/>
          <w:szCs w:val="20"/>
          <w:color w:val="auto"/>
        </w:rPr>
      </w:pPr>
    </w:p>
    <w:p>
      <w:pPr>
        <w:jc w:val="both"/>
        <w:ind w:left="200" w:right="40" w:firstLine="441"/>
        <w:spacing w:after="0" w:line="266" w:lineRule="auto"/>
        <w:rPr>
          <w:sz w:val="20"/>
          <w:szCs w:val="20"/>
          <w:color w:val="auto"/>
        </w:rPr>
      </w:pPr>
      <w:r>
        <w:rPr>
          <w:rFonts w:ascii="Times New Roman" w:cs="Times New Roman" w:eastAsia="Times New Roman" w:hAnsi="Times New Roman"/>
          <w:sz w:val="18"/>
          <w:szCs w:val="18"/>
          <w:color w:val="auto"/>
        </w:rPr>
        <w:t>The Company 10b5-1 Plan is designed to allow the Company to repurchase its common stock at times when it otherwise might be prevented from doing so under insider trading laws. The Company 10b5-1 Plan requires Goldman, Sachs &amp; Co., as agent, to repurchase shares of common stock on the Company’s behalf when the</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200"/>
          </w:cols>
          <w:pgMar w:left="240" w:top="455" w:right="45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8" w:lineRule="auto"/>
        <w:rPr>
          <w:sz w:val="20"/>
          <w:szCs w:val="20"/>
          <w:color w:val="auto"/>
        </w:rPr>
      </w:pPr>
      <w:r>
        <w:rPr>
          <w:rFonts w:ascii="Times New Roman" w:cs="Times New Roman" w:eastAsia="Times New Roman" w:hAnsi="Times New Roman"/>
          <w:sz w:val="18"/>
          <w:szCs w:val="18"/>
          <w:color w:val="auto"/>
        </w:rPr>
        <w:t>market price per share is below the most recently reported net asset value per share (including any updates, corrections or adjustments publicly announced by the Company to any previously announced net asset value per share). Under the Company 10b5-1 Plan, the agent will increase the volume of purchases made as the price of the Company’s common stock declines, subject to volume restrictions. The timing and amount of any stock repurchases depend on the terms and conditions of the Company 10b5-1 Plan, the market price of the common stock and trading volumes, and no assurance can be given that any particular amount of common stock will be repurchased.</w:t>
      </w:r>
    </w:p>
    <w:p>
      <w:pPr>
        <w:spacing w:after="0" w:line="184" w:lineRule="exact"/>
        <w:rPr>
          <w:sz w:val="20"/>
          <w:szCs w:val="20"/>
          <w:color w:val="auto"/>
        </w:rPr>
      </w:pPr>
    </w:p>
    <w:p>
      <w:pPr>
        <w:ind w:left="200" w:right="400" w:firstLine="441"/>
        <w:spacing w:after="0" w:line="313" w:lineRule="auto"/>
        <w:rPr>
          <w:sz w:val="20"/>
          <w:szCs w:val="20"/>
          <w:color w:val="auto"/>
        </w:rPr>
      </w:pPr>
      <w:r>
        <w:rPr>
          <w:rFonts w:ascii="Times New Roman" w:cs="Times New Roman" w:eastAsia="Times New Roman" w:hAnsi="Times New Roman"/>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38" w:lineRule="exact"/>
        <w:rPr>
          <w:sz w:val="20"/>
          <w:szCs w:val="20"/>
          <w:color w:val="auto"/>
        </w:rPr>
      </w:pPr>
    </w:p>
    <w:p>
      <w:pPr>
        <w:ind w:left="200" w:right="500" w:firstLine="441"/>
        <w:spacing w:after="0" w:line="266" w:lineRule="auto"/>
        <w:rPr>
          <w:sz w:val="20"/>
          <w:szCs w:val="20"/>
          <w:color w:val="auto"/>
        </w:rPr>
      </w:pPr>
      <w:r>
        <w:rPr>
          <w:rFonts w:ascii="Times New Roman" w:cs="Times New Roman" w:eastAsia="Times New Roman" w:hAnsi="Times New Roman"/>
          <w:sz w:val="18"/>
          <w:szCs w:val="18"/>
          <w:color w:val="auto"/>
        </w:rPr>
        <w:t>On February 21, 2018, the Board authorized the extension of the termination date of the Company 10b5-1 Plan to August 31, 2018. Unless extended or terminated by the Board, the Company 10b5-1 Plan will be in effect through the earlier of August 31, 2018 or such time as the current approved repurchase amount of up to $50 million has been fully utilized, subject to certain conditions.</w:t>
      </w:r>
    </w:p>
    <w:p>
      <w:pPr>
        <w:spacing w:after="0" w:line="176" w:lineRule="exact"/>
        <w:rPr>
          <w:sz w:val="20"/>
          <w:szCs w:val="20"/>
          <w:color w:val="auto"/>
        </w:rPr>
      </w:pPr>
    </w:p>
    <w:p>
      <w:pPr>
        <w:ind w:left="200" w:right="320" w:firstLine="441"/>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2017, no shares were repurchased under the Company 10b5-1 Plan. During the year ended December 31, 2016, the Company repurchased 86,081 shares under the Company 10b5-1 Plan at a weighted average price per share of $15.44, inclusive of commissions, for a total cost of $1.3 million.</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common share:</w:t>
      </w: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2017</w:t>
            </w:r>
          </w:p>
        </w:tc>
        <w:tc>
          <w:tcPr>
            <w:tcW w:w="2040" w:type="dxa"/>
            <w:vAlign w:val="bottom"/>
            <w:gridSpan w:val="3"/>
          </w:tcPr>
          <w:p>
            <w:pPr>
              <w:ind w:left="86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2016</w:t>
            </w:r>
          </w:p>
        </w:tc>
        <w:tc>
          <w:tcPr>
            <w:tcW w:w="20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2015</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1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111,609</w:t>
            </w:r>
          </w:p>
        </w:tc>
        <w:tc>
          <w:tcPr>
            <w:tcW w:w="8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137,007</w:t>
            </w:r>
          </w:p>
        </w:tc>
        <w:tc>
          <w:tcPr>
            <w:tcW w:w="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63,568</w:t>
            </w:r>
          </w:p>
        </w:tc>
        <w:tc>
          <w:tcPr>
            <w:tcW w:w="60" w:type="dxa"/>
            <w:vAlign w:val="bottom"/>
            <w:tcBorders>
              <w:top w:val="single" w:sz="8" w:color="CCEEFF"/>
            </w:tcBorders>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4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of common stock</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8"/>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outstanding—basic and diluted</w:t>
            </w: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59,995,387</w:t>
            </w: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58,591,380</w:t>
            </w: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54,006,322</w:t>
            </w:r>
          </w:p>
        </w:tc>
        <w:tc>
          <w:tcPr>
            <w:tcW w:w="6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share—basic and diluted</w:t>
            </w:r>
          </w:p>
        </w:tc>
        <w:tc>
          <w:tcPr>
            <w:tcW w:w="14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6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200" w:right="40" w:firstLine="441"/>
        <w:spacing w:after="0" w:line="261" w:lineRule="auto"/>
        <w:rPr>
          <w:sz w:val="20"/>
          <w:szCs w:val="20"/>
          <w:color w:val="auto"/>
        </w:rPr>
      </w:pPr>
      <w:r>
        <w:rPr>
          <w:rFonts w:ascii="Times New Roman" w:cs="Times New Roman" w:eastAsia="Times New Roman" w:hAnsi="Times New Roman"/>
          <w:sz w:val="18"/>
          <w:szCs w:val="18"/>
          <w:color w:val="auto"/>
        </w:rPr>
        <w:t>For the purpose of calculating diluted earnings per common share, the average closing price of the Company’s common stock for the year ended December 31, 2017 was less than the conversion price for the 2019 and 2022 Convertible Senior Notes outstanding as of December 31, 2017. Therefore, for all periods presented in the financial statements, the underlying shares for the intrinsic value of the embedded options in the 2019 and 2022 Convertible Senior Notes have no impact on the computation of diluted earnings per common share.</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11. Dividends</w:t>
      </w:r>
    </w:p>
    <w:p>
      <w:pPr>
        <w:spacing w:after="0" w:line="121" w:lineRule="exact"/>
        <w:rPr>
          <w:sz w:val="20"/>
          <w:szCs w:val="20"/>
          <w:color w:val="auto"/>
        </w:rPr>
      </w:pPr>
    </w:p>
    <w:p>
      <w:pPr>
        <w:ind w:left="200" w:right="460" w:firstLine="441"/>
        <w:spacing w:after="0" w:line="266" w:lineRule="auto"/>
        <w:rPr>
          <w:sz w:val="20"/>
          <w:szCs w:val="20"/>
          <w:color w:val="auto"/>
        </w:rPr>
      </w:pPr>
      <w:r>
        <w:rPr>
          <w:rFonts w:ascii="Times New Roman" w:cs="Times New Roman" w:eastAsia="Times New Roman" w:hAnsi="Times New Roman"/>
          <w:sz w:val="18"/>
          <w:szCs w:val="18"/>
          <w:color w:val="auto"/>
        </w:rPr>
        <w:t>The Company has historically paid a dividend to stockholders on a quarterly basis. Following the completion of the quarter ended March 31, 2017, the Company introduced a dividend framework that provides for a quarterly base dividend and a variable supplemental dividend, subject to satisfaction of certain measurement tests and the approval of the Board.</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240"/>
          </w:cols>
          <w:pgMar w:left="240" w:top="456" w:right="41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tables summarize dividends declared during the years ended December 31, 2017 and 2016:</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40" w:type="dxa"/>
            <w:vAlign w:val="bottom"/>
            <w:gridSpan w:val="2"/>
          </w:tcPr>
          <w:p>
            <w:pPr>
              <w:jc w:val="center"/>
              <w:ind w:right="129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0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center"/>
              <w:ind w:right="933"/>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4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80" w:type="dxa"/>
            <w:vAlign w:val="bottom"/>
            <w:gridSpan w:val="2"/>
            <w:vMerge w:val="continue"/>
          </w:tcPr>
          <w:p>
            <w:pPr>
              <w:spacing w:after="0"/>
              <w:rPr>
                <w:sz w:val="12"/>
                <w:szCs w:val="12"/>
                <w:color w:val="auto"/>
              </w:rPr>
            </w:pPr>
          </w:p>
        </w:tc>
        <w:tc>
          <w:tcPr>
            <w:tcW w:w="1500" w:type="dxa"/>
            <w:vAlign w:val="bottom"/>
            <w:gridSpan w:val="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Record Date</w:t>
            </w: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0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Payment Date</w:t>
            </w:r>
          </w:p>
        </w:tc>
        <w:tc>
          <w:tcPr>
            <w:tcW w:w="16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Dividend per Share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22, 2017</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Base</w:t>
            </w:r>
          </w:p>
        </w:tc>
        <w:tc>
          <w:tcPr>
            <w:tcW w:w="4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7,</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2017</w:t>
            </w:r>
          </w:p>
        </w:tc>
        <w:tc>
          <w:tcPr>
            <w:tcW w:w="640" w:type="dxa"/>
            <w:vAlign w:val="bottom"/>
            <w:tcBorders>
              <w:top w:val="single" w:sz="8" w:color="CCEEFF"/>
            </w:tcBorders>
            <w:shd w:val="clear" w:color="auto" w:fill="CCEEFF"/>
          </w:tcPr>
          <w:p>
            <w:pPr>
              <w:jc w:val="right"/>
              <w:ind w:right="387"/>
              <w:spacing w:after="0"/>
              <w:rPr>
                <w:sz w:val="20"/>
                <w:szCs w:val="20"/>
                <w:color w:val="auto"/>
              </w:rPr>
            </w:pPr>
            <w:r>
              <w:rPr>
                <w:rFonts w:ascii="Times New Roman" w:cs="Times New Roman" w:eastAsia="Times New Roman" w:hAnsi="Times New Roman"/>
                <w:sz w:val="15"/>
                <w:szCs w:val="15"/>
                <w:color w:val="auto"/>
                <w:w w:val="91"/>
              </w:rPr>
              <w:t>(1)</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28, 2017</w:t>
            </w:r>
          </w:p>
        </w:tc>
        <w:tc>
          <w:tcPr>
            <w:tcW w:w="4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May 3, 2017</w:t>
            </w: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Supplemental</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31,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2017</w:t>
            </w:r>
          </w:p>
        </w:tc>
        <w:tc>
          <w:tcPr>
            <w:tcW w:w="6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2017</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3, 2017</w:t>
            </w:r>
          </w:p>
        </w:tc>
        <w:tc>
          <w:tcPr>
            <w:tcW w:w="15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Base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June 15,</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2017</w:t>
            </w:r>
          </w:p>
        </w:tc>
        <w:tc>
          <w:tcPr>
            <w:tcW w:w="6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July 14, 2017</w:t>
            </w: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August 2, 2017</w:t>
            </w: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Supplemental</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31,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2017</w:t>
            </w:r>
          </w:p>
        </w:tc>
        <w:tc>
          <w:tcPr>
            <w:tcW w:w="6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29, 2017</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 2017</w:t>
            </w:r>
          </w:p>
        </w:tc>
        <w:tc>
          <w:tcPr>
            <w:tcW w:w="15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Base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September 15,</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2017</w:t>
            </w:r>
          </w:p>
        </w:tc>
        <w:tc>
          <w:tcPr>
            <w:tcW w:w="6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October 13, 2017</w:t>
            </w: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November 7, 2017</w:t>
            </w: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Supplemental</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2017</w:t>
            </w:r>
          </w:p>
        </w:tc>
        <w:tc>
          <w:tcPr>
            <w:tcW w:w="6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29, 2017</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7, 2017</w:t>
            </w:r>
          </w:p>
        </w:tc>
        <w:tc>
          <w:tcPr>
            <w:tcW w:w="15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Base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December 15,</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2017</w:t>
            </w:r>
          </w:p>
        </w:tc>
        <w:tc>
          <w:tcPr>
            <w:tcW w:w="6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12, 2018</w:t>
            </w:r>
          </w:p>
        </w:tc>
        <w:tc>
          <w:tcPr>
            <w:tcW w:w="4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40" w:type="dxa"/>
            <w:vAlign w:val="bottom"/>
            <w:gridSpan w:val="2"/>
          </w:tcPr>
          <w:p>
            <w:pPr>
              <w:jc w:val="center"/>
              <w:ind w:right="129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0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center"/>
              <w:ind w:right="933"/>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4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80" w:type="dxa"/>
            <w:vAlign w:val="bottom"/>
            <w:gridSpan w:val="2"/>
            <w:vMerge w:val="continue"/>
          </w:tcPr>
          <w:p>
            <w:pPr>
              <w:spacing w:after="0"/>
              <w:rPr>
                <w:sz w:val="12"/>
                <w:szCs w:val="12"/>
                <w:color w:val="auto"/>
              </w:rPr>
            </w:pPr>
          </w:p>
        </w:tc>
        <w:tc>
          <w:tcPr>
            <w:tcW w:w="1500" w:type="dxa"/>
            <w:vAlign w:val="bottom"/>
            <w:gridSpan w:val="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Record Date</w:t>
            </w: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0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Payment Date</w:t>
            </w:r>
          </w:p>
        </w:tc>
        <w:tc>
          <w:tcPr>
            <w:tcW w:w="16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Dividend per Share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24, 2016</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Base</w:t>
            </w:r>
          </w:p>
        </w:tc>
        <w:tc>
          <w:tcPr>
            <w:tcW w:w="4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2016</w:t>
            </w:r>
          </w:p>
        </w:tc>
        <w:tc>
          <w:tcPr>
            <w:tcW w:w="6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29, 2016</w:t>
            </w:r>
          </w:p>
        </w:tc>
        <w:tc>
          <w:tcPr>
            <w:tcW w:w="4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May 4, 2016</w:t>
            </w: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Base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2016</w:t>
            </w:r>
          </w:p>
        </w:tc>
        <w:tc>
          <w:tcPr>
            <w:tcW w:w="6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29, 2016</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3, 2016</w:t>
            </w:r>
          </w:p>
        </w:tc>
        <w:tc>
          <w:tcPr>
            <w:tcW w:w="15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Base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2016</w:t>
            </w:r>
          </w:p>
        </w:tc>
        <w:tc>
          <w:tcPr>
            <w:tcW w:w="6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October 31, 2016</w:t>
            </w: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November 7, 2016</w:t>
            </w: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Base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2016</w:t>
            </w:r>
          </w:p>
        </w:tc>
        <w:tc>
          <w:tcPr>
            <w:tcW w:w="6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31, 2017</w:t>
            </w:r>
          </w:p>
        </w:tc>
        <w:tc>
          <w:tcPr>
            <w:tcW w:w="4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640" w:right="120" w:hanging="436"/>
        <w:spacing w:after="0" w:line="261" w:lineRule="auto"/>
        <w:tabs>
          <w:tab w:leader="none" w:pos="6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declaration date, the record date for the dividend declared on February 22, 2017 was moved from its original date of March 31, 2017 to a revised date of April 7, 2017 in order to ensure compliance with notification requirements promulgated by the NYSE. The dividend payable associated with this declaration was recognized in the Company’s consolidated balance sheet as of March 31, 2017. There was no change to the dividend amount or payment date.</w:t>
      </w:r>
    </w:p>
    <w:p>
      <w:pPr>
        <w:spacing w:after="0" w:line="180" w:lineRule="exact"/>
        <w:rPr>
          <w:sz w:val="20"/>
          <w:szCs w:val="20"/>
          <w:color w:val="auto"/>
        </w:rPr>
      </w:pPr>
    </w:p>
    <w:p>
      <w:pPr>
        <w:ind w:left="200" w:right="180" w:firstLine="441"/>
        <w:spacing w:after="0" w:line="282" w:lineRule="auto"/>
        <w:rPr>
          <w:sz w:val="20"/>
          <w:szCs w:val="20"/>
          <w:color w:val="auto"/>
        </w:rPr>
      </w:pPr>
      <w:r>
        <w:rPr>
          <w:rFonts w:ascii="Times New Roman" w:cs="Times New Roman" w:eastAsia="Times New Roman" w:hAnsi="Times New Roman"/>
          <w:sz w:val="18"/>
          <w:szCs w:val="18"/>
          <w:color w:val="auto"/>
        </w:rPr>
        <w:t>The dividends declared during the years ended December 31, 2017 and December 31, 2016, were derived from net investment income and long-term capital gains, determined on a tax basis.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tax character of shareholder distributions attributable to the fiscal years ended December 31, 2017, 2016 and 2015 were as follows:</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6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60" w:type="dxa"/>
            <w:vAlign w:val="bottom"/>
          </w:tcPr>
          <w:p>
            <w:pPr>
              <w:spacing w:after="0"/>
              <w:rPr>
                <w:sz w:val="13"/>
                <w:szCs w:val="13"/>
                <w:color w:val="auto"/>
              </w:rPr>
            </w:pP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700" w:type="dxa"/>
            <w:vAlign w:val="bottom"/>
            <w:gridSpan w:val="3"/>
          </w:tcPr>
          <w:p>
            <w:pPr>
              <w:ind w:left="28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500" w:type="dxa"/>
            <w:vAlign w:val="bottom"/>
            <w:gridSpan w:val="3"/>
          </w:tcPr>
          <w:p>
            <w:pPr>
              <w:ind w:left="6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560" w:type="dxa"/>
            <w:vAlign w:val="bottom"/>
            <w:gridSpan w:val="4"/>
          </w:tcPr>
          <w:p>
            <w:pPr>
              <w:jc w:val="center"/>
              <w:ind w:left="499"/>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260" w:type="dxa"/>
            <w:vAlign w:val="bottom"/>
            <w:tcBorders>
              <w:bottom w:val="single" w:sz="8" w:color="CCEEFF"/>
            </w:tcBorders>
          </w:tcPr>
          <w:p>
            <w:pPr>
              <w:spacing w:after="0"/>
              <w:rPr>
                <w:sz w:val="15"/>
                <w:szCs w:val="15"/>
                <w:color w:val="auto"/>
              </w:rPr>
            </w:pPr>
          </w:p>
        </w:tc>
        <w:tc>
          <w:tcPr>
            <w:tcW w:w="28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6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6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Income</w:t>
            </w:r>
            <w:r>
              <w:rPr>
                <w:rFonts w:ascii="Times New Roman" w:cs="Times New Roman" w:eastAsia="Times New Roman" w:hAnsi="Times New Roman"/>
                <w:sz w:val="15"/>
                <w:szCs w:val="15"/>
                <w:color w:val="auto"/>
              </w:rPr>
              <w:t>(1)</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102,400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89,916</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Capital Gains</w:t>
            </w:r>
          </w:p>
        </w:tc>
        <w:tc>
          <w:tcPr>
            <w:tcW w:w="2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20" w:type="dxa"/>
            <w:vAlign w:val="bottom"/>
            <w:gridSpan w:val="2"/>
            <w:shd w:val="clear" w:color="auto" w:fill="CCEEFF"/>
          </w:tcPr>
          <w:p>
            <w:pPr>
              <w:ind w:left="28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105,051</w:t>
            </w:r>
          </w:p>
        </w:tc>
        <w:tc>
          <w:tcPr>
            <w:tcW w:w="8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92,794</w:t>
            </w:r>
          </w:p>
        </w:tc>
        <w:tc>
          <w:tcPr>
            <w:tcW w:w="8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84,298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ind w:left="640" w:right="240" w:hanging="436"/>
        <w:spacing w:after="0" w:line="282" w:lineRule="auto"/>
        <w:tabs>
          <w:tab w:leader="none" w:pos="6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2017, 2016 and 2015, 89.16%, 82.52%, and 83.04% of ordinary income qualified as interest related dividend which is exempt from U.S. withholding tax applicable to non-U.S. shareholders.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240"/>
          </w:cols>
          <w:pgMar w:left="240" w:top="456" w:right="41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82" w:lineRule="auto"/>
        <w:rPr>
          <w:sz w:val="20"/>
          <w:szCs w:val="20"/>
          <w:color w:val="auto"/>
        </w:rPr>
      </w:pPr>
      <w:r>
        <w:rPr>
          <w:rFonts w:ascii="Times New Roman" w:cs="Times New Roman" w:eastAsia="Times New Roman" w:hAnsi="Times New Roman"/>
          <w:sz w:val="18"/>
          <w:szCs w:val="18"/>
          <w:color w:val="auto"/>
        </w:rPr>
        <w:t>The following reconciles increase in net assets resulting from operations for the fiscal years ended December 31, 2017, 2016 and 2015, to taxable income at December 31, 2017, 2016 and 2015:</w:t>
      </w: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80" w:type="dxa"/>
            <w:vAlign w:val="bottom"/>
          </w:tcPr>
          <w:p>
            <w:pPr>
              <w:spacing w:after="0"/>
              <w:rPr>
                <w:sz w:val="13"/>
                <w:szCs w:val="13"/>
                <w:color w:val="auto"/>
              </w:rPr>
            </w:pPr>
          </w:p>
        </w:tc>
        <w:tc>
          <w:tcPr>
            <w:tcW w:w="116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80" w:type="dxa"/>
            <w:vAlign w:val="bottom"/>
          </w:tcPr>
          <w:p>
            <w:pPr>
              <w:spacing w:after="0"/>
              <w:rPr>
                <w:sz w:val="13"/>
                <w:szCs w:val="13"/>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9"/>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1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40" w:type="dxa"/>
            <w:vAlign w:val="bottom"/>
            <w:gridSpan w:val="4"/>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gridSpan w:val="4"/>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7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111,609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137,007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(gain) loss on investments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(5,295)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(29,802)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28,568</w:t>
            </w:r>
          </w:p>
        </w:tc>
        <w:tc>
          <w:tcPr>
            <w:tcW w:w="12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716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Other income (loss) for tax purposes, not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8"/>
        </w:trPr>
        <w:tc>
          <w:tcPr>
            <w:tcW w:w="20" w:type="dxa"/>
            <w:vAlign w:val="bottom"/>
          </w:tcPr>
          <w:p>
            <w:pPr>
              <w:spacing w:after="0"/>
              <w:rPr>
                <w:sz w:val="21"/>
                <w:szCs w:val="21"/>
                <w:color w:val="auto"/>
              </w:rPr>
            </w:pPr>
          </w:p>
        </w:tc>
        <w:tc>
          <w:tcPr>
            <w:tcW w:w="7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book</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(290)</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organization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expenses not currently deductible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book-tax differences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(2,930)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Taxable Income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112,024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106,134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96,067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Note: Taxable income is an estimate and is not fully determined until the Company’s tax return is filed.</w:t>
      </w:r>
    </w:p>
    <w:p>
      <w:pPr>
        <w:spacing w:after="0" w:line="225" w:lineRule="exact"/>
        <w:rPr>
          <w:sz w:val="20"/>
          <w:szCs w:val="20"/>
          <w:color w:val="auto"/>
        </w:rPr>
      </w:pPr>
    </w:p>
    <w:p>
      <w:pPr>
        <w:ind w:left="200" w:right="320" w:firstLine="441"/>
        <w:spacing w:after="0" w:line="266" w:lineRule="auto"/>
        <w:rPr>
          <w:sz w:val="20"/>
          <w:szCs w:val="20"/>
          <w:color w:val="auto"/>
        </w:rPr>
      </w:pPr>
      <w:r>
        <w:rPr>
          <w:rFonts w:ascii="Times New Roman" w:cs="Times New Roman" w:eastAsia="Times New Roman" w:hAnsi="Times New Roman"/>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76" w:lineRule="exact"/>
        <w:rPr>
          <w:sz w:val="20"/>
          <w:szCs w:val="20"/>
          <w:color w:val="auto"/>
        </w:rPr>
      </w:pPr>
    </w:p>
    <w:p>
      <w:pPr>
        <w:ind w:left="200" w:right="160" w:firstLine="441"/>
        <w:spacing w:after="0" w:line="258" w:lineRule="auto"/>
        <w:rPr>
          <w:sz w:val="20"/>
          <w:szCs w:val="20"/>
          <w:color w:val="auto"/>
        </w:rPr>
      </w:pPr>
      <w:r>
        <w:rPr>
          <w:rFonts w:ascii="Times New Roman" w:cs="Times New Roman" w:eastAsia="Times New Roman" w:hAnsi="Times New Roman"/>
          <w:sz w:val="18"/>
          <w:szCs w:val="18"/>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undistributed net investment income or undistributed net realized gains on investments, as appropriate. In addition, due to the Company’s differing fiscal, tax, and excise tax year ends, the best estimates available are recorded to the above accounts in the period that such differences arise or are identifiable.</w:t>
      </w:r>
    </w:p>
    <w:p>
      <w:pPr>
        <w:spacing w:after="0" w:line="184" w:lineRule="exact"/>
        <w:rPr>
          <w:sz w:val="20"/>
          <w:szCs w:val="20"/>
          <w:color w:val="auto"/>
        </w:rPr>
      </w:pPr>
    </w:p>
    <w:p>
      <w:pPr>
        <w:jc w:val="both"/>
        <w:ind w:left="200" w:right="280" w:firstLine="441"/>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2017, permanent differences were principally related to $11.7 million of recharacterization of prepayment penalties for tax purposes between ordinary income and capital gains, $2.1 million attributable to accrued U.S. federal excise taxes, and $0.2 million attributable to the foreign currency reclassifications.</w:t>
      </w:r>
    </w:p>
    <w:p>
      <w:pPr>
        <w:spacing w:after="0" w:line="176" w:lineRule="exact"/>
        <w:rPr>
          <w:sz w:val="20"/>
          <w:szCs w:val="20"/>
          <w:color w:val="auto"/>
        </w:rPr>
      </w:pPr>
    </w:p>
    <w:p>
      <w:pPr>
        <w:jc w:val="both"/>
        <w:ind w:left="200" w:right="80" w:firstLine="441"/>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2016, permanent differences were principally related to $2.3 million of recharacterization of income for tax purposes between ordinary income and capital gains, $1.8 million attributable to accrued U.S. federal excise taxes, $1.0 million of recharacterization of prepayment penalties for tax purposes between ordinary income and capital gains, and $0.4 million attributable to the foreign currency reclassifications.</w:t>
      </w:r>
    </w:p>
    <w:p>
      <w:pPr>
        <w:spacing w:after="0" w:line="176" w:lineRule="exact"/>
        <w:rPr>
          <w:sz w:val="20"/>
          <w:szCs w:val="20"/>
          <w:color w:val="auto"/>
        </w:rPr>
      </w:pPr>
    </w:p>
    <w:p>
      <w:pPr>
        <w:jc w:val="both"/>
        <w:ind w:left="200" w:right="260" w:firstLine="441"/>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2015, permanent differences were principally related to $13.8 million of recharacterization of prepayment penalties for tax purposes between ordinary income and capital gains, $1.2 million attributable to accrued U.S. federal excise taxes, and $0.1 million attributable to the foreign currency reclassifications.</w:t>
      </w:r>
    </w:p>
    <w:p>
      <w:pPr>
        <w:spacing w:after="0" w:line="176"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The Company’s wholly-owned subsidiary, TSL MR, LLC, is a taxable subsidiary in which the Company holds certain equity investments. TSL MR, LLC is not consolidated for U.S. federal income tax purposes and may generate income tax expense as a result of its ownership of certain portfolio companies. The income tax expense, or benefit, and the related tax assets and liabilities, if any, are reflected in our Statement of Operations. As a result of the Tax Reform, the corporate tax rate of TSL, MR, LLC will be 21% as of January 1, 2018.</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240"/>
          </w:cols>
          <w:pgMar w:left="240" w:top="455" w:right="41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December 31, 2017, the Company had a deferred tax asset of $2.9 million pertaining to operating losses, related to one of its investments.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Given the losses generated by the entity, the deferred tax asset has been offset by a valuation allowance of $2.9 million.</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December 31, 2016, the Company had a deferred tax asset of $3.1 million pertaining to operating losses, related to one of its investments.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Given the losses generated by the entity, the deferred tax asset has been offset by a valuation allowance of $3.1 million.</w:t>
      </w:r>
    </w:p>
    <w:p>
      <w:pPr>
        <w:spacing w:after="0" w:line="207"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As of December 31, 2015, the Company had a deferred tax asset of $1.5 million pertaining to unrealized depreciation and a $1.6 million deferred tax asset pertaining to operating losses, related to one of its investments. Given the losses generated by the entity, the deferred tax assets have been offset by valuation allowances of $1.5 million and $1.6 million for the deferred tax asset generated from unrealized depreciation and operating income, respectively.</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tax cost of the Company’s investments as of December 31, 2017 and 2016, approximates their amortized cost.</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13. Financial Highlights</w:t>
      </w:r>
    </w:p>
    <w:p>
      <w:pPr>
        <w:spacing w:after="0" w:line="121" w:lineRule="exact"/>
        <w:rPr>
          <w:sz w:val="20"/>
          <w:szCs w:val="20"/>
          <w:color w:val="auto"/>
        </w:rPr>
      </w:pPr>
    </w:p>
    <w:p>
      <w:pPr>
        <w:ind w:left="200" w:right="180" w:firstLine="441"/>
        <w:spacing w:after="0" w:line="282" w:lineRule="auto"/>
        <w:rPr>
          <w:sz w:val="20"/>
          <w:szCs w:val="20"/>
          <w:color w:val="auto"/>
        </w:rPr>
      </w:pPr>
      <w:r>
        <w:rPr>
          <w:rFonts w:ascii="Times New Roman" w:cs="Times New Roman" w:eastAsia="Times New Roman" w:hAnsi="Times New Roman"/>
          <w:sz w:val="18"/>
          <w:szCs w:val="18"/>
          <w:color w:val="auto"/>
        </w:rPr>
        <w:t>The following per share data and ratios have been derived from information provided in the consolidated financial statements. The following are the financial highlights for one share of common stock outstanding during the years ended December 31, 2017, 2016, 2015, 2014, and 2013.</w:t>
      </w:r>
    </w:p>
    <w:p>
      <w:pPr>
        <w:spacing w:after="0" w:line="191"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00" w:type="dxa"/>
            <w:vAlign w:val="bottom"/>
          </w:tcPr>
          <w:p>
            <w:pPr>
              <w:spacing w:after="0"/>
              <w:rPr>
                <w:sz w:val="17"/>
                <w:szCs w:val="17"/>
                <w:color w:val="auto"/>
              </w:rPr>
            </w:pPr>
          </w:p>
        </w:tc>
        <w:tc>
          <w:tcPr>
            <w:tcW w:w="128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00" w:type="dxa"/>
            <w:vAlign w:val="bottom"/>
          </w:tcPr>
          <w:p>
            <w:pPr>
              <w:spacing w:after="0"/>
              <w:rPr>
                <w:sz w:val="17"/>
                <w:szCs w:val="17"/>
                <w:color w:val="auto"/>
              </w:rPr>
            </w:pPr>
          </w:p>
        </w:tc>
        <w:tc>
          <w:tcPr>
            <w:tcW w:w="130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00" w:type="dxa"/>
            <w:vAlign w:val="bottom"/>
          </w:tcPr>
          <w:p>
            <w:pPr>
              <w:spacing w:after="0"/>
              <w:rPr>
                <w:sz w:val="17"/>
                <w:szCs w:val="17"/>
                <w:color w:val="auto"/>
              </w:rPr>
            </w:pPr>
          </w:p>
        </w:tc>
        <w:tc>
          <w:tcPr>
            <w:tcW w:w="130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00" w:type="dxa"/>
            <w:vAlign w:val="bottom"/>
          </w:tcPr>
          <w:p>
            <w:pPr>
              <w:spacing w:after="0"/>
              <w:rPr>
                <w:sz w:val="17"/>
                <w:szCs w:val="17"/>
                <w:color w:val="auto"/>
              </w:rPr>
            </w:pPr>
          </w:p>
        </w:tc>
        <w:tc>
          <w:tcPr>
            <w:tcW w:w="130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940" w:type="dxa"/>
            <w:vAlign w:val="bottom"/>
            <w:gridSpan w:val="4"/>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8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0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0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0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20" w:type="dxa"/>
            <w:vAlign w:val="bottom"/>
          </w:tcPr>
          <w:p>
            <w:pPr>
              <w:spacing w:after="0"/>
              <w:rPr>
                <w:sz w:val="18"/>
                <w:szCs w:val="18"/>
                <w:color w:val="auto"/>
              </w:rPr>
            </w:pPr>
          </w:p>
        </w:tc>
        <w:tc>
          <w:tcPr>
            <w:tcW w:w="31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2016</w:t>
            </w: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2015</w:t>
            </w: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2014</w:t>
            </w: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2013</w:t>
            </w:r>
          </w:p>
        </w:tc>
        <w:tc>
          <w:tcPr>
            <w:tcW w:w="340" w:type="dxa"/>
            <w:vAlign w:val="bottom"/>
            <w:tcBorders>
              <w:bottom w:val="single" w:sz="8" w:color="CCEEFF"/>
            </w:tcBorders>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31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3"/>
                <w:szCs w:val="13"/>
                <w:b w:val="1"/>
                <w:bCs w:val="1"/>
                <w:color w:val="auto"/>
              </w:rPr>
              <w:t xml:space="preserve">Per Share Data </w:t>
            </w:r>
            <w:r>
              <w:rPr>
                <w:rFonts w:ascii="Times New Roman" w:cs="Times New Roman" w:eastAsia="Times New Roman" w:hAnsi="Times New Roman"/>
                <w:sz w:val="21"/>
                <w:szCs w:val="21"/>
                <w:b w:val="1"/>
                <w:bCs w:val="1"/>
                <w:color w:val="auto"/>
                <w:vertAlign w:val="superscript"/>
              </w:rPr>
              <w:t>(6)</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Net asset value, beginning of period</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340" w:type="dxa"/>
            <w:vAlign w:val="bottom"/>
          </w:tcPr>
          <w:p>
            <w:pPr>
              <w:spacing w:after="0"/>
              <w:rPr>
                <w:sz w:val="17"/>
                <w:szCs w:val="17"/>
                <w:color w:val="auto"/>
              </w:rPr>
            </w:pP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15.15</w:t>
            </w:r>
          </w:p>
        </w:tc>
        <w:tc>
          <w:tcPr>
            <w:tcW w:w="340" w:type="dxa"/>
            <w:vAlign w:val="bottom"/>
          </w:tcPr>
          <w:p>
            <w:pPr>
              <w:spacing w:after="0"/>
              <w:rPr>
                <w:sz w:val="17"/>
                <w:szCs w:val="17"/>
                <w:color w:val="auto"/>
              </w:rPr>
            </w:pP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w:t>
            </w:r>
          </w:p>
        </w:tc>
        <w:tc>
          <w:tcPr>
            <w:tcW w:w="340" w:type="dxa"/>
            <w:vAlign w:val="bottom"/>
          </w:tcPr>
          <w:p>
            <w:pPr>
              <w:spacing w:after="0"/>
              <w:rPr>
                <w:sz w:val="17"/>
                <w:szCs w:val="17"/>
                <w:color w:val="auto"/>
              </w:rPr>
            </w:pP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w:t>
            </w:r>
          </w:p>
        </w:tc>
        <w:tc>
          <w:tcPr>
            <w:tcW w:w="340" w:type="dxa"/>
            <w:vAlign w:val="bottom"/>
          </w:tcPr>
          <w:p>
            <w:pPr>
              <w:spacing w:after="0"/>
              <w:rPr>
                <w:sz w:val="17"/>
                <w:szCs w:val="17"/>
                <w:color w:val="auto"/>
              </w:rPr>
            </w:pP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w:t>
            </w:r>
          </w:p>
        </w:tc>
        <w:tc>
          <w:tcPr>
            <w:tcW w:w="3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 xml:space="preserve">Net investment income </w:t>
            </w:r>
            <w:r>
              <w:rPr>
                <w:rFonts w:ascii="Times New Roman" w:cs="Times New Roman" w:eastAsia="Times New Roman" w:hAnsi="Times New Roman"/>
                <w:sz w:val="23"/>
                <w:szCs w:val="23"/>
                <w:color w:val="auto"/>
                <w:vertAlign w:val="superscript"/>
              </w:rPr>
              <w:t>(1)</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340" w:type="dxa"/>
            <w:vAlign w:val="bottom"/>
            <w:shd w:val="clear" w:color="auto" w:fill="CCEEFF"/>
          </w:tcPr>
          <w:p>
            <w:pPr>
              <w:spacing w:after="0"/>
              <w:rPr>
                <w:sz w:val="17"/>
                <w:szCs w:val="17"/>
                <w:color w:val="auto"/>
              </w:rPr>
            </w:pPr>
          </w:p>
        </w:tc>
      </w:tr>
      <w:tr>
        <w:trPr>
          <w:trHeight w:val="187"/>
        </w:trPr>
        <w:tc>
          <w:tcPr>
            <w:tcW w:w="20" w:type="dxa"/>
            <w:vAlign w:val="bottom"/>
          </w:tcPr>
          <w:p>
            <w:pPr>
              <w:spacing w:after="0"/>
              <w:rPr>
                <w:sz w:val="16"/>
                <w:szCs w:val="16"/>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Net realized and unrealized</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38"/>
        </w:trPr>
        <w:tc>
          <w:tcPr>
            <w:tcW w:w="3120" w:type="dxa"/>
            <w:vAlign w:val="bottom"/>
            <w:gridSpan w:val="2"/>
          </w:tcPr>
          <w:p>
            <w:pPr>
              <w:spacing w:after="0" w:line="231" w:lineRule="exact"/>
              <w:rPr>
                <w:sz w:val="20"/>
                <w:szCs w:val="20"/>
                <w:color w:val="auto"/>
              </w:rPr>
            </w:pPr>
            <w:r>
              <w:rPr>
                <w:rFonts w:ascii="Times New Roman" w:cs="Times New Roman" w:eastAsia="Times New Roman" w:hAnsi="Times New Roman"/>
                <w:sz w:val="16"/>
                <w:szCs w:val="16"/>
                <w:color w:val="auto"/>
              </w:rPr>
              <w:t xml:space="preserve">gain (loss) </w:t>
            </w:r>
            <w:r>
              <w:rPr>
                <w:rFonts w:ascii="Times New Roman" w:cs="Times New Roman" w:eastAsia="Times New Roman" w:hAnsi="Times New Roman"/>
                <w:sz w:val="26"/>
                <w:szCs w:val="26"/>
                <w:color w:val="auto"/>
                <w:vertAlign w:val="superscript"/>
              </w:rPr>
              <w:t>(1)</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(0.14)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0.51</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(0.58)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(0.33)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340" w:type="dxa"/>
            <w:vAlign w:val="bottom"/>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from operations</w:t>
            </w:r>
          </w:p>
        </w:tc>
        <w:tc>
          <w:tcPr>
            <w:tcW w:w="6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340" w:type="dxa"/>
            <w:vAlign w:val="bottom"/>
            <w:shd w:val="clear" w:color="auto" w:fill="CCEEFF"/>
          </w:tcPr>
          <w:p>
            <w:pPr>
              <w:spacing w:after="0"/>
              <w:rPr>
                <w:sz w:val="17"/>
                <w:szCs w:val="17"/>
                <w:color w:val="auto"/>
              </w:rPr>
            </w:pPr>
          </w:p>
        </w:tc>
      </w:tr>
      <w:tr>
        <w:trPr>
          <w:trHeight w:val="187"/>
        </w:trPr>
        <w:tc>
          <w:tcPr>
            <w:tcW w:w="20" w:type="dxa"/>
            <w:vAlign w:val="bottom"/>
          </w:tcPr>
          <w:p>
            <w:pPr>
              <w:spacing w:after="0"/>
              <w:rPr>
                <w:sz w:val="16"/>
                <w:szCs w:val="16"/>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net of</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31"/>
        </w:trPr>
        <w:tc>
          <w:tcPr>
            <w:tcW w:w="3120" w:type="dxa"/>
            <w:vAlign w:val="bottom"/>
            <w:gridSpan w:val="2"/>
          </w:tcPr>
          <w:p>
            <w:pPr>
              <w:spacing w:after="0" w:line="231" w:lineRule="exact"/>
              <w:rPr>
                <w:sz w:val="20"/>
                <w:szCs w:val="20"/>
                <w:color w:val="auto"/>
              </w:rPr>
            </w:pPr>
            <w:r>
              <w:rPr>
                <w:rFonts w:ascii="Times New Roman" w:cs="Times New Roman" w:eastAsia="Times New Roman" w:hAnsi="Times New Roman"/>
                <w:sz w:val="16"/>
                <w:szCs w:val="16"/>
                <w:color w:val="auto"/>
              </w:rPr>
              <w:t xml:space="preserve">offering costs </w:t>
            </w:r>
            <w:r>
              <w:rPr>
                <w:rFonts w:ascii="Times New Roman" w:cs="Times New Roman" w:eastAsia="Times New Roman" w:hAnsi="Times New Roman"/>
                <w:sz w:val="26"/>
                <w:szCs w:val="26"/>
                <w:color w:val="auto"/>
                <w:vertAlign w:val="superscript"/>
              </w:rPr>
              <w:t>(2)</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(0.20)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r>
      <w:tr>
        <w:trPr>
          <w:trHeight w:val="187"/>
        </w:trPr>
        <w:tc>
          <w:tcPr>
            <w:tcW w:w="20" w:type="dxa"/>
            <w:vAlign w:val="bottom"/>
          </w:tcPr>
          <w:p>
            <w:pPr>
              <w:spacing w:after="0"/>
              <w:rPr>
                <w:sz w:val="16"/>
                <w:szCs w:val="16"/>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declared from net</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r>
      <w:tr>
        <w:trPr>
          <w:trHeight w:val="231"/>
        </w:trPr>
        <w:tc>
          <w:tcPr>
            <w:tcW w:w="20" w:type="dxa"/>
            <w:vAlign w:val="bottom"/>
          </w:tcPr>
          <w:p>
            <w:pPr>
              <w:spacing w:after="0"/>
              <w:rPr>
                <w:sz w:val="20"/>
                <w:szCs w:val="20"/>
                <w:color w:val="auto"/>
              </w:rPr>
            </w:pPr>
          </w:p>
        </w:tc>
        <w:tc>
          <w:tcPr>
            <w:tcW w:w="3100" w:type="dxa"/>
            <w:vAlign w:val="bottom"/>
            <w:shd w:val="clear" w:color="auto" w:fill="CCEEFF"/>
          </w:tcPr>
          <w:p>
            <w:pPr>
              <w:spacing w:after="0" w:line="231" w:lineRule="exact"/>
              <w:rPr>
                <w:sz w:val="20"/>
                <w:szCs w:val="20"/>
                <w:color w:val="auto"/>
              </w:rPr>
            </w:pPr>
            <w:r>
              <w:rPr>
                <w:rFonts w:ascii="Times New Roman" w:cs="Times New Roman" w:eastAsia="Times New Roman" w:hAnsi="Times New Roman"/>
                <w:sz w:val="16"/>
                <w:szCs w:val="16"/>
                <w:color w:val="auto"/>
              </w:rPr>
              <w:t xml:space="preserve">investment income </w:t>
            </w:r>
            <w:r>
              <w:rPr>
                <w:rFonts w:ascii="Times New Roman" w:cs="Times New Roman" w:eastAsia="Times New Roman" w:hAnsi="Times New Roman"/>
                <w:sz w:val="26"/>
                <w:szCs w:val="26"/>
                <w:color w:val="auto"/>
                <w:vertAlign w:val="superscript"/>
              </w:rPr>
              <w:t>(2)</w:t>
            </w: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(1.53)</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(1.39)</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(1.15)</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(1.51)</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(1.36)</w:t>
            </w:r>
          </w:p>
        </w:tc>
      </w:tr>
      <w:tr>
        <w:trPr>
          <w:trHeight w:val="187"/>
        </w:trPr>
        <w:tc>
          <w:tcPr>
            <w:tcW w:w="20" w:type="dxa"/>
            <w:vAlign w:val="bottom"/>
          </w:tcPr>
          <w:p>
            <w:pPr>
              <w:spacing w:after="0"/>
              <w:rPr>
                <w:sz w:val="16"/>
                <w:szCs w:val="16"/>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Dividends declared from realized</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38"/>
        </w:trPr>
        <w:tc>
          <w:tcPr>
            <w:tcW w:w="3120" w:type="dxa"/>
            <w:vAlign w:val="bottom"/>
            <w:gridSpan w:val="2"/>
          </w:tcPr>
          <w:p>
            <w:pPr>
              <w:spacing w:after="0" w:line="231" w:lineRule="exact"/>
              <w:rPr>
                <w:sz w:val="20"/>
                <w:szCs w:val="20"/>
                <w:color w:val="auto"/>
              </w:rPr>
            </w:pPr>
            <w:r>
              <w:rPr>
                <w:rFonts w:ascii="Times New Roman" w:cs="Times New Roman" w:eastAsia="Times New Roman" w:hAnsi="Times New Roman"/>
                <w:sz w:val="16"/>
                <w:szCs w:val="16"/>
                <w:color w:val="auto"/>
              </w:rPr>
              <w:t xml:space="preserve">gains </w:t>
            </w:r>
            <w:r>
              <w:rPr>
                <w:rFonts w:ascii="Times New Roman" w:cs="Times New Roman" w:eastAsia="Times New Roman" w:hAnsi="Times New Roman"/>
                <w:sz w:val="26"/>
                <w:szCs w:val="26"/>
                <w:color w:val="auto"/>
                <w:vertAlign w:val="superscript"/>
              </w:rPr>
              <w:t>(2)</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(0.22)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(0.17)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(0.41)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(0.02)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(0.20)</w:t>
            </w:r>
          </w:p>
        </w:tc>
      </w:tr>
      <w:tr>
        <w:trPr>
          <w:trHeight w:val="189"/>
        </w:trPr>
        <w:tc>
          <w:tcPr>
            <w:tcW w:w="20" w:type="dxa"/>
            <w:vAlign w:val="bottom"/>
          </w:tcPr>
          <w:p>
            <w:pPr>
              <w:spacing w:after="0"/>
              <w:rPr>
                <w:sz w:val="16"/>
                <w:szCs w:val="16"/>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increase (decrease) in net</w:t>
            </w:r>
          </w:p>
        </w:tc>
        <w:tc>
          <w:tcPr>
            <w:tcW w:w="6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0.81</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(0.38)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340" w:type="dxa"/>
            <w:vAlign w:val="bottom"/>
            <w:shd w:val="clear" w:color="auto" w:fill="CCEEFF"/>
          </w:tcPr>
          <w:p>
            <w:pPr>
              <w:spacing w:after="0"/>
              <w:rPr>
                <w:sz w:val="19"/>
                <w:szCs w:val="19"/>
                <w:color w:val="auto"/>
              </w:rPr>
            </w:pPr>
          </w:p>
        </w:tc>
      </w:tr>
      <w:tr>
        <w:trPr>
          <w:trHeight w:val="217"/>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Asset Value, End of Period</w:t>
            </w:r>
          </w:p>
        </w:tc>
        <w:tc>
          <w:tcPr>
            <w:tcW w:w="6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15.52</w:t>
            </w:r>
          </w:p>
        </w:tc>
        <w:tc>
          <w:tcPr>
            <w:tcW w:w="340" w:type="dxa"/>
            <w:vAlign w:val="bottom"/>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 share market value at end of</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period</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3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3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3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tcPr>
          <w:p>
            <w:pPr>
              <w:spacing w:after="0"/>
              <w:rPr>
                <w:sz w:val="17"/>
                <w:szCs w:val="17"/>
                <w:color w:val="auto"/>
              </w:rPr>
            </w:pPr>
          </w:p>
        </w:tc>
        <w:tc>
          <w:tcPr>
            <w:tcW w:w="310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Total return based on market value </w:t>
            </w:r>
            <w:r>
              <w:rPr>
                <w:rFonts w:ascii="Times New Roman" w:cs="Times New Roman" w:eastAsia="Times New Roman" w:hAnsi="Times New Roman"/>
                <w:sz w:val="23"/>
                <w:szCs w:val="23"/>
                <w:color w:val="auto"/>
                <w:vertAlign w:val="superscript"/>
              </w:rPr>
              <w:t>(3)</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15.36%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24.78%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5.71%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14.69%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r>
      <w:tr>
        <w:trPr>
          <w:trHeight w:val="187"/>
        </w:trPr>
        <w:tc>
          <w:tcPr>
            <w:tcW w:w="20" w:type="dxa"/>
            <w:vAlign w:val="bottom"/>
          </w:tcPr>
          <w:p>
            <w:pPr>
              <w:spacing w:after="0"/>
              <w:rPr>
                <w:sz w:val="16"/>
                <w:szCs w:val="16"/>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return based on net asset</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r>
      <w:tr>
        <w:trPr>
          <w:trHeight w:val="231"/>
        </w:trPr>
        <w:tc>
          <w:tcPr>
            <w:tcW w:w="20" w:type="dxa"/>
            <w:vAlign w:val="bottom"/>
          </w:tcPr>
          <w:p>
            <w:pPr>
              <w:spacing w:after="0"/>
              <w:rPr>
                <w:sz w:val="20"/>
                <w:szCs w:val="20"/>
                <w:color w:val="auto"/>
              </w:rPr>
            </w:pPr>
          </w:p>
        </w:tc>
        <w:tc>
          <w:tcPr>
            <w:tcW w:w="3100" w:type="dxa"/>
            <w:vAlign w:val="bottom"/>
            <w:shd w:val="clear" w:color="auto" w:fill="CCEEFF"/>
          </w:tcPr>
          <w:p>
            <w:pPr>
              <w:spacing w:after="0" w:line="231" w:lineRule="exact"/>
              <w:rPr>
                <w:sz w:val="20"/>
                <w:szCs w:val="20"/>
                <w:color w:val="auto"/>
              </w:rPr>
            </w:pPr>
            <w:r>
              <w:rPr>
                <w:rFonts w:ascii="Times New Roman" w:cs="Times New Roman" w:eastAsia="Times New Roman" w:hAnsi="Times New Roman"/>
                <w:sz w:val="16"/>
                <w:szCs w:val="16"/>
                <w:color w:val="auto"/>
              </w:rPr>
              <w:t xml:space="preserve">value </w:t>
            </w:r>
            <w:r>
              <w:rPr>
                <w:rFonts w:ascii="Times New Roman" w:cs="Times New Roman" w:eastAsia="Times New Roman" w:hAnsi="Times New Roman"/>
                <w:sz w:val="26"/>
                <w:szCs w:val="26"/>
                <w:color w:val="auto"/>
                <w:vertAlign w:val="superscript"/>
              </w:rPr>
              <w:t>(4)</w:t>
            </w: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11.87%</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15.54%</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7.62%</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9.92%</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12.44%</w:t>
            </w: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Shares Outstanding, End of Period</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60,247,201</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59,716,205</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54,163,960</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53,797,358</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37,026,023</w:t>
            </w:r>
          </w:p>
        </w:tc>
        <w:tc>
          <w:tcPr>
            <w:tcW w:w="3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Ratios / Supplemental Data</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187"/>
        </w:trPr>
        <w:tc>
          <w:tcPr>
            <w:tcW w:w="20" w:type="dxa"/>
            <w:vAlign w:val="bottom"/>
          </w:tcPr>
          <w:p>
            <w:pPr>
              <w:spacing w:after="0"/>
              <w:rPr>
                <w:sz w:val="16"/>
                <w:szCs w:val="16"/>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Ratio of net expenses to average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31"/>
        </w:trPr>
        <w:tc>
          <w:tcPr>
            <w:tcW w:w="3120" w:type="dxa"/>
            <w:vAlign w:val="bottom"/>
            <w:gridSpan w:val="2"/>
          </w:tcPr>
          <w:p>
            <w:pPr>
              <w:spacing w:after="0" w:line="231" w:lineRule="exact"/>
              <w:rPr>
                <w:sz w:val="20"/>
                <w:szCs w:val="20"/>
                <w:color w:val="auto"/>
              </w:rPr>
            </w:pPr>
            <w:r>
              <w:rPr>
                <w:rFonts w:ascii="Times New Roman" w:cs="Times New Roman" w:eastAsia="Times New Roman" w:hAnsi="Times New Roman"/>
                <w:sz w:val="16"/>
                <w:szCs w:val="16"/>
                <w:color w:val="auto"/>
              </w:rPr>
              <w:t xml:space="preserve">net assets </w:t>
            </w:r>
            <w:r>
              <w:rPr>
                <w:rFonts w:ascii="Times New Roman" w:cs="Times New Roman" w:eastAsia="Times New Roman" w:hAnsi="Times New Roman"/>
                <w:sz w:val="26"/>
                <w:szCs w:val="26"/>
                <w:color w:val="auto"/>
                <w:vertAlign w:val="superscript"/>
              </w:rPr>
              <w:t>(5)</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9.41%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9.39%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9.31%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7.56%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6.60%</w:t>
            </w:r>
          </w:p>
        </w:tc>
      </w:tr>
      <w:tr>
        <w:trPr>
          <w:trHeight w:val="189"/>
        </w:trPr>
        <w:tc>
          <w:tcPr>
            <w:tcW w:w="20" w:type="dxa"/>
            <w:vAlign w:val="bottom"/>
          </w:tcPr>
          <w:p>
            <w:pPr>
              <w:spacing w:after="0"/>
              <w:rPr>
                <w:sz w:val="16"/>
                <w:szCs w:val="16"/>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Ratio of net investment income</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 average net assets</w:t>
            </w: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12.49%</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11.84%</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11.35%</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13.42%</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10.80%</w:t>
            </w: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Portfolio turnover</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62.81%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37.40%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34.51%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53.16%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26.97%</w:t>
            </w: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assets, end of period</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969,284</w:t>
            </w:r>
          </w:p>
        </w:tc>
        <w:tc>
          <w:tcPr>
            <w:tcW w:w="3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952,212</w:t>
            </w:r>
          </w:p>
        </w:tc>
        <w:tc>
          <w:tcPr>
            <w:tcW w:w="3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820,741</w:t>
            </w:r>
          </w:p>
        </w:tc>
        <w:tc>
          <w:tcPr>
            <w:tcW w:w="3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835,405</w:t>
            </w:r>
          </w:p>
        </w:tc>
        <w:tc>
          <w:tcPr>
            <w:tcW w:w="3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574,696</w:t>
            </w:r>
          </w:p>
        </w:tc>
        <w:tc>
          <w:tcPr>
            <w:tcW w:w="340" w:type="dxa"/>
            <w:vAlign w:val="bottom"/>
            <w:shd w:val="clear" w:color="auto" w:fill="CCEEFF"/>
          </w:tcPr>
          <w:p>
            <w:pPr>
              <w:spacing w:after="0"/>
              <w:rPr>
                <w:sz w:val="17"/>
                <w:szCs w:val="17"/>
                <w:color w:val="auto"/>
              </w:rPr>
            </w:pPr>
          </w:p>
        </w:tc>
      </w:tr>
    </w:tbl>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240"/>
          </w:cols>
          <w:pgMar w:left="240" w:top="456" w:right="41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tabs>
          <w:tab w:leader="none" w:pos="6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weighted average shares outstanding during the period.</w:t>
      </w:r>
    </w:p>
    <w:p>
      <w:pPr>
        <w:spacing w:after="0" w:line="27"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actual shares outstanding at the date of the relevant transactions.</w:t>
      </w:r>
    </w:p>
    <w:p>
      <w:pPr>
        <w:spacing w:after="0" w:line="9" w:lineRule="exact"/>
        <w:rPr>
          <w:rFonts w:ascii="Times New Roman" w:cs="Times New Roman" w:eastAsia="Times New Roman" w:hAnsi="Times New Roman"/>
          <w:sz w:val="18"/>
          <w:szCs w:val="18"/>
          <w:color w:val="auto"/>
        </w:rPr>
      </w:pPr>
    </w:p>
    <w:p>
      <w:pPr>
        <w:ind w:left="640" w:right="420" w:hanging="436"/>
        <w:spacing w:after="0" w:line="250" w:lineRule="auto"/>
        <w:tabs>
          <w:tab w:leader="none" w:pos="6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market value is calculated as the change in market value per share during the period plus declared dividends per share, divided by the beginning market value per share.</w:t>
      </w:r>
    </w:p>
    <w:p>
      <w:pPr>
        <w:ind w:left="640" w:right="180" w:hanging="436"/>
        <w:spacing w:after="0" w:line="250" w:lineRule="auto"/>
        <w:tabs>
          <w:tab w:leader="none" w:pos="6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net asset value is calculated as the change in net asset value per share during the period plus declared dividends per share, divided by the beginning net asset value per share.</w:t>
      </w:r>
    </w:p>
    <w:p>
      <w:pPr>
        <w:ind w:left="640" w:hanging="436"/>
        <w:spacing w:after="0" w:line="250" w:lineRule="auto"/>
        <w:tabs>
          <w:tab w:leader="none" w:pos="6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net expenses to average net assets in the table above reflects the Adviser’s waivers of its right to receive a portion of the Management Fee and Incentive Fees with respect to the Company’s ownership of shares of common stock of TICC Capital Corp. and Triangle Capital Corp. Excluding the effects of the waivers, the ratio of net expenses to average net assets would have been 9.42%, 9.43% and 9.33% for the years ended December 31, 2017, 2016 and 2015, respectively. For the years ended December 31, 2014 and 2013, the Company did not own any shares of common stock of TICC Capital Corp. or Triangle Capital Corp. For the years ended December 31, 2014 and 2013, the ratio of net expenses to average net assets in the table above reflects the Adviser’s waivers of its right to receive a portion of the Management Fee prior to the Company’s IPO. Excluding the effects of the waiver, the ratio of net expenses to average net assets would have been 7.88%, and 7.94% for the years ended December 31, 2014 and 2013, respectively.</w:t>
      </w:r>
    </w:p>
    <w:p>
      <w:pPr>
        <w:spacing w:after="0" w:line="3"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may not sum due to rounding.</w:t>
      </w:r>
    </w:p>
    <w:p>
      <w:pPr>
        <w:spacing w:after="0" w:line="3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14. Selected Quarterly Financial Data (Unaudited)</w:t>
      </w:r>
    </w:p>
    <w:p>
      <w:pPr>
        <w:spacing w:after="0" w:line="250"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4"/>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Q4</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4"/>
          </w:tcPr>
          <w:p>
            <w:pPr>
              <w:jc w:val="right"/>
              <w:ind w:right="680"/>
              <w:spacing w:after="0" w:line="142" w:lineRule="exact"/>
              <w:rPr>
                <w:sz w:val="20"/>
                <w:szCs w:val="20"/>
                <w:color w:val="auto"/>
              </w:rPr>
            </w:pPr>
            <w:r>
              <w:rPr>
                <w:rFonts w:ascii="Times New Roman" w:cs="Times New Roman" w:eastAsia="Times New Roman" w:hAnsi="Times New Roman"/>
                <w:sz w:val="14"/>
                <w:szCs w:val="14"/>
                <w:b w:val="1"/>
                <w:bCs w:val="1"/>
                <w:color w:val="auto"/>
              </w:rPr>
              <w:t>Q3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Q2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Q1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$48,825</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$52,305</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$58,819</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$50,948</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Net Expenses </w:t>
            </w:r>
            <w:r>
              <w:rPr>
                <w:rFonts w:ascii="Times New Roman" w:cs="Times New Roman" w:eastAsia="Times New Roman" w:hAnsi="Times New Roman"/>
                <w:sz w:val="15"/>
                <w:szCs w:val="15"/>
                <w:color w:val="auto"/>
              </w:rPr>
              <w:t>(1)</w:t>
            </w:r>
          </w:p>
        </w:tc>
        <w:tc>
          <w:tcPr>
            <w:tcW w:w="158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$21,946</w:t>
            </w:r>
          </w:p>
        </w:tc>
        <w:tc>
          <w:tcPr>
            <w:tcW w:w="120" w:type="dxa"/>
            <w:vAlign w:val="bottom"/>
          </w:tcPr>
          <w:p>
            <w:pPr>
              <w:spacing w:after="0"/>
              <w:rPr>
                <w:sz w:val="18"/>
                <w:szCs w:val="18"/>
                <w:color w:val="auto"/>
              </w:rPr>
            </w:pPr>
          </w:p>
        </w:tc>
        <w:tc>
          <w:tcPr>
            <w:tcW w:w="9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$21,376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$24,887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$22,429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58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$26,879</w:t>
            </w:r>
          </w:p>
        </w:tc>
        <w:tc>
          <w:tcPr>
            <w:tcW w:w="120" w:type="dxa"/>
            <w:vAlign w:val="bottom"/>
            <w:shd w:val="clear" w:color="auto" w:fill="CCEEFF"/>
          </w:tcPr>
          <w:p>
            <w:pPr>
              <w:spacing w:after="0"/>
              <w:rPr>
                <w:sz w:val="18"/>
                <w:szCs w:val="18"/>
                <w:color w:val="auto"/>
              </w:rPr>
            </w:pPr>
          </w:p>
        </w:tc>
        <w:tc>
          <w:tcPr>
            <w:tcW w:w="98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$30,929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$33,932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unrealized and realized losses</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(133)</w:t>
            </w:r>
          </w:p>
        </w:tc>
        <w:tc>
          <w:tcPr>
            <w:tcW w:w="1060" w:type="dxa"/>
            <w:vAlign w:val="bottom"/>
            <w:gridSpan w:val="7"/>
          </w:tcPr>
          <w:p>
            <w:pPr>
              <w:jc w:val="right"/>
              <w:ind w:right="40"/>
              <w:spacing w:after="0"/>
              <w:rPr>
                <w:sz w:val="20"/>
                <w:szCs w:val="20"/>
                <w:color w:val="auto"/>
              </w:rPr>
            </w:pPr>
            <w:r>
              <w:rPr>
                <w:rFonts w:ascii="Times New Roman" w:cs="Times New Roman" w:eastAsia="Times New Roman" w:hAnsi="Times New Roman"/>
                <w:sz w:val="18"/>
                <w:szCs w:val="18"/>
                <w:color w:val="auto"/>
              </w:rPr>
              <w:t>$ (6,170)</w:t>
            </w:r>
          </w:p>
        </w:tc>
        <w:tc>
          <w:tcPr>
            <w:tcW w:w="380" w:type="dxa"/>
            <w:vAlign w:val="bottom"/>
          </w:tcPr>
          <w:p>
            <w:pPr>
              <w:spacing w:after="0"/>
              <w:rPr>
                <w:sz w:val="18"/>
                <w:szCs w:val="18"/>
                <w:color w:val="auto"/>
              </w:rPr>
            </w:pPr>
          </w:p>
        </w:tc>
        <w:tc>
          <w:tcPr>
            <w:tcW w:w="90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w w:val="99"/>
              </w:rPr>
              <w:t>$ (2,106)</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158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$26,746</w:t>
            </w:r>
          </w:p>
        </w:tc>
        <w:tc>
          <w:tcPr>
            <w:tcW w:w="120" w:type="dxa"/>
            <w:vAlign w:val="bottom"/>
            <w:shd w:val="clear" w:color="auto" w:fill="CCEEFF"/>
          </w:tcPr>
          <w:p>
            <w:pPr>
              <w:spacing w:after="0"/>
              <w:rPr>
                <w:sz w:val="18"/>
                <w:szCs w:val="18"/>
                <w:color w:val="auto"/>
              </w:rPr>
            </w:pPr>
          </w:p>
        </w:tc>
        <w:tc>
          <w:tcPr>
            <w:tcW w:w="98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$24,759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$31,826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Share as of the End of the Quarter</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16.09</w:t>
            </w:r>
          </w:p>
        </w:tc>
        <w:tc>
          <w:tcPr>
            <w:tcW w:w="120" w:type="dxa"/>
            <w:vAlign w:val="bottom"/>
          </w:tcPr>
          <w:p>
            <w:pPr>
              <w:spacing w:after="0"/>
              <w:rPr>
                <w:sz w:val="20"/>
                <w:szCs w:val="20"/>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16.09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$ 16.15</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3"/>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Q4</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4"/>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Q3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Q2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Q1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49,708</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$53,917</w:t>
            </w:r>
          </w:p>
        </w:tc>
        <w:tc>
          <w:tcPr>
            <w:tcW w:w="3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$46,034</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$42,751</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Net Expenses </w:t>
            </w:r>
            <w:r>
              <w:rPr>
                <w:rFonts w:ascii="Times New Roman" w:cs="Times New Roman" w:eastAsia="Times New Roman" w:hAnsi="Times New Roman"/>
                <w:sz w:val="15"/>
                <w:szCs w:val="15"/>
                <w:color w:val="auto"/>
              </w:rPr>
              <w:t>(1)</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21,641</w:t>
            </w:r>
          </w:p>
        </w:tc>
        <w:tc>
          <w:tcPr>
            <w:tcW w:w="106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$23,346</w:t>
            </w:r>
          </w:p>
        </w:tc>
        <w:tc>
          <w:tcPr>
            <w:tcW w:w="380" w:type="dxa"/>
            <w:vAlign w:val="bottom"/>
          </w:tcPr>
          <w:p>
            <w:pPr>
              <w:spacing w:after="0"/>
              <w:rPr>
                <w:sz w:val="18"/>
                <w:szCs w:val="18"/>
                <w:color w:val="auto"/>
              </w:rPr>
            </w:pPr>
          </w:p>
        </w:tc>
        <w:tc>
          <w:tcPr>
            <w:tcW w:w="6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$20,531</w:t>
            </w:r>
          </w:p>
        </w:tc>
        <w:tc>
          <w:tcPr>
            <w:tcW w:w="24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$19,559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28,067</w:t>
            </w:r>
          </w:p>
        </w:tc>
        <w:tc>
          <w:tcPr>
            <w:tcW w:w="106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$30,571</w:t>
            </w:r>
          </w:p>
        </w:tc>
        <w:tc>
          <w:tcPr>
            <w:tcW w:w="3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$25,503</w:t>
            </w:r>
          </w:p>
        </w:tc>
        <w:tc>
          <w:tcPr>
            <w:tcW w:w="2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unrealized and realized gains (losses)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6,304</w:t>
            </w:r>
          </w:p>
        </w:tc>
        <w:tc>
          <w:tcPr>
            <w:tcW w:w="380" w:type="dxa"/>
            <w:vAlign w:val="bottom"/>
          </w:tcPr>
          <w:p>
            <w:pPr>
              <w:spacing w:after="0"/>
              <w:rPr>
                <w:sz w:val="18"/>
                <w:szCs w:val="18"/>
                <w:color w:val="auto"/>
              </w:rPr>
            </w:pPr>
          </w:p>
        </w:tc>
        <w:tc>
          <w:tcPr>
            <w:tcW w:w="6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$24,135</w:t>
            </w:r>
          </w:p>
        </w:tc>
        <w:tc>
          <w:tcPr>
            <w:tcW w:w="240" w:type="dxa"/>
            <w:vAlign w:val="bottom"/>
          </w:tcPr>
          <w:p>
            <w:pPr>
              <w:spacing w:after="0"/>
              <w:rPr>
                <w:sz w:val="18"/>
                <w:szCs w:val="18"/>
                <w:color w:val="auto"/>
              </w:rPr>
            </w:pPr>
          </w:p>
        </w:tc>
        <w:tc>
          <w:tcPr>
            <w:tcW w:w="8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(5,421)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32,723</w:t>
            </w:r>
          </w:p>
        </w:tc>
        <w:tc>
          <w:tcPr>
            <w:tcW w:w="106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$36,875</w:t>
            </w:r>
          </w:p>
        </w:tc>
        <w:tc>
          <w:tcPr>
            <w:tcW w:w="3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$49,638</w:t>
            </w:r>
          </w:p>
        </w:tc>
        <w:tc>
          <w:tcPr>
            <w:tcW w:w="2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Share as of the End of the Quarter</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15.78</w:t>
            </w:r>
          </w:p>
        </w:tc>
        <w:tc>
          <w:tcPr>
            <w:tcW w:w="380" w:type="dxa"/>
            <w:vAlign w:val="bottom"/>
          </w:tcPr>
          <w:p>
            <w:pPr>
              <w:spacing w:after="0"/>
              <w:rPr>
                <w:sz w:val="20"/>
                <w:szCs w:val="20"/>
                <w:color w:val="auto"/>
              </w:rPr>
            </w:pPr>
          </w:p>
        </w:tc>
        <w:tc>
          <w:tcPr>
            <w:tcW w:w="6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$ 15.55</w:t>
            </w:r>
          </w:p>
        </w:tc>
        <w:tc>
          <w:tcPr>
            <w:tcW w:w="24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3"/>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6"/>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Q4</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5"/>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Q3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Q2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Q1</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8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$ 43,559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$ 46,774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$45,352</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$37,730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Net Expenses </w:t>
            </w:r>
            <w:r>
              <w:rPr>
                <w:rFonts w:ascii="Times New Roman" w:cs="Times New Roman" w:eastAsia="Times New Roman" w:hAnsi="Times New Roman"/>
                <w:sz w:val="15"/>
                <w:szCs w:val="15"/>
                <w:color w:val="auto"/>
              </w:rPr>
              <w:t>(1)</w:t>
            </w:r>
          </w:p>
        </w:tc>
        <w:tc>
          <w:tcPr>
            <w:tcW w:w="1480" w:type="dxa"/>
            <w:vAlign w:val="bottom"/>
            <w:gridSpan w:val="6"/>
          </w:tcPr>
          <w:p>
            <w:pPr>
              <w:jc w:val="center"/>
              <w:ind w:left="730"/>
              <w:spacing w:after="0"/>
              <w:rPr>
                <w:sz w:val="20"/>
                <w:szCs w:val="20"/>
                <w:color w:val="auto"/>
              </w:rPr>
            </w:pPr>
            <w:r>
              <w:rPr>
                <w:rFonts w:ascii="Times New Roman" w:cs="Times New Roman" w:eastAsia="Times New Roman" w:hAnsi="Times New Roman"/>
                <w:sz w:val="18"/>
                <w:szCs w:val="18"/>
                <w:color w:val="auto"/>
              </w:rPr>
              <w:t>$ 19,916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$ 20,926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$20,332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$16,943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480" w:type="dxa"/>
            <w:vAlign w:val="bottom"/>
            <w:gridSpan w:val="6"/>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$ 23,643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$ 25,849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$25,020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$20,787</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unrealized and realized gains (losses)</w:t>
            </w:r>
          </w:p>
        </w:tc>
        <w:tc>
          <w:tcPr>
            <w:tcW w:w="1580" w:type="dxa"/>
            <w:vAlign w:val="bottom"/>
            <w:gridSpan w:val="7"/>
          </w:tcPr>
          <w:p>
            <w:pPr>
              <w:ind w:left="820"/>
              <w:spacing w:after="0"/>
              <w:rPr>
                <w:sz w:val="20"/>
                <w:szCs w:val="20"/>
                <w:color w:val="auto"/>
              </w:rPr>
            </w:pPr>
            <w:r>
              <w:rPr>
                <w:rFonts w:ascii="Times New Roman" w:cs="Times New Roman" w:eastAsia="Times New Roman" w:hAnsi="Times New Roman"/>
                <w:sz w:val="18"/>
                <w:szCs w:val="18"/>
                <w:color w:val="auto"/>
              </w:rPr>
              <w:t>$(27,985)</w:t>
            </w:r>
          </w:p>
        </w:tc>
        <w:tc>
          <w:tcPr>
            <w:tcW w:w="120" w:type="dxa"/>
            <w:vAlign w:val="bottom"/>
          </w:tcPr>
          <w:p>
            <w:pPr>
              <w:spacing w:after="0"/>
              <w:rPr>
                <w:sz w:val="18"/>
                <w:szCs w:val="18"/>
                <w:color w:val="auto"/>
              </w:rPr>
            </w:pPr>
          </w:p>
        </w:tc>
        <w:tc>
          <w:tcPr>
            <w:tcW w:w="1060" w:type="dxa"/>
            <w:vAlign w:val="bottom"/>
            <w:gridSpan w:val="7"/>
          </w:tcPr>
          <w:p>
            <w:pPr>
              <w:jc w:val="right"/>
              <w:ind w:right="60"/>
              <w:spacing w:after="0"/>
              <w:rPr>
                <w:sz w:val="20"/>
                <w:szCs w:val="20"/>
                <w:color w:val="auto"/>
              </w:rPr>
            </w:pPr>
            <w:r>
              <w:rPr>
                <w:rFonts w:ascii="Times New Roman" w:cs="Times New Roman" w:eastAsia="Times New Roman" w:hAnsi="Times New Roman"/>
                <w:sz w:val="18"/>
                <w:szCs w:val="18"/>
                <w:color w:val="auto"/>
              </w:rPr>
              <w:t>$(16,512)</w:t>
            </w:r>
          </w:p>
        </w:tc>
        <w:tc>
          <w:tcPr>
            <w:tcW w:w="380" w:type="dxa"/>
            <w:vAlign w:val="bottom"/>
          </w:tcPr>
          <w:p>
            <w:pPr>
              <w:spacing w:after="0"/>
              <w:rPr>
                <w:sz w:val="18"/>
                <w:szCs w:val="18"/>
                <w:color w:val="auto"/>
              </w:rPr>
            </w:pP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$ 9,085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3,681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Net Assets Resulting from Operations</w:t>
            </w:r>
          </w:p>
        </w:tc>
        <w:tc>
          <w:tcPr>
            <w:tcW w:w="1580" w:type="dxa"/>
            <w:vAlign w:val="bottom"/>
            <w:gridSpan w:val="7"/>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(4,342)</w:t>
            </w:r>
          </w:p>
        </w:tc>
        <w:tc>
          <w:tcPr>
            <w:tcW w:w="1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9,337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$34,105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$24,468</w:t>
            </w:r>
          </w:p>
        </w:tc>
        <w:tc>
          <w:tcPr>
            <w:tcW w:w="4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Share as of the End of the Quarter</w:t>
            </w:r>
          </w:p>
        </w:tc>
        <w:tc>
          <w:tcPr>
            <w:tcW w:w="9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15.15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15.62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$ 15.84</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15.60</w:t>
            </w:r>
          </w:p>
        </w:tc>
        <w:tc>
          <w:tcPr>
            <w:tcW w:w="40" w:type="dxa"/>
            <w:vAlign w:val="bottom"/>
          </w:tcPr>
          <w:p>
            <w:pPr>
              <w:spacing w:after="0"/>
              <w:rPr>
                <w:sz w:val="20"/>
                <w:szCs w:val="20"/>
                <w:color w:val="auto"/>
              </w:rPr>
            </w:pPr>
          </w:p>
        </w:tc>
      </w:tr>
    </w:tbl>
    <w:p>
      <w:pPr>
        <w:spacing w:after="0" w:line="85" w:lineRule="exact"/>
        <w:rPr>
          <w:sz w:val="20"/>
          <w:szCs w:val="20"/>
          <w:color w:val="auto"/>
        </w:rPr>
      </w:pPr>
    </w:p>
    <w:p>
      <w:pPr>
        <w:ind w:left="1060" w:hanging="424"/>
        <w:spacing w:after="0"/>
        <w:tabs>
          <w:tab w:leader="none" w:pos="10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expenses include income taxes, including excise taxes.</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40"/>
          </w:cols>
          <w:pgMar w:left="240" w:top="455" w:right="51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21"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In January 2018, the Company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the Company’s option at any time at par plus a “make whole” premium. Total proceeds from the issuance of the 2023 Notes, net of underwriting discounts and estimated offering costs, were approximately $147.1 million. The Company used the net proceeds of the 2023 Notes to repay outstanding indebtedness under the Revolving Credit Facility.</w:t>
      </w:r>
    </w:p>
    <w:p>
      <w:pPr>
        <w:spacing w:after="0" w:line="184" w:lineRule="exact"/>
        <w:rPr>
          <w:sz w:val="20"/>
          <w:szCs w:val="20"/>
          <w:color w:val="auto"/>
        </w:rPr>
      </w:pPr>
    </w:p>
    <w:p>
      <w:pPr>
        <w:ind w:left="200" w:right="22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offering, the Company entered into an interest rate swap to better align the interest rates of its liabilities with the Company’s investment portfolio, which consists of predominately floating rate loans. As a result of the swap, the Company’s effective interest rate on the 2023 Notes is three-month LIBOR plus 199 basis points. The swap transaction matures on January 22, 2023.</w:t>
      </w:r>
    </w:p>
    <w:p>
      <w:pPr>
        <w:spacing w:after="0" w:line="176" w:lineRule="exact"/>
        <w:rPr>
          <w:sz w:val="20"/>
          <w:szCs w:val="20"/>
          <w:color w:val="auto"/>
        </w:rPr>
      </w:pPr>
    </w:p>
    <w:p>
      <w:pPr>
        <w:ind w:left="200" w:right="40" w:firstLine="441"/>
        <w:spacing w:after="0" w:line="258" w:lineRule="auto"/>
        <w:rPr>
          <w:sz w:val="20"/>
          <w:szCs w:val="20"/>
          <w:color w:val="auto"/>
        </w:rPr>
      </w:pPr>
      <w:r>
        <w:rPr>
          <w:rFonts w:ascii="Times New Roman" w:cs="Times New Roman" w:eastAsia="Times New Roman" w:hAnsi="Times New Roman"/>
          <w:sz w:val="18"/>
          <w:szCs w:val="18"/>
          <w:color w:val="auto"/>
        </w:rPr>
        <w:t>On February 20, 2018, the Company entered into an amendment to the Revolving Credit Facility. Under the terms of the amendment, aggregate commitments under the facility were increased to $990 million. In addition, with respect to $895 million in commitments, amounts drawn under the facility bear interest at a rate of LIBOR plus a margin of either 1.75% or 1.875%, or the prime rate plus a margin of either 0.75% or 0.875%. With respect to $95 million in commitments, amounts drawn under the facility bear interest at a rate of LIBOR plus a margin of either 1.75% or 2.00%, or the prime rate plus a margin of either 0.75% or 1.00%.</w:t>
      </w:r>
    </w:p>
    <w:p>
      <w:pPr>
        <w:spacing w:after="0" w:line="184"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The maturity of the facility was also extended. With respect to $895 million in commitments, the revolving period ends in February 2022 and the stated maturity date is February 2023. For the remaining $95 million of commitments, the revolving period ends in either October 2019 or December 2020, and the stated maturity date is either October 2020 or December 2021. Under the terms of the Revolving Credit Facility, the Company may at any time determine to cancel the commitments that were not extended.</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220"/>
          </w:cols>
          <w:pgMar w:left="240" w:top="456" w:right="43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PART C</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25. Financial Statements and Exhibits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(1) Financial Statements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financial statements of TPG Specialty Lending, Inc. are provided in Part A of this Registration Statement:</w:t>
      </w:r>
    </w:p>
    <w:p>
      <w:pPr>
        <w:spacing w:after="0" w:line="2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Audited Consolidated Financial Statements</w:t>
      </w:r>
    </w:p>
    <w:tbl>
      <w:tblPr>
        <w:tblLayout w:type="fixed"/>
        <w:tblInd w:w="200" w:type="dxa"/>
        <w:tblCellMar>
          <w:top w:w="0" w:type="dxa"/>
          <w:left w:w="0" w:type="dxa"/>
          <w:bottom w:w="0" w:type="dxa"/>
          <w:right w:w="0" w:type="dxa"/>
        </w:tblCellMar>
      </w:tblPr>
      <w:tr>
        <w:trPr>
          <w:trHeight w:val="216"/>
        </w:trPr>
        <w:tc>
          <w:tcPr>
            <w:tcW w:w="9180" w:type="dxa"/>
            <w:vAlign w:val="bottom"/>
            <w:gridSpan w:val="8"/>
          </w:tcPr>
          <w:p>
            <w:pPr>
              <w:spacing w:after="0"/>
              <w:rPr>
                <w:rFonts w:ascii="Times New Roman" w:cs="Times New Roman" w:eastAsia="Times New Roman" w:hAnsi="Times New Roman"/>
                <w:sz w:val="18"/>
                <w:szCs w:val="18"/>
                <w:color w:val="0000EE"/>
              </w:rPr>
            </w:pPr>
            <w:hyperlink w:anchor="page194">
              <w:r>
                <w:rPr>
                  <w:rFonts w:ascii="Times New Roman" w:cs="Times New Roman" w:eastAsia="Times New Roman" w:hAnsi="Times New Roman"/>
                  <w:sz w:val="18"/>
                  <w:szCs w:val="18"/>
                  <w:color w:val="0000EE"/>
                </w:rPr>
                <w:t>Report of Independent Registered Public Accounting Firm</w:t>
              </w:r>
            </w:hyperlink>
          </w:p>
        </w:tc>
        <w:tc>
          <w:tcPr>
            <w:tcW w:w="180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F-2</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F-4</w:t>
            </w:r>
          </w:p>
        </w:tc>
        <w:tc>
          <w:tcPr>
            <w:tcW w:w="0" w:type="dxa"/>
            <w:vAlign w:val="bottom"/>
          </w:tcPr>
          <w:p>
            <w:pPr>
              <w:spacing w:after="0" w:line="20" w:lineRule="exact"/>
              <w:rPr>
                <w:sz w:val="1"/>
                <w:szCs w:val="1"/>
                <w:color w:val="auto"/>
              </w:rPr>
            </w:pPr>
          </w:p>
        </w:tc>
      </w:tr>
      <w:tr>
        <w:trPr>
          <w:trHeight w:val="210"/>
        </w:trPr>
        <w:tc>
          <w:tcPr>
            <w:tcW w:w="46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196">
              <w:r>
                <w:rPr>
                  <w:rFonts w:ascii="Times New Roman" w:cs="Times New Roman" w:eastAsia="Times New Roman" w:hAnsi="Times New Roman"/>
                  <w:sz w:val="18"/>
                  <w:szCs w:val="18"/>
                  <w:color w:val="0000EE"/>
                  <w:w w:val="99"/>
                </w:rPr>
                <w:t>Consolidated Balance Sheets as of December 31, 2017 and 2016</w:t>
              </w:r>
            </w:hyperlink>
          </w:p>
        </w:tc>
        <w:tc>
          <w:tcPr>
            <w:tcW w:w="4520" w:type="dxa"/>
            <w:vAlign w:val="bottom"/>
            <w:gridSpan w:val="5"/>
          </w:tcPr>
          <w:p>
            <w:pPr>
              <w:spacing w:after="0"/>
              <w:rPr>
                <w:sz w:val="18"/>
                <w:szCs w:val="18"/>
                <w:color w:val="auto"/>
              </w:rPr>
            </w:pP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180" w:type="dxa"/>
            <w:vAlign w:val="bottom"/>
            <w:gridSpan w:val="8"/>
          </w:tcPr>
          <w:p>
            <w:pPr>
              <w:spacing w:after="0"/>
              <w:rPr>
                <w:rFonts w:ascii="Times New Roman" w:cs="Times New Roman" w:eastAsia="Times New Roman" w:hAnsi="Times New Roman"/>
                <w:sz w:val="18"/>
                <w:szCs w:val="18"/>
                <w:color w:val="0000EE"/>
              </w:rPr>
            </w:pPr>
            <w:hyperlink w:anchor="page197">
              <w:r>
                <w:rPr>
                  <w:rFonts w:ascii="Times New Roman" w:cs="Times New Roman" w:eastAsia="Times New Roman" w:hAnsi="Times New Roman"/>
                  <w:sz w:val="18"/>
                  <w:szCs w:val="18"/>
                  <w:color w:val="0000EE"/>
                </w:rPr>
                <w:t>Consolidated Statements of Operations for the Years Ended December 31, 2017, 2016 and 2015</w:t>
              </w:r>
            </w:hyperlink>
          </w:p>
        </w:tc>
        <w:tc>
          <w:tcPr>
            <w:tcW w:w="18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F-5</w:t>
            </w:r>
          </w:p>
        </w:tc>
        <w:tc>
          <w:tcPr>
            <w:tcW w:w="0" w:type="dxa"/>
            <w:vAlign w:val="bottom"/>
          </w:tcPr>
          <w:p>
            <w:pPr>
              <w:spacing w:after="0"/>
              <w:rPr>
                <w:sz w:val="1"/>
                <w:szCs w:val="1"/>
                <w:color w:val="auto"/>
              </w:rPr>
            </w:pPr>
          </w:p>
        </w:tc>
      </w:tr>
      <w:tr>
        <w:trPr>
          <w:trHeight w:val="210"/>
        </w:trPr>
        <w:tc>
          <w:tcPr>
            <w:tcW w:w="690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w:anchor="page198">
              <w:r>
                <w:rPr>
                  <w:rFonts w:ascii="Times New Roman" w:cs="Times New Roman" w:eastAsia="Times New Roman" w:hAnsi="Times New Roman"/>
                  <w:sz w:val="18"/>
                  <w:szCs w:val="18"/>
                  <w:color w:val="0000EE"/>
                </w:rPr>
                <w:t>Consolidated Schedules of Investments as of December 31, 2017 and 2016</w:t>
              </w:r>
            </w:hyperlink>
          </w:p>
        </w:tc>
        <w:tc>
          <w:tcPr>
            <w:tcW w:w="2280" w:type="dxa"/>
            <w:vAlign w:val="bottom"/>
            <w:gridSpan w:val="3"/>
          </w:tcPr>
          <w:p>
            <w:pPr>
              <w:spacing w:after="0"/>
              <w:rPr>
                <w:sz w:val="18"/>
                <w:szCs w:val="18"/>
                <w:color w:val="auto"/>
              </w:rPr>
            </w:pPr>
          </w:p>
        </w:tc>
        <w:tc>
          <w:tcPr>
            <w:tcW w:w="18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F-6</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F-16</w:t>
            </w:r>
          </w:p>
        </w:tc>
        <w:tc>
          <w:tcPr>
            <w:tcW w:w="0" w:type="dxa"/>
            <w:vAlign w:val="bottom"/>
          </w:tcPr>
          <w:p>
            <w:pPr>
              <w:spacing w:after="0" w:line="20" w:lineRule="exact"/>
              <w:rPr>
                <w:sz w:val="1"/>
                <w:szCs w:val="1"/>
                <w:color w:val="auto"/>
              </w:rPr>
            </w:pPr>
          </w:p>
        </w:tc>
      </w:tr>
      <w:tr>
        <w:trPr>
          <w:trHeight w:val="210"/>
        </w:trPr>
        <w:tc>
          <w:tcPr>
            <w:tcW w:w="9180" w:type="dxa"/>
            <w:vAlign w:val="bottom"/>
            <w:gridSpan w:val="8"/>
          </w:tcPr>
          <w:p>
            <w:pPr>
              <w:spacing w:after="0"/>
              <w:rPr>
                <w:rFonts w:ascii="Times New Roman" w:cs="Times New Roman" w:eastAsia="Times New Roman" w:hAnsi="Times New Roman"/>
                <w:sz w:val="18"/>
                <w:szCs w:val="18"/>
                <w:color w:val="0000EE"/>
              </w:rPr>
            </w:pPr>
            <w:hyperlink w:anchor="page208">
              <w:r>
                <w:rPr>
                  <w:rFonts w:ascii="Times New Roman" w:cs="Times New Roman" w:eastAsia="Times New Roman" w:hAnsi="Times New Roman"/>
                  <w:sz w:val="18"/>
                  <w:szCs w:val="18"/>
                  <w:color w:val="0000EE"/>
                </w:rPr>
                <w:t>Consolidated Statements of Changes in Net Assets for the Years Ended December 31, 2017, 2016 and 2015</w:t>
              </w:r>
            </w:hyperlink>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209">
              <w:r>
                <w:rPr>
                  <w:rFonts w:ascii="Times New Roman" w:cs="Times New Roman" w:eastAsia="Times New Roman" w:hAnsi="Times New Roman"/>
                  <w:sz w:val="18"/>
                  <w:szCs w:val="18"/>
                  <w:color w:val="0000EE"/>
                </w:rPr>
                <w:t>Consolidated Statements of Cash Flows for the Years Ended December 31, 2017, 2016 and 2015</w:t>
              </w:r>
            </w:hyperlink>
          </w:p>
        </w:tc>
        <w:tc>
          <w:tcPr>
            <w:tcW w:w="1440" w:type="dxa"/>
            <w:vAlign w:val="bottom"/>
          </w:tcPr>
          <w:p>
            <w:pPr>
              <w:spacing w:after="0"/>
              <w:rPr>
                <w:sz w:val="18"/>
                <w:szCs w:val="18"/>
                <w:color w:val="auto"/>
              </w:rPr>
            </w:pPr>
          </w:p>
        </w:tc>
        <w:tc>
          <w:tcPr>
            <w:tcW w:w="18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F-17</w:t>
            </w:r>
          </w:p>
        </w:tc>
        <w:tc>
          <w:tcPr>
            <w:tcW w:w="0" w:type="dxa"/>
            <w:vAlign w:val="bottom"/>
          </w:tcPr>
          <w:p>
            <w:pPr>
              <w:spacing w:after="0"/>
              <w:rPr>
                <w:sz w:val="1"/>
                <w:szCs w:val="1"/>
                <w:color w:val="auto"/>
              </w:rPr>
            </w:pPr>
          </w:p>
        </w:tc>
      </w:tr>
      <w:tr>
        <w:trPr>
          <w:trHeight w:val="210"/>
        </w:trPr>
        <w:tc>
          <w:tcPr>
            <w:tcW w:w="316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9"/>
              </w:rPr>
            </w:pPr>
            <w:hyperlink w:anchor="page210">
              <w:r>
                <w:rPr>
                  <w:rFonts w:ascii="Times New Roman" w:cs="Times New Roman" w:eastAsia="Times New Roman" w:hAnsi="Times New Roman"/>
                  <w:sz w:val="18"/>
                  <w:szCs w:val="18"/>
                  <w:color w:val="0000EE"/>
                  <w:w w:val="99"/>
                </w:rPr>
                <w:t>Notes to Consolidated Financial Statements</w:t>
              </w:r>
            </w:hyperlink>
          </w:p>
        </w:tc>
        <w:tc>
          <w:tcPr>
            <w:tcW w:w="3800" w:type="dxa"/>
            <w:vAlign w:val="bottom"/>
            <w:tcBorders>
              <w:top w:val="single" w:sz="8" w:color="0000EE"/>
            </w:tcBorders>
            <w:gridSpan w:val="5"/>
          </w:tcPr>
          <w:p>
            <w:pPr>
              <w:spacing w:after="0"/>
              <w:rPr>
                <w:sz w:val="18"/>
                <w:szCs w:val="18"/>
                <w:color w:val="auto"/>
              </w:rPr>
            </w:pPr>
          </w:p>
        </w:tc>
        <w:tc>
          <w:tcPr>
            <w:tcW w:w="2220" w:type="dxa"/>
            <w:vAlign w:val="bottom"/>
            <w:gridSpan w:val="2"/>
          </w:tcPr>
          <w:p>
            <w:pPr>
              <w:spacing w:after="0"/>
              <w:rPr>
                <w:sz w:val="18"/>
                <w:szCs w:val="18"/>
                <w:color w:val="auto"/>
              </w:rPr>
            </w:pPr>
          </w:p>
        </w:tc>
        <w:tc>
          <w:tcPr>
            <w:tcW w:w="18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F-18</w:t>
            </w:r>
          </w:p>
        </w:tc>
        <w:tc>
          <w:tcPr>
            <w:tcW w:w="0" w:type="dxa"/>
            <w:vAlign w:val="bottom"/>
          </w:tcPr>
          <w:p>
            <w:pPr>
              <w:spacing w:after="0"/>
              <w:rPr>
                <w:sz w:val="1"/>
                <w:szCs w:val="1"/>
                <w:color w:val="auto"/>
              </w:rPr>
            </w:pPr>
          </w:p>
        </w:tc>
      </w:tr>
    </w:tbl>
    <w:p>
      <w:pPr>
        <w:spacing w:after="0" w:line="329"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 Exhibits</w:t>
            </w:r>
          </w:p>
        </w:tc>
        <w:tc>
          <w:tcPr>
            <w:tcW w:w="3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0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(a)(1)</w:t>
            </w:r>
          </w:p>
        </w:tc>
        <w:tc>
          <w:tcPr>
            <w:tcW w:w="96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r:id="rId283">
              <w:r>
                <w:rPr>
                  <w:rFonts w:ascii="Times New Roman" w:cs="Times New Roman" w:eastAsia="Times New Roman" w:hAnsi="Times New Roman"/>
                  <w:sz w:val="18"/>
                  <w:szCs w:val="18"/>
                  <w:color w:val="0000EE"/>
                </w:rPr>
                <w:t>Amended and Restated Certificate of Incorporation (incorporated by reference to Exhibit 3.1 to Amendment No. 1 to the Company’s</w:t>
              </w:r>
            </w:hyperlink>
          </w:p>
        </w:tc>
        <w:tc>
          <w:tcPr>
            <w:tcW w:w="30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43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83">
              <w:r>
                <w:rPr>
                  <w:rFonts w:ascii="Times New Roman" w:cs="Times New Roman" w:eastAsia="Times New Roman" w:hAnsi="Times New Roman"/>
                  <w:sz w:val="18"/>
                  <w:szCs w:val="18"/>
                  <w:color w:val="0000EE"/>
                  <w:w w:val="99"/>
                </w:rPr>
                <w:t>Registration Statement on Form 10 filed on March 14, 2011)</w:t>
              </w:r>
            </w:hyperlink>
          </w:p>
        </w:tc>
        <w:tc>
          <w:tcPr>
            <w:tcW w:w="5520" w:type="dxa"/>
            <w:vAlign w:val="bottom"/>
            <w:gridSpan w:val="4"/>
          </w:tcPr>
          <w:p>
            <w:pPr>
              <w:spacing w:after="0"/>
              <w:rPr>
                <w:sz w:val="17"/>
                <w:szCs w:val="17"/>
                <w:color w:val="auto"/>
              </w:rPr>
            </w:pPr>
          </w:p>
        </w:tc>
      </w:tr>
      <w:tr>
        <w:trPr>
          <w:trHeight w:val="30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(a)(2)</w:t>
            </w:r>
          </w:p>
        </w:tc>
        <w:tc>
          <w:tcPr>
            <w:tcW w:w="9900" w:type="dxa"/>
            <w:vAlign w:val="bottom"/>
            <w:gridSpan w:val="6"/>
          </w:tcPr>
          <w:p>
            <w:pPr>
              <w:spacing w:after="0"/>
              <w:rPr>
                <w:rFonts w:ascii="Times New Roman" w:cs="Times New Roman" w:eastAsia="Times New Roman" w:hAnsi="Times New Roman"/>
                <w:sz w:val="18"/>
                <w:szCs w:val="18"/>
                <w:color w:val="0000EE"/>
              </w:rPr>
            </w:pPr>
            <w:hyperlink r:id="rId284">
              <w:r>
                <w:rPr>
                  <w:rFonts w:ascii="Times New Roman" w:cs="Times New Roman" w:eastAsia="Times New Roman" w:hAnsi="Times New Roman"/>
                  <w:sz w:val="18"/>
                  <w:szCs w:val="18"/>
                  <w:color w:val="0000EE"/>
                </w:rPr>
                <w:t>Certificate of Amendment to Amended and Restated Certificate of Incorporation (incorporated by reference to Exhibit 3.1 to the</w:t>
              </w:r>
            </w:hyperlink>
          </w:p>
        </w:tc>
      </w:tr>
      <w:tr>
        <w:trPr>
          <w:trHeight w:val="196"/>
        </w:trPr>
        <w:tc>
          <w:tcPr>
            <w:tcW w:w="1060" w:type="dxa"/>
            <w:vAlign w:val="bottom"/>
          </w:tcPr>
          <w:p>
            <w:pPr>
              <w:spacing w:after="0"/>
              <w:rPr>
                <w:sz w:val="17"/>
                <w:szCs w:val="17"/>
                <w:color w:val="auto"/>
              </w:rPr>
            </w:pPr>
          </w:p>
        </w:tc>
        <w:tc>
          <w:tcPr>
            <w:tcW w:w="924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284">
              <w:r>
                <w:rPr>
                  <w:rFonts w:ascii="Times New Roman" w:cs="Times New Roman" w:eastAsia="Times New Roman" w:hAnsi="Times New Roman"/>
                  <w:sz w:val="18"/>
                  <w:szCs w:val="18"/>
                  <w:color w:val="0000EE"/>
                </w:rPr>
                <w:t>Company’s Current Report on Form 8-K filed on March 12, 2014)</w:t>
              </w:r>
            </w:hyperlink>
          </w:p>
        </w:tc>
        <w:tc>
          <w:tcPr>
            <w:tcW w:w="660" w:type="dxa"/>
            <w:vAlign w:val="bottom"/>
            <w:gridSpan w:val="2"/>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120" w:type="dxa"/>
            <w:vAlign w:val="bottom"/>
            <w:gridSpan w:val="3"/>
          </w:tcPr>
          <w:p>
            <w:pPr>
              <w:spacing w:after="0" w:line="20" w:lineRule="exact"/>
              <w:rPr>
                <w:sz w:val="1"/>
                <w:szCs w:val="1"/>
                <w:color w:val="auto"/>
              </w:rPr>
            </w:pPr>
          </w:p>
        </w:tc>
      </w:tr>
      <w:tr>
        <w:trPr>
          <w:trHeight w:val="30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(a)(3)</w:t>
            </w:r>
          </w:p>
        </w:tc>
        <w:tc>
          <w:tcPr>
            <w:tcW w:w="99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285">
              <w:r>
                <w:rPr>
                  <w:rFonts w:ascii="Times New Roman" w:cs="Times New Roman" w:eastAsia="Times New Roman" w:hAnsi="Times New Roman"/>
                  <w:sz w:val="18"/>
                  <w:szCs w:val="18"/>
                  <w:color w:val="0000EE"/>
                  <w:w w:val="99"/>
                </w:rPr>
                <w:t>Certificate of Change of Registered Agent and/or Registered Office (incorporated by reference to Exhibit 3.1 to the Company’s Quarterly</w:t>
              </w:r>
            </w:hyperlink>
          </w:p>
        </w:tc>
      </w:tr>
      <w:tr>
        <w:trPr>
          <w:trHeight w:val="196"/>
        </w:trPr>
        <w:tc>
          <w:tcPr>
            <w:tcW w:w="1060" w:type="dxa"/>
            <w:vAlign w:val="bottom"/>
          </w:tcPr>
          <w:p>
            <w:pPr>
              <w:spacing w:after="0"/>
              <w:rPr>
                <w:sz w:val="17"/>
                <w:szCs w:val="17"/>
                <w:color w:val="auto"/>
              </w:rPr>
            </w:pPr>
          </w:p>
        </w:tc>
        <w:tc>
          <w:tcPr>
            <w:tcW w:w="36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285">
              <w:r>
                <w:rPr>
                  <w:rFonts w:ascii="Times New Roman" w:cs="Times New Roman" w:eastAsia="Times New Roman" w:hAnsi="Times New Roman"/>
                  <w:sz w:val="18"/>
                  <w:szCs w:val="18"/>
                  <w:color w:val="0000EE"/>
                  <w:w w:val="99"/>
                </w:rPr>
                <w:t>Report on Form 10-Q filed on November 7, 2016)</w:t>
              </w:r>
            </w:hyperlink>
          </w:p>
        </w:tc>
        <w:tc>
          <w:tcPr>
            <w:tcW w:w="6280" w:type="dxa"/>
            <w:vAlign w:val="bottom"/>
            <w:gridSpan w:val="5"/>
          </w:tcPr>
          <w:p>
            <w:pPr>
              <w:spacing w:after="0"/>
              <w:rPr>
                <w:sz w:val="17"/>
                <w:szCs w:val="17"/>
                <w:color w:val="auto"/>
              </w:rPr>
            </w:pPr>
          </w:p>
        </w:tc>
      </w:tr>
    </w:tbl>
    <w:p>
      <w:pPr>
        <w:spacing w:after="0" w:line="117" w:lineRule="exact"/>
        <w:rPr>
          <w:sz w:val="20"/>
          <w:szCs w:val="20"/>
          <w:color w:val="auto"/>
        </w:rPr>
      </w:pPr>
    </w:p>
    <w:p>
      <w:pPr>
        <w:ind w:left="1260" w:right="240" w:hanging="1056"/>
        <w:spacing w:after="0" w:line="282" w:lineRule="auto"/>
        <w:tabs>
          <w:tab w:leader="none" w:pos="1260" w:val="left"/>
        </w:tabs>
        <w:numPr>
          <w:ilvl w:val="0"/>
          <w:numId w:val="167"/>
        </w:numPr>
        <w:rPr>
          <w:rFonts w:ascii="Times New Roman" w:cs="Times New Roman" w:eastAsia="Times New Roman" w:hAnsi="Times New Roman"/>
          <w:sz w:val="18"/>
          <w:szCs w:val="18"/>
          <w:u w:val="single" w:color="auto"/>
          <w:color w:val="0000EE"/>
        </w:rPr>
      </w:pPr>
      <w:hyperlink r:id="rId286">
        <w:r>
          <w:rPr>
            <w:rFonts w:ascii="Times New Roman" w:cs="Times New Roman" w:eastAsia="Times New Roman" w:hAnsi="Times New Roman"/>
            <w:sz w:val="18"/>
            <w:szCs w:val="18"/>
            <w:u w:val="single" w:color="auto"/>
            <w:color w:val="0000EE"/>
          </w:rPr>
          <w:t>Bylaws of TPG Specialty Lending, Inc., effective as of November 7, 2016 (incorporated by reference to Exhibit 3.2 to the Company’s</w:t>
        </w:r>
      </w:hyperlink>
      <w:r>
        <w:rPr>
          <w:rFonts w:ascii="Times New Roman" w:cs="Times New Roman" w:eastAsia="Times New Roman" w:hAnsi="Times New Roman"/>
          <w:sz w:val="18"/>
          <w:szCs w:val="18"/>
          <w:u w:val="single" w:color="auto"/>
          <w:color w:val="0000EE"/>
        </w:rPr>
        <w:t xml:space="preserve"> </w:t>
      </w:r>
      <w:hyperlink r:id="rId286">
        <w:r>
          <w:rPr>
            <w:rFonts w:ascii="Times New Roman" w:cs="Times New Roman" w:eastAsia="Times New Roman" w:hAnsi="Times New Roman"/>
            <w:sz w:val="18"/>
            <w:szCs w:val="18"/>
            <w:u w:val="single" w:color="auto"/>
            <w:color w:val="0000EE"/>
          </w:rPr>
          <w:t>Quarterly Report on Form 10-Q filed on November 7, 2016)</w:t>
        </w:r>
      </w:hyperlink>
    </w:p>
    <w:p>
      <w:pPr>
        <w:spacing w:after="0" w:line="53" w:lineRule="exact"/>
        <w:rPr>
          <w:rFonts w:ascii="Times New Roman" w:cs="Times New Roman" w:eastAsia="Times New Roman" w:hAnsi="Times New Roman"/>
          <w:sz w:val="18"/>
          <w:szCs w:val="18"/>
          <w:u w:val="single" w:color="auto"/>
          <w:color w:val="0000EE"/>
        </w:rPr>
      </w:pPr>
    </w:p>
    <w:p>
      <w:pPr>
        <w:ind w:left="1260" w:hanging="1056"/>
        <w:spacing w:after="0"/>
        <w:tabs>
          <w:tab w:leader="none" w:pos="12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04" w:lineRule="exact"/>
        <w:rPr>
          <w:rFonts w:ascii="Times New Roman" w:cs="Times New Roman" w:eastAsia="Times New Roman" w:hAnsi="Times New Roman"/>
          <w:sz w:val="18"/>
          <w:szCs w:val="18"/>
          <w:color w:val="auto"/>
        </w:rPr>
      </w:pPr>
    </w:p>
    <w:tbl>
      <w:tblPr>
        <w:tblLayout w:type="fixed"/>
        <w:tblInd w:w="20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(d)(1)</w:t>
            </w:r>
          </w:p>
        </w:tc>
        <w:tc>
          <w:tcPr>
            <w:tcW w:w="9800" w:type="dxa"/>
            <w:vAlign w:val="bottom"/>
            <w:gridSpan w:val="13"/>
          </w:tcPr>
          <w:p>
            <w:pPr>
              <w:spacing w:after="0"/>
              <w:rPr>
                <w:rFonts w:ascii="Times New Roman" w:cs="Times New Roman" w:eastAsia="Times New Roman" w:hAnsi="Times New Roman"/>
                <w:sz w:val="18"/>
                <w:szCs w:val="18"/>
                <w:color w:val="0000EE"/>
              </w:rPr>
            </w:pPr>
            <w:hyperlink r:id="rId287">
              <w:r>
                <w:rPr>
                  <w:rFonts w:ascii="Times New Roman" w:cs="Times New Roman" w:eastAsia="Times New Roman" w:hAnsi="Times New Roman"/>
                  <w:sz w:val="18"/>
                  <w:szCs w:val="18"/>
                  <w:color w:val="0000EE"/>
                </w:rPr>
                <w:t>Form of Common Stock Certificate (incorporated by reference to Exhibit 4.2 to the Company’s Annual Report on Form 10-K filed on</w:t>
              </w:r>
            </w:hyperlink>
          </w:p>
        </w:tc>
      </w:tr>
      <w:tr>
        <w:trPr>
          <w:trHeight w:val="196"/>
        </w:trPr>
        <w:tc>
          <w:tcPr>
            <w:tcW w:w="1060" w:type="dxa"/>
            <w:vAlign w:val="bottom"/>
          </w:tcPr>
          <w:p>
            <w:pPr>
              <w:spacing w:after="0"/>
              <w:rPr>
                <w:sz w:val="17"/>
                <w:szCs w:val="17"/>
                <w:color w:val="auto"/>
              </w:rPr>
            </w:pPr>
          </w:p>
        </w:tc>
        <w:tc>
          <w:tcPr>
            <w:tcW w:w="964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87">
              <w:r>
                <w:rPr>
                  <w:rFonts w:ascii="Times New Roman" w:cs="Times New Roman" w:eastAsia="Times New Roman" w:hAnsi="Times New Roman"/>
                  <w:sz w:val="18"/>
                  <w:szCs w:val="18"/>
                  <w:color w:val="0000EE"/>
                </w:rPr>
                <w:t>March 22, 2012)</w:t>
              </w:r>
            </w:hyperlink>
          </w:p>
        </w:tc>
        <w:tc>
          <w:tcPr>
            <w:tcW w:w="160" w:type="dxa"/>
            <w:vAlign w:val="bottom"/>
            <w:gridSpan w:val="3"/>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(d)(2)</w:t>
            </w:r>
          </w:p>
        </w:tc>
        <w:tc>
          <w:tcPr>
            <w:tcW w:w="9800" w:type="dxa"/>
            <w:vAlign w:val="bottom"/>
            <w:gridSpan w:val="13"/>
          </w:tcPr>
          <w:p>
            <w:pPr>
              <w:spacing w:after="0"/>
              <w:rPr>
                <w:rFonts w:ascii="Times New Roman" w:cs="Times New Roman" w:eastAsia="Times New Roman" w:hAnsi="Times New Roman"/>
                <w:sz w:val="18"/>
                <w:szCs w:val="18"/>
                <w:color w:val="0000EE"/>
              </w:rPr>
            </w:pPr>
            <w:hyperlink r:id="rId288">
              <w:r>
                <w:rPr>
                  <w:rFonts w:ascii="Times New Roman" w:cs="Times New Roman" w:eastAsia="Times New Roman" w:hAnsi="Times New Roman"/>
                  <w:sz w:val="18"/>
                  <w:szCs w:val="18"/>
                  <w:color w:val="0000EE"/>
                </w:rPr>
                <w:t>Form of Subscription Certificate (incorporated by reference to Exhibit (d)(7) to Pre-Effective Amendment No. 1 to the Company’s</w:t>
              </w:r>
            </w:hyperlink>
          </w:p>
        </w:tc>
      </w:tr>
      <w:tr>
        <w:trPr>
          <w:trHeight w:val="196"/>
        </w:trPr>
        <w:tc>
          <w:tcPr>
            <w:tcW w:w="1060" w:type="dxa"/>
            <w:vAlign w:val="bottom"/>
          </w:tcPr>
          <w:p>
            <w:pPr>
              <w:spacing w:after="0"/>
              <w:rPr>
                <w:sz w:val="17"/>
                <w:szCs w:val="17"/>
                <w:color w:val="auto"/>
              </w:rPr>
            </w:pPr>
          </w:p>
        </w:tc>
        <w:tc>
          <w:tcPr>
            <w:tcW w:w="940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288">
              <w:r>
                <w:rPr>
                  <w:rFonts w:ascii="Times New Roman" w:cs="Times New Roman" w:eastAsia="Times New Roman" w:hAnsi="Times New Roman"/>
                  <w:sz w:val="18"/>
                  <w:szCs w:val="18"/>
                  <w:color w:val="0000EE"/>
                </w:rPr>
                <w:t>Registration Statement on Form N-2 filed on July 25, 2014)</w:t>
              </w:r>
            </w:hyperlink>
          </w:p>
        </w:tc>
        <w:tc>
          <w:tcPr>
            <w:tcW w:w="400" w:type="dxa"/>
            <w:vAlign w:val="bottom"/>
            <w:gridSpan w:val="4"/>
          </w:tcPr>
          <w:p>
            <w:pPr>
              <w:spacing w:after="0"/>
              <w:rPr>
                <w:sz w:val="17"/>
                <w:szCs w:val="17"/>
                <w:color w:val="auto"/>
              </w:rPr>
            </w:pPr>
          </w:p>
        </w:tc>
      </w:tr>
      <w:tr>
        <w:trPr>
          <w:trHeight w:val="30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(d)(3)</w:t>
            </w:r>
          </w:p>
        </w:tc>
        <w:tc>
          <w:tcPr>
            <w:tcW w:w="430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Statement of Eligibility of Trustee on Form T-1</w:t>
            </w:r>
          </w:p>
        </w:tc>
        <w:tc>
          <w:tcPr>
            <w:tcW w:w="5500" w:type="dxa"/>
            <w:vAlign w:val="bottom"/>
            <w:gridSpan w:val="8"/>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(d)(4)</w:t>
            </w:r>
          </w:p>
        </w:tc>
        <w:tc>
          <w:tcPr>
            <w:tcW w:w="9800" w:type="dxa"/>
            <w:vAlign w:val="bottom"/>
            <w:gridSpan w:val="13"/>
          </w:tcPr>
          <w:p>
            <w:pPr>
              <w:spacing w:after="0"/>
              <w:rPr>
                <w:rFonts w:ascii="Times New Roman" w:cs="Times New Roman" w:eastAsia="Times New Roman" w:hAnsi="Times New Roman"/>
                <w:sz w:val="18"/>
                <w:szCs w:val="18"/>
                <w:color w:val="0000EE"/>
              </w:rPr>
            </w:pPr>
            <w:hyperlink r:id="rId289">
              <w:r>
                <w:rPr>
                  <w:rFonts w:ascii="Times New Roman" w:cs="Times New Roman" w:eastAsia="Times New Roman" w:hAnsi="Times New Roman"/>
                  <w:sz w:val="18"/>
                  <w:szCs w:val="18"/>
                  <w:color w:val="0000EE"/>
                </w:rPr>
                <w:t>Indenture, dated June 10, 2014, between TPG Specialty Lending, Inc. and Wells Fargo Bank, National Association, as Trustee</w:t>
              </w:r>
            </w:hyperlink>
          </w:p>
        </w:tc>
      </w:tr>
      <w:tr>
        <w:trPr>
          <w:trHeight w:val="196"/>
        </w:trPr>
        <w:tc>
          <w:tcPr>
            <w:tcW w:w="1060" w:type="dxa"/>
            <w:vAlign w:val="bottom"/>
          </w:tcPr>
          <w:p>
            <w:pPr>
              <w:spacing w:after="0"/>
              <w:rPr>
                <w:sz w:val="17"/>
                <w:szCs w:val="17"/>
                <w:color w:val="auto"/>
              </w:rPr>
            </w:pPr>
          </w:p>
        </w:tc>
        <w:tc>
          <w:tcPr>
            <w:tcW w:w="912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289">
              <w:r>
                <w:rPr>
                  <w:rFonts w:ascii="Times New Roman" w:cs="Times New Roman" w:eastAsia="Times New Roman" w:hAnsi="Times New Roman"/>
                  <w:sz w:val="18"/>
                  <w:szCs w:val="18"/>
                  <w:color w:val="0000EE"/>
                </w:rPr>
                <w:t>(incorporated by reference to Exhibit 4.1 to the Company’s Current Report on Form 8-K filed on June 10, 2014)</w:t>
              </w:r>
            </w:hyperlink>
          </w:p>
        </w:tc>
        <w:tc>
          <w:tcPr>
            <w:tcW w:w="680" w:type="dxa"/>
            <w:vAlign w:val="bottom"/>
            <w:gridSpan w:val="5"/>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90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(d)(5)</w:t>
            </w:r>
          </w:p>
        </w:tc>
        <w:tc>
          <w:tcPr>
            <w:tcW w:w="98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89">
              <w:r>
                <w:rPr>
                  <w:rFonts w:ascii="Times New Roman" w:cs="Times New Roman" w:eastAsia="Times New Roman" w:hAnsi="Times New Roman"/>
                  <w:sz w:val="18"/>
                  <w:szCs w:val="18"/>
                  <w:color w:val="0000EE"/>
                  <w:w w:val="99"/>
                </w:rPr>
                <w:t>Form of 4.50% Convertible Senior Notes Due 2019 (incorporated by reference to Exhibit 4.2 to the Company’s Current Report on Form</w:t>
              </w:r>
            </w:hyperlink>
          </w:p>
        </w:tc>
      </w:tr>
      <w:tr>
        <w:trPr>
          <w:trHeight w:val="196"/>
        </w:trPr>
        <w:tc>
          <w:tcPr>
            <w:tcW w:w="1060" w:type="dxa"/>
            <w:vAlign w:val="bottom"/>
          </w:tcPr>
          <w:p>
            <w:pPr>
              <w:spacing w:after="0"/>
              <w:rPr>
                <w:sz w:val="17"/>
                <w:szCs w:val="17"/>
                <w:color w:val="auto"/>
              </w:rPr>
            </w:pPr>
          </w:p>
        </w:tc>
        <w:tc>
          <w:tcPr>
            <w:tcW w:w="9800" w:type="dxa"/>
            <w:vAlign w:val="bottom"/>
            <w:gridSpan w:val="13"/>
          </w:tcPr>
          <w:p>
            <w:pPr>
              <w:spacing w:after="0" w:line="196" w:lineRule="exact"/>
              <w:rPr>
                <w:rFonts w:ascii="Times New Roman" w:cs="Times New Roman" w:eastAsia="Times New Roman" w:hAnsi="Times New Roman"/>
                <w:sz w:val="18"/>
                <w:szCs w:val="18"/>
                <w:color w:val="0000EE"/>
              </w:rPr>
            </w:pPr>
            <w:hyperlink r:id="rId289">
              <w:r>
                <w:rPr>
                  <w:rFonts w:ascii="Times New Roman" w:cs="Times New Roman" w:eastAsia="Times New Roman" w:hAnsi="Times New Roman"/>
                  <w:sz w:val="18"/>
                  <w:szCs w:val="18"/>
                  <w:color w:val="0000EE"/>
                </w:rPr>
                <w:t>8-K filed on June 10, 2014)</w:t>
              </w:r>
            </w:hyperlink>
          </w:p>
        </w:tc>
      </w:tr>
      <w:tr>
        <w:trPr>
          <w:trHeight w:val="20"/>
        </w:trPr>
        <w:tc>
          <w:tcPr>
            <w:tcW w:w="1060" w:type="dxa"/>
            <w:vAlign w:val="bottom"/>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80" w:type="dxa"/>
            <w:vAlign w:val="bottom"/>
            <w:gridSpan w:val="4"/>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(d)(6)</w:t>
            </w:r>
          </w:p>
        </w:tc>
        <w:tc>
          <w:tcPr>
            <w:tcW w:w="97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290">
              <w:r>
                <w:rPr>
                  <w:rFonts w:ascii="Times New Roman" w:cs="Times New Roman" w:eastAsia="Times New Roman" w:hAnsi="Times New Roman"/>
                  <w:sz w:val="18"/>
                  <w:szCs w:val="18"/>
                  <w:color w:val="0000EE"/>
                </w:rPr>
                <w:t>Indenture, dated as of February 1, 2017, between TPG Specialty Lending, Inc. and Wells Fargo Bank, National Association, as Trustee</w:t>
              </w:r>
            </w:hyperlink>
          </w:p>
        </w:tc>
        <w:tc>
          <w:tcPr>
            <w:tcW w:w="4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9800" w:type="dxa"/>
            <w:vAlign w:val="bottom"/>
            <w:gridSpan w:val="13"/>
          </w:tcPr>
          <w:p>
            <w:pPr>
              <w:spacing w:after="0" w:line="196" w:lineRule="exact"/>
              <w:rPr>
                <w:rFonts w:ascii="Times New Roman" w:cs="Times New Roman" w:eastAsia="Times New Roman" w:hAnsi="Times New Roman"/>
                <w:sz w:val="18"/>
                <w:szCs w:val="18"/>
                <w:color w:val="0000EE"/>
              </w:rPr>
            </w:pPr>
            <w:hyperlink r:id="rId290">
              <w:r>
                <w:rPr>
                  <w:rFonts w:ascii="Times New Roman" w:cs="Times New Roman" w:eastAsia="Times New Roman" w:hAnsi="Times New Roman"/>
                  <w:sz w:val="18"/>
                  <w:szCs w:val="18"/>
                  <w:color w:val="0000EE"/>
                </w:rPr>
                <w:t>(incorporated by reference to Exhibit 4.1 to the Company’s Current Report on Form 8-K filed on February 1, 2017)</w:t>
              </w:r>
            </w:hyperlink>
          </w:p>
        </w:tc>
      </w:tr>
      <w:tr>
        <w:trPr>
          <w:trHeight w:val="20"/>
        </w:trPr>
        <w:tc>
          <w:tcPr>
            <w:tcW w:w="1060" w:type="dxa"/>
            <w:vAlign w:val="bottom"/>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6080" w:type="dxa"/>
            <w:vAlign w:val="bottom"/>
            <w:gridSpan w:val="4"/>
            <w:shd w:val="clear" w:color="auto" w:fill="0000EE"/>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(d)(7)</w:t>
            </w:r>
          </w:p>
        </w:tc>
        <w:tc>
          <w:tcPr>
            <w:tcW w:w="97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290">
              <w:r>
                <w:rPr>
                  <w:rFonts w:ascii="Times New Roman" w:cs="Times New Roman" w:eastAsia="Times New Roman" w:hAnsi="Times New Roman"/>
                  <w:sz w:val="18"/>
                  <w:szCs w:val="18"/>
                  <w:color w:val="0000EE"/>
                  <w:w w:val="99"/>
                </w:rPr>
                <w:t>Form of 4.50% Convertible Senior Note Due 2022 (incorporated by reference to Exhibit 4.2 to the Company’s Current Report on Form</w:t>
              </w:r>
            </w:hyperlink>
          </w:p>
        </w:tc>
        <w:tc>
          <w:tcPr>
            <w:tcW w:w="60" w:type="dxa"/>
            <w:vAlign w:val="bottom"/>
            <w:gridSpan w:val="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9800" w:type="dxa"/>
            <w:vAlign w:val="bottom"/>
            <w:gridSpan w:val="13"/>
          </w:tcPr>
          <w:p>
            <w:pPr>
              <w:spacing w:after="0" w:line="196" w:lineRule="exact"/>
              <w:rPr>
                <w:rFonts w:ascii="Times New Roman" w:cs="Times New Roman" w:eastAsia="Times New Roman" w:hAnsi="Times New Roman"/>
                <w:sz w:val="18"/>
                <w:szCs w:val="18"/>
                <w:color w:val="0000EE"/>
              </w:rPr>
            </w:pPr>
            <w:hyperlink r:id="rId290">
              <w:r>
                <w:rPr>
                  <w:rFonts w:ascii="Times New Roman" w:cs="Times New Roman" w:eastAsia="Times New Roman" w:hAnsi="Times New Roman"/>
                  <w:sz w:val="18"/>
                  <w:szCs w:val="18"/>
                  <w:color w:val="0000EE"/>
                </w:rPr>
                <w:t>8-K filed on February 1, 2017)</w:t>
              </w:r>
            </w:hyperlink>
          </w:p>
        </w:tc>
      </w:tr>
      <w:tr>
        <w:trPr>
          <w:trHeight w:val="385"/>
        </w:trPr>
        <w:tc>
          <w:tcPr>
            <w:tcW w:w="1060" w:type="dxa"/>
            <w:vAlign w:val="bottom"/>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5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C-1</w:t>
            </w:r>
          </w:p>
        </w:tc>
      </w:tr>
    </w:tbl>
    <w:p>
      <w:pPr>
        <w:sectPr>
          <w:pgSz w:w="11900" w:h="16838" w:orient="portrait"/>
          <w:cols w:equalWidth="0" w:num="1">
            <w:col w:w="11180"/>
          </w:cols>
          <w:pgMar w:left="240" w:top="456" w:right="47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1240" w:right="220" w:hanging="1039"/>
        <w:spacing w:after="0" w:line="282" w:lineRule="auto"/>
        <w:tabs>
          <w:tab w:leader="none" w:pos="12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(d)(8)</w:t>
      </w:r>
      <w:r>
        <w:rPr>
          <w:sz w:val="20"/>
          <w:szCs w:val="20"/>
          <w:color w:val="auto"/>
        </w:rPr>
        <w:tab/>
      </w:r>
      <w:hyperlink r:id="rId292">
        <w:r>
          <w:rPr>
            <w:rFonts w:ascii="Times New Roman" w:cs="Times New Roman" w:eastAsia="Times New Roman" w:hAnsi="Times New Roman"/>
            <w:sz w:val="18"/>
            <w:szCs w:val="18"/>
            <w:u w:val="single" w:color="auto"/>
            <w:color w:val="0000EE"/>
          </w:rPr>
          <w:t>Indenture, dated as of January 22, 2018, between TPG Specialty Lending, Inc. and Wells Fargo Bank, National Association, as Trustee</w:t>
        </w:r>
      </w:hyperlink>
      <w:r>
        <w:rPr>
          <w:rFonts w:ascii="Times New Roman" w:cs="Times New Roman" w:eastAsia="Times New Roman" w:hAnsi="Times New Roman"/>
          <w:sz w:val="18"/>
          <w:szCs w:val="18"/>
          <w:u w:val="single" w:color="auto"/>
          <w:color w:val="0000EE"/>
        </w:rPr>
        <w:t xml:space="preserve"> </w:t>
      </w:r>
      <w:hyperlink r:id="rId292">
        <w:r>
          <w:rPr>
            <w:rFonts w:ascii="Times New Roman" w:cs="Times New Roman" w:eastAsia="Times New Roman" w:hAnsi="Times New Roman"/>
            <w:sz w:val="18"/>
            <w:szCs w:val="18"/>
            <w:u w:val="single" w:color="auto"/>
            <w:color w:val="0000EE"/>
          </w:rPr>
          <w:t>(incorporated by reference to Exhibit 4.1 to the Company’s Current Report on Form 8-K filed on January 22, 2018)</w:t>
        </w:r>
      </w:hyperlink>
    </w:p>
    <w:p>
      <w:pPr>
        <w:spacing w:after="0" w:line="54" w:lineRule="exact"/>
        <w:rPr>
          <w:sz w:val="20"/>
          <w:szCs w:val="20"/>
          <w:color w:val="auto"/>
        </w:rPr>
      </w:pPr>
    </w:p>
    <w:p>
      <w:pPr>
        <w:ind w:left="1240" w:right="420" w:hanging="1039"/>
        <w:spacing w:after="0" w:line="266" w:lineRule="auto"/>
        <w:tabs>
          <w:tab w:leader="none" w:pos="12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(d)(9)</w:t>
      </w:r>
      <w:r>
        <w:rPr>
          <w:sz w:val="20"/>
          <w:szCs w:val="20"/>
          <w:color w:val="auto"/>
        </w:rPr>
        <w:tab/>
      </w:r>
      <w:hyperlink r:id="rId293">
        <w:r>
          <w:rPr>
            <w:rFonts w:ascii="Times New Roman" w:cs="Times New Roman" w:eastAsia="Times New Roman" w:hAnsi="Times New Roman"/>
            <w:sz w:val="18"/>
            <w:szCs w:val="18"/>
            <w:u w:val="single" w:color="auto"/>
            <w:color w:val="0000EE"/>
          </w:rPr>
          <w:t>First Supplemental Indenture, dated as of January 22, 2018, between TPG Specialty Lending, Inc. and Wells Fargo Bank, National</w:t>
        </w:r>
      </w:hyperlink>
      <w:r>
        <w:rPr>
          <w:rFonts w:ascii="Times New Roman" w:cs="Times New Roman" w:eastAsia="Times New Roman" w:hAnsi="Times New Roman"/>
          <w:sz w:val="18"/>
          <w:szCs w:val="18"/>
          <w:u w:val="single" w:color="auto"/>
          <w:color w:val="0000EE"/>
        </w:rPr>
        <w:t xml:space="preserve"> </w:t>
      </w:r>
      <w:hyperlink r:id="rId293">
        <w:r>
          <w:rPr>
            <w:rFonts w:ascii="Times New Roman" w:cs="Times New Roman" w:eastAsia="Times New Roman" w:hAnsi="Times New Roman"/>
            <w:sz w:val="18"/>
            <w:szCs w:val="18"/>
            <w:u w:val="single" w:color="auto"/>
            <w:color w:val="0000EE"/>
          </w:rPr>
          <w:t>Association, as Trustee (incorporated by reference to Exhibit 4.2 to the Company’s Current Report on Form 8-K filed on January 22,</w:t>
        </w:r>
      </w:hyperlink>
      <w:r>
        <w:rPr>
          <w:rFonts w:ascii="Times New Roman" w:cs="Times New Roman" w:eastAsia="Times New Roman" w:hAnsi="Times New Roman"/>
          <w:sz w:val="18"/>
          <w:szCs w:val="18"/>
          <w:u w:val="single" w:color="auto"/>
          <w:color w:val="0000EE"/>
        </w:rPr>
        <w:t xml:space="preserve"> </w:t>
      </w:r>
      <w:hyperlink r:id="rId293">
        <w:r>
          <w:rPr>
            <w:rFonts w:ascii="Times New Roman" w:cs="Times New Roman" w:eastAsia="Times New Roman" w:hAnsi="Times New Roman"/>
            <w:sz w:val="18"/>
            <w:szCs w:val="18"/>
            <w:u w:val="single" w:color="auto"/>
            <w:color w:val="0000EE"/>
          </w:rPr>
          <w:t>2018)</w:t>
        </w:r>
      </w:hyperlink>
    </w:p>
    <w:p>
      <w:pPr>
        <w:spacing w:after="0" w:line="68" w:lineRule="exact"/>
        <w:rPr>
          <w:rFonts w:ascii="Times New Roman" w:cs="Times New Roman" w:eastAsia="Times New Roman" w:hAnsi="Times New Roman"/>
          <w:sz w:val="18"/>
          <w:szCs w:val="18"/>
          <w:u w:val="single" w:color="auto"/>
          <w:color w:val="0000EE"/>
        </w:rPr>
      </w:pPr>
    </w:p>
    <w:p>
      <w:pPr>
        <w:ind w:left="1240" w:right="620" w:hanging="1039"/>
        <w:spacing w:after="0" w:line="282" w:lineRule="auto"/>
        <w:tabs>
          <w:tab w:leader="none" w:pos="12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(d)(10)</w:t>
      </w:r>
      <w:r>
        <w:rPr>
          <w:sz w:val="20"/>
          <w:szCs w:val="20"/>
          <w:color w:val="auto"/>
        </w:rPr>
        <w:tab/>
      </w:r>
      <w:hyperlink r:id="rId293">
        <w:r>
          <w:rPr>
            <w:rFonts w:ascii="Times New Roman" w:cs="Times New Roman" w:eastAsia="Times New Roman" w:hAnsi="Times New Roman"/>
            <w:sz w:val="18"/>
            <w:szCs w:val="18"/>
            <w:u w:val="single" w:color="auto"/>
            <w:color w:val="0000EE"/>
          </w:rPr>
          <w:t>Form of 4.500% Note Due 2023 (incorporated by reference to Exhibit 4.3 to the Company’s Current Report on Form 8-K filed on</w:t>
        </w:r>
      </w:hyperlink>
      <w:r>
        <w:rPr>
          <w:rFonts w:ascii="Times New Roman" w:cs="Times New Roman" w:eastAsia="Times New Roman" w:hAnsi="Times New Roman"/>
          <w:sz w:val="18"/>
          <w:szCs w:val="18"/>
          <w:u w:val="single" w:color="auto"/>
          <w:color w:val="0000EE"/>
        </w:rPr>
        <w:t xml:space="preserve"> </w:t>
      </w:r>
      <w:hyperlink r:id="rId293">
        <w:r>
          <w:rPr>
            <w:rFonts w:ascii="Times New Roman" w:cs="Times New Roman" w:eastAsia="Times New Roman" w:hAnsi="Times New Roman"/>
            <w:sz w:val="18"/>
            <w:szCs w:val="18"/>
            <w:u w:val="single" w:color="auto"/>
            <w:color w:val="0000EE"/>
          </w:rPr>
          <w:t>January 22, 2018)</w:t>
        </w:r>
      </w:hyperlink>
    </w:p>
    <w:p>
      <w:pPr>
        <w:spacing w:after="0" w:line="54" w:lineRule="exact"/>
        <w:rPr>
          <w:sz w:val="20"/>
          <w:szCs w:val="20"/>
          <w:color w:val="auto"/>
        </w:rPr>
      </w:pPr>
    </w:p>
    <w:p>
      <w:pPr>
        <w:ind w:left="1240" w:right="80" w:hanging="1036"/>
        <w:spacing w:after="0" w:line="282" w:lineRule="auto"/>
        <w:tabs>
          <w:tab w:leader="none" w:pos="1240" w:val="left"/>
        </w:tabs>
        <w:numPr>
          <w:ilvl w:val="0"/>
          <w:numId w:val="168"/>
        </w:numPr>
        <w:rPr>
          <w:rFonts w:ascii="Times New Roman" w:cs="Times New Roman" w:eastAsia="Times New Roman" w:hAnsi="Times New Roman"/>
          <w:sz w:val="18"/>
          <w:szCs w:val="18"/>
          <w:u w:val="single" w:color="auto"/>
          <w:color w:val="0000EE"/>
        </w:rPr>
      </w:pPr>
      <w:hyperlink r:id="rId294">
        <w:r>
          <w:rPr>
            <w:rFonts w:ascii="Times New Roman" w:cs="Times New Roman" w:eastAsia="Times New Roman" w:hAnsi="Times New Roman"/>
            <w:sz w:val="18"/>
            <w:szCs w:val="18"/>
            <w:u w:val="single" w:color="auto"/>
            <w:color w:val="0000EE"/>
          </w:rPr>
          <w:t>Dividend Reinvestment Plan of TPG Specialty Lending, Inc. (incorporated by reference to Exhibit (e) to Pre-Effective Amendment No. 4</w:t>
        </w:r>
      </w:hyperlink>
      <w:r>
        <w:rPr>
          <w:rFonts w:ascii="Times New Roman" w:cs="Times New Roman" w:eastAsia="Times New Roman" w:hAnsi="Times New Roman"/>
          <w:sz w:val="18"/>
          <w:szCs w:val="18"/>
          <w:u w:val="single" w:color="auto"/>
          <w:color w:val="0000EE"/>
        </w:rPr>
        <w:t xml:space="preserve"> </w:t>
      </w:r>
      <w:hyperlink r:id="rId294">
        <w:r>
          <w:rPr>
            <w:rFonts w:ascii="Times New Roman" w:cs="Times New Roman" w:eastAsia="Times New Roman" w:hAnsi="Times New Roman"/>
            <w:sz w:val="18"/>
            <w:szCs w:val="18"/>
            <w:u w:val="single" w:color="auto"/>
            <w:color w:val="0000EE"/>
          </w:rPr>
          <w:t>to the Company’s Registration Statement on Form N-2 filed on March 17, 2014)</w:t>
        </w:r>
      </w:hyperlink>
    </w:p>
    <w:p>
      <w:pPr>
        <w:spacing w:after="0" w:line="53" w:lineRule="exact"/>
        <w:rPr>
          <w:rFonts w:ascii="Times New Roman" w:cs="Times New Roman" w:eastAsia="Times New Roman" w:hAnsi="Times New Roman"/>
          <w:sz w:val="18"/>
          <w:szCs w:val="18"/>
          <w:u w:val="single" w:color="auto"/>
          <w:color w:val="0000EE"/>
        </w:rPr>
      </w:pPr>
    </w:p>
    <w:p>
      <w:pPr>
        <w:ind w:left="1240" w:hanging="1036"/>
        <w:spacing w:after="0"/>
        <w:tabs>
          <w:tab w:leader="none" w:pos="12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1240" w:right="360" w:hanging="1036"/>
        <w:spacing w:after="0" w:line="282" w:lineRule="auto"/>
        <w:tabs>
          <w:tab w:leader="none" w:pos="1240" w:val="left"/>
        </w:tabs>
        <w:numPr>
          <w:ilvl w:val="0"/>
          <w:numId w:val="168"/>
        </w:numPr>
        <w:rPr>
          <w:rFonts w:ascii="Times New Roman" w:cs="Times New Roman" w:eastAsia="Times New Roman" w:hAnsi="Times New Roman"/>
          <w:sz w:val="18"/>
          <w:szCs w:val="18"/>
          <w:u w:val="single" w:color="auto"/>
          <w:color w:val="0000EE"/>
        </w:rPr>
      </w:pPr>
      <w:hyperlink r:id="rId295">
        <w:r>
          <w:rPr>
            <w:rFonts w:ascii="Times New Roman" w:cs="Times New Roman" w:eastAsia="Times New Roman" w:hAnsi="Times New Roman"/>
            <w:sz w:val="18"/>
            <w:szCs w:val="18"/>
            <w:u w:val="single" w:color="auto"/>
            <w:color w:val="0000EE"/>
          </w:rPr>
          <w:t>Amended and Restated Investment Advisory and Management Agreement, dated December 12, 2011, between the Company and the</w:t>
        </w:r>
      </w:hyperlink>
      <w:r>
        <w:rPr>
          <w:rFonts w:ascii="Times New Roman" w:cs="Times New Roman" w:eastAsia="Times New Roman" w:hAnsi="Times New Roman"/>
          <w:sz w:val="18"/>
          <w:szCs w:val="18"/>
          <w:u w:val="single" w:color="auto"/>
          <w:color w:val="0000EE"/>
        </w:rPr>
        <w:t xml:space="preserve"> </w:t>
      </w:r>
      <w:hyperlink r:id="rId295">
        <w:r>
          <w:rPr>
            <w:rFonts w:ascii="Times New Roman" w:cs="Times New Roman" w:eastAsia="Times New Roman" w:hAnsi="Times New Roman"/>
            <w:sz w:val="18"/>
            <w:szCs w:val="18"/>
            <w:u w:val="single" w:color="auto"/>
            <w:color w:val="0000EE"/>
          </w:rPr>
          <w:t>Adviser (incorporated by reference to Exhibit 10.1 to the Company’s Current Report on Form 8-K filed on December 13, 2011)</w:t>
        </w:r>
      </w:hyperlink>
    </w:p>
    <w:p>
      <w:pPr>
        <w:spacing w:after="0" w:line="41" w:lineRule="exact"/>
        <w:rPr>
          <w:rFonts w:ascii="Times New Roman" w:cs="Times New Roman" w:eastAsia="Times New Roman" w:hAnsi="Times New Roman"/>
          <w:sz w:val="18"/>
          <w:szCs w:val="18"/>
          <w:color w:val="auto"/>
        </w:rPr>
      </w:pPr>
    </w:p>
    <w:tbl>
      <w:tblPr>
        <w:tblLayout w:type="fixed"/>
        <w:tblInd w:w="20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(h)(1)</w:t>
            </w:r>
          </w:p>
        </w:tc>
        <w:tc>
          <w:tcPr>
            <w:tcW w:w="93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296">
              <w:r>
                <w:rPr>
                  <w:rFonts w:ascii="Times New Roman" w:cs="Times New Roman" w:eastAsia="Times New Roman" w:hAnsi="Times New Roman"/>
                  <w:sz w:val="18"/>
                  <w:szCs w:val="18"/>
                  <w:color w:val="0000EE"/>
                  <w:w w:val="99"/>
                </w:rPr>
                <w:t>Form of Underwriting Agreement for Equity Securities (incorporated by reference to Exhibit (h)(1) to the Company’s Registration</w:t>
              </w:r>
            </w:hyperlink>
          </w:p>
        </w:tc>
      </w:tr>
      <w:tr>
        <w:trPr>
          <w:trHeight w:val="196"/>
        </w:trPr>
        <w:tc>
          <w:tcPr>
            <w:tcW w:w="1040" w:type="dxa"/>
            <w:vAlign w:val="bottom"/>
          </w:tcPr>
          <w:p>
            <w:pPr>
              <w:spacing w:after="0"/>
              <w:rPr>
                <w:sz w:val="17"/>
                <w:szCs w:val="17"/>
                <w:color w:val="auto"/>
              </w:rPr>
            </w:pPr>
          </w:p>
        </w:tc>
        <w:tc>
          <w:tcPr>
            <w:tcW w:w="9380" w:type="dxa"/>
            <w:vAlign w:val="bottom"/>
            <w:gridSpan w:val="3"/>
          </w:tcPr>
          <w:p>
            <w:pPr>
              <w:spacing w:after="0" w:line="196" w:lineRule="exact"/>
              <w:rPr>
                <w:rFonts w:ascii="Times New Roman" w:cs="Times New Roman" w:eastAsia="Times New Roman" w:hAnsi="Times New Roman"/>
                <w:sz w:val="18"/>
                <w:szCs w:val="18"/>
                <w:color w:val="0000EE"/>
              </w:rPr>
            </w:pPr>
            <w:hyperlink r:id="rId296">
              <w:r>
                <w:rPr>
                  <w:rFonts w:ascii="Times New Roman" w:cs="Times New Roman" w:eastAsia="Times New Roman" w:hAnsi="Times New Roman"/>
                  <w:sz w:val="18"/>
                  <w:szCs w:val="18"/>
                  <w:color w:val="0000EE"/>
                </w:rPr>
                <w:t>Statement on Form N-2 filed on March 31, 2016)</w:t>
              </w:r>
            </w:hyperlink>
          </w:p>
        </w:tc>
      </w:tr>
      <w:tr>
        <w:trPr>
          <w:trHeight w:val="20"/>
        </w:trPr>
        <w:tc>
          <w:tcPr>
            <w:tcW w:w="1040" w:type="dxa"/>
            <w:vAlign w:val="bottom"/>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(h)(2)</w:t>
            </w:r>
          </w:p>
        </w:tc>
        <w:tc>
          <w:tcPr>
            <w:tcW w:w="92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297">
              <w:r>
                <w:rPr>
                  <w:rFonts w:ascii="Times New Roman" w:cs="Times New Roman" w:eastAsia="Times New Roman" w:hAnsi="Times New Roman"/>
                  <w:sz w:val="18"/>
                  <w:szCs w:val="18"/>
                  <w:color w:val="0000EE"/>
                  <w:w w:val="99"/>
                </w:rPr>
                <w:t>Form of Underwriting Agreement for Debt Securities (incorporated by reference to Exhibit (h)(2) to the Company’s Registration</w:t>
              </w:r>
            </w:hyperlink>
          </w:p>
        </w:tc>
        <w:tc>
          <w:tcPr>
            <w:tcW w:w="1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380" w:type="dxa"/>
            <w:vAlign w:val="bottom"/>
            <w:gridSpan w:val="3"/>
          </w:tcPr>
          <w:p>
            <w:pPr>
              <w:spacing w:after="0" w:line="196" w:lineRule="exact"/>
              <w:rPr>
                <w:rFonts w:ascii="Times New Roman" w:cs="Times New Roman" w:eastAsia="Times New Roman" w:hAnsi="Times New Roman"/>
                <w:sz w:val="18"/>
                <w:szCs w:val="18"/>
                <w:color w:val="0000EE"/>
              </w:rPr>
            </w:pPr>
            <w:hyperlink r:id="rId297">
              <w:r>
                <w:rPr>
                  <w:rFonts w:ascii="Times New Roman" w:cs="Times New Roman" w:eastAsia="Times New Roman" w:hAnsi="Times New Roman"/>
                  <w:sz w:val="18"/>
                  <w:szCs w:val="18"/>
                  <w:color w:val="0000EE"/>
                </w:rPr>
                <w:t>Statement on Form N-2 filed on March 31, 2016)</w:t>
              </w:r>
            </w:hyperlink>
          </w:p>
        </w:tc>
      </w:tr>
      <w:tr>
        <w:trPr>
          <w:trHeight w:val="20"/>
        </w:trPr>
        <w:tc>
          <w:tcPr>
            <w:tcW w:w="1040" w:type="dxa"/>
            <w:vAlign w:val="bottom"/>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7" w:lineRule="exact"/>
        <w:rPr>
          <w:sz w:val="20"/>
          <w:szCs w:val="20"/>
          <w:color w:val="auto"/>
        </w:rPr>
      </w:pPr>
    </w:p>
    <w:p>
      <w:pPr>
        <w:ind w:left="1240" w:hanging="1036"/>
        <w:spacing w:after="0"/>
        <w:tabs>
          <w:tab w:leader="none" w:pos="12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1240" w:right="620" w:hanging="1036"/>
        <w:spacing w:after="0" w:line="282" w:lineRule="auto"/>
        <w:tabs>
          <w:tab w:leader="none" w:pos="1240" w:val="left"/>
        </w:tabs>
        <w:numPr>
          <w:ilvl w:val="0"/>
          <w:numId w:val="169"/>
        </w:numPr>
        <w:rPr>
          <w:rFonts w:ascii="Times New Roman" w:cs="Times New Roman" w:eastAsia="Times New Roman" w:hAnsi="Times New Roman"/>
          <w:sz w:val="18"/>
          <w:szCs w:val="18"/>
          <w:u w:val="single" w:color="auto"/>
          <w:color w:val="0000EE"/>
        </w:rPr>
      </w:pPr>
      <w:hyperlink r:id="rId298">
        <w:r>
          <w:rPr>
            <w:rFonts w:ascii="Times New Roman" w:cs="Times New Roman" w:eastAsia="Times New Roman" w:hAnsi="Times New Roman"/>
            <w:sz w:val="18"/>
            <w:szCs w:val="18"/>
            <w:u w:val="single" w:color="auto"/>
            <w:color w:val="0000EE"/>
          </w:rPr>
          <w:t>Custodian Agreement dated November 29, 2012 between TPG Specialty Lending, Inc. and State Street Bank and Trust Company</w:t>
        </w:r>
      </w:hyperlink>
      <w:r>
        <w:rPr>
          <w:rFonts w:ascii="Times New Roman" w:cs="Times New Roman" w:eastAsia="Times New Roman" w:hAnsi="Times New Roman"/>
          <w:sz w:val="18"/>
          <w:szCs w:val="18"/>
          <w:u w:val="single" w:color="auto"/>
          <w:color w:val="0000EE"/>
        </w:rPr>
        <w:t xml:space="preserve"> </w:t>
      </w:r>
      <w:hyperlink r:id="rId298">
        <w:r>
          <w:rPr>
            <w:rFonts w:ascii="Times New Roman" w:cs="Times New Roman" w:eastAsia="Times New Roman" w:hAnsi="Times New Roman"/>
            <w:sz w:val="18"/>
            <w:szCs w:val="18"/>
            <w:u w:val="single" w:color="auto"/>
            <w:color w:val="0000EE"/>
          </w:rPr>
          <w:t>(incorporated by reference to Exhibit 10.1 to the Company’s Current Report on Form 8-K filed on December 4, 2012)</w:t>
        </w:r>
      </w:hyperlink>
    </w:p>
    <w:p>
      <w:pPr>
        <w:spacing w:after="0" w:line="41" w:lineRule="exact"/>
        <w:rPr>
          <w:rFonts w:ascii="Times New Roman" w:cs="Times New Roman" w:eastAsia="Times New Roman" w:hAnsi="Times New Roman"/>
          <w:sz w:val="18"/>
          <w:szCs w:val="18"/>
          <w:color w:val="auto"/>
        </w:rPr>
      </w:pPr>
    </w:p>
    <w:tbl>
      <w:tblPr>
        <w:tblLayout w:type="fixed"/>
        <w:tblInd w:w="20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(k)(1)</w:t>
            </w:r>
          </w:p>
        </w:tc>
        <w:tc>
          <w:tcPr>
            <w:tcW w:w="99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299">
              <w:r>
                <w:rPr>
                  <w:rFonts w:ascii="Times New Roman" w:cs="Times New Roman" w:eastAsia="Times New Roman" w:hAnsi="Times New Roman"/>
                  <w:sz w:val="18"/>
                  <w:szCs w:val="18"/>
                  <w:color w:val="0000EE"/>
                  <w:w w:val="99"/>
                </w:rPr>
                <w:t>Form of Indemnification Agreement between the Company and certain officers and directors (incorporated by reference to Exhibit 10.3 to</w:t>
              </w:r>
            </w:hyperlink>
          </w:p>
        </w:tc>
        <w:tc>
          <w:tcPr>
            <w:tcW w:w="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70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99">
              <w:r>
                <w:rPr>
                  <w:rFonts w:ascii="Times New Roman" w:cs="Times New Roman" w:eastAsia="Times New Roman" w:hAnsi="Times New Roman"/>
                  <w:sz w:val="18"/>
                  <w:szCs w:val="18"/>
                  <w:color w:val="0000EE"/>
                  <w:w w:val="99"/>
                </w:rPr>
                <w:t>Amendment No. 1 to the Company’s Registration Statement on Form 10 filed on March 14, 2011)</w:t>
              </w:r>
            </w:hyperlink>
          </w:p>
        </w:tc>
        <w:tc>
          <w:tcPr>
            <w:tcW w:w="2900" w:type="dxa"/>
            <w:vAlign w:val="bottom"/>
            <w:gridSpan w:val="9"/>
          </w:tcPr>
          <w:p>
            <w:pPr>
              <w:spacing w:after="0"/>
              <w:rPr>
                <w:sz w:val="17"/>
                <w:szCs w:val="17"/>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(k)(2)</w:t>
            </w:r>
          </w:p>
        </w:tc>
        <w:tc>
          <w:tcPr>
            <w:tcW w:w="99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300">
              <w:r>
                <w:rPr>
                  <w:rFonts w:ascii="Times New Roman" w:cs="Times New Roman" w:eastAsia="Times New Roman" w:hAnsi="Times New Roman"/>
                  <w:sz w:val="18"/>
                  <w:szCs w:val="18"/>
                  <w:color w:val="0000EE"/>
                </w:rPr>
                <w:t>Senior Secured Revolving Credit Agreement, dated as of August 23, 2012, among TPG Specialty Lending, Inc., as Borrower, the Lenders</w:t>
              </w:r>
            </w:hyperlink>
          </w:p>
        </w:tc>
      </w:tr>
      <w:tr>
        <w:trPr>
          <w:trHeight w:val="196"/>
        </w:trPr>
        <w:tc>
          <w:tcPr>
            <w:tcW w:w="1040" w:type="dxa"/>
            <w:vAlign w:val="bottom"/>
          </w:tcPr>
          <w:p>
            <w:pPr>
              <w:spacing w:after="0"/>
              <w:rPr>
                <w:sz w:val="17"/>
                <w:szCs w:val="17"/>
                <w:color w:val="auto"/>
              </w:rPr>
            </w:pPr>
          </w:p>
        </w:tc>
        <w:tc>
          <w:tcPr>
            <w:tcW w:w="9960" w:type="dxa"/>
            <w:vAlign w:val="bottom"/>
            <w:gridSpan w:val="12"/>
          </w:tcPr>
          <w:p>
            <w:pPr>
              <w:spacing w:after="0" w:line="196" w:lineRule="exact"/>
              <w:rPr>
                <w:rFonts w:ascii="Times New Roman" w:cs="Times New Roman" w:eastAsia="Times New Roman" w:hAnsi="Times New Roman"/>
                <w:sz w:val="18"/>
                <w:szCs w:val="18"/>
                <w:color w:val="0000EE"/>
                <w:w w:val="99"/>
              </w:rPr>
            </w:pPr>
            <w:hyperlink r:id="rId300">
              <w:r>
                <w:rPr>
                  <w:rFonts w:ascii="Times New Roman" w:cs="Times New Roman" w:eastAsia="Times New Roman" w:hAnsi="Times New Roman"/>
                  <w:sz w:val="18"/>
                  <w:szCs w:val="18"/>
                  <w:color w:val="0000EE"/>
                  <w:w w:val="99"/>
                </w:rPr>
                <w:t>Party Hereto and SunTrust Bank, as Administrative Agent, JPMorgan Chase Bank, N.A., as Syndication Agent (incorporated by reference</w:t>
              </w:r>
            </w:hyperlink>
          </w:p>
        </w:tc>
      </w:tr>
      <w:tr>
        <w:trPr>
          <w:trHeight w:val="196"/>
        </w:trPr>
        <w:tc>
          <w:tcPr>
            <w:tcW w:w="1040" w:type="dxa"/>
            <w:vAlign w:val="bottom"/>
          </w:tcPr>
          <w:p>
            <w:pPr>
              <w:spacing w:after="0"/>
              <w:rPr>
                <w:sz w:val="17"/>
                <w:szCs w:val="17"/>
                <w:color w:val="auto"/>
              </w:rPr>
            </w:pPr>
          </w:p>
        </w:tc>
        <w:tc>
          <w:tcPr>
            <w:tcW w:w="994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300">
              <w:r>
                <w:rPr>
                  <w:rFonts w:ascii="Times New Roman" w:cs="Times New Roman" w:eastAsia="Times New Roman" w:hAnsi="Times New Roman"/>
                  <w:sz w:val="18"/>
                  <w:szCs w:val="18"/>
                  <w:color w:val="0000EE"/>
                </w:rPr>
                <w:t>to Exhibit 10.1 to the Company’s Quarterly Report on Form 10-Q filed on November 14, 2012)</w:t>
              </w:r>
            </w:hyperlink>
          </w:p>
        </w:tc>
        <w:tc>
          <w:tcPr>
            <w:tcW w:w="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510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(k)(3)</w:t>
            </w:r>
          </w:p>
        </w:tc>
        <w:tc>
          <w:tcPr>
            <w:tcW w:w="97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301">
              <w:r>
                <w:rPr>
                  <w:rFonts w:ascii="Times New Roman" w:cs="Times New Roman" w:eastAsia="Times New Roman" w:hAnsi="Times New Roman"/>
                  <w:sz w:val="18"/>
                  <w:szCs w:val="18"/>
                  <w:color w:val="0000EE"/>
                </w:rPr>
                <w:t>Amended and Restated Senior Secured Revolving Credit Agreement, dated as of July 2, 2013, among TPG Specialty Lending, Inc., the</w:t>
              </w:r>
            </w:hyperlink>
          </w:p>
        </w:tc>
        <w:tc>
          <w:tcPr>
            <w:tcW w:w="18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4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301">
              <w:r>
                <w:rPr>
                  <w:rFonts w:ascii="Times New Roman" w:cs="Times New Roman" w:eastAsia="Times New Roman" w:hAnsi="Times New Roman"/>
                  <w:sz w:val="18"/>
                  <w:szCs w:val="18"/>
                  <w:color w:val="0000EE"/>
                  <w:w w:val="99"/>
                </w:rPr>
                <w:t>lenders party thereto, SunTrust Bank as administrative agent and JPMorgan Chase Bank N.A. as syndication agent (incorporated by</w:t>
              </w:r>
            </w:hyperlink>
          </w:p>
        </w:tc>
        <w:tc>
          <w:tcPr>
            <w:tcW w:w="480" w:type="dxa"/>
            <w:vAlign w:val="bottom"/>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68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301">
              <w:r>
                <w:rPr>
                  <w:rFonts w:ascii="Times New Roman" w:cs="Times New Roman" w:eastAsia="Times New Roman" w:hAnsi="Times New Roman"/>
                  <w:sz w:val="18"/>
                  <w:szCs w:val="18"/>
                  <w:color w:val="0000EE"/>
                </w:rPr>
                <w:t>reference to Exhibit 10.1 to the Company’s Current Report on Form 8-K filed on July 9, 2013)</w:t>
              </w:r>
            </w:hyperlink>
          </w:p>
        </w:tc>
        <w:tc>
          <w:tcPr>
            <w:tcW w:w="3100" w:type="dxa"/>
            <w:vAlign w:val="bottom"/>
            <w:gridSpan w:val="10"/>
          </w:tcPr>
          <w:p>
            <w:pPr>
              <w:spacing w:after="0"/>
              <w:rPr>
                <w:sz w:val="17"/>
                <w:szCs w:val="17"/>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(k)(4)</w:t>
            </w:r>
          </w:p>
        </w:tc>
        <w:tc>
          <w:tcPr>
            <w:tcW w:w="95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r:id="rId302">
              <w:r>
                <w:rPr>
                  <w:rFonts w:ascii="Times New Roman" w:cs="Times New Roman" w:eastAsia="Times New Roman" w:hAnsi="Times New Roman"/>
                  <w:sz w:val="18"/>
                  <w:szCs w:val="18"/>
                  <w:color w:val="0000EE"/>
                </w:rPr>
                <w:t>Second Amended and Restated Senior Secured Credit Agreement, dated February 27, 2014, among TPG Specialty Lending, Inc., as</w:t>
              </w:r>
            </w:hyperlink>
          </w:p>
        </w:tc>
        <w:tc>
          <w:tcPr>
            <w:tcW w:w="42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9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302">
              <w:r>
                <w:rPr>
                  <w:rFonts w:ascii="Times New Roman" w:cs="Times New Roman" w:eastAsia="Times New Roman" w:hAnsi="Times New Roman"/>
                  <w:sz w:val="18"/>
                  <w:szCs w:val="18"/>
                  <w:color w:val="0000EE"/>
                  <w:w w:val="99"/>
                </w:rPr>
                <w:t>Borrower, the Lenders Party Hereto and SunTrust Bank, as Administrative Agent, and JPMorgan Chase Bank, N.A., as Syndication Agent</w:t>
              </w:r>
            </w:hyperlink>
          </w:p>
        </w:tc>
      </w:tr>
      <w:tr>
        <w:trPr>
          <w:trHeight w:val="196"/>
        </w:trPr>
        <w:tc>
          <w:tcPr>
            <w:tcW w:w="1040" w:type="dxa"/>
            <w:vAlign w:val="bottom"/>
          </w:tcPr>
          <w:p>
            <w:pPr>
              <w:spacing w:after="0"/>
              <w:rPr>
                <w:sz w:val="17"/>
                <w:szCs w:val="17"/>
                <w:color w:val="auto"/>
              </w:rPr>
            </w:pPr>
          </w:p>
        </w:tc>
        <w:tc>
          <w:tcPr>
            <w:tcW w:w="84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302">
              <w:r>
                <w:rPr>
                  <w:rFonts w:ascii="Times New Roman" w:cs="Times New Roman" w:eastAsia="Times New Roman" w:hAnsi="Times New Roman"/>
                  <w:sz w:val="18"/>
                  <w:szCs w:val="18"/>
                  <w:color w:val="0000EE"/>
                </w:rPr>
                <w:t>(incorporated by reference to Exhibit 10.20 to the Company’s Annual Report on Form 10-K filed on March 4, 2014)</w:t>
              </w:r>
            </w:hyperlink>
          </w:p>
        </w:tc>
        <w:tc>
          <w:tcPr>
            <w:tcW w:w="1540" w:type="dxa"/>
            <w:vAlign w:val="bottom"/>
            <w:gridSpan w:val="8"/>
          </w:tcPr>
          <w:p>
            <w:pPr>
              <w:spacing w:after="0"/>
              <w:rPr>
                <w:sz w:val="17"/>
                <w:szCs w:val="17"/>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(k)(5)</w:t>
            </w:r>
          </w:p>
        </w:tc>
        <w:tc>
          <w:tcPr>
            <w:tcW w:w="95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r:id="rId303">
              <w:r>
                <w:rPr>
                  <w:rFonts w:ascii="Times New Roman" w:cs="Times New Roman" w:eastAsia="Times New Roman" w:hAnsi="Times New Roman"/>
                  <w:sz w:val="18"/>
                  <w:szCs w:val="18"/>
                  <w:color w:val="0000EE"/>
                </w:rPr>
                <w:t>Form of Increase Letter pursuant to the Second Amended and Restated Senior Secured Credit Agreement, dated February 27, 2014,</w:t>
              </w:r>
            </w:hyperlink>
          </w:p>
        </w:tc>
        <w:tc>
          <w:tcPr>
            <w:tcW w:w="44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960" w:type="dxa"/>
            <w:vAlign w:val="bottom"/>
            <w:gridSpan w:val="12"/>
          </w:tcPr>
          <w:p>
            <w:pPr>
              <w:spacing w:after="0" w:line="196" w:lineRule="exact"/>
              <w:rPr>
                <w:rFonts w:ascii="Times New Roman" w:cs="Times New Roman" w:eastAsia="Times New Roman" w:hAnsi="Times New Roman"/>
                <w:sz w:val="18"/>
                <w:szCs w:val="18"/>
                <w:color w:val="0000EE"/>
              </w:rPr>
            </w:pPr>
            <w:hyperlink r:id="rId303">
              <w:r>
                <w:rPr>
                  <w:rFonts w:ascii="Times New Roman" w:cs="Times New Roman" w:eastAsia="Times New Roman" w:hAnsi="Times New Roman"/>
                  <w:sz w:val="18"/>
                  <w:szCs w:val="18"/>
                  <w:color w:val="0000EE"/>
                </w:rPr>
                <w:t>among TPG Specialty Lending, Inc., as Borrower, the Lenders Party Hereto and SunTrust Bank, as Administrative Agent, and JPMorgan</w:t>
              </w:r>
            </w:hyperlink>
          </w:p>
        </w:tc>
      </w:tr>
      <w:tr>
        <w:trPr>
          <w:trHeight w:val="196"/>
        </w:trPr>
        <w:tc>
          <w:tcPr>
            <w:tcW w:w="1040" w:type="dxa"/>
            <w:vAlign w:val="bottom"/>
          </w:tcPr>
          <w:p>
            <w:pPr>
              <w:spacing w:after="0"/>
              <w:rPr>
                <w:sz w:val="17"/>
                <w:szCs w:val="17"/>
                <w:color w:val="auto"/>
              </w:rPr>
            </w:pPr>
          </w:p>
        </w:tc>
        <w:tc>
          <w:tcPr>
            <w:tcW w:w="96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303">
              <w:r>
                <w:rPr>
                  <w:rFonts w:ascii="Times New Roman" w:cs="Times New Roman" w:eastAsia="Times New Roman" w:hAnsi="Times New Roman"/>
                  <w:sz w:val="18"/>
                  <w:szCs w:val="18"/>
                  <w:color w:val="0000EE"/>
                  <w:w w:val="99"/>
                </w:rPr>
                <w:t>Chase Bank, N.A., as Syndication Agent (incorporated by reference to Exhibit 10.3 to the Company’s Quarterly Report on Form 10-Q</w:t>
              </w:r>
            </w:hyperlink>
          </w:p>
        </w:tc>
        <w:tc>
          <w:tcPr>
            <w:tcW w:w="200" w:type="dxa"/>
            <w:vAlign w:val="bottom"/>
            <w:tcBorders>
              <w:top w:val="single" w:sz="8" w:color="0000EE"/>
            </w:tcBorders>
            <w:gridSpan w:val="2"/>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9960" w:type="dxa"/>
            <w:vAlign w:val="bottom"/>
            <w:gridSpan w:val="12"/>
          </w:tcPr>
          <w:p>
            <w:pPr>
              <w:spacing w:after="0" w:line="196" w:lineRule="exact"/>
              <w:rPr>
                <w:rFonts w:ascii="Times New Roman" w:cs="Times New Roman" w:eastAsia="Times New Roman" w:hAnsi="Times New Roman"/>
                <w:sz w:val="18"/>
                <w:szCs w:val="18"/>
                <w:color w:val="0000EE"/>
              </w:rPr>
            </w:pPr>
            <w:hyperlink r:id="rId303">
              <w:r>
                <w:rPr>
                  <w:rFonts w:ascii="Times New Roman" w:cs="Times New Roman" w:eastAsia="Times New Roman" w:hAnsi="Times New Roman"/>
                  <w:sz w:val="18"/>
                  <w:szCs w:val="18"/>
                  <w:color w:val="0000EE"/>
                </w:rPr>
                <w:t>filed on August 4, 2014)</w:t>
              </w:r>
            </w:hyperlink>
          </w:p>
        </w:tc>
      </w:tr>
      <w:tr>
        <w:trPr>
          <w:trHeight w:val="385"/>
        </w:trPr>
        <w:tc>
          <w:tcPr>
            <w:tcW w:w="1040" w:type="dxa"/>
            <w:vAlign w:val="bottom"/>
          </w:tcPr>
          <w:p>
            <w:pPr>
              <w:spacing w:after="0"/>
              <w:rPr>
                <w:sz w:val="24"/>
                <w:szCs w:val="24"/>
                <w:color w:val="auto"/>
              </w:rPr>
            </w:pPr>
          </w:p>
        </w:tc>
        <w:tc>
          <w:tcPr>
            <w:tcW w:w="1760" w:type="dxa"/>
            <w:vAlign w:val="bottom"/>
            <w:tcBorders>
              <w:top w:val="single" w:sz="8" w:color="0000EE"/>
            </w:tcBorders>
          </w:tcPr>
          <w:p>
            <w:pPr>
              <w:spacing w:after="0"/>
              <w:rPr>
                <w:sz w:val="24"/>
                <w:szCs w:val="24"/>
                <w:color w:val="auto"/>
              </w:rPr>
            </w:pPr>
          </w:p>
        </w:tc>
        <w:tc>
          <w:tcPr>
            <w:tcW w:w="8200" w:type="dxa"/>
            <w:vAlign w:val="bottom"/>
            <w:gridSpan w:val="11"/>
          </w:tcPr>
          <w:p>
            <w:pPr>
              <w:ind w:left="2580"/>
              <w:spacing w:after="0"/>
              <w:rPr>
                <w:sz w:val="20"/>
                <w:szCs w:val="20"/>
                <w:color w:val="auto"/>
              </w:rPr>
            </w:pPr>
            <w:r>
              <w:rPr>
                <w:rFonts w:ascii="Times New Roman" w:cs="Times New Roman" w:eastAsia="Times New Roman" w:hAnsi="Times New Roman"/>
                <w:sz w:val="18"/>
                <w:szCs w:val="18"/>
                <w:color w:val="auto"/>
              </w:rPr>
              <w:t>C-2</w:t>
            </w:r>
          </w:p>
        </w:tc>
      </w:tr>
    </w:tbl>
    <w:p>
      <w:pPr>
        <w:sectPr>
          <w:pgSz w:w="11900" w:h="16838" w:orient="portrait"/>
          <w:cols w:equalWidth="0" w:num="1">
            <w:col w:w="11200"/>
          </w:cols>
          <w:pgMar w:left="240" w:top="455" w:right="45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1240" w:right="260" w:hanging="1039"/>
        <w:spacing w:after="0" w:line="266" w:lineRule="auto"/>
        <w:tabs>
          <w:tab w:leader="none" w:pos="12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(k)(6)</w:t>
      </w:r>
      <w:r>
        <w:rPr>
          <w:sz w:val="20"/>
          <w:szCs w:val="20"/>
          <w:color w:val="auto"/>
        </w:rPr>
        <w:tab/>
      </w:r>
      <w:hyperlink r:id="rId305">
        <w:r>
          <w:rPr>
            <w:rFonts w:ascii="Times New Roman" w:cs="Times New Roman" w:eastAsia="Times New Roman" w:hAnsi="Times New Roman"/>
            <w:sz w:val="18"/>
            <w:szCs w:val="18"/>
            <w:u w:val="single" w:color="auto"/>
            <w:color w:val="0000EE"/>
          </w:rPr>
          <w:t>First Amendment to the Second Amended and Restated Senior Secured Revolving Credit Agreement, dated June 3, 2014, among TPG</w:t>
        </w:r>
      </w:hyperlink>
      <w:r>
        <w:rPr>
          <w:rFonts w:ascii="Times New Roman" w:cs="Times New Roman" w:eastAsia="Times New Roman" w:hAnsi="Times New Roman"/>
          <w:sz w:val="18"/>
          <w:szCs w:val="18"/>
          <w:u w:val="single" w:color="auto"/>
          <w:color w:val="0000EE"/>
        </w:rPr>
        <w:t xml:space="preserve"> </w:t>
      </w:r>
      <w:hyperlink r:id="rId305">
        <w:r>
          <w:rPr>
            <w:rFonts w:ascii="Times New Roman" w:cs="Times New Roman" w:eastAsia="Times New Roman" w:hAnsi="Times New Roman"/>
            <w:sz w:val="18"/>
            <w:szCs w:val="18"/>
            <w:u w:val="single" w:color="auto"/>
            <w:color w:val="0000EE"/>
          </w:rPr>
          <w:t>Specialty Lending, Inc., as Borrower, the Lenders party thereto and SunTrust Bank, as Administrative Agent and Collateral Agent</w:t>
        </w:r>
      </w:hyperlink>
      <w:r>
        <w:rPr>
          <w:rFonts w:ascii="Times New Roman" w:cs="Times New Roman" w:eastAsia="Times New Roman" w:hAnsi="Times New Roman"/>
          <w:sz w:val="18"/>
          <w:szCs w:val="18"/>
          <w:u w:val="single" w:color="auto"/>
          <w:color w:val="0000EE"/>
        </w:rPr>
        <w:t xml:space="preserve"> </w:t>
      </w:r>
      <w:hyperlink r:id="rId305">
        <w:r>
          <w:rPr>
            <w:rFonts w:ascii="Times New Roman" w:cs="Times New Roman" w:eastAsia="Times New Roman" w:hAnsi="Times New Roman"/>
            <w:sz w:val="18"/>
            <w:szCs w:val="18"/>
            <w:u w:val="single" w:color="auto"/>
            <w:color w:val="0000EE"/>
          </w:rPr>
          <w:t>(incorporated by reference to Exhibit 10.4 to the Company’s Quarterly Report on Form 10-Q filed on August 4, 2014)</w:t>
        </w:r>
      </w:hyperlink>
    </w:p>
    <w:p>
      <w:pPr>
        <w:spacing w:after="0" w:line="68" w:lineRule="exact"/>
        <w:rPr>
          <w:rFonts w:ascii="Times New Roman" w:cs="Times New Roman" w:eastAsia="Times New Roman" w:hAnsi="Times New Roman"/>
          <w:sz w:val="18"/>
          <w:szCs w:val="18"/>
          <w:u w:val="single" w:color="auto"/>
          <w:color w:val="0000EE"/>
        </w:rPr>
      </w:pPr>
    </w:p>
    <w:p>
      <w:pPr>
        <w:ind w:left="1240" w:right="360" w:hanging="1039"/>
        <w:spacing w:after="0" w:line="266" w:lineRule="auto"/>
        <w:tabs>
          <w:tab w:leader="none" w:pos="12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(k)(7)</w:t>
      </w:r>
      <w:r>
        <w:rPr>
          <w:sz w:val="20"/>
          <w:szCs w:val="20"/>
          <w:color w:val="auto"/>
        </w:rPr>
        <w:tab/>
      </w:r>
      <w:hyperlink r:id="rId306">
        <w:r>
          <w:rPr>
            <w:rFonts w:ascii="Times New Roman" w:cs="Times New Roman" w:eastAsia="Times New Roman" w:hAnsi="Times New Roman"/>
            <w:sz w:val="18"/>
            <w:szCs w:val="18"/>
            <w:u w:val="single" w:color="auto"/>
            <w:color w:val="0000EE"/>
          </w:rPr>
          <w:t>Second Amendment to the Second Amended and Restated Senior Secured Revolving Credit Agreement, dated June 27, 2014, among</w:t>
        </w:r>
      </w:hyperlink>
      <w:r>
        <w:rPr>
          <w:rFonts w:ascii="Times New Roman" w:cs="Times New Roman" w:eastAsia="Times New Roman" w:hAnsi="Times New Roman"/>
          <w:sz w:val="18"/>
          <w:szCs w:val="18"/>
          <w:u w:val="single" w:color="auto"/>
          <w:color w:val="0000EE"/>
        </w:rPr>
        <w:t xml:space="preserve"> </w:t>
      </w:r>
      <w:hyperlink r:id="rId306">
        <w:r>
          <w:rPr>
            <w:rFonts w:ascii="Times New Roman" w:cs="Times New Roman" w:eastAsia="Times New Roman" w:hAnsi="Times New Roman"/>
            <w:sz w:val="18"/>
            <w:szCs w:val="18"/>
            <w:u w:val="single" w:color="auto"/>
            <w:color w:val="0000EE"/>
          </w:rPr>
          <w:t>TPG Specialty Lending, Inc., as Borrower, Morgan Stanley Bank, N.A., as a Lender, and SunTrust Bank, as Administrative Agent</w:t>
        </w:r>
      </w:hyperlink>
      <w:r>
        <w:rPr>
          <w:rFonts w:ascii="Times New Roman" w:cs="Times New Roman" w:eastAsia="Times New Roman" w:hAnsi="Times New Roman"/>
          <w:sz w:val="18"/>
          <w:szCs w:val="18"/>
          <w:u w:val="single" w:color="auto"/>
          <w:color w:val="0000EE"/>
        </w:rPr>
        <w:t xml:space="preserve"> </w:t>
      </w:r>
      <w:hyperlink r:id="rId306">
        <w:r>
          <w:rPr>
            <w:rFonts w:ascii="Times New Roman" w:cs="Times New Roman" w:eastAsia="Times New Roman" w:hAnsi="Times New Roman"/>
            <w:sz w:val="18"/>
            <w:szCs w:val="18"/>
            <w:u w:val="single" w:color="auto"/>
            <w:color w:val="0000EE"/>
          </w:rPr>
          <w:t>(incorporated by reference to Exhibit 10.5 to the Company’s Quarterly Report on Form 10-Q filed on August 4, 2014)</w:t>
        </w:r>
      </w:hyperlink>
    </w:p>
    <w:p>
      <w:pPr>
        <w:spacing w:after="0" w:line="68" w:lineRule="exact"/>
        <w:rPr>
          <w:rFonts w:ascii="Times New Roman" w:cs="Times New Roman" w:eastAsia="Times New Roman" w:hAnsi="Times New Roman"/>
          <w:sz w:val="18"/>
          <w:szCs w:val="18"/>
          <w:u w:val="single" w:color="auto"/>
          <w:color w:val="0000EE"/>
        </w:rPr>
      </w:pPr>
    </w:p>
    <w:p>
      <w:pPr>
        <w:ind w:left="1240" w:right="240" w:hanging="1039"/>
        <w:spacing w:after="0" w:line="266" w:lineRule="auto"/>
        <w:tabs>
          <w:tab w:leader="none" w:pos="12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(k)(8)</w:t>
      </w:r>
      <w:r>
        <w:rPr>
          <w:sz w:val="20"/>
          <w:szCs w:val="20"/>
          <w:color w:val="auto"/>
        </w:rPr>
        <w:tab/>
      </w:r>
      <w:hyperlink r:id="rId307">
        <w:r>
          <w:rPr>
            <w:rFonts w:ascii="Times New Roman" w:cs="Times New Roman" w:eastAsia="Times New Roman" w:hAnsi="Times New Roman"/>
            <w:sz w:val="18"/>
            <w:szCs w:val="18"/>
            <w:u w:val="single" w:color="auto"/>
            <w:color w:val="0000EE"/>
          </w:rPr>
          <w:t>Third Amendment to the Second Amended and Restated Senior Secured Revolving Credit Agreement, dated October 17, 2014, among</w:t>
        </w:r>
      </w:hyperlink>
      <w:r>
        <w:rPr>
          <w:rFonts w:ascii="Times New Roman" w:cs="Times New Roman" w:eastAsia="Times New Roman" w:hAnsi="Times New Roman"/>
          <w:sz w:val="18"/>
          <w:szCs w:val="18"/>
          <w:u w:val="single" w:color="auto"/>
          <w:color w:val="0000EE"/>
        </w:rPr>
        <w:t xml:space="preserve"> </w:t>
      </w:r>
      <w:hyperlink r:id="rId307">
        <w:r>
          <w:rPr>
            <w:rFonts w:ascii="Times New Roman" w:cs="Times New Roman" w:eastAsia="Times New Roman" w:hAnsi="Times New Roman"/>
            <w:sz w:val="18"/>
            <w:szCs w:val="18"/>
            <w:u w:val="single" w:color="auto"/>
            <w:color w:val="0000EE"/>
          </w:rPr>
          <w:t>TPG Specialty Lending, Inc., as Borrower, the Lenders party thereto and SunTrust Bank, as Administrative Agent (incorporated by</w:t>
        </w:r>
      </w:hyperlink>
      <w:r>
        <w:rPr>
          <w:rFonts w:ascii="Times New Roman" w:cs="Times New Roman" w:eastAsia="Times New Roman" w:hAnsi="Times New Roman"/>
          <w:sz w:val="18"/>
          <w:szCs w:val="18"/>
          <w:u w:val="single" w:color="auto"/>
          <w:color w:val="0000EE"/>
        </w:rPr>
        <w:t xml:space="preserve"> </w:t>
      </w:r>
      <w:hyperlink r:id="rId307">
        <w:r>
          <w:rPr>
            <w:rFonts w:ascii="Times New Roman" w:cs="Times New Roman" w:eastAsia="Times New Roman" w:hAnsi="Times New Roman"/>
            <w:sz w:val="18"/>
            <w:szCs w:val="18"/>
            <w:u w:val="single" w:color="auto"/>
            <w:color w:val="0000EE"/>
          </w:rPr>
          <w:t>reference to Exhibit 10.1 to the Company’s Quarterly Report on Form 10-Q filed on November 3, 2014)</w:t>
        </w:r>
      </w:hyperlink>
    </w:p>
    <w:p>
      <w:pPr>
        <w:spacing w:after="0" w:line="68" w:lineRule="exact"/>
        <w:rPr>
          <w:rFonts w:ascii="Times New Roman" w:cs="Times New Roman" w:eastAsia="Times New Roman" w:hAnsi="Times New Roman"/>
          <w:sz w:val="18"/>
          <w:szCs w:val="18"/>
          <w:u w:val="single" w:color="auto"/>
          <w:color w:val="0000EE"/>
        </w:rPr>
      </w:pPr>
    </w:p>
    <w:p>
      <w:pPr>
        <w:jc w:val="both"/>
        <w:ind w:left="1240" w:right="80" w:hanging="1039"/>
        <w:spacing w:after="0" w:line="266" w:lineRule="auto"/>
        <w:tabs>
          <w:tab w:leader="none" w:pos="12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(k)(9)</w:t>
      </w:r>
      <w:r>
        <w:rPr>
          <w:sz w:val="20"/>
          <w:szCs w:val="20"/>
          <w:color w:val="auto"/>
        </w:rPr>
        <w:tab/>
      </w:r>
      <w:hyperlink r:id="rId308">
        <w:r>
          <w:rPr>
            <w:rFonts w:ascii="Times New Roman" w:cs="Times New Roman" w:eastAsia="Times New Roman" w:hAnsi="Times New Roman"/>
            <w:sz w:val="18"/>
            <w:szCs w:val="18"/>
            <w:u w:val="single" w:color="auto"/>
            <w:color w:val="0000EE"/>
          </w:rPr>
          <w:t>Fourth Amendment to Second Amended and Restated Senior Secured Revolving Credit Agreement, dated October 2, 2015, among TPG</w:t>
        </w:r>
      </w:hyperlink>
      <w:r>
        <w:rPr>
          <w:rFonts w:ascii="Times New Roman" w:cs="Times New Roman" w:eastAsia="Times New Roman" w:hAnsi="Times New Roman"/>
          <w:sz w:val="18"/>
          <w:szCs w:val="18"/>
          <w:u w:val="single" w:color="auto"/>
          <w:color w:val="0000EE"/>
        </w:rPr>
        <w:t xml:space="preserve"> </w:t>
      </w:r>
      <w:hyperlink r:id="rId308">
        <w:r>
          <w:rPr>
            <w:rFonts w:ascii="Times New Roman" w:cs="Times New Roman" w:eastAsia="Times New Roman" w:hAnsi="Times New Roman"/>
            <w:sz w:val="18"/>
            <w:szCs w:val="18"/>
            <w:u w:val="single" w:color="auto"/>
            <w:color w:val="0000EE"/>
          </w:rPr>
          <w:t>Specialty Lending, Inc., as Borrower, the Lenders party thereto and Suntrust Bank, as Administrative Agent (incorporated by reference to</w:t>
        </w:r>
      </w:hyperlink>
      <w:r>
        <w:rPr>
          <w:rFonts w:ascii="Times New Roman" w:cs="Times New Roman" w:eastAsia="Times New Roman" w:hAnsi="Times New Roman"/>
          <w:sz w:val="18"/>
          <w:szCs w:val="18"/>
          <w:u w:val="single" w:color="auto"/>
          <w:color w:val="0000EE"/>
        </w:rPr>
        <w:t xml:space="preserve"> </w:t>
      </w:r>
      <w:hyperlink r:id="rId308">
        <w:r>
          <w:rPr>
            <w:rFonts w:ascii="Times New Roman" w:cs="Times New Roman" w:eastAsia="Times New Roman" w:hAnsi="Times New Roman"/>
            <w:sz w:val="18"/>
            <w:szCs w:val="18"/>
            <w:u w:val="single" w:color="auto"/>
            <w:color w:val="0000EE"/>
          </w:rPr>
          <w:t>Exhibit 10.1 to the Company’s Quarterly Report on Form 10-Q filed on November 3, 2015)</w:t>
        </w:r>
      </w:hyperlink>
    </w:p>
    <w:p>
      <w:pPr>
        <w:spacing w:after="0" w:line="68" w:lineRule="exact"/>
        <w:rPr>
          <w:rFonts w:ascii="Times New Roman" w:cs="Times New Roman" w:eastAsia="Times New Roman" w:hAnsi="Times New Roman"/>
          <w:sz w:val="18"/>
          <w:szCs w:val="18"/>
          <w:u w:val="single" w:color="auto"/>
          <w:color w:val="0000EE"/>
        </w:rPr>
      </w:pPr>
    </w:p>
    <w:p>
      <w:pPr>
        <w:jc w:val="both"/>
        <w:ind w:left="1240" w:hanging="1039"/>
        <w:spacing w:after="0" w:line="266" w:lineRule="auto"/>
        <w:tabs>
          <w:tab w:leader="none" w:pos="12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(k)(10)</w:t>
      </w:r>
      <w:r>
        <w:rPr>
          <w:sz w:val="20"/>
          <w:szCs w:val="20"/>
          <w:color w:val="auto"/>
        </w:rPr>
        <w:tab/>
      </w:r>
      <w:hyperlink r:id="rId309">
        <w:r>
          <w:rPr>
            <w:rFonts w:ascii="Times New Roman" w:cs="Times New Roman" w:eastAsia="Times New Roman" w:hAnsi="Times New Roman"/>
            <w:sz w:val="18"/>
            <w:szCs w:val="18"/>
            <w:u w:val="single" w:color="auto"/>
            <w:color w:val="0000EE"/>
          </w:rPr>
          <w:t>Fifth Amendment to Second Amended and Restated Senior Secured Revolving Credit Agreement, dated December 22, 2016, among TPG</w:t>
        </w:r>
      </w:hyperlink>
      <w:r>
        <w:rPr>
          <w:rFonts w:ascii="Times New Roman" w:cs="Times New Roman" w:eastAsia="Times New Roman" w:hAnsi="Times New Roman"/>
          <w:sz w:val="18"/>
          <w:szCs w:val="18"/>
          <w:u w:val="single" w:color="auto"/>
          <w:color w:val="0000EE"/>
        </w:rPr>
        <w:t xml:space="preserve"> </w:t>
      </w:r>
      <w:hyperlink r:id="rId309">
        <w:r>
          <w:rPr>
            <w:rFonts w:ascii="Times New Roman" w:cs="Times New Roman" w:eastAsia="Times New Roman" w:hAnsi="Times New Roman"/>
            <w:sz w:val="18"/>
            <w:szCs w:val="18"/>
            <w:u w:val="single" w:color="auto"/>
            <w:color w:val="0000EE"/>
          </w:rPr>
          <w:t>Specialty Lending, Inc., as Borrower, the Lenders party thereto and SunTrust Bank, as Administrative Agent (incorporated by reference to</w:t>
        </w:r>
      </w:hyperlink>
      <w:r>
        <w:rPr>
          <w:rFonts w:ascii="Times New Roman" w:cs="Times New Roman" w:eastAsia="Times New Roman" w:hAnsi="Times New Roman"/>
          <w:sz w:val="18"/>
          <w:szCs w:val="18"/>
          <w:u w:val="single" w:color="auto"/>
          <w:color w:val="0000EE"/>
        </w:rPr>
        <w:t xml:space="preserve"> </w:t>
      </w:r>
      <w:hyperlink r:id="rId309">
        <w:r>
          <w:rPr>
            <w:rFonts w:ascii="Times New Roman" w:cs="Times New Roman" w:eastAsia="Times New Roman" w:hAnsi="Times New Roman"/>
            <w:sz w:val="18"/>
            <w:szCs w:val="18"/>
            <w:u w:val="single" w:color="auto"/>
            <w:color w:val="0000EE"/>
          </w:rPr>
          <w:t>Exhibit 10.15 to the Company’s Annual Report on Form 10-K filed on February 22, 2017)</w:t>
        </w:r>
      </w:hyperlink>
    </w:p>
    <w:p>
      <w:pPr>
        <w:spacing w:after="0" w:line="68" w:lineRule="exact"/>
        <w:rPr>
          <w:rFonts w:ascii="Times New Roman" w:cs="Times New Roman" w:eastAsia="Times New Roman" w:hAnsi="Times New Roman"/>
          <w:sz w:val="18"/>
          <w:szCs w:val="18"/>
          <w:u w:val="single" w:color="auto"/>
          <w:color w:val="0000EE"/>
        </w:rPr>
      </w:pPr>
    </w:p>
    <w:p>
      <w:pPr>
        <w:ind w:left="1240" w:right="160" w:hanging="1039"/>
        <w:spacing w:after="0" w:line="282" w:lineRule="auto"/>
        <w:tabs>
          <w:tab w:leader="none" w:pos="12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(k)(11)</w:t>
      </w:r>
      <w:r>
        <w:rPr>
          <w:sz w:val="20"/>
          <w:szCs w:val="20"/>
          <w:color w:val="auto"/>
        </w:rPr>
        <w:tab/>
      </w:r>
      <w:hyperlink r:id="rId310">
        <w:r>
          <w:rPr>
            <w:rFonts w:ascii="Times New Roman" w:cs="Times New Roman" w:eastAsia="Times New Roman" w:hAnsi="Times New Roman"/>
            <w:sz w:val="18"/>
            <w:szCs w:val="18"/>
            <w:u w:val="single" w:color="auto"/>
            <w:color w:val="0000EE"/>
          </w:rPr>
          <w:t>Amended and Restated Administration Agreement, dated as of February 22, 2017, between the Company and the Adviser (incorporated</w:t>
        </w:r>
      </w:hyperlink>
      <w:r>
        <w:rPr>
          <w:rFonts w:ascii="Times New Roman" w:cs="Times New Roman" w:eastAsia="Times New Roman" w:hAnsi="Times New Roman"/>
          <w:sz w:val="18"/>
          <w:szCs w:val="18"/>
          <w:u w:val="single" w:color="auto"/>
          <w:color w:val="0000EE"/>
        </w:rPr>
        <w:t xml:space="preserve"> </w:t>
      </w:r>
      <w:hyperlink r:id="rId310">
        <w:r>
          <w:rPr>
            <w:rFonts w:ascii="Times New Roman" w:cs="Times New Roman" w:eastAsia="Times New Roman" w:hAnsi="Times New Roman"/>
            <w:sz w:val="18"/>
            <w:szCs w:val="18"/>
            <w:u w:val="single" w:color="auto"/>
            <w:color w:val="0000EE"/>
          </w:rPr>
          <w:t>by reference to Exhibit 10.16 to the Company’s Annual Report on Form 10-K filed on February 22, 2017)</w:t>
        </w:r>
      </w:hyperlink>
    </w:p>
    <w:p>
      <w:pPr>
        <w:spacing w:after="0" w:line="54" w:lineRule="exact"/>
        <w:rPr>
          <w:sz w:val="20"/>
          <w:szCs w:val="20"/>
          <w:color w:val="auto"/>
        </w:rPr>
      </w:pPr>
    </w:p>
    <w:p>
      <w:pPr>
        <w:jc w:val="both"/>
        <w:ind w:left="1240" w:right="40" w:hanging="1039"/>
        <w:spacing w:after="0" w:line="266" w:lineRule="auto"/>
        <w:tabs>
          <w:tab w:leader="none" w:pos="12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(k)(12)</w:t>
      </w:r>
      <w:r>
        <w:rPr>
          <w:sz w:val="20"/>
          <w:szCs w:val="20"/>
          <w:color w:val="auto"/>
        </w:rPr>
        <w:tab/>
      </w:r>
      <w:hyperlink r:id="rId311">
        <w:r>
          <w:rPr>
            <w:rFonts w:ascii="Times New Roman" w:cs="Times New Roman" w:eastAsia="Times New Roman" w:hAnsi="Times New Roman"/>
            <w:sz w:val="18"/>
            <w:szCs w:val="18"/>
            <w:u w:val="single" w:color="auto"/>
            <w:color w:val="0000EE"/>
          </w:rPr>
          <w:t>Sixth Amendment to Second Amended and Restated Senior Secured Revolving Credit Agreement, dated February 20, 2018, among TPG</w:t>
        </w:r>
      </w:hyperlink>
      <w:r>
        <w:rPr>
          <w:rFonts w:ascii="Times New Roman" w:cs="Times New Roman" w:eastAsia="Times New Roman" w:hAnsi="Times New Roman"/>
          <w:sz w:val="18"/>
          <w:szCs w:val="18"/>
          <w:u w:val="single" w:color="auto"/>
          <w:color w:val="0000EE"/>
        </w:rPr>
        <w:t xml:space="preserve"> </w:t>
      </w:r>
      <w:hyperlink r:id="rId311">
        <w:r>
          <w:rPr>
            <w:rFonts w:ascii="Times New Roman" w:cs="Times New Roman" w:eastAsia="Times New Roman" w:hAnsi="Times New Roman"/>
            <w:sz w:val="18"/>
            <w:szCs w:val="18"/>
            <w:u w:val="single" w:color="auto"/>
            <w:color w:val="0000EE"/>
          </w:rPr>
          <w:t>Specialty Lending, Inc., as Borrower, the Lenders party thereto and SunTrust Bank, as Administrative Agent (incorporated by reference to</w:t>
        </w:r>
      </w:hyperlink>
      <w:r>
        <w:rPr>
          <w:rFonts w:ascii="Times New Roman" w:cs="Times New Roman" w:eastAsia="Times New Roman" w:hAnsi="Times New Roman"/>
          <w:sz w:val="18"/>
          <w:szCs w:val="18"/>
          <w:u w:val="single" w:color="auto"/>
          <w:color w:val="0000EE"/>
        </w:rPr>
        <w:t xml:space="preserve"> </w:t>
      </w:r>
      <w:hyperlink r:id="rId311">
        <w:r>
          <w:rPr>
            <w:rFonts w:ascii="Times New Roman" w:cs="Times New Roman" w:eastAsia="Times New Roman" w:hAnsi="Times New Roman"/>
            <w:sz w:val="18"/>
            <w:szCs w:val="18"/>
            <w:u w:val="single" w:color="auto"/>
            <w:color w:val="0000EE"/>
          </w:rPr>
          <w:t>Exhibit 10.16 to the Company’s Annual Report on Form 10-K filed on February 21, 2018)</w:t>
        </w:r>
      </w:hyperlink>
    </w:p>
    <w:p>
      <w:pPr>
        <w:spacing w:after="0" w:line="68" w:lineRule="exact"/>
        <w:rPr>
          <w:rFonts w:ascii="Times New Roman" w:cs="Times New Roman" w:eastAsia="Times New Roman" w:hAnsi="Times New Roman"/>
          <w:sz w:val="18"/>
          <w:szCs w:val="18"/>
          <w:u w:val="single" w:color="auto"/>
          <w:color w:val="0000EE"/>
        </w:rPr>
      </w:pPr>
    </w:p>
    <w:p>
      <w:pPr>
        <w:ind w:left="1240" w:hanging="1036"/>
        <w:spacing w:after="0"/>
        <w:tabs>
          <w:tab w:leader="none" w:pos="12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Opinion and Consent of Cleary Gottlieb Steen &amp; Hamilton LLP</w:t>
      </w:r>
    </w:p>
    <w:p>
      <w:pPr>
        <w:spacing w:after="0" w:line="117" w:lineRule="exact"/>
        <w:rPr>
          <w:rFonts w:ascii="Times New Roman" w:cs="Times New Roman" w:eastAsia="Times New Roman" w:hAnsi="Times New Roman"/>
          <w:sz w:val="18"/>
          <w:szCs w:val="18"/>
          <w:color w:val="auto"/>
        </w:rPr>
      </w:pPr>
    </w:p>
    <w:p>
      <w:pPr>
        <w:ind w:left="1240" w:hanging="1036"/>
        <w:spacing w:after="0"/>
        <w:tabs>
          <w:tab w:leader="none" w:pos="12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04" w:lineRule="exact"/>
        <w:rPr>
          <w:rFonts w:ascii="Times New Roman" w:cs="Times New Roman" w:eastAsia="Times New Roman" w:hAnsi="Times New Roman"/>
          <w:sz w:val="18"/>
          <w:szCs w:val="18"/>
          <w:u w:val="single" w:color="auto"/>
          <w:color w:val="0000EE"/>
        </w:rPr>
      </w:pPr>
    </w:p>
    <w:tbl>
      <w:tblPr>
        <w:tblLayout w:type="fixed"/>
        <w:tblInd w:w="20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(n)(1)</w:t>
            </w:r>
          </w:p>
        </w:tc>
        <w:tc>
          <w:tcPr>
            <w:tcW w:w="95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Consent of Cleary Gottlieb Steen &amp; Hamilton LLP (included in exhibit (l))</w:t>
            </w: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(n)(2)</w:t>
            </w:r>
          </w:p>
        </w:tc>
        <w:tc>
          <w:tcPr>
            <w:tcW w:w="336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Consent of KPMG LLP, dated March 28, 2018</w:t>
            </w:r>
          </w:p>
        </w:tc>
        <w:tc>
          <w:tcPr>
            <w:tcW w:w="2020" w:type="dxa"/>
            <w:vAlign w:val="bottom"/>
            <w:tcBorders>
              <w:top w:val="single" w:sz="8" w:color="0000EE"/>
            </w:tcBorders>
            <w:gridSpan w:val="2"/>
          </w:tcPr>
          <w:p>
            <w:pPr>
              <w:spacing w:after="0"/>
              <w:rPr>
                <w:sz w:val="24"/>
                <w:szCs w:val="24"/>
                <w:color w:val="auto"/>
              </w:rPr>
            </w:pPr>
          </w:p>
        </w:tc>
        <w:tc>
          <w:tcPr>
            <w:tcW w:w="4180" w:type="dxa"/>
            <w:vAlign w:val="bottom"/>
          </w:tcPr>
          <w:p>
            <w:pPr>
              <w:spacing w:after="0"/>
              <w:rPr>
                <w:sz w:val="24"/>
                <w:szCs w:val="24"/>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(n)(3)</w:t>
            </w:r>
          </w:p>
        </w:tc>
        <w:tc>
          <w:tcPr>
            <w:tcW w:w="95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312">
              <w:r>
                <w:rPr>
                  <w:rFonts w:ascii="Times New Roman" w:cs="Times New Roman" w:eastAsia="Times New Roman" w:hAnsi="Times New Roman"/>
                  <w:sz w:val="18"/>
                  <w:szCs w:val="18"/>
                  <w:color w:val="0000EE"/>
                  <w:w w:val="99"/>
                </w:rPr>
                <w:t>Report of KPMG LLP, dated March 20, 2018 (incorporated by reference to Exhibit (n)(6) to Post-Effective Amendment No. 3 to the</w:t>
              </w:r>
            </w:hyperlink>
          </w:p>
        </w:tc>
      </w:tr>
      <w:tr>
        <w:trPr>
          <w:trHeight w:val="196"/>
        </w:trPr>
        <w:tc>
          <w:tcPr>
            <w:tcW w:w="1040" w:type="dxa"/>
            <w:vAlign w:val="bottom"/>
          </w:tcPr>
          <w:p>
            <w:pPr>
              <w:spacing w:after="0"/>
              <w:rPr>
                <w:sz w:val="17"/>
                <w:szCs w:val="17"/>
                <w:color w:val="auto"/>
              </w:rPr>
            </w:pPr>
          </w:p>
        </w:tc>
        <w:tc>
          <w:tcPr>
            <w:tcW w:w="53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312">
              <w:r>
                <w:rPr>
                  <w:rFonts w:ascii="Times New Roman" w:cs="Times New Roman" w:eastAsia="Times New Roman" w:hAnsi="Times New Roman"/>
                  <w:sz w:val="18"/>
                  <w:szCs w:val="18"/>
                  <w:color w:val="0000EE"/>
                  <w:w w:val="99"/>
                </w:rPr>
                <w:t>Company’s Registration Statement on Form N-2 filed on March 20, 2018)</w:t>
              </w:r>
            </w:hyperlink>
          </w:p>
        </w:tc>
        <w:tc>
          <w:tcPr>
            <w:tcW w:w="4220" w:type="dxa"/>
            <w:vAlign w:val="bottom"/>
            <w:gridSpan w:val="2"/>
          </w:tcPr>
          <w:p>
            <w:pPr>
              <w:spacing w:after="0"/>
              <w:rPr>
                <w:sz w:val="17"/>
                <w:szCs w:val="17"/>
                <w:color w:val="auto"/>
              </w:rPr>
            </w:pPr>
          </w:p>
        </w:tc>
      </w:tr>
    </w:tbl>
    <w:p>
      <w:pPr>
        <w:spacing w:after="0" w:line="117" w:lineRule="exact"/>
        <w:rPr>
          <w:sz w:val="20"/>
          <w:szCs w:val="20"/>
          <w:color w:val="auto"/>
        </w:rPr>
      </w:pPr>
    </w:p>
    <w:p>
      <w:pPr>
        <w:ind w:left="1240" w:hanging="1036"/>
        <w:spacing w:after="0"/>
        <w:tabs>
          <w:tab w:leader="none" w:pos="12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1240" w:hanging="1036"/>
        <w:spacing w:after="0"/>
        <w:tabs>
          <w:tab w:leader="none" w:pos="12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1240" w:hanging="1036"/>
        <w:spacing w:after="0"/>
        <w:tabs>
          <w:tab w:leader="none" w:pos="12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04"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(r)(1)</w:t>
            </w:r>
          </w:p>
        </w:tc>
        <w:tc>
          <w:tcPr>
            <w:tcW w:w="95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rPr>
            </w:pPr>
            <w:hyperlink r:id="rId313">
              <w:r>
                <w:rPr>
                  <w:rFonts w:ascii="Times New Roman" w:cs="Times New Roman" w:eastAsia="Times New Roman" w:hAnsi="Times New Roman"/>
                  <w:sz w:val="18"/>
                  <w:szCs w:val="18"/>
                  <w:color w:val="0000EE"/>
                </w:rPr>
                <w:t>Code of Ethics of TPG Specialty Lending, Inc. (incorporated by reference to Exhibit (r)(1) to Pre-Effective Amendment No. 4 to the</w:t>
              </w:r>
            </w:hyperlink>
          </w:p>
        </w:tc>
        <w:tc>
          <w:tcPr>
            <w:tcW w:w="220" w:type="dxa"/>
            <w:vAlign w:val="bottom"/>
          </w:tcPr>
          <w:p>
            <w:pPr>
              <w:spacing w:after="0"/>
              <w:rPr>
                <w:sz w:val="18"/>
                <w:szCs w:val="18"/>
                <w:color w:val="auto"/>
              </w:rPr>
            </w:pPr>
          </w:p>
        </w:tc>
      </w:tr>
      <w:tr>
        <w:trPr>
          <w:trHeight w:val="196"/>
        </w:trPr>
        <w:tc>
          <w:tcPr>
            <w:tcW w:w="1040" w:type="dxa"/>
            <w:vAlign w:val="bottom"/>
          </w:tcPr>
          <w:p>
            <w:pPr>
              <w:spacing w:after="0"/>
              <w:rPr>
                <w:sz w:val="17"/>
                <w:szCs w:val="17"/>
                <w:color w:val="auto"/>
              </w:rPr>
            </w:pPr>
          </w:p>
        </w:tc>
        <w:tc>
          <w:tcPr>
            <w:tcW w:w="53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313">
              <w:r>
                <w:rPr>
                  <w:rFonts w:ascii="Times New Roman" w:cs="Times New Roman" w:eastAsia="Times New Roman" w:hAnsi="Times New Roman"/>
                  <w:sz w:val="18"/>
                  <w:szCs w:val="18"/>
                  <w:color w:val="0000EE"/>
                  <w:w w:val="99"/>
                </w:rPr>
                <w:t>Company’s Registration Statement on Form N-2 filed on March 17, 2014)</w:t>
              </w:r>
            </w:hyperlink>
          </w:p>
        </w:tc>
        <w:tc>
          <w:tcPr>
            <w:tcW w:w="4460" w:type="dxa"/>
            <w:vAlign w:val="bottom"/>
            <w:gridSpan w:val="2"/>
          </w:tcPr>
          <w:p>
            <w:pPr>
              <w:spacing w:after="0"/>
              <w:rPr>
                <w:sz w:val="17"/>
                <w:szCs w:val="17"/>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(r)(2)</w:t>
            </w:r>
          </w:p>
        </w:tc>
        <w:tc>
          <w:tcPr>
            <w:tcW w:w="98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314">
              <w:r>
                <w:rPr>
                  <w:rFonts w:ascii="Times New Roman" w:cs="Times New Roman" w:eastAsia="Times New Roman" w:hAnsi="Times New Roman"/>
                  <w:sz w:val="18"/>
                  <w:szCs w:val="18"/>
                  <w:color w:val="0000EE"/>
                  <w:w w:val="99"/>
                </w:rPr>
                <w:t>Code of Ethics of TSL Advisers, LLC (incorporated by reference to Exhibit (r)(2) to Pre-Effective Amendment No. 4 to the Company’s</w:t>
              </w:r>
            </w:hyperlink>
          </w:p>
        </w:tc>
      </w:tr>
      <w:tr>
        <w:trPr>
          <w:trHeight w:val="196"/>
        </w:trPr>
        <w:tc>
          <w:tcPr>
            <w:tcW w:w="1040" w:type="dxa"/>
            <w:vAlign w:val="bottom"/>
          </w:tcPr>
          <w:p>
            <w:pPr>
              <w:spacing w:after="0"/>
              <w:rPr>
                <w:sz w:val="17"/>
                <w:szCs w:val="17"/>
                <w:color w:val="auto"/>
              </w:rPr>
            </w:pPr>
          </w:p>
        </w:tc>
        <w:tc>
          <w:tcPr>
            <w:tcW w:w="9800" w:type="dxa"/>
            <w:vAlign w:val="bottom"/>
            <w:gridSpan w:val="4"/>
          </w:tcPr>
          <w:p>
            <w:pPr>
              <w:spacing w:after="0" w:line="196" w:lineRule="exact"/>
              <w:rPr>
                <w:rFonts w:ascii="Times New Roman" w:cs="Times New Roman" w:eastAsia="Times New Roman" w:hAnsi="Times New Roman"/>
                <w:sz w:val="18"/>
                <w:szCs w:val="18"/>
                <w:color w:val="0000EE"/>
              </w:rPr>
            </w:pPr>
            <w:hyperlink r:id="rId314">
              <w:r>
                <w:rPr>
                  <w:rFonts w:ascii="Times New Roman" w:cs="Times New Roman" w:eastAsia="Times New Roman" w:hAnsi="Times New Roman"/>
                  <w:sz w:val="18"/>
                  <w:szCs w:val="18"/>
                  <w:color w:val="0000EE"/>
                </w:rPr>
                <w:t>Registration Statement on Form N-2 filed on March 17, 2014)</w:t>
              </w:r>
            </w:hyperlink>
          </w:p>
        </w:tc>
      </w:tr>
      <w:tr>
        <w:trPr>
          <w:trHeight w:val="20"/>
        </w:trPr>
        <w:tc>
          <w:tcPr>
            <w:tcW w:w="1040" w:type="dxa"/>
            <w:vAlign w:val="bottom"/>
          </w:tcPr>
          <w:p>
            <w:pPr>
              <w:spacing w:after="0" w:line="20" w:lineRule="exact"/>
              <w:rPr>
                <w:sz w:val="1"/>
                <w:szCs w:val="1"/>
                <w:color w:val="auto"/>
              </w:rPr>
            </w:pPr>
          </w:p>
        </w:tc>
        <w:tc>
          <w:tcPr>
            <w:tcW w:w="4460" w:type="dxa"/>
            <w:vAlign w:val="bottom"/>
            <w:shd w:val="clear" w:color="auto" w:fill="0000EE"/>
          </w:tcPr>
          <w:p>
            <w:pPr>
              <w:spacing w:after="0" w:line="20" w:lineRule="exact"/>
              <w:rPr>
                <w:sz w:val="1"/>
                <w:szCs w:val="1"/>
                <w:color w:val="auto"/>
              </w:rPr>
            </w:pPr>
          </w:p>
        </w:tc>
        <w:tc>
          <w:tcPr>
            <w:tcW w:w="5340" w:type="dxa"/>
            <w:vAlign w:val="bottom"/>
            <w:gridSpan w:val="3"/>
          </w:tcPr>
          <w:p>
            <w:pPr>
              <w:spacing w:after="0" w:line="20" w:lineRule="exact"/>
              <w:rPr>
                <w:sz w:val="1"/>
                <w:szCs w:val="1"/>
                <w:color w:val="auto"/>
              </w:rPr>
            </w:pPr>
          </w:p>
        </w:tc>
      </w:tr>
      <w:tr>
        <w:trPr>
          <w:trHeight w:val="385"/>
        </w:trPr>
        <w:tc>
          <w:tcPr>
            <w:tcW w:w="1040" w:type="dxa"/>
            <w:vAlign w:val="bottom"/>
          </w:tcPr>
          <w:p>
            <w:pPr>
              <w:spacing w:after="0"/>
              <w:rPr>
                <w:sz w:val="24"/>
                <w:szCs w:val="24"/>
                <w:color w:val="auto"/>
              </w:rPr>
            </w:pPr>
          </w:p>
        </w:tc>
        <w:tc>
          <w:tcPr>
            <w:tcW w:w="9800" w:type="dxa"/>
            <w:vAlign w:val="bottom"/>
            <w:gridSpan w:val="4"/>
          </w:tcPr>
          <w:p>
            <w:pPr>
              <w:ind w:left="4340"/>
              <w:spacing w:after="0"/>
              <w:rPr>
                <w:sz w:val="20"/>
                <w:szCs w:val="20"/>
                <w:color w:val="auto"/>
              </w:rPr>
            </w:pPr>
            <w:r>
              <w:rPr>
                <w:rFonts w:ascii="Times New Roman" w:cs="Times New Roman" w:eastAsia="Times New Roman" w:hAnsi="Times New Roman"/>
                <w:sz w:val="18"/>
                <w:szCs w:val="18"/>
                <w:color w:val="auto"/>
              </w:rPr>
              <w:t>C-3</w:t>
            </w:r>
          </w:p>
        </w:tc>
      </w:tr>
    </w:tbl>
    <w:p>
      <w:pPr>
        <w:sectPr>
          <w:pgSz w:w="11900" w:h="16838" w:orient="portrait"/>
          <w:cols w:equalWidth="0" w:num="1">
            <w:col w:w="11220"/>
          </w:cols>
          <w:pgMar w:left="240" w:top="456" w:right="43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1100" w:right="380" w:hanging="890"/>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r:id="rId316">
        <w:r>
          <w:rPr>
            <w:rFonts w:ascii="Times New Roman" w:cs="Times New Roman" w:eastAsia="Times New Roman" w:hAnsi="Times New Roman"/>
            <w:sz w:val="18"/>
            <w:szCs w:val="18"/>
            <w:u w:val="single" w:color="auto"/>
            <w:color w:val="0000EE"/>
          </w:rPr>
          <w:t>Form of Preliminary Prospectus Supplement For Common Stock Offerings (incorporated by reference to Exhibit 99.1 to Pre-Effective</w:t>
        </w:r>
      </w:hyperlink>
      <w:r>
        <w:rPr>
          <w:rFonts w:ascii="Times New Roman" w:cs="Times New Roman" w:eastAsia="Times New Roman" w:hAnsi="Times New Roman"/>
          <w:sz w:val="18"/>
          <w:szCs w:val="18"/>
          <w:u w:val="single" w:color="auto"/>
          <w:color w:val="0000EE"/>
        </w:rPr>
        <w:t xml:space="preserve"> </w:t>
      </w:r>
      <w:hyperlink r:id="rId316">
        <w:r>
          <w:rPr>
            <w:rFonts w:ascii="Times New Roman" w:cs="Times New Roman" w:eastAsia="Times New Roman" w:hAnsi="Times New Roman"/>
            <w:sz w:val="18"/>
            <w:szCs w:val="18"/>
            <w:u w:val="single" w:color="auto"/>
            <w:color w:val="0000EE"/>
          </w:rPr>
          <w:t>Amendment No. 1 to the Company’s Registration Statement on Form N-2 filed on July 25, 2014)</w:t>
        </w:r>
      </w:hyperlink>
    </w:p>
    <w:p>
      <w:pPr>
        <w:spacing w:after="0" w:line="54" w:lineRule="exact"/>
        <w:rPr>
          <w:sz w:val="20"/>
          <w:szCs w:val="20"/>
          <w:color w:val="auto"/>
        </w:rPr>
      </w:pPr>
    </w:p>
    <w:p>
      <w:pPr>
        <w:ind w:left="1100" w:right="380" w:hanging="890"/>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99.2</w:t>
      </w:r>
      <w:r>
        <w:rPr>
          <w:sz w:val="20"/>
          <w:szCs w:val="20"/>
          <w:color w:val="auto"/>
        </w:rPr>
        <w:tab/>
      </w:r>
      <w:hyperlink r:id="rId317">
        <w:r>
          <w:rPr>
            <w:rFonts w:ascii="Times New Roman" w:cs="Times New Roman" w:eastAsia="Times New Roman" w:hAnsi="Times New Roman"/>
            <w:sz w:val="18"/>
            <w:szCs w:val="18"/>
            <w:u w:val="single" w:color="auto"/>
            <w:color w:val="0000EE"/>
          </w:rPr>
          <w:t>Form of Preliminary Prospectus Supplement For Preferred Stock Offerings (incorporated by reference to Exhibit 99.2 to Pre-Effective</w:t>
        </w:r>
      </w:hyperlink>
      <w:r>
        <w:rPr>
          <w:rFonts w:ascii="Times New Roman" w:cs="Times New Roman" w:eastAsia="Times New Roman" w:hAnsi="Times New Roman"/>
          <w:sz w:val="18"/>
          <w:szCs w:val="18"/>
          <w:u w:val="single" w:color="auto"/>
          <w:color w:val="0000EE"/>
        </w:rPr>
        <w:t xml:space="preserve"> </w:t>
      </w:r>
      <w:hyperlink r:id="rId317">
        <w:r>
          <w:rPr>
            <w:rFonts w:ascii="Times New Roman" w:cs="Times New Roman" w:eastAsia="Times New Roman" w:hAnsi="Times New Roman"/>
            <w:sz w:val="18"/>
            <w:szCs w:val="18"/>
            <w:u w:val="single" w:color="auto"/>
            <w:color w:val="0000EE"/>
          </w:rPr>
          <w:t>Amendment No. 1 to the Company’s Registration Statement on Form N-2 filed on July 25, 2014)</w:t>
        </w:r>
      </w:hyperlink>
    </w:p>
    <w:p>
      <w:pPr>
        <w:spacing w:after="0" w:line="54" w:lineRule="exact"/>
        <w:rPr>
          <w:sz w:val="20"/>
          <w:szCs w:val="20"/>
          <w:color w:val="auto"/>
        </w:rPr>
      </w:pPr>
    </w:p>
    <w:p>
      <w:pPr>
        <w:ind w:left="1100" w:right="400" w:hanging="890"/>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99.3</w:t>
      </w:r>
      <w:r>
        <w:rPr>
          <w:sz w:val="20"/>
          <w:szCs w:val="20"/>
          <w:color w:val="auto"/>
        </w:rPr>
        <w:tab/>
      </w:r>
      <w:hyperlink r:id="rId318">
        <w:r>
          <w:rPr>
            <w:rFonts w:ascii="Times New Roman" w:cs="Times New Roman" w:eastAsia="Times New Roman" w:hAnsi="Times New Roman"/>
            <w:sz w:val="18"/>
            <w:szCs w:val="18"/>
            <w:u w:val="single" w:color="auto"/>
            <w:color w:val="0000EE"/>
          </w:rPr>
          <w:t>Form of Preliminary Prospectus Supplement For Debt Securities Offerings (incorporated by reference to Exhibit 99.3 to Pre-Effective</w:t>
        </w:r>
      </w:hyperlink>
      <w:r>
        <w:rPr>
          <w:rFonts w:ascii="Times New Roman" w:cs="Times New Roman" w:eastAsia="Times New Roman" w:hAnsi="Times New Roman"/>
          <w:sz w:val="18"/>
          <w:szCs w:val="18"/>
          <w:u w:val="single" w:color="auto"/>
          <w:color w:val="0000EE"/>
        </w:rPr>
        <w:t xml:space="preserve"> </w:t>
      </w:r>
      <w:hyperlink r:id="rId318">
        <w:r>
          <w:rPr>
            <w:rFonts w:ascii="Times New Roman" w:cs="Times New Roman" w:eastAsia="Times New Roman" w:hAnsi="Times New Roman"/>
            <w:sz w:val="18"/>
            <w:szCs w:val="18"/>
            <w:u w:val="single" w:color="auto"/>
            <w:color w:val="0000EE"/>
          </w:rPr>
          <w:t>Amendment No. 1 to the Company’s Registration Statement on Form N-2 filed on July 25, 2014)</w:t>
        </w:r>
      </w:hyperlink>
    </w:p>
    <w:p>
      <w:pPr>
        <w:spacing w:after="0" w:line="54" w:lineRule="exact"/>
        <w:rPr>
          <w:sz w:val="20"/>
          <w:szCs w:val="20"/>
          <w:color w:val="auto"/>
        </w:rPr>
      </w:pPr>
    </w:p>
    <w:p>
      <w:pPr>
        <w:ind w:left="1100" w:right="100" w:hanging="890"/>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99.4</w:t>
      </w:r>
      <w:r>
        <w:rPr>
          <w:sz w:val="20"/>
          <w:szCs w:val="20"/>
          <w:color w:val="auto"/>
        </w:rPr>
        <w:tab/>
      </w:r>
      <w:hyperlink r:id="rId319">
        <w:r>
          <w:rPr>
            <w:rFonts w:ascii="Times New Roman" w:cs="Times New Roman" w:eastAsia="Times New Roman" w:hAnsi="Times New Roman"/>
            <w:sz w:val="18"/>
            <w:szCs w:val="18"/>
            <w:u w:val="single" w:color="auto"/>
            <w:color w:val="0000EE"/>
          </w:rPr>
          <w:t>Form of Preliminary Prospectus Supplement For Rights Offerings (incorporated by reference to Exhibit 99.4 to Pre-Effective Amendment</w:t>
        </w:r>
      </w:hyperlink>
      <w:r>
        <w:rPr>
          <w:rFonts w:ascii="Times New Roman" w:cs="Times New Roman" w:eastAsia="Times New Roman" w:hAnsi="Times New Roman"/>
          <w:sz w:val="18"/>
          <w:szCs w:val="18"/>
          <w:u w:val="single" w:color="auto"/>
          <w:color w:val="0000EE"/>
        </w:rPr>
        <w:t xml:space="preserve"> </w:t>
      </w:r>
      <w:hyperlink r:id="rId319">
        <w:r>
          <w:rPr>
            <w:rFonts w:ascii="Times New Roman" w:cs="Times New Roman" w:eastAsia="Times New Roman" w:hAnsi="Times New Roman"/>
            <w:sz w:val="18"/>
            <w:szCs w:val="18"/>
            <w:u w:val="single" w:color="auto"/>
            <w:color w:val="0000EE"/>
          </w:rPr>
          <w:t>No. 1 to the Company’s Registration Statement on Form N-2 filed on July 25, 2014)</w:t>
        </w:r>
      </w:hyperlink>
    </w:p>
    <w:p>
      <w:pPr>
        <w:spacing w:after="0" w:line="54" w:lineRule="exact"/>
        <w:rPr>
          <w:sz w:val="20"/>
          <w:szCs w:val="20"/>
          <w:color w:val="auto"/>
        </w:rPr>
      </w:pPr>
    </w:p>
    <w:p>
      <w:pPr>
        <w:ind w:left="1100" w:hanging="890"/>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99.5</w:t>
      </w:r>
      <w:r>
        <w:rPr>
          <w:sz w:val="20"/>
          <w:szCs w:val="20"/>
          <w:color w:val="auto"/>
        </w:rPr>
        <w:tab/>
      </w:r>
      <w:hyperlink r:id="rId320">
        <w:r>
          <w:rPr>
            <w:rFonts w:ascii="Times New Roman" w:cs="Times New Roman" w:eastAsia="Times New Roman" w:hAnsi="Times New Roman"/>
            <w:sz w:val="18"/>
            <w:szCs w:val="18"/>
            <w:u w:val="single" w:color="auto"/>
            <w:color w:val="0000EE"/>
          </w:rPr>
          <w:t>Form of Preliminary Prospectus Supplement For Warrant Offerings (incorporated by reference to Exhibit 99.5 to Pre-Effective Amendment</w:t>
        </w:r>
      </w:hyperlink>
      <w:r>
        <w:rPr>
          <w:rFonts w:ascii="Times New Roman" w:cs="Times New Roman" w:eastAsia="Times New Roman" w:hAnsi="Times New Roman"/>
          <w:sz w:val="18"/>
          <w:szCs w:val="18"/>
          <w:u w:val="single" w:color="auto"/>
          <w:color w:val="0000EE"/>
        </w:rPr>
        <w:t xml:space="preserve"> </w:t>
      </w:r>
      <w:hyperlink r:id="rId320">
        <w:r>
          <w:rPr>
            <w:rFonts w:ascii="Times New Roman" w:cs="Times New Roman" w:eastAsia="Times New Roman" w:hAnsi="Times New Roman"/>
            <w:sz w:val="18"/>
            <w:szCs w:val="18"/>
            <w:u w:val="single" w:color="auto"/>
            <w:color w:val="0000EE"/>
          </w:rPr>
          <w:t>No. 1 to the Company’s Registration Statement on Form N-2 filed on July 25, 2014)</w:t>
        </w:r>
      </w:hyperlink>
    </w:p>
    <w:p>
      <w:pPr>
        <w:spacing w:after="0" w:line="54" w:lineRule="exact"/>
        <w:rPr>
          <w:sz w:val="20"/>
          <w:szCs w:val="20"/>
          <w:color w:val="auto"/>
        </w:rPr>
      </w:pPr>
    </w:p>
    <w:p>
      <w:pPr>
        <w:ind w:left="200"/>
        <w:spacing w:after="0"/>
        <w:tabs>
          <w:tab w:leader="none" w:pos="1080" w:val="left"/>
        </w:tabs>
        <w:rPr>
          <w:sz w:val="20"/>
          <w:szCs w:val="20"/>
          <w:color w:val="auto"/>
        </w:rPr>
      </w:pPr>
      <w:r>
        <w:rPr>
          <w:rFonts w:ascii="Times New Roman" w:cs="Times New Roman" w:eastAsia="Times New Roman" w:hAnsi="Times New Roman"/>
          <w:sz w:val="18"/>
          <w:szCs w:val="18"/>
          <w:color w:val="auto"/>
        </w:rPr>
        <w:t>99.6</w:t>
      </w:r>
      <w:r>
        <w:rPr>
          <w:sz w:val="20"/>
          <w:szCs w:val="20"/>
          <w:color w:val="auto"/>
        </w:rPr>
        <w:tab/>
      </w:r>
      <w:r>
        <w:rPr>
          <w:rFonts w:ascii="Times New Roman" w:cs="Times New Roman" w:eastAsia="Times New Roman" w:hAnsi="Times New Roman"/>
          <w:sz w:val="17"/>
          <w:szCs w:val="17"/>
          <w:u w:val="single" w:color="auto"/>
          <w:color w:val="0000EE"/>
        </w:rPr>
        <w:t>Statement of Computation of Ratio of Earnings to Fixed Charges</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26. Marketing Arrangements</w:t>
      </w:r>
    </w:p>
    <w:p>
      <w:pPr>
        <w:spacing w:after="0" w:line="121" w:lineRule="exact"/>
        <w:rPr>
          <w:sz w:val="20"/>
          <w:szCs w:val="20"/>
          <w:color w:val="auto"/>
        </w:rPr>
      </w:pPr>
    </w:p>
    <w:p>
      <w:pPr>
        <w:ind w:left="200" w:right="260" w:firstLine="441"/>
        <w:spacing w:after="0" w:line="282" w:lineRule="auto"/>
        <w:rPr>
          <w:sz w:val="20"/>
          <w:szCs w:val="20"/>
          <w:color w:val="auto"/>
        </w:rPr>
      </w:pPr>
      <w:r>
        <w:rPr>
          <w:rFonts w:ascii="Times New Roman" w:cs="Times New Roman" w:eastAsia="Times New Roman" w:hAnsi="Times New Roman"/>
          <w:sz w:val="18"/>
          <w:szCs w:val="18"/>
          <w:color w:val="auto"/>
        </w:rPr>
        <w:t>The information contained under the heading “Plan of Distribution” in this Registration Statement is incorporated herein by reference and any information concerning any underwriters for a particular offering will be contained in the prospectus supplement related to that offering.</w:t>
      </w:r>
    </w:p>
    <w:p>
      <w:pPr>
        <w:spacing w:after="0" w:line="266"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27. Other Expenses of Issuance and Distribution</w:t>
            </w:r>
          </w:p>
        </w:tc>
        <w:tc>
          <w:tcPr>
            <w:tcW w:w="1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80" w:type="dxa"/>
            <w:vAlign w:val="bottom"/>
            <w:vMerge w:val="restart"/>
          </w:tcPr>
          <w:p>
            <w:pPr>
              <w:spacing w:after="0"/>
              <w:rPr>
                <w:sz w:val="21"/>
                <w:szCs w:val="21"/>
                <w:color w:val="auto"/>
              </w:rPr>
            </w:pPr>
          </w:p>
        </w:tc>
        <w:tc>
          <w:tcPr>
            <w:tcW w:w="5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8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2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93,375*</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113,000**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NYSE listing fee</w:t>
            </w:r>
          </w:p>
        </w:tc>
        <w:tc>
          <w:tcPr>
            <w:tcW w:w="2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2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50,000</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300,000</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40,000</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28,625</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23"/>
        </w:trPr>
        <w:tc>
          <w:tcPr>
            <w:tcW w:w="69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725,000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40" w:hanging="436"/>
        <w:spacing w:after="0"/>
        <w:tabs>
          <w:tab w:leader="none" w:pos="6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are estimates.</w:t>
      </w:r>
    </w:p>
    <w:p>
      <w:pPr>
        <w:spacing w:after="0" w:line="27" w:lineRule="exact"/>
        <w:rPr>
          <w:sz w:val="20"/>
          <w:szCs w:val="20"/>
          <w:color w:val="auto"/>
        </w:rPr>
      </w:pPr>
    </w:p>
    <w:p>
      <w:pPr>
        <w:ind w:left="200" w:right="260" w:firstLine="4"/>
        <w:spacing w:after="0" w:line="261" w:lineRule="auto"/>
        <w:tabs>
          <w:tab w:leader="none" w:pos="632"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$75,525 of this amount has been offset against filing fees associated with unsold securities registered under a previous registration statement. ** $112,500 of this amount has been offset against filing fees associated with unsold securities registered under a previous registration statement.</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28. Persons Controlled by or Under Common Control</w:t>
      </w:r>
    </w:p>
    <w:p>
      <w:pPr>
        <w:spacing w:after="0" w:line="121" w:lineRule="exact"/>
        <w:rPr>
          <w:sz w:val="20"/>
          <w:szCs w:val="20"/>
          <w:color w:val="auto"/>
        </w:rPr>
      </w:pPr>
    </w:p>
    <w:p>
      <w:pPr>
        <w:ind w:left="200" w:right="360" w:firstLine="441"/>
        <w:spacing w:after="0" w:line="282" w:lineRule="auto"/>
        <w:rPr>
          <w:sz w:val="20"/>
          <w:szCs w:val="20"/>
          <w:color w:val="auto"/>
        </w:rPr>
      </w:pPr>
      <w:r>
        <w:rPr>
          <w:rFonts w:ascii="Times New Roman" w:cs="Times New Roman" w:eastAsia="Times New Roman" w:hAnsi="Times New Roman"/>
          <w:sz w:val="18"/>
          <w:szCs w:val="18"/>
          <w:color w:val="auto"/>
        </w:rPr>
        <w:t>The information contained under the headings “The Company,” “Management,” “Related-Party Transactions and Certain Relationships” and “Control Persons and Principal Stockholders” in this Registration Statement is incorporated herein by reference.</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1140"/>
          </w:cols>
          <w:pgMar w:left="240" w:top="455" w:right="51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29. Number of Holders of Securities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the approximate number of record holders of our common stock as of March 26, 2018.</w:t>
      </w:r>
    </w:p>
    <w:p>
      <w:pPr>
        <w:spacing w:after="0" w:line="233"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940" w:type="dxa"/>
            <w:vAlign w:val="bottom"/>
            <w:gridSpan w:val="3"/>
          </w:tcPr>
          <w:p>
            <w:pPr>
              <w:jc w:val="center"/>
              <w:ind w:left="208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222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Record</w:t>
            </w:r>
          </w:p>
        </w:tc>
        <w:tc>
          <w:tcPr>
            <w:tcW w:w="0" w:type="dxa"/>
            <w:vAlign w:val="bottom"/>
          </w:tcPr>
          <w:p>
            <w:pPr>
              <w:spacing w:after="0"/>
              <w:rPr>
                <w:sz w:val="1"/>
                <w:szCs w:val="1"/>
                <w:color w:val="auto"/>
              </w:rPr>
            </w:pPr>
          </w:p>
        </w:tc>
      </w:tr>
      <w:tr>
        <w:trPr>
          <w:trHeight w:val="193"/>
        </w:trPr>
        <w:tc>
          <w:tcPr>
            <w:tcW w:w="4540" w:type="dxa"/>
            <w:vAlign w:val="bottom"/>
            <w:gridSpan w:val="2"/>
            <w:vMerge w:val="continue"/>
          </w:tcPr>
          <w:p>
            <w:pPr>
              <w:spacing w:after="0"/>
              <w:rPr>
                <w:sz w:val="16"/>
                <w:szCs w:val="16"/>
                <w:color w:val="auto"/>
              </w:rPr>
            </w:pPr>
          </w:p>
        </w:tc>
        <w:tc>
          <w:tcPr>
            <w:tcW w:w="2220" w:type="dxa"/>
            <w:vAlign w:val="bottom"/>
          </w:tcPr>
          <w:p>
            <w:pPr>
              <w:spacing w:after="0"/>
              <w:rPr>
                <w:sz w:val="16"/>
                <w:szCs w:val="16"/>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Holders</w:t>
            </w:r>
          </w:p>
        </w:tc>
        <w:tc>
          <w:tcPr>
            <w:tcW w:w="0" w:type="dxa"/>
            <w:vAlign w:val="bottom"/>
          </w:tcPr>
          <w:p>
            <w:pPr>
              <w:spacing w:after="0"/>
              <w:rPr>
                <w:sz w:val="1"/>
                <w:szCs w:val="1"/>
                <w:color w:val="auto"/>
              </w:rPr>
            </w:pPr>
          </w:p>
        </w:tc>
      </w:tr>
      <w:tr>
        <w:trPr>
          <w:trHeight w:val="190"/>
        </w:trPr>
        <w:tc>
          <w:tcPr>
            <w:tcW w:w="80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Common</w:t>
            </w:r>
          </w:p>
        </w:tc>
        <w:tc>
          <w:tcPr>
            <w:tcW w:w="374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Stock, $0.01 par value</w:t>
            </w:r>
          </w:p>
        </w:tc>
        <w:tc>
          <w:tcPr>
            <w:tcW w:w="22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30. Indemnification</w:t>
      </w:r>
    </w:p>
    <w:p>
      <w:pPr>
        <w:spacing w:after="0" w:line="121" w:lineRule="exact"/>
        <w:rPr>
          <w:sz w:val="20"/>
          <w:szCs w:val="20"/>
          <w:color w:val="auto"/>
        </w:rPr>
      </w:pPr>
    </w:p>
    <w:p>
      <w:pPr>
        <w:ind w:left="200" w:right="40" w:firstLine="441"/>
        <w:spacing w:after="0" w:line="254" w:lineRule="auto"/>
        <w:rPr>
          <w:sz w:val="20"/>
          <w:szCs w:val="20"/>
          <w:color w:val="auto"/>
        </w:rPr>
      </w:pPr>
      <w:r>
        <w:rPr>
          <w:rFonts w:ascii="Times New Roman" w:cs="Times New Roman" w:eastAsia="Times New Roman" w:hAnsi="Times New Roman"/>
          <w:sz w:val="18"/>
          <w:szCs w:val="18"/>
          <w:color w:val="auto"/>
        </w:rPr>
        <w:t>Section 145 of the DGCL allows for the indemnification of officers, directors and any corporate agents in terms sufficiently broad to indemnify these persons under certain circumstances for liabilities, including reimbursement for expenses, incurred arising under the Securities Act. Our certificate of incorporation and bylaws provide that we shall indemnify our directors and officers to the fullest extent authorized or permitted by law and this right to indemnification shall continue as to a person who has ceased to be a director or officer and shall inure to the benefit of his or her heirs, executors and personal and legal representatives; provided, however, that, except for proceedings to enforce rights to indemnification, we are not obligated to indemnify any director or officer (or his or her heirs, executors or personal or legal representatives) in connection with a proceeding (or part</w:t>
      </w:r>
    </w:p>
    <w:p>
      <w:pPr>
        <w:ind w:left="200" w:right="460"/>
        <w:spacing w:after="0" w:line="255" w:lineRule="auto"/>
        <w:rPr>
          <w:sz w:val="20"/>
          <w:szCs w:val="20"/>
          <w:color w:val="auto"/>
        </w:rPr>
      </w:pPr>
      <w:r>
        <w:rPr>
          <w:rFonts w:ascii="Times New Roman" w:cs="Times New Roman" w:eastAsia="Times New Roman" w:hAnsi="Times New Roman"/>
          <w:sz w:val="18"/>
          <w:szCs w:val="18"/>
          <w:color w:val="auto"/>
        </w:rPr>
        <w:t>thereof) initiated by the person unless the proceeding (or part thereof) was authorized or consented to by the Board. The right to indemnification conferred includes the right to be paid by us the expenses incurred in defending or otherwise participating in any proceeding in advance of its final disposition.</w:t>
      </w:r>
    </w:p>
    <w:p>
      <w:pPr>
        <w:spacing w:after="0" w:line="186" w:lineRule="exact"/>
        <w:rPr>
          <w:sz w:val="20"/>
          <w:szCs w:val="20"/>
          <w:color w:val="auto"/>
        </w:rPr>
      </w:pPr>
    </w:p>
    <w:p>
      <w:pPr>
        <w:ind w:left="200" w:right="120" w:firstLine="441"/>
        <w:spacing w:after="0" w:line="256" w:lineRule="auto"/>
        <w:rPr>
          <w:sz w:val="20"/>
          <w:szCs w:val="20"/>
          <w:color w:val="auto"/>
        </w:rPr>
      </w:pPr>
      <w:r>
        <w:rPr>
          <w:rFonts w:ascii="Times New Roman" w:cs="Times New Roman" w:eastAsia="Times New Roman" w:hAnsi="Times New Roman"/>
          <w:sz w:val="18"/>
          <w:szCs w:val="18"/>
          <w:color w:val="auto"/>
        </w:rPr>
        <w:t>So long as we are regulated under the 1940 Act, the above indemnification is limited by the 1940 Act or by any valid rule, regulation or order of the SEC thereunder. The 1940 Act provides, among other things, that a company may not indemnify any director or officer against liability to it or its security holders to which he or she might otherwise be subject by reason of his or her willful misfeasance, bad faith, gross negligence or reckless disregard of the duties involved in the conduct of his or her office unless a determination is made by final decision of a court, by vote of a majority of a quorum of directors who are disinterested, non-party directors or by independent legal counsel that the liability for which indemnification is sought did not arise out of the foregoing conduct.</w:t>
      </w:r>
    </w:p>
    <w:p>
      <w:pPr>
        <w:spacing w:after="0" w:line="188" w:lineRule="exact"/>
        <w:rPr>
          <w:sz w:val="20"/>
          <w:szCs w:val="20"/>
          <w:color w:val="auto"/>
        </w:rPr>
      </w:pPr>
    </w:p>
    <w:p>
      <w:pPr>
        <w:ind w:left="200" w:right="40" w:firstLine="441"/>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officers that provide for a contractual right to indemnification to the fullest extent permitted by the DGCL. A form of indemnification agreement has been filed as an exhibit to this Registration Statement.</w:t>
      </w:r>
    </w:p>
    <w:p>
      <w:pPr>
        <w:spacing w:after="0" w:line="162"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such repeal or modification with respect to any acts or omissions occurring prior to such repeal or modification.</w:t>
      </w:r>
    </w:p>
    <w:p>
      <w:pPr>
        <w:spacing w:after="0" w:line="184"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these Agreements or otherwise as an investment adviser of ours (except to the extent specified in Section 36(b) of the 1940 Act concerning loss resulting from a breach of</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C-5</w:t>
      </w:r>
    </w:p>
    <w:p>
      <w:pPr>
        <w:sectPr>
          <w:pgSz w:w="11900" w:h="16838" w:orient="portrait"/>
          <w:cols w:equalWidth="0" w:num="1">
            <w:col w:w="11220"/>
          </w:cols>
          <w:pgMar w:left="240" w:top="456" w:right="43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Times New Roman" w:cs="Times New Roman" w:eastAsia="Times New Roman" w:hAnsi="Times New Roman"/>
          <w:sz w:val="18"/>
          <w:szCs w:val="18"/>
          <w:color w:val="auto"/>
        </w:rPr>
        <w:t>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or any other person or entity affiliated with the Adviser, including without limitation the Administrator, or is or was a member of the Adviser’s Investment Review Committee (each such person hereinafter an “Indemnitee”), on the same general terms set forth in the certificate of incorporation.</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w:t>
      </w:r>
    </w:p>
    <w:p>
      <w:pPr>
        <w:spacing w:after="0" w:line="225"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liability arising under the Securities Act may be permitted to directors, officers and controlling persons of the Registrant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31. Business and Other Connections of Investment Advisor</w:t>
      </w:r>
    </w:p>
    <w:p>
      <w:pPr>
        <w:spacing w:after="0" w:line="121" w:lineRule="exact"/>
        <w:rPr>
          <w:sz w:val="20"/>
          <w:szCs w:val="20"/>
          <w:color w:val="auto"/>
        </w:rPr>
      </w:pPr>
    </w:p>
    <w:p>
      <w:pPr>
        <w:ind w:left="200" w:right="40" w:firstLine="441"/>
        <w:spacing w:after="0" w:line="258" w:lineRule="auto"/>
        <w:rPr>
          <w:sz w:val="20"/>
          <w:szCs w:val="20"/>
          <w:color w:val="auto"/>
        </w:rPr>
      </w:pPr>
      <w:r>
        <w:rPr>
          <w:rFonts w:ascii="Times New Roman" w:cs="Times New Roman" w:eastAsia="Times New Roman" w:hAnsi="Times New Roman"/>
          <w:sz w:val="18"/>
          <w:szCs w:val="18"/>
          <w:color w:val="auto"/>
        </w:rPr>
        <w:t>A description of any other business, profession, vocation or employment of a substantial nature in which the Adviser, and each managing director, director or executive officer of the Adviser, is or has been during the past two fiscal years, engaged in for his or her own account or in the capacity of director, officer, employee, partner or trustee, is set forth in this Registration Statement in the sections entitled “The Company,” “Management” and “Management and Other Agreements.” Additional information regarding the Adviser and its officers is set forth in its Form ADV, filed with the SEC (SEC File No. 801-72185), and is incorporated herein by reference.</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32. Location of Accounts and Records</w:t>
      </w:r>
    </w:p>
    <w:p>
      <w:pPr>
        <w:spacing w:after="0" w:line="121" w:lineRule="exact"/>
        <w:rPr>
          <w:sz w:val="20"/>
          <w:szCs w:val="20"/>
          <w:color w:val="auto"/>
        </w:rPr>
      </w:pPr>
    </w:p>
    <w:p>
      <w:pPr>
        <w:ind w:left="200" w:right="200" w:firstLine="441"/>
        <w:spacing w:after="0" w:line="282" w:lineRule="auto"/>
        <w:rPr>
          <w:sz w:val="20"/>
          <w:szCs w:val="20"/>
          <w:color w:val="auto"/>
        </w:rPr>
      </w:pPr>
      <w:r>
        <w:rPr>
          <w:rFonts w:ascii="Times New Roman" w:cs="Times New Roman" w:eastAsia="Times New Roman" w:hAnsi="Times New Roman"/>
          <w:sz w:val="18"/>
          <w:szCs w:val="18"/>
          <w:color w:val="auto"/>
        </w:rPr>
        <w:t>All accounts, books and other documents required to be maintained by Section 31(a) of the 1940 Act, and the rules thereunder are maintained at the offices of:</w:t>
      </w:r>
    </w:p>
    <w:p>
      <w:pPr>
        <w:spacing w:after="0" w:line="67" w:lineRule="exact"/>
        <w:rPr>
          <w:sz w:val="20"/>
          <w:szCs w:val="20"/>
          <w:color w:val="auto"/>
        </w:rPr>
      </w:pPr>
    </w:p>
    <w:p>
      <w:pPr>
        <w:ind w:left="640" w:hanging="436"/>
        <w:spacing w:after="0"/>
        <w:tabs>
          <w:tab w:leader="none" w:pos="6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301 Commerce Street, Suite 3300, Fort Worth, TX 76102;</w:t>
      </w:r>
    </w:p>
    <w:p>
      <w:pPr>
        <w:spacing w:after="0" w:line="130"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agent, State Street Bank and Trust Company, 200 Clarendon Street, Boston, MA 02116;</w:t>
      </w:r>
    </w:p>
    <w:p>
      <w:pPr>
        <w:spacing w:after="0" w:line="130"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custodian, State Street Bank and Trust Company, 1 Lincoln Street Boston, MA 02111; and</w:t>
      </w:r>
    </w:p>
    <w:p>
      <w:pPr>
        <w:spacing w:after="0" w:line="130" w:lineRule="exact"/>
        <w:rPr>
          <w:rFonts w:ascii="Times New Roman" w:cs="Times New Roman" w:eastAsia="Times New Roman" w:hAnsi="Times New Roman"/>
          <w:sz w:val="18"/>
          <w:szCs w:val="18"/>
          <w:color w:val="auto"/>
        </w:rPr>
      </w:pPr>
    </w:p>
    <w:p>
      <w:pPr>
        <w:ind w:left="640" w:hanging="436"/>
        <w:spacing w:after="0"/>
        <w:tabs>
          <w:tab w:leader="none" w:pos="6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301 Commerce Street, Suite 3300, Fort Worth, TX 76102.</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33. Management Services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34. Undertakings</w:t>
      </w:r>
    </w:p>
    <w:p>
      <w:pPr>
        <w:spacing w:after="0" w:line="135" w:lineRule="exact"/>
        <w:rPr>
          <w:sz w:val="20"/>
          <w:szCs w:val="20"/>
          <w:color w:val="auto"/>
        </w:rPr>
      </w:pPr>
    </w:p>
    <w:p>
      <w:pPr>
        <w:ind w:left="740" w:right="20" w:hanging="536"/>
        <w:spacing w:after="0" w:line="266" w:lineRule="auto"/>
        <w:tabs>
          <w:tab w:leader="none" w:pos="7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undertake to suspend the offering of shares until the prospectus is amended if (1) subsequent to the effective date of its registration statement, the net asset value declines more than 10% from its net asset value as of the effective date of the registration statement; or (2) the net asset value increases to an amount greater than the net proceeds as stated in the prospectus.</w:t>
      </w:r>
    </w:p>
    <w:p>
      <w:pPr>
        <w:spacing w:after="0" w:line="1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C-6</w:t>
      </w:r>
    </w:p>
    <w:p>
      <w:pPr>
        <w:sectPr>
          <w:pgSz w:w="11900" w:h="16838" w:orient="portrait"/>
          <w:cols w:equalWidth="0" w:num="1">
            <w:col w:w="11220"/>
          </w:cols>
          <w:pgMar w:left="240" w:top="456" w:right="43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40" w:hanging="536"/>
        <w:spacing w:after="0"/>
        <w:tabs>
          <w:tab w:leader="none" w:pos="7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30" w:lineRule="exact"/>
        <w:rPr>
          <w:rFonts w:ascii="Times New Roman" w:cs="Times New Roman" w:eastAsia="Times New Roman" w:hAnsi="Times New Roman"/>
          <w:sz w:val="18"/>
          <w:szCs w:val="18"/>
          <w:color w:val="auto"/>
        </w:rPr>
      </w:pPr>
    </w:p>
    <w:p>
      <w:pPr>
        <w:ind w:left="740" w:hanging="536"/>
        <w:spacing w:after="0" w:line="256" w:lineRule="auto"/>
        <w:tabs>
          <w:tab w:leader="none" w:pos="7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undertake, in the event that the securities being registered are to be offered to existing stockholders pursuant to warrants or rights and any securities not taken by shareholders are to be reoffered to the public, to supplement the prospectus, after the expiration of the subscription period, to set forth the results of the subscription offer, the transactions by the underwriters during the subscription period, the amount of unsubscribed securities to be purchased by underwriters, and the terms of any subsequent underwriting thereof. We further undertake that if any public offering by the underwriters of the securities being registered is to be made on terms differing from those set forth on the cover page of the prospectus, we shall file a post-effective amendment to set forth the terms of such offering.</w:t>
      </w:r>
    </w:p>
    <w:p>
      <w:pPr>
        <w:spacing w:after="0" w:line="93"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hereby undertake:</w:t>
      </w:r>
    </w:p>
    <w:p>
      <w:pPr>
        <w:spacing w:after="0" w:line="130" w:lineRule="exact"/>
        <w:rPr>
          <w:rFonts w:ascii="Times New Roman" w:cs="Times New Roman" w:eastAsia="Times New Roman" w:hAnsi="Times New Roman"/>
          <w:sz w:val="18"/>
          <w:szCs w:val="18"/>
          <w:color w:val="auto"/>
        </w:rPr>
      </w:pPr>
    </w:p>
    <w:p>
      <w:pPr>
        <w:ind w:left="1280" w:hanging="536"/>
        <w:spacing w:after="0"/>
        <w:tabs>
          <w:tab w:leader="none" w:pos="128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the registration statement:</w:t>
      </w:r>
    </w:p>
    <w:p>
      <w:pPr>
        <w:spacing w:after="0" w:line="130" w:lineRule="exact"/>
        <w:rPr>
          <w:rFonts w:ascii="Times New Roman" w:cs="Times New Roman" w:eastAsia="Times New Roman" w:hAnsi="Times New Roman"/>
          <w:sz w:val="18"/>
          <w:szCs w:val="18"/>
          <w:color w:val="auto"/>
        </w:rPr>
      </w:pPr>
    </w:p>
    <w:p>
      <w:pPr>
        <w:ind w:left="1940" w:hanging="642"/>
        <w:spacing w:after="0"/>
        <w:tabs>
          <w:tab w:leader="none" w:pos="1940" w:val="left"/>
        </w:tabs>
        <w:numPr>
          <w:ilvl w:val="2"/>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1940" w:right="240" w:hanging="642"/>
        <w:spacing w:after="0" w:line="266" w:lineRule="auto"/>
        <w:tabs>
          <w:tab w:leader="none" w:pos="1940" w:val="left"/>
        </w:tabs>
        <w:numPr>
          <w:ilvl w:val="2"/>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81" w:lineRule="exact"/>
        <w:rPr>
          <w:rFonts w:ascii="Times New Roman" w:cs="Times New Roman" w:eastAsia="Times New Roman" w:hAnsi="Times New Roman"/>
          <w:sz w:val="18"/>
          <w:szCs w:val="18"/>
          <w:color w:val="auto"/>
        </w:rPr>
      </w:pPr>
    </w:p>
    <w:p>
      <w:pPr>
        <w:ind w:left="1940" w:right="80" w:hanging="642"/>
        <w:spacing w:after="0" w:line="282" w:lineRule="auto"/>
        <w:tabs>
          <w:tab w:leader="none" w:pos="1940" w:val="left"/>
        </w:tabs>
        <w:numPr>
          <w:ilvl w:val="2"/>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7" w:lineRule="exact"/>
        <w:rPr>
          <w:rFonts w:ascii="Times New Roman" w:cs="Times New Roman" w:eastAsia="Times New Roman" w:hAnsi="Times New Roman"/>
          <w:sz w:val="18"/>
          <w:szCs w:val="18"/>
          <w:color w:val="auto"/>
        </w:rPr>
      </w:pPr>
    </w:p>
    <w:p>
      <w:pPr>
        <w:ind w:left="1280" w:right="180" w:hanging="536"/>
        <w:spacing w:after="0" w:line="266" w:lineRule="auto"/>
        <w:tabs>
          <w:tab w:leader="none" w:pos="128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1280" w:right="300" w:hanging="536"/>
        <w:spacing w:after="0" w:line="282" w:lineRule="auto"/>
        <w:tabs>
          <w:tab w:leader="none" w:pos="128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 and</w:t>
      </w:r>
    </w:p>
    <w:p>
      <w:pPr>
        <w:spacing w:after="0" w:line="67" w:lineRule="exact"/>
        <w:rPr>
          <w:rFonts w:ascii="Times New Roman" w:cs="Times New Roman" w:eastAsia="Times New Roman" w:hAnsi="Times New Roman"/>
          <w:sz w:val="18"/>
          <w:szCs w:val="18"/>
          <w:color w:val="auto"/>
        </w:rPr>
      </w:pPr>
    </w:p>
    <w:p>
      <w:pPr>
        <w:ind w:left="1280" w:right="120" w:hanging="536"/>
        <w:spacing w:after="0" w:line="255" w:lineRule="auto"/>
        <w:tabs>
          <w:tab w:leader="none" w:pos="128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 if we are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90" w:lineRule="exact"/>
        <w:rPr>
          <w:rFonts w:ascii="Times New Roman" w:cs="Times New Roman" w:eastAsia="Times New Roman" w:hAnsi="Times New Roman"/>
          <w:sz w:val="18"/>
          <w:szCs w:val="18"/>
          <w:color w:val="auto"/>
        </w:rPr>
      </w:pPr>
    </w:p>
    <w:p>
      <w:pPr>
        <w:ind w:left="1280" w:hanging="536"/>
        <w:spacing w:after="0" w:line="261" w:lineRule="auto"/>
        <w:tabs>
          <w:tab w:leader="none" w:pos="128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our liability under the Securities Act to any purchaser in the initial distribution of securities, we undertake that in a primary offering of our securities pursuant to this registration statement, regardless of the underwriting method used to sell the securities to the purchaser, if the securities are offered or sold to such purchaser by means of any of the following communications, we will be a seller to the purchaser and will be considered to offer or sell such securities to the purchaser:</w:t>
      </w:r>
    </w:p>
    <w:p>
      <w:pPr>
        <w:spacing w:after="0" w:line="85" w:lineRule="exact"/>
        <w:rPr>
          <w:rFonts w:ascii="Times New Roman" w:cs="Times New Roman" w:eastAsia="Times New Roman" w:hAnsi="Times New Roman"/>
          <w:sz w:val="18"/>
          <w:szCs w:val="18"/>
          <w:color w:val="auto"/>
        </w:rPr>
      </w:pPr>
    </w:p>
    <w:p>
      <w:pPr>
        <w:ind w:left="1940" w:right="400" w:hanging="642"/>
        <w:spacing w:after="0" w:line="282" w:lineRule="auto"/>
        <w:tabs>
          <w:tab w:leader="none" w:pos="1940" w:val="left"/>
        </w:tabs>
        <w:numPr>
          <w:ilvl w:val="2"/>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ours relating to the offering required to be filed pursuant to Rule 497 under the Securities Act;</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C-7</w:t>
      </w:r>
    </w:p>
    <w:p>
      <w:pPr>
        <w:sectPr>
          <w:pgSz w:w="11900" w:h="16838" w:orient="portrait"/>
          <w:cols w:equalWidth="0" w:num="1">
            <w:col w:w="11220"/>
          </w:cols>
          <w:pgMar w:left="240" w:top="456" w:right="43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940" w:right="500" w:hanging="642"/>
        <w:spacing w:after="0" w:line="282" w:lineRule="auto"/>
        <w:tabs>
          <w:tab w:leader="none" w:pos="1940" w:val="left"/>
        </w:tabs>
        <w:numPr>
          <w:ilvl w:val="2"/>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advertisement pursuant to Rule 482 under the Securities Act relating to the offering containing material information about us or our securities provided by or on behalf of us; and</w:t>
      </w:r>
    </w:p>
    <w:p>
      <w:pPr>
        <w:spacing w:after="0" w:line="67" w:lineRule="exact"/>
        <w:rPr>
          <w:rFonts w:ascii="Times New Roman" w:cs="Times New Roman" w:eastAsia="Times New Roman" w:hAnsi="Times New Roman"/>
          <w:sz w:val="18"/>
          <w:szCs w:val="18"/>
          <w:color w:val="auto"/>
        </w:rPr>
      </w:pPr>
    </w:p>
    <w:p>
      <w:pPr>
        <w:ind w:left="1940" w:hanging="642"/>
        <w:spacing w:after="0"/>
        <w:tabs>
          <w:tab w:leader="none" w:pos="1940" w:val="left"/>
        </w:tabs>
        <w:numPr>
          <w:ilvl w:val="2"/>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us to the purchaser.</w:t>
      </w:r>
    </w:p>
    <w:p>
      <w:pPr>
        <w:spacing w:after="0" w:line="130"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undertake that:</w:t>
      </w:r>
    </w:p>
    <w:p>
      <w:pPr>
        <w:spacing w:after="0" w:line="130" w:lineRule="exact"/>
        <w:rPr>
          <w:rFonts w:ascii="Times New Roman" w:cs="Times New Roman" w:eastAsia="Times New Roman" w:hAnsi="Times New Roman"/>
          <w:sz w:val="18"/>
          <w:szCs w:val="18"/>
          <w:color w:val="auto"/>
        </w:rPr>
      </w:pPr>
    </w:p>
    <w:p>
      <w:pPr>
        <w:ind w:left="1060" w:hanging="424"/>
        <w:spacing w:after="0" w:line="266" w:lineRule="auto"/>
        <w:tabs>
          <w:tab w:leader="none" w:pos="106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the information omitted from the form of prospectus filed as part of this registration statement in reliance upon Rule 430A and contained in a form of prospectus filed by us pursuant to Rule 497(h) under the Securities Act shall be deemed to be part of this registration statement as of the time it was declared effective; and</w:t>
      </w:r>
    </w:p>
    <w:p>
      <w:pPr>
        <w:spacing w:after="0" w:line="81" w:lineRule="exact"/>
        <w:rPr>
          <w:rFonts w:ascii="Times New Roman" w:cs="Times New Roman" w:eastAsia="Times New Roman" w:hAnsi="Times New Roman"/>
          <w:sz w:val="18"/>
          <w:szCs w:val="18"/>
          <w:color w:val="auto"/>
        </w:rPr>
      </w:pPr>
    </w:p>
    <w:p>
      <w:pPr>
        <w:jc w:val="both"/>
        <w:ind w:left="1060" w:right="40" w:hanging="424"/>
        <w:spacing w:after="0" w:line="266" w:lineRule="auto"/>
        <w:tabs>
          <w:tab w:leader="none" w:pos="106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740" w:right="400" w:hanging="536"/>
        <w:spacing w:after="0" w:line="282" w:lineRule="auto"/>
        <w:tabs>
          <w:tab w:leader="none" w:pos="7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undertake to send by first class mail or other means designed to ensure equally prompt delivery, within two business days of receipt of a written or oral request, any Statement of Additional Information.</w:t>
      </w:r>
    </w:p>
    <w:p>
      <w:pPr>
        <w:spacing w:after="0" w:line="67" w:lineRule="exact"/>
        <w:rPr>
          <w:rFonts w:ascii="Times New Roman" w:cs="Times New Roman" w:eastAsia="Times New Roman" w:hAnsi="Times New Roman"/>
          <w:sz w:val="18"/>
          <w:szCs w:val="18"/>
          <w:color w:val="auto"/>
        </w:rPr>
      </w:pPr>
    </w:p>
    <w:p>
      <w:pPr>
        <w:jc w:val="both"/>
        <w:ind w:left="740" w:right="260" w:hanging="536"/>
        <w:spacing w:after="0" w:line="266" w:lineRule="auto"/>
        <w:tabs>
          <w:tab w:leader="none" w:pos="7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undertake to file a post-effective amendment to the registration statement pursuant to Section 8(c) of the Securities Act in connection with any rights offering off of the registration statement that will result in greater than 15% dilution to the net asset value per share of our common stock.</w:t>
      </w:r>
    </w:p>
    <w:p>
      <w:pPr>
        <w:spacing w:after="0" w:line="81" w:lineRule="exact"/>
        <w:rPr>
          <w:rFonts w:ascii="Times New Roman" w:cs="Times New Roman" w:eastAsia="Times New Roman" w:hAnsi="Times New Roman"/>
          <w:sz w:val="18"/>
          <w:szCs w:val="18"/>
          <w:color w:val="auto"/>
        </w:rPr>
      </w:pPr>
    </w:p>
    <w:p>
      <w:pPr>
        <w:ind w:left="740" w:hanging="536"/>
        <w:spacing w:after="0"/>
        <w:tabs>
          <w:tab w:leader="none" w:pos="7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undertake to file a post-effective amendment or a new registration statement for any offering of debt securities referred to as “senior.”</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C-8</w:t>
      </w:r>
    </w:p>
    <w:p>
      <w:pPr>
        <w:sectPr>
          <w:pgSz w:w="11900" w:h="16838" w:orient="portrait"/>
          <w:cols w:equalWidth="0" w:num="1">
            <w:col w:w="11220"/>
          </w:cols>
          <w:pgMar w:left="240" w:top="455" w:right="43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200" w:right="240" w:firstLine="441"/>
        <w:spacing w:after="0" w:line="313"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has duly caused this Registration Statement on Form N-2 to be signed on its behalf by the undersigned, thereunto duly authorized, in the City of New York, and the State of New York on the 28th day of March, 2018.</w:t>
      </w:r>
    </w:p>
    <w:p>
      <w:pPr>
        <w:spacing w:after="0" w:line="165"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TPG SPECIALTY LENDING, INC.</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0" w:type="dxa"/>
            <w:vAlign w:val="bottom"/>
          </w:tcPr>
          <w:p>
            <w:pPr>
              <w:spacing w:after="0"/>
              <w:rPr>
                <w:sz w:val="20"/>
                <w:szCs w:val="20"/>
                <w:color w:val="auto"/>
              </w:rPr>
            </w:pPr>
          </w:p>
        </w:tc>
        <w:tc>
          <w:tcPr>
            <w:tcW w:w="404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/s/ Joshua Easterly</w:t>
            </w:r>
          </w:p>
        </w:tc>
      </w:tr>
      <w:tr>
        <w:trPr>
          <w:trHeight w:val="201"/>
        </w:trPr>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4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Name</w:t>
            </w:r>
            <w:r>
              <w:rPr>
                <w:rFonts w:ascii="Times New Roman" w:cs="Times New Roman" w:eastAsia="Times New Roman" w:hAnsi="Times New Roman"/>
                <w:sz w:val="18"/>
                <w:szCs w:val="18"/>
                <w:color w:val="auto"/>
              </w:rPr>
              <w:t>: Joshua Easterly</w:t>
            </w:r>
          </w:p>
        </w:tc>
      </w:tr>
      <w:tr>
        <w:trPr>
          <w:trHeight w:val="238"/>
        </w:trPr>
        <w:tc>
          <w:tcPr>
            <w:tcW w:w="320" w:type="dxa"/>
            <w:vAlign w:val="bottom"/>
          </w:tcPr>
          <w:p>
            <w:pPr>
              <w:spacing w:after="0"/>
              <w:rPr>
                <w:sz w:val="20"/>
                <w:szCs w:val="20"/>
                <w:color w:val="auto"/>
              </w:rPr>
            </w:pP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Title</w:t>
            </w:r>
            <w:r>
              <w:rPr>
                <w:rFonts w:ascii="Times New Roman" w:cs="Times New Roman" w:eastAsia="Times New Roman" w:hAnsi="Times New Roman"/>
                <w:sz w:val="18"/>
                <w:szCs w:val="18"/>
                <w:color w:val="auto"/>
              </w:rPr>
              <w:t>: 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ind w:left="200" w:right="60" w:firstLine="441"/>
        <w:spacing w:after="0" w:line="255" w:lineRule="auto"/>
        <w:rPr>
          <w:sz w:val="20"/>
          <w:szCs w:val="20"/>
          <w:color w:val="auto"/>
        </w:rPr>
      </w:pPr>
      <w:r>
        <w:rPr>
          <w:rFonts w:ascii="Times New Roman" w:cs="Times New Roman" w:eastAsia="Times New Roman" w:hAnsi="Times New Roman"/>
          <w:sz w:val="18"/>
          <w:szCs w:val="18"/>
          <w:color w:val="auto"/>
        </w:rPr>
        <w:t>Each officer and director of TPG Specialty Lending, Inc. whose signature appears below constitutes and appoints Michael Fishman, Joshua Easterly, Ian Simmonds, David Stiepleman and Jennifer Gordon, and each of them to act without the other, as his or her true and lawful attorney-in-fact and agent, with full power of substitution and revocation, for him or her and in his or her name, place and stead, in any and all capacities, to execute and file any or all amendments, including any post-effective amendments, and supplements to this registration statement, and any additional registration statement filed pursuant to Rule 462(b),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85" w:lineRule="exact"/>
        <w:rPr>
          <w:sz w:val="20"/>
          <w:szCs w:val="20"/>
          <w:color w:val="auto"/>
        </w:rPr>
      </w:pPr>
    </w:p>
    <w:p>
      <w:pPr>
        <w:ind w:left="200" w:right="16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220" w:type="dxa"/>
        <w:tblCellMar>
          <w:top w:w="0" w:type="dxa"/>
          <w:left w:w="0" w:type="dxa"/>
          <w:bottom w:w="0" w:type="dxa"/>
          <w:right w:w="0" w:type="dxa"/>
        </w:tblCellMar>
      </w:tblPr>
      <w:tr>
        <w:trPr>
          <w:trHeight w:val="187"/>
        </w:trPr>
        <w:tc>
          <w:tcPr>
            <w:tcW w:w="214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1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360" w:type="dxa"/>
            <w:vAlign w:val="bottom"/>
            <w:gridSpan w:val="2"/>
          </w:tcPr>
          <w:p>
            <w:pPr>
              <w:jc w:val="center"/>
              <w:ind w:right="208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740" w:type="dxa"/>
            <w:vAlign w:val="bottom"/>
          </w:tcPr>
          <w:p>
            <w:pPr>
              <w:spacing w:after="0"/>
              <w:rPr>
                <w:sz w:val="16"/>
                <w:szCs w:val="16"/>
                <w:color w:val="auto"/>
              </w:rPr>
            </w:pPr>
          </w:p>
        </w:tc>
        <w:tc>
          <w:tcPr>
            <w:tcW w:w="7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00" w:type="dxa"/>
            <w:vAlign w:val="bottom"/>
            <w:tcBorders>
              <w:bottom w:val="single" w:sz="8" w:color="auto"/>
            </w:tcBorders>
            <w:gridSpan w:val="3"/>
          </w:tcPr>
          <w:p>
            <w:pPr>
              <w:jc w:val="center"/>
              <w:ind w:right="40"/>
              <w:spacing w:after="0" w:line="182" w:lineRule="exact"/>
              <w:rPr>
                <w:sz w:val="20"/>
                <w:szCs w:val="20"/>
                <w:color w:val="auto"/>
              </w:rPr>
            </w:pPr>
            <w:r>
              <w:rPr>
                <w:rFonts w:ascii="Times New Roman" w:cs="Times New Roman" w:eastAsia="Times New Roman" w:hAnsi="Times New Roman"/>
                <w:sz w:val="18"/>
                <w:szCs w:val="18"/>
                <w:color w:val="auto"/>
                <w:w w:val="99"/>
              </w:rPr>
              <w:t>/s/ Joshua Easterly</w:t>
            </w:r>
          </w:p>
        </w:tc>
        <w:tc>
          <w:tcPr>
            <w:tcW w:w="4200" w:type="dxa"/>
            <w:vAlign w:val="bottom"/>
            <w:gridSpan w:val="3"/>
          </w:tcPr>
          <w:p>
            <w:pPr>
              <w:jc w:val="center"/>
              <w:ind w:right="220"/>
              <w:spacing w:after="0" w:line="182" w:lineRule="exact"/>
              <w:rPr>
                <w:sz w:val="20"/>
                <w:szCs w:val="20"/>
                <w:color w:val="auto"/>
              </w:rPr>
            </w:pPr>
            <w:r>
              <w:rPr>
                <w:rFonts w:ascii="Times New Roman" w:cs="Times New Roman" w:eastAsia="Times New Roman" w:hAnsi="Times New Roman"/>
                <w:sz w:val="18"/>
                <w:szCs w:val="18"/>
                <w:color w:val="auto"/>
                <w:w w:val="99"/>
              </w:rPr>
              <w:t>Chief Executive Officer, Director and Chairman of</w:t>
            </w:r>
          </w:p>
        </w:tc>
        <w:tc>
          <w:tcPr>
            <w:tcW w:w="1480" w:type="dxa"/>
            <w:vAlign w:val="bottom"/>
            <w:gridSpan w:val="3"/>
          </w:tcPr>
          <w:p>
            <w:pPr>
              <w:jc w:val="center"/>
              <w:ind w:left="230"/>
              <w:spacing w:after="0" w:line="182" w:lineRule="exact"/>
              <w:rPr>
                <w:sz w:val="20"/>
                <w:szCs w:val="20"/>
                <w:color w:val="auto"/>
              </w:rPr>
            </w:pPr>
            <w:r>
              <w:rPr>
                <w:rFonts w:ascii="Times New Roman" w:cs="Times New Roman" w:eastAsia="Times New Roman" w:hAnsi="Times New Roman"/>
                <w:sz w:val="18"/>
                <w:szCs w:val="18"/>
                <w:color w:val="auto"/>
              </w:rPr>
              <w:t>March 28, 2018</w:t>
            </w:r>
          </w:p>
        </w:tc>
        <w:tc>
          <w:tcPr>
            <w:tcW w:w="0" w:type="dxa"/>
            <w:vAlign w:val="bottom"/>
          </w:tcPr>
          <w:p>
            <w:pPr>
              <w:spacing w:after="0"/>
              <w:rPr>
                <w:sz w:val="1"/>
                <w:szCs w:val="1"/>
                <w:color w:val="auto"/>
              </w:rPr>
            </w:pPr>
          </w:p>
        </w:tc>
      </w:tr>
      <w:tr>
        <w:trPr>
          <w:trHeight w:val="228"/>
        </w:trPr>
        <w:tc>
          <w:tcPr>
            <w:tcW w:w="49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Joshua Easterly</w:t>
            </w:r>
          </w:p>
        </w:tc>
        <w:tc>
          <w:tcPr>
            <w:tcW w:w="42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the Board of Directors</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/s/ Ian Simmonds</w:t>
            </w: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rPr>
              <w:t>March 28, 2018</w:t>
            </w:r>
          </w:p>
        </w:tc>
        <w:tc>
          <w:tcPr>
            <w:tcW w:w="0" w:type="dxa"/>
            <w:vAlign w:val="bottom"/>
          </w:tcPr>
          <w:p>
            <w:pPr>
              <w:spacing w:after="0"/>
              <w:rPr>
                <w:sz w:val="1"/>
                <w:szCs w:val="1"/>
                <w:color w:val="auto"/>
              </w:rPr>
            </w:pPr>
          </w:p>
        </w:tc>
      </w:tr>
      <w:tr>
        <w:trPr>
          <w:trHeight w:val="228"/>
        </w:trPr>
        <w:tc>
          <w:tcPr>
            <w:tcW w:w="49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Ian Simmonds</w:t>
            </w:r>
          </w:p>
        </w:tc>
        <w:tc>
          <w:tcPr>
            <w:tcW w:w="42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Chief Financial Officer (Principal Financial Officer)</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/s/ Michael Graf</w:t>
            </w:r>
          </w:p>
        </w:tc>
        <w:tc>
          <w:tcPr>
            <w:tcW w:w="42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Vice President and Principal Accounting Officer</w:t>
            </w:r>
          </w:p>
        </w:tc>
        <w:tc>
          <w:tcPr>
            <w:tcW w:w="14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rPr>
              <w:t>March 28, 2018</w:t>
            </w:r>
          </w:p>
        </w:tc>
        <w:tc>
          <w:tcPr>
            <w:tcW w:w="0" w:type="dxa"/>
            <w:vAlign w:val="bottom"/>
          </w:tcPr>
          <w:p>
            <w:pPr>
              <w:spacing w:after="0"/>
              <w:rPr>
                <w:sz w:val="1"/>
                <w:szCs w:val="1"/>
                <w:color w:val="auto"/>
              </w:rPr>
            </w:pPr>
          </w:p>
        </w:tc>
      </w:tr>
      <w:tr>
        <w:trPr>
          <w:trHeight w:val="228"/>
        </w:trPr>
        <w:tc>
          <w:tcPr>
            <w:tcW w:w="49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Michael Graf</w:t>
            </w:r>
          </w:p>
        </w:tc>
        <w:tc>
          <w:tcPr>
            <w:tcW w:w="42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49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/s/ John A. Ross</w:t>
            </w:r>
          </w:p>
        </w:tc>
        <w:tc>
          <w:tcPr>
            <w:tcW w:w="42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 and Chairman of the Audit Committee</w:t>
            </w:r>
          </w:p>
        </w:tc>
        <w:tc>
          <w:tcPr>
            <w:tcW w:w="14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rPr>
              <w:t>March 28, 2018</w:t>
            </w:r>
          </w:p>
        </w:tc>
        <w:tc>
          <w:tcPr>
            <w:tcW w:w="0" w:type="dxa"/>
            <w:vAlign w:val="bottom"/>
          </w:tcPr>
          <w:p>
            <w:pPr>
              <w:spacing w:after="0"/>
              <w:rPr>
                <w:sz w:val="1"/>
                <w:szCs w:val="1"/>
                <w:color w:val="auto"/>
              </w:rPr>
            </w:pPr>
          </w:p>
        </w:tc>
      </w:tr>
      <w:tr>
        <w:trPr>
          <w:trHeight w:val="102"/>
        </w:trPr>
        <w:tc>
          <w:tcPr>
            <w:tcW w:w="49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rPr>
              <w:t>John A. Ross</w:t>
            </w:r>
          </w:p>
        </w:tc>
        <w:tc>
          <w:tcPr>
            <w:tcW w:w="4200" w:type="dxa"/>
            <w:vAlign w:val="bottom"/>
            <w:gridSpan w:val="3"/>
            <w:vMerge w:val="continue"/>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900" w:type="dxa"/>
            <w:vAlign w:val="bottom"/>
            <w:gridSpan w:val="3"/>
            <w:vMerge w:val="continue"/>
          </w:tcPr>
          <w:p>
            <w:pPr>
              <w:spacing w:after="0"/>
              <w:rPr>
                <w:sz w:val="10"/>
                <w:szCs w:val="10"/>
                <w:color w:val="auto"/>
              </w:rPr>
            </w:pPr>
          </w:p>
        </w:tc>
        <w:tc>
          <w:tcPr>
            <w:tcW w:w="1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7"/>
        </w:trPr>
        <w:tc>
          <w:tcPr>
            <w:tcW w:w="49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/s/ Michael Fishman</w:t>
            </w:r>
          </w:p>
        </w:tc>
        <w:tc>
          <w:tcPr>
            <w:tcW w:w="42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4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rPr>
              <w:t>March 28, 2018</w:t>
            </w:r>
          </w:p>
        </w:tc>
        <w:tc>
          <w:tcPr>
            <w:tcW w:w="0" w:type="dxa"/>
            <w:vAlign w:val="bottom"/>
          </w:tcPr>
          <w:p>
            <w:pPr>
              <w:spacing w:after="0"/>
              <w:rPr>
                <w:sz w:val="1"/>
                <w:szCs w:val="1"/>
                <w:color w:val="auto"/>
              </w:rPr>
            </w:pPr>
          </w:p>
        </w:tc>
      </w:tr>
      <w:tr>
        <w:trPr>
          <w:trHeight w:val="102"/>
        </w:trPr>
        <w:tc>
          <w:tcPr>
            <w:tcW w:w="490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rPr>
              <w:t>Michael Fishman</w:t>
            </w:r>
          </w:p>
        </w:tc>
        <w:tc>
          <w:tcPr>
            <w:tcW w:w="4200" w:type="dxa"/>
            <w:vAlign w:val="bottom"/>
            <w:gridSpan w:val="3"/>
            <w:vMerge w:val="continue"/>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900" w:type="dxa"/>
            <w:vAlign w:val="bottom"/>
            <w:gridSpan w:val="3"/>
            <w:vMerge w:val="continue"/>
          </w:tcPr>
          <w:p>
            <w:pPr>
              <w:spacing w:after="0"/>
              <w:rPr>
                <w:sz w:val="10"/>
                <w:szCs w:val="10"/>
                <w:color w:val="auto"/>
              </w:rPr>
            </w:pPr>
          </w:p>
        </w:tc>
        <w:tc>
          <w:tcPr>
            <w:tcW w:w="1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7"/>
        </w:trPr>
        <w:tc>
          <w:tcPr>
            <w:tcW w:w="49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/s/ Richard A. Higginbotham</w:t>
            </w:r>
          </w:p>
        </w:tc>
        <w:tc>
          <w:tcPr>
            <w:tcW w:w="42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4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rPr>
              <w:t>March 28, 2018</w:t>
            </w:r>
          </w:p>
        </w:tc>
        <w:tc>
          <w:tcPr>
            <w:tcW w:w="0" w:type="dxa"/>
            <w:vAlign w:val="bottom"/>
          </w:tcPr>
          <w:p>
            <w:pPr>
              <w:spacing w:after="0"/>
              <w:rPr>
                <w:sz w:val="1"/>
                <w:szCs w:val="1"/>
                <w:color w:val="auto"/>
              </w:rPr>
            </w:pPr>
          </w:p>
        </w:tc>
      </w:tr>
      <w:tr>
        <w:trPr>
          <w:trHeight w:val="102"/>
        </w:trPr>
        <w:tc>
          <w:tcPr>
            <w:tcW w:w="49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rPr>
              <w:t>Richard A. Higginbotham</w:t>
            </w:r>
          </w:p>
        </w:tc>
        <w:tc>
          <w:tcPr>
            <w:tcW w:w="4200" w:type="dxa"/>
            <w:vAlign w:val="bottom"/>
            <w:gridSpan w:val="3"/>
            <w:vMerge w:val="continue"/>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900" w:type="dxa"/>
            <w:vAlign w:val="bottom"/>
            <w:gridSpan w:val="3"/>
            <w:vMerge w:val="continue"/>
          </w:tcPr>
          <w:p>
            <w:pPr>
              <w:spacing w:after="0"/>
              <w:rPr>
                <w:sz w:val="10"/>
                <w:szCs w:val="10"/>
                <w:color w:val="auto"/>
              </w:rPr>
            </w:pPr>
          </w:p>
        </w:tc>
        <w:tc>
          <w:tcPr>
            <w:tcW w:w="1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7"/>
        </w:trPr>
        <w:tc>
          <w:tcPr>
            <w:tcW w:w="49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/s/ Ronald K. Tanemura</w:t>
            </w:r>
          </w:p>
        </w:tc>
        <w:tc>
          <w:tcPr>
            <w:tcW w:w="42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14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rPr>
              <w:t>March 28, 2018</w:t>
            </w:r>
          </w:p>
        </w:tc>
        <w:tc>
          <w:tcPr>
            <w:tcW w:w="0" w:type="dxa"/>
            <w:vAlign w:val="bottom"/>
          </w:tcPr>
          <w:p>
            <w:pPr>
              <w:spacing w:after="0"/>
              <w:rPr>
                <w:sz w:val="1"/>
                <w:szCs w:val="1"/>
                <w:color w:val="auto"/>
              </w:rPr>
            </w:pPr>
          </w:p>
        </w:tc>
      </w:tr>
      <w:tr>
        <w:trPr>
          <w:trHeight w:val="102"/>
        </w:trPr>
        <w:tc>
          <w:tcPr>
            <w:tcW w:w="490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w w:val="98"/>
              </w:rPr>
              <w:t>Ronald K. Tanemura</w:t>
            </w:r>
          </w:p>
        </w:tc>
        <w:tc>
          <w:tcPr>
            <w:tcW w:w="4200" w:type="dxa"/>
            <w:vAlign w:val="bottom"/>
            <w:gridSpan w:val="3"/>
            <w:vMerge w:val="continue"/>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900" w:type="dxa"/>
            <w:vAlign w:val="bottom"/>
            <w:gridSpan w:val="3"/>
            <w:vMerge w:val="continue"/>
          </w:tcPr>
          <w:p>
            <w:pPr>
              <w:spacing w:after="0"/>
              <w:rPr>
                <w:sz w:val="10"/>
                <w:szCs w:val="10"/>
                <w:color w:val="auto"/>
              </w:rPr>
            </w:pPr>
          </w:p>
        </w:tc>
        <w:tc>
          <w:tcPr>
            <w:tcW w:w="1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5" w:right="419" w:bottom="1440" w:gutter="0" w:footer="0" w:header="0"/>
        </w:sectPr>
      </w:pPr>
    </w:p>
    <w:bookmarkStart w:id="247" w:name="page248"/>
    <w:bookmarkEnd w:id="247"/>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6997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148590</wp:posOffset>
            </wp:positionV>
            <wp:extent cx="6997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250825</wp:posOffset>
            </wp:positionV>
            <wp:extent cx="146621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STATEMENT OF ELIGIBILITY</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UNDER THE TRUST INDENTURE ACT OF 1939 OF A</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CORPORATION DESIGNATED TO ACT AS TRUSTEE</w:t>
      </w:r>
    </w:p>
    <w:p>
      <w:pPr>
        <w:spacing w:after="0" w:line="205" w:lineRule="exact"/>
        <w:rPr>
          <w:sz w:val="20"/>
          <w:szCs w:val="20"/>
          <w:color w:val="auto"/>
        </w:rPr>
      </w:pPr>
    </w:p>
    <w:p>
      <w:pPr>
        <w:ind w:left="440" w:right="1220" w:hanging="436"/>
        <w:spacing w:after="0" w:line="262" w:lineRule="auto"/>
        <w:tabs>
          <w:tab w:leader="none" w:pos="440" w:val="left"/>
        </w:tabs>
        <w:numPr>
          <w:ilvl w:val="0"/>
          <w:numId w:val="179"/>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200660</wp:posOffset>
            </wp:positionV>
            <wp:extent cx="146621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6"/>
          <w:szCs w:val="36"/>
          <w:b w:val="1"/>
          <w:bCs w:val="1"/>
          <w:color w:val="auto"/>
        </w:rPr>
        <w:t>WELLS FARGO BANK, NATIONAL ASSOCIATION</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520" w:type="dxa"/>
        <w:tblCellMar>
          <w:top w:w="0" w:type="dxa"/>
          <w:left w:w="0" w:type="dxa"/>
          <w:bottom w:w="0" w:type="dxa"/>
          <w:right w:w="0" w:type="dxa"/>
        </w:tblCellMar>
      </w:tblPr>
      <w:tr>
        <w:trPr>
          <w:trHeight w:val="214"/>
        </w:trPr>
        <w:tc>
          <w:tcPr>
            <w:tcW w:w="6040" w:type="dxa"/>
            <w:vAlign w:val="bottom"/>
          </w:tcPr>
          <w:p>
            <w:pPr>
              <w:jc w:val="center"/>
              <w:ind w:right="3476"/>
              <w:spacing w:after="0"/>
              <w:rPr>
                <w:sz w:val="20"/>
                <w:szCs w:val="20"/>
                <w:color w:val="auto"/>
              </w:rPr>
            </w:pPr>
            <w:r>
              <w:rPr>
                <w:rFonts w:ascii="Times New Roman" w:cs="Times New Roman" w:eastAsia="Times New Roman" w:hAnsi="Times New Roman"/>
                <w:sz w:val="18"/>
                <w:szCs w:val="18"/>
                <w:b w:val="1"/>
                <w:bCs w:val="1"/>
                <w:color w:val="auto"/>
                <w:w w:val="99"/>
              </w:rPr>
              <w:t>A National Banking Association</w:t>
            </w:r>
          </w:p>
        </w:tc>
        <w:tc>
          <w:tcPr>
            <w:tcW w:w="138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94-1347393</w:t>
            </w:r>
          </w:p>
        </w:tc>
      </w:tr>
      <w:tr>
        <w:trPr>
          <w:trHeight w:val="149"/>
        </w:trPr>
        <w:tc>
          <w:tcPr>
            <w:tcW w:w="6040" w:type="dxa"/>
            <w:vAlign w:val="bottom"/>
          </w:tcPr>
          <w:p>
            <w:pPr>
              <w:jc w:val="center"/>
              <w:ind w:right="3476"/>
              <w:spacing w:after="0" w:line="149" w:lineRule="exact"/>
              <w:rPr>
                <w:sz w:val="20"/>
                <w:szCs w:val="20"/>
                <w:color w:val="auto"/>
              </w:rPr>
            </w:pPr>
            <w:r>
              <w:rPr>
                <w:rFonts w:ascii="Times New Roman" w:cs="Times New Roman" w:eastAsia="Times New Roman" w:hAnsi="Times New Roman"/>
                <w:sz w:val="14"/>
                <w:szCs w:val="14"/>
                <w:b w:val="1"/>
                <w:bCs w:val="1"/>
                <w:color w:val="auto"/>
              </w:rPr>
              <w:t>(Jurisdiction of incorporation or</w:t>
            </w:r>
          </w:p>
        </w:tc>
        <w:tc>
          <w:tcPr>
            <w:tcW w:w="1380" w:type="dxa"/>
            <w:vAlign w:val="bottom"/>
          </w:tcPr>
          <w:p>
            <w:pPr>
              <w:jc w:val="center"/>
              <w:ind w:left="1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40" w:type="dxa"/>
            <w:vAlign w:val="bottom"/>
          </w:tcPr>
          <w:p>
            <w:pPr>
              <w:jc w:val="center"/>
              <w:ind w:right="3476"/>
              <w:spacing w:after="0"/>
              <w:rPr>
                <w:sz w:val="20"/>
                <w:szCs w:val="20"/>
                <w:color w:val="auto"/>
              </w:rPr>
            </w:pPr>
            <w:r>
              <w:rPr>
                <w:rFonts w:ascii="Times New Roman" w:cs="Times New Roman" w:eastAsia="Times New Roman" w:hAnsi="Times New Roman"/>
                <w:sz w:val="14"/>
                <w:szCs w:val="14"/>
                <w:b w:val="1"/>
                <w:bCs w:val="1"/>
                <w:color w:val="auto"/>
              </w:rPr>
              <w:t>organization if not a U.S. national bank)</w:t>
            </w:r>
          </w:p>
        </w:tc>
        <w:tc>
          <w:tcPr>
            <w:tcW w:w="1380" w:type="dxa"/>
            <w:vAlign w:val="bottom"/>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6040" w:type="dxa"/>
            <w:vAlign w:val="bottom"/>
          </w:tcPr>
          <w:p>
            <w:pPr>
              <w:jc w:val="center"/>
              <w:ind w:right="3476"/>
              <w:spacing w:after="0"/>
              <w:rPr>
                <w:sz w:val="20"/>
                <w:szCs w:val="20"/>
                <w:color w:val="auto"/>
              </w:rPr>
            </w:pPr>
            <w:r>
              <w:rPr>
                <w:rFonts w:ascii="Times New Roman" w:cs="Times New Roman" w:eastAsia="Times New Roman" w:hAnsi="Times New Roman"/>
                <w:sz w:val="18"/>
                <w:szCs w:val="18"/>
                <w:b w:val="1"/>
                <w:bCs w:val="1"/>
                <w:color w:val="auto"/>
                <w:w w:val="98"/>
              </w:rPr>
              <w:t>101 North Phillips Avenue</w:t>
            </w:r>
          </w:p>
        </w:tc>
        <w:tc>
          <w:tcPr>
            <w:tcW w:w="1380" w:type="dxa"/>
            <w:vAlign w:val="bottom"/>
          </w:tcPr>
          <w:p>
            <w:pPr>
              <w:spacing w:after="0"/>
              <w:rPr>
                <w:sz w:val="24"/>
                <w:szCs w:val="24"/>
                <w:color w:val="auto"/>
              </w:rPr>
            </w:pPr>
          </w:p>
        </w:tc>
      </w:tr>
      <w:tr>
        <w:trPr>
          <w:trHeight w:val="227"/>
        </w:trPr>
        <w:tc>
          <w:tcPr>
            <w:tcW w:w="6040" w:type="dxa"/>
            <w:vAlign w:val="bottom"/>
          </w:tcPr>
          <w:p>
            <w:pPr>
              <w:jc w:val="center"/>
              <w:ind w:right="3476"/>
              <w:spacing w:after="0"/>
              <w:rPr>
                <w:sz w:val="20"/>
                <w:szCs w:val="20"/>
                <w:color w:val="auto"/>
              </w:rPr>
            </w:pPr>
            <w:r>
              <w:rPr>
                <w:rFonts w:ascii="Times New Roman" w:cs="Times New Roman" w:eastAsia="Times New Roman" w:hAnsi="Times New Roman"/>
                <w:sz w:val="18"/>
                <w:szCs w:val="18"/>
                <w:b w:val="1"/>
                <w:bCs w:val="1"/>
                <w:color w:val="auto"/>
              </w:rPr>
              <w:t>Sioux Falls, South Dakota</w:t>
            </w:r>
          </w:p>
        </w:tc>
        <w:tc>
          <w:tcPr>
            <w:tcW w:w="13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57104</w:t>
            </w:r>
          </w:p>
        </w:tc>
      </w:tr>
      <w:tr>
        <w:trPr>
          <w:trHeight w:val="190"/>
        </w:trPr>
        <w:tc>
          <w:tcPr>
            <w:tcW w:w="6040" w:type="dxa"/>
            <w:vAlign w:val="bottom"/>
          </w:tcPr>
          <w:p>
            <w:pPr>
              <w:jc w:val="center"/>
              <w:ind w:right="349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380" w:type="dxa"/>
            <w:vAlign w:val="bottom"/>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06"/>
        </w:trPr>
        <w:tc>
          <w:tcPr>
            <w:tcW w:w="6040" w:type="dxa"/>
            <w:vAlign w:val="bottom"/>
          </w:tcPr>
          <w:p>
            <w:pPr>
              <w:jc w:val="center"/>
              <w:ind w:left="1876"/>
              <w:spacing w:after="0"/>
              <w:rPr>
                <w:sz w:val="20"/>
                <w:szCs w:val="20"/>
                <w:color w:val="auto"/>
              </w:rPr>
            </w:pPr>
            <w:r>
              <w:rPr>
                <w:rFonts w:ascii="Times New Roman" w:cs="Times New Roman" w:eastAsia="Times New Roman" w:hAnsi="Times New Roman"/>
                <w:sz w:val="18"/>
                <w:szCs w:val="18"/>
                <w:b w:val="1"/>
                <w:bCs w:val="1"/>
                <w:color w:val="auto"/>
                <w:w w:val="99"/>
              </w:rPr>
              <w:t>Wells Fargo &amp; Company</w:t>
            </w:r>
          </w:p>
        </w:tc>
        <w:tc>
          <w:tcPr>
            <w:tcW w:w="1380" w:type="dxa"/>
            <w:vAlign w:val="bottom"/>
          </w:tcPr>
          <w:p>
            <w:pPr>
              <w:spacing w:after="0"/>
              <w:rPr>
                <w:sz w:val="24"/>
                <w:szCs w:val="24"/>
                <w:color w:val="auto"/>
              </w:rPr>
            </w:pPr>
          </w:p>
        </w:tc>
      </w:tr>
      <w:tr>
        <w:trPr>
          <w:trHeight w:val="216"/>
        </w:trPr>
        <w:tc>
          <w:tcPr>
            <w:tcW w:w="6040" w:type="dxa"/>
            <w:vAlign w:val="bottom"/>
          </w:tcPr>
          <w:p>
            <w:pPr>
              <w:jc w:val="center"/>
              <w:ind w:left="1856"/>
              <w:spacing w:after="0"/>
              <w:rPr>
                <w:sz w:val="20"/>
                <w:szCs w:val="20"/>
                <w:color w:val="auto"/>
              </w:rPr>
            </w:pPr>
            <w:r>
              <w:rPr>
                <w:rFonts w:ascii="Times New Roman" w:cs="Times New Roman" w:eastAsia="Times New Roman" w:hAnsi="Times New Roman"/>
                <w:sz w:val="18"/>
                <w:szCs w:val="18"/>
                <w:b w:val="1"/>
                <w:bCs w:val="1"/>
                <w:color w:val="auto"/>
                <w:w w:val="99"/>
              </w:rPr>
              <w:t>Law Department, Trust Section</w:t>
            </w:r>
          </w:p>
        </w:tc>
        <w:tc>
          <w:tcPr>
            <w:tcW w:w="1380" w:type="dxa"/>
            <w:vAlign w:val="bottom"/>
          </w:tcPr>
          <w:p>
            <w:pPr>
              <w:spacing w:after="0"/>
              <w:rPr>
                <w:sz w:val="18"/>
                <w:szCs w:val="18"/>
                <w:color w:val="auto"/>
              </w:rPr>
            </w:pPr>
          </w:p>
        </w:tc>
      </w:tr>
      <w:tr>
        <w:trPr>
          <w:trHeight w:val="216"/>
        </w:trPr>
        <w:tc>
          <w:tcPr>
            <w:tcW w:w="6040" w:type="dxa"/>
            <w:vAlign w:val="bottom"/>
          </w:tcPr>
          <w:p>
            <w:pPr>
              <w:jc w:val="center"/>
              <w:ind w:left="1856"/>
              <w:spacing w:after="0"/>
              <w:rPr>
                <w:sz w:val="20"/>
                <w:szCs w:val="20"/>
                <w:color w:val="auto"/>
              </w:rPr>
            </w:pPr>
            <w:r>
              <w:rPr>
                <w:rFonts w:ascii="Times New Roman" w:cs="Times New Roman" w:eastAsia="Times New Roman" w:hAnsi="Times New Roman"/>
                <w:sz w:val="18"/>
                <w:szCs w:val="18"/>
                <w:b w:val="1"/>
                <w:bCs w:val="1"/>
                <w:color w:val="auto"/>
              </w:rPr>
              <w:t>MAC N9305-175</w:t>
            </w:r>
          </w:p>
        </w:tc>
        <w:tc>
          <w:tcPr>
            <w:tcW w:w="1380" w:type="dxa"/>
            <w:vAlign w:val="bottom"/>
          </w:tcPr>
          <w:p>
            <w:pPr>
              <w:spacing w:after="0"/>
              <w:rPr>
                <w:sz w:val="18"/>
                <w:szCs w:val="18"/>
                <w:color w:val="auto"/>
              </w:rPr>
            </w:pPr>
          </w:p>
        </w:tc>
      </w:tr>
      <w:tr>
        <w:trPr>
          <w:trHeight w:val="216"/>
        </w:trPr>
        <w:tc>
          <w:tcPr>
            <w:tcW w:w="6040" w:type="dxa"/>
            <w:vAlign w:val="bottom"/>
          </w:tcPr>
          <w:p>
            <w:pPr>
              <w:jc w:val="center"/>
              <w:ind w:left="1856"/>
              <w:spacing w:after="0"/>
              <w:rPr>
                <w:sz w:val="20"/>
                <w:szCs w:val="20"/>
                <w:color w:val="auto"/>
              </w:rPr>
            </w:pPr>
            <w:r>
              <w:rPr>
                <w:rFonts w:ascii="Times New Roman" w:cs="Times New Roman" w:eastAsia="Times New Roman" w:hAnsi="Times New Roman"/>
                <w:sz w:val="18"/>
                <w:szCs w:val="18"/>
                <w:b w:val="1"/>
                <w:bCs w:val="1"/>
                <w:color w:val="auto"/>
                <w:w w:val="99"/>
              </w:rPr>
              <w:t>Sixth Street and Marquette Avenue, 17</w:t>
            </w:r>
            <w:r>
              <w:rPr>
                <w:rFonts w:ascii="Times New Roman" w:cs="Times New Roman" w:eastAsia="Times New Roman" w:hAnsi="Times New Roman"/>
                <w:sz w:val="15"/>
                <w:szCs w:val="15"/>
                <w:b w:val="1"/>
                <w:bCs w:val="1"/>
                <w:color w:val="auto"/>
                <w:w w:val="99"/>
              </w:rPr>
              <w:t>th</w:t>
            </w:r>
            <w:r>
              <w:rPr>
                <w:rFonts w:ascii="Times New Roman" w:cs="Times New Roman" w:eastAsia="Times New Roman" w:hAnsi="Times New Roman"/>
                <w:sz w:val="18"/>
                <w:szCs w:val="18"/>
                <w:b w:val="1"/>
                <w:bCs w:val="1"/>
                <w:color w:val="auto"/>
                <w:w w:val="99"/>
              </w:rPr>
              <w:t xml:space="preserve"> Floor</w:t>
            </w:r>
          </w:p>
        </w:tc>
        <w:tc>
          <w:tcPr>
            <w:tcW w:w="1380" w:type="dxa"/>
            <w:vAlign w:val="bottom"/>
          </w:tcPr>
          <w:p>
            <w:pPr>
              <w:spacing w:after="0"/>
              <w:rPr>
                <w:sz w:val="18"/>
                <w:szCs w:val="18"/>
                <w:color w:val="auto"/>
              </w:rPr>
            </w:pPr>
          </w:p>
        </w:tc>
      </w:tr>
      <w:tr>
        <w:trPr>
          <w:trHeight w:val="216"/>
        </w:trPr>
        <w:tc>
          <w:tcPr>
            <w:tcW w:w="6040" w:type="dxa"/>
            <w:vAlign w:val="bottom"/>
          </w:tcPr>
          <w:p>
            <w:pPr>
              <w:jc w:val="center"/>
              <w:ind w:left="1856"/>
              <w:spacing w:after="0"/>
              <w:rPr>
                <w:sz w:val="20"/>
                <w:szCs w:val="20"/>
                <w:color w:val="auto"/>
              </w:rPr>
            </w:pPr>
            <w:r>
              <w:rPr>
                <w:rFonts w:ascii="Times New Roman" w:cs="Times New Roman" w:eastAsia="Times New Roman" w:hAnsi="Times New Roman"/>
                <w:sz w:val="18"/>
                <w:szCs w:val="18"/>
                <w:b w:val="1"/>
                <w:bCs w:val="1"/>
                <w:color w:val="auto"/>
                <w:w w:val="99"/>
              </w:rPr>
              <w:t>Minneapolis, Minnesota 55479</w:t>
            </w:r>
          </w:p>
        </w:tc>
        <w:tc>
          <w:tcPr>
            <w:tcW w:w="1380" w:type="dxa"/>
            <w:vAlign w:val="bottom"/>
          </w:tcPr>
          <w:p>
            <w:pPr>
              <w:spacing w:after="0"/>
              <w:rPr>
                <w:sz w:val="18"/>
                <w:szCs w:val="18"/>
                <w:color w:val="auto"/>
              </w:rPr>
            </w:pPr>
          </w:p>
        </w:tc>
      </w:tr>
      <w:tr>
        <w:trPr>
          <w:trHeight w:val="214"/>
        </w:trPr>
        <w:tc>
          <w:tcPr>
            <w:tcW w:w="6040" w:type="dxa"/>
            <w:vAlign w:val="bottom"/>
          </w:tcPr>
          <w:p>
            <w:pPr>
              <w:jc w:val="center"/>
              <w:ind w:left="1876"/>
              <w:spacing w:after="0"/>
              <w:rPr>
                <w:sz w:val="20"/>
                <w:szCs w:val="20"/>
                <w:color w:val="auto"/>
              </w:rPr>
            </w:pPr>
            <w:r>
              <w:rPr>
                <w:rFonts w:ascii="Times New Roman" w:cs="Times New Roman" w:eastAsia="Times New Roman" w:hAnsi="Times New Roman"/>
                <w:sz w:val="18"/>
                <w:szCs w:val="18"/>
                <w:b w:val="1"/>
                <w:bCs w:val="1"/>
                <w:color w:val="auto"/>
                <w:w w:val="99"/>
              </w:rPr>
              <w:t>(612) 667-4608</w:t>
            </w:r>
          </w:p>
        </w:tc>
        <w:tc>
          <w:tcPr>
            <w:tcW w:w="1380" w:type="dxa"/>
            <w:vAlign w:val="bottom"/>
          </w:tcPr>
          <w:p>
            <w:pPr>
              <w:spacing w:after="0"/>
              <w:rPr>
                <w:sz w:val="18"/>
                <w:szCs w:val="18"/>
                <w:color w:val="auto"/>
              </w:rPr>
            </w:pPr>
          </w:p>
        </w:tc>
      </w:tr>
      <w:tr>
        <w:trPr>
          <w:trHeight w:val="190"/>
        </w:trPr>
        <w:tc>
          <w:tcPr>
            <w:tcW w:w="6040" w:type="dxa"/>
            <w:vAlign w:val="bottom"/>
          </w:tcPr>
          <w:p>
            <w:pPr>
              <w:jc w:val="center"/>
              <w:ind w:left="1856"/>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agent for service)</w:t>
            </w:r>
          </w:p>
        </w:tc>
        <w:tc>
          <w:tcPr>
            <w:tcW w:w="13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143510</wp:posOffset>
            </wp:positionV>
            <wp:extent cx="146621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6"/>
          <w:szCs w:val="36"/>
          <w:b w:val="1"/>
          <w:bCs w:val="1"/>
          <w:color w:val="auto"/>
        </w:rPr>
        <w:t>TPG Specialty Lending, Inc.</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obligor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4340" w:type="dxa"/>
            <w:vAlign w:val="bottom"/>
          </w:tcPr>
          <w:p>
            <w:pPr>
              <w:jc w:val="center"/>
              <w:ind w:left="10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680" w:type="dxa"/>
            <w:vAlign w:val="bottom"/>
            <w:gridSpan w:val="2"/>
          </w:tcPr>
          <w:p>
            <w:pPr>
              <w:jc w:val="right"/>
              <w:ind w:right="2148"/>
              <w:spacing w:after="0"/>
              <w:rPr>
                <w:sz w:val="20"/>
                <w:szCs w:val="20"/>
                <w:color w:val="auto"/>
              </w:rPr>
            </w:pPr>
            <w:r>
              <w:rPr>
                <w:rFonts w:ascii="Times New Roman" w:cs="Times New Roman" w:eastAsia="Times New Roman" w:hAnsi="Times New Roman"/>
                <w:sz w:val="18"/>
                <w:szCs w:val="18"/>
                <w:b w:val="1"/>
                <w:bCs w:val="1"/>
                <w:color w:val="auto"/>
              </w:rPr>
              <w:t>27-3380000</w:t>
            </w:r>
          </w:p>
        </w:tc>
      </w:tr>
      <w:tr>
        <w:trPr>
          <w:trHeight w:val="149"/>
        </w:trPr>
        <w:tc>
          <w:tcPr>
            <w:tcW w:w="4340" w:type="dxa"/>
            <w:vAlign w:val="bottom"/>
          </w:tcPr>
          <w:p>
            <w:pPr>
              <w:jc w:val="center"/>
              <w:ind w:left="10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300" w:type="dxa"/>
            <w:vAlign w:val="bottom"/>
          </w:tcPr>
          <w:p>
            <w:pPr>
              <w:spacing w:after="0"/>
              <w:rPr>
                <w:sz w:val="12"/>
                <w:szCs w:val="12"/>
                <w:color w:val="auto"/>
              </w:rPr>
            </w:pPr>
          </w:p>
        </w:tc>
        <w:tc>
          <w:tcPr>
            <w:tcW w:w="4380" w:type="dxa"/>
            <w:vAlign w:val="bottom"/>
          </w:tcPr>
          <w:p>
            <w:pPr>
              <w:jc w:val="center"/>
              <w:ind w:right="86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40" w:type="dxa"/>
            <w:vAlign w:val="bottom"/>
          </w:tcPr>
          <w:p>
            <w:pPr>
              <w:jc w:val="center"/>
              <w:ind w:left="10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300" w:type="dxa"/>
            <w:vAlign w:val="bottom"/>
          </w:tcPr>
          <w:p>
            <w:pPr>
              <w:spacing w:after="0"/>
              <w:rPr>
                <w:sz w:val="16"/>
                <w:szCs w:val="16"/>
                <w:color w:val="auto"/>
              </w:rPr>
            </w:pPr>
          </w:p>
        </w:tc>
        <w:tc>
          <w:tcPr>
            <w:tcW w:w="4380" w:type="dxa"/>
            <w:vAlign w:val="bottom"/>
          </w:tcPr>
          <w:p>
            <w:pPr>
              <w:jc w:val="center"/>
              <w:ind w:right="86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340" w:type="dxa"/>
            <w:vAlign w:val="bottom"/>
          </w:tcPr>
          <w:p>
            <w:pPr>
              <w:jc w:val="center"/>
              <w:ind w:left="1059"/>
              <w:spacing w:after="0"/>
              <w:rPr>
                <w:sz w:val="20"/>
                <w:szCs w:val="20"/>
                <w:color w:val="auto"/>
              </w:rPr>
            </w:pPr>
            <w:r>
              <w:rPr>
                <w:rFonts w:ascii="Times New Roman" w:cs="Times New Roman" w:eastAsia="Times New Roman" w:hAnsi="Times New Roman"/>
                <w:sz w:val="18"/>
                <w:szCs w:val="18"/>
                <w:b w:val="1"/>
                <w:bCs w:val="1"/>
                <w:color w:val="auto"/>
                <w:w w:val="99"/>
              </w:rPr>
              <w:t>301 Commerce Street, Suite 3300</w:t>
            </w:r>
          </w:p>
        </w:tc>
        <w:tc>
          <w:tcPr>
            <w:tcW w:w="230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227"/>
        </w:trPr>
        <w:tc>
          <w:tcPr>
            <w:tcW w:w="4340" w:type="dxa"/>
            <w:vAlign w:val="bottom"/>
          </w:tcPr>
          <w:p>
            <w:pPr>
              <w:jc w:val="center"/>
              <w:ind w:left="1059"/>
              <w:spacing w:after="0"/>
              <w:rPr>
                <w:sz w:val="20"/>
                <w:szCs w:val="20"/>
                <w:color w:val="auto"/>
              </w:rPr>
            </w:pPr>
            <w:r>
              <w:rPr>
                <w:rFonts w:ascii="Times New Roman" w:cs="Times New Roman" w:eastAsia="Times New Roman" w:hAnsi="Times New Roman"/>
                <w:sz w:val="18"/>
                <w:szCs w:val="18"/>
                <w:b w:val="1"/>
                <w:bCs w:val="1"/>
                <w:color w:val="auto"/>
              </w:rPr>
              <w:t>Fort Worth, TX</w:t>
            </w:r>
          </w:p>
        </w:tc>
        <w:tc>
          <w:tcPr>
            <w:tcW w:w="6680" w:type="dxa"/>
            <w:vAlign w:val="bottom"/>
            <w:gridSpan w:val="2"/>
          </w:tcPr>
          <w:p>
            <w:pPr>
              <w:jc w:val="right"/>
              <w:ind w:right="2368"/>
              <w:spacing w:after="0"/>
              <w:rPr>
                <w:sz w:val="20"/>
                <w:szCs w:val="20"/>
                <w:color w:val="auto"/>
              </w:rPr>
            </w:pPr>
            <w:r>
              <w:rPr>
                <w:rFonts w:ascii="Times New Roman" w:cs="Times New Roman" w:eastAsia="Times New Roman" w:hAnsi="Times New Roman"/>
                <w:sz w:val="18"/>
                <w:szCs w:val="18"/>
                <w:b w:val="1"/>
                <w:bCs w:val="1"/>
                <w:color w:val="auto"/>
              </w:rPr>
              <w:t>76102</w:t>
            </w:r>
          </w:p>
        </w:tc>
      </w:tr>
      <w:tr>
        <w:trPr>
          <w:trHeight w:val="190"/>
        </w:trPr>
        <w:tc>
          <w:tcPr>
            <w:tcW w:w="4340" w:type="dxa"/>
            <w:vAlign w:val="bottom"/>
          </w:tcPr>
          <w:p>
            <w:pPr>
              <w:jc w:val="center"/>
              <w:ind w:left="10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00" w:type="dxa"/>
            <w:vAlign w:val="bottom"/>
          </w:tcPr>
          <w:p>
            <w:pPr>
              <w:spacing w:after="0"/>
              <w:rPr>
                <w:sz w:val="16"/>
                <w:szCs w:val="16"/>
                <w:color w:val="auto"/>
              </w:rPr>
            </w:pPr>
          </w:p>
        </w:tc>
        <w:tc>
          <w:tcPr>
            <w:tcW w:w="4380" w:type="dxa"/>
            <w:vAlign w:val="bottom"/>
          </w:tcPr>
          <w:p>
            <w:pPr>
              <w:jc w:val="center"/>
              <w:ind w:right="86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34"/>
        </w:trPr>
        <w:tc>
          <w:tcPr>
            <w:tcW w:w="434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380" w:type="dxa"/>
            <w:vAlign w:val="bottom"/>
          </w:tcPr>
          <w:p>
            <w:pPr>
              <w:spacing w:after="0"/>
              <w:rPr>
                <w:sz w:val="24"/>
                <w:szCs w:val="24"/>
                <w:color w:val="auto"/>
              </w:rPr>
            </w:pPr>
          </w:p>
        </w:tc>
      </w:tr>
      <w:tr>
        <w:trPr>
          <w:trHeight w:val="401"/>
        </w:trPr>
        <w:tc>
          <w:tcPr>
            <w:tcW w:w="4340" w:type="dxa"/>
            <w:vAlign w:val="bottom"/>
          </w:tcPr>
          <w:p>
            <w:pPr>
              <w:spacing w:after="0"/>
              <w:rPr>
                <w:sz w:val="24"/>
                <w:szCs w:val="24"/>
                <w:color w:val="auto"/>
              </w:rPr>
            </w:pPr>
          </w:p>
        </w:tc>
        <w:tc>
          <w:tcPr>
            <w:tcW w:w="6680" w:type="dxa"/>
            <w:vAlign w:val="bottom"/>
            <w:gridSpan w:val="2"/>
          </w:tcPr>
          <w:p>
            <w:pPr>
              <w:jc w:val="center"/>
              <w:ind w:right="4288"/>
              <w:spacing w:after="0"/>
              <w:rPr>
                <w:sz w:val="20"/>
                <w:szCs w:val="20"/>
                <w:color w:val="auto"/>
              </w:rPr>
            </w:pPr>
            <w:r>
              <w:rPr>
                <w:rFonts w:ascii="Times New Roman" w:cs="Times New Roman" w:eastAsia="Times New Roman" w:hAnsi="Times New Roman"/>
                <w:sz w:val="18"/>
                <w:szCs w:val="18"/>
                <w:b w:val="1"/>
                <w:bCs w:val="1"/>
                <w:color w:val="auto"/>
                <w:w w:val="99"/>
              </w:rPr>
              <w:t>Debt Securities</w:t>
            </w:r>
          </w:p>
        </w:tc>
      </w:tr>
      <w:tr>
        <w:trPr>
          <w:trHeight w:val="190"/>
        </w:trPr>
        <w:tc>
          <w:tcPr>
            <w:tcW w:w="4340" w:type="dxa"/>
            <w:vAlign w:val="bottom"/>
          </w:tcPr>
          <w:p>
            <w:pPr>
              <w:spacing w:after="0"/>
              <w:rPr>
                <w:sz w:val="16"/>
                <w:szCs w:val="16"/>
                <w:color w:val="auto"/>
              </w:rPr>
            </w:pPr>
          </w:p>
        </w:tc>
        <w:tc>
          <w:tcPr>
            <w:tcW w:w="6680" w:type="dxa"/>
            <w:vAlign w:val="bottom"/>
            <w:gridSpan w:val="2"/>
          </w:tcPr>
          <w:p>
            <w:pPr>
              <w:jc w:val="center"/>
              <w:ind w:right="4308"/>
              <w:spacing w:after="0"/>
              <w:rPr>
                <w:sz w:val="20"/>
                <w:szCs w:val="20"/>
                <w:color w:val="auto"/>
              </w:rPr>
            </w:pPr>
            <w:r>
              <w:rPr>
                <w:rFonts w:ascii="Times New Roman" w:cs="Times New Roman" w:eastAsia="Times New Roman" w:hAnsi="Times New Roman"/>
                <w:sz w:val="14"/>
                <w:szCs w:val="14"/>
                <w:b w:val="1"/>
                <w:bCs w:val="1"/>
                <w:color w:val="auto"/>
              </w:rPr>
              <w:t>(Title of the indenture securities)</w:t>
            </w:r>
          </w:p>
        </w:tc>
      </w:tr>
      <w:tr>
        <w:trPr>
          <w:trHeight w:val="253"/>
        </w:trPr>
        <w:tc>
          <w:tcPr>
            <w:tcW w:w="434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spacing w:after="0"/>
              <w:rPr>
                <w:sz w:val="22"/>
                <w:szCs w:val="22"/>
                <w:color w:val="auto"/>
              </w:rPr>
            </w:pPr>
          </w:p>
        </w:tc>
        <w:tc>
          <w:tcPr>
            <w:tcW w:w="4380" w:type="dxa"/>
            <w:vAlign w:val="bottom"/>
            <w:tcBorders>
              <w:bottom w:val="single" w:sz="8" w:color="auto"/>
            </w:tcBorders>
          </w:tcPr>
          <w:p>
            <w:pPr>
              <w:spacing w:after="0"/>
              <w:rPr>
                <w:sz w:val="22"/>
                <w:szCs w:val="22"/>
                <w:color w:val="auto"/>
              </w:rPr>
            </w:pPr>
          </w:p>
        </w:tc>
      </w:tr>
      <w:tr>
        <w:trPr>
          <w:trHeight w:val="48"/>
        </w:trPr>
        <w:tc>
          <w:tcPr>
            <w:tcW w:w="434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4380" w:type="dxa"/>
            <w:vAlign w:val="bottom"/>
            <w:tcBorders>
              <w:bottom w:val="single" w:sz="8" w:color="auto"/>
            </w:tcBorders>
          </w:tcPr>
          <w:p>
            <w:pPr>
              <w:spacing w:after="0"/>
              <w:rPr>
                <w:sz w:val="4"/>
                <w:szCs w:val="4"/>
                <w:color w:val="auto"/>
              </w:rPr>
            </w:pPr>
          </w:p>
        </w:tc>
      </w:tr>
    </w:tbl>
    <w:p>
      <w:pPr>
        <w:sectPr>
          <w:pgSz w:w="11900" w:h="16838" w:orient="portrait"/>
          <w:cols w:equalWidth="0" w:num="1">
            <w:col w:w="11040"/>
          </w:cols>
          <w:pgMar w:left="440" w:top="117" w:right="41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Item 1. </w:t>
      </w:r>
      <w:r>
        <w:rPr>
          <w:rFonts w:ascii="Times New Roman" w:cs="Times New Roman" w:eastAsia="Times New Roman" w:hAnsi="Times New Roman"/>
          <w:sz w:val="18"/>
          <w:szCs w:val="18"/>
          <w:u w:val="single" w:color="auto"/>
          <w:color w:val="auto"/>
        </w:rPr>
        <w:t>General Information.</w:t>
      </w:r>
      <w:r>
        <w:rPr>
          <w:rFonts w:ascii="Times New Roman" w:cs="Times New Roman" w:eastAsia="Times New Roman" w:hAnsi="Times New Roman"/>
          <w:sz w:val="18"/>
          <w:szCs w:val="18"/>
          <w:color w:val="auto"/>
        </w:rPr>
        <w:t xml:space="preserve"> Furnish the following information as to the trustee:</w:t>
      </w:r>
    </w:p>
    <w:p>
      <w:pPr>
        <w:spacing w:after="0" w:line="131" w:lineRule="exact"/>
        <w:rPr>
          <w:sz w:val="20"/>
          <w:szCs w:val="20"/>
          <w:color w:val="auto"/>
        </w:rPr>
      </w:pPr>
    </w:p>
    <w:p>
      <w:pPr>
        <w:ind w:left="860" w:hanging="424"/>
        <w:spacing w:after="0"/>
        <w:tabs>
          <w:tab w:leader="none" w:pos="8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each examining or supervising authority to which it is subject.</w:t>
      </w:r>
    </w:p>
    <w:p>
      <w:pPr>
        <w:spacing w:after="0" w:line="117" w:lineRule="exact"/>
        <w:rPr>
          <w:rFonts w:ascii="Times New Roman" w:cs="Times New Roman" w:eastAsia="Times New Roman" w:hAnsi="Times New Roman"/>
          <w:sz w:val="18"/>
          <w:szCs w:val="18"/>
          <w:color w:val="auto"/>
        </w:rPr>
      </w:pPr>
    </w:p>
    <w:p>
      <w:pPr>
        <w:ind w:left="860" w:right="80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Comptroller of the Currency Treasury Department Washington, D.C.</w:t>
      </w:r>
    </w:p>
    <w:p>
      <w:pPr>
        <w:spacing w:after="0" w:line="68" w:lineRule="exact"/>
        <w:rPr>
          <w:rFonts w:ascii="Times New Roman" w:cs="Times New Roman" w:eastAsia="Times New Roman" w:hAnsi="Times New Roman"/>
          <w:sz w:val="18"/>
          <w:szCs w:val="18"/>
          <w:color w:val="auto"/>
        </w:rPr>
      </w:pPr>
    </w:p>
    <w:p>
      <w:pPr>
        <w:ind w:left="860" w:right="73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Deposit Insurance Corporation Washington, D.C.</w:t>
      </w:r>
    </w:p>
    <w:p>
      <w:pPr>
        <w:spacing w:after="0" w:line="53" w:lineRule="exact"/>
        <w:rPr>
          <w:rFonts w:ascii="Times New Roman" w:cs="Times New Roman" w:eastAsia="Times New Roman" w:hAnsi="Times New Roman"/>
          <w:sz w:val="18"/>
          <w:szCs w:val="18"/>
          <w:color w:val="auto"/>
        </w:rPr>
      </w:pPr>
    </w:p>
    <w:p>
      <w:pPr>
        <w:ind w:left="860" w:right="72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Reserve Bank of San Francisco San Francisco, California 94120</w:t>
      </w:r>
    </w:p>
    <w:p>
      <w:pPr>
        <w:spacing w:after="0" w:line="67" w:lineRule="exact"/>
        <w:rPr>
          <w:rFonts w:ascii="Times New Roman" w:cs="Times New Roman" w:eastAsia="Times New Roman" w:hAnsi="Times New Roman"/>
          <w:sz w:val="18"/>
          <w:szCs w:val="18"/>
          <w:color w:val="auto"/>
        </w:rPr>
      </w:pPr>
    </w:p>
    <w:p>
      <w:pPr>
        <w:jc w:val="both"/>
        <w:ind w:left="860" w:right="5840" w:hanging="424"/>
        <w:spacing w:after="0" w:line="407" w:lineRule="auto"/>
        <w:tabs>
          <w:tab w:leader="none" w:pos="861"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is authorized to exercise corporate trust powers. The trustee is authorized to exercise corporate trust powers.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u w:val="single" w:color="auto"/>
          <w:color w:val="auto"/>
        </w:rPr>
        <w:t>Affiliations with Obligor.</w:t>
      </w:r>
      <w:r>
        <w:rPr>
          <w:rFonts w:ascii="Times New Roman" w:cs="Times New Roman" w:eastAsia="Times New Roman" w:hAnsi="Times New Roman"/>
          <w:sz w:val="18"/>
          <w:szCs w:val="18"/>
          <w:color w:val="auto"/>
        </w:rPr>
        <w:t xml:space="preserve"> If the obligor is an affiliate of the trustee, describe each such affiliation.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 with respect to the 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responses are included for Items 3-14 of this Form T-1 because the obligor is not in default as provided under Item 13.</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15. </w:t>
      </w:r>
      <w:r>
        <w:rPr>
          <w:rFonts w:ascii="Times New Roman" w:cs="Times New Roman" w:eastAsia="Times New Roman" w:hAnsi="Times New Roman"/>
          <w:sz w:val="18"/>
          <w:szCs w:val="18"/>
          <w:u w:val="single" w:color="auto"/>
          <w:color w:val="auto"/>
        </w:rPr>
        <w:t>Foreign Trustee.</w:t>
      </w:r>
      <w:r>
        <w:rPr>
          <w:rFonts w:ascii="Times New Roman" w:cs="Times New Roman" w:eastAsia="Times New Roman" w:hAnsi="Times New Roman"/>
          <w:sz w:val="18"/>
          <w:szCs w:val="18"/>
          <w:color w:val="auto"/>
        </w:rPr>
        <w:t xml:space="preserve"> 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16. </w:t>
      </w:r>
      <w:r>
        <w:rPr>
          <w:rFonts w:ascii="Times New Roman" w:cs="Times New Roman" w:eastAsia="Times New Roman" w:hAnsi="Times New Roman"/>
          <w:sz w:val="18"/>
          <w:szCs w:val="18"/>
          <w:u w:val="single" w:color="auto"/>
          <w:color w:val="auto"/>
        </w:rPr>
        <w:t>List of Exhibits.</w:t>
      </w:r>
      <w:r>
        <w:rPr>
          <w:rFonts w:ascii="Times New Roman" w:cs="Times New Roman" w:eastAsia="Times New Roman" w:hAnsi="Times New Roman"/>
          <w:sz w:val="18"/>
          <w:szCs w:val="18"/>
          <w:color w:val="auto"/>
        </w:rPr>
        <w:t xml:space="preserve"> List below all exhibits filed as a part of this Statement of Eligibility.</w:t>
      </w:r>
    </w:p>
    <w:p>
      <w:pPr>
        <w:sectPr>
          <w:pgSz w:w="11900" w:h="16838" w:orient="portrait"/>
          <w:cols w:equalWidth="0" w:num="1">
            <w:col w:w="11000"/>
          </w:cols>
          <w:pgMar w:left="440" w:top="270" w:right="459" w:bottom="1440" w:gutter="0" w:footer="0" w:header="0"/>
        </w:sect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3.</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7.</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9.</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Articles of Association of the trustee now in effect.*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Comptroller of the Currency Certificate of Corporate Existence for Wells Fargo Bank, National Association, dated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27, 2012.**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Comptroller of the Currency Certification of Fiduciary Powers for Wells Fargo Bank, National Association, dated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21, 2011.**</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 of By-laws of the trustee as now in effect.***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consent of the trustee required by Section 321(b) of the 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latest report of condition of the trustee published pursuant to law or the requirements of its supervising or examining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ectPr>
          <w:pgSz w:w="11900" w:h="16838" w:orient="portrait"/>
          <w:cols w:equalWidth="0" w:num="2">
            <w:col w:w="720" w:space="720"/>
            <w:col w:w="9560"/>
          </w:cols>
          <w:pgMar w:left="440" w:top="270" w:right="459" w:bottom="1440" w:gutter="0" w:footer="0" w:header="0"/>
          <w:type w:val="continuous"/>
        </w:sectPr>
      </w:pPr>
    </w:p>
    <w:p>
      <w:pPr>
        <w:spacing w:after="0" w:line="52" w:lineRule="exact"/>
        <w:rPr>
          <w:sz w:val="20"/>
          <w:szCs w:val="20"/>
          <w:color w:val="auto"/>
        </w:rPr>
      </w:pPr>
    </w:p>
    <w:p>
      <w:pPr>
        <w:ind w:left="440" w:hanging="436"/>
        <w:spacing w:after="0"/>
        <w:tabs>
          <w:tab w:leader="none" w:pos="440"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the exhibit of the same number to the trustee’s Form T-1 filed as exhibit 25 to the Form S-4 dated December 30, 2005</w:t>
      </w:r>
    </w:p>
    <w:p>
      <w:pPr>
        <w:spacing w:after="0" w:line="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of file number 333-130784.</w:t>
      </w:r>
    </w:p>
    <w:p>
      <w:pPr>
        <w:spacing w:after="0" w:line="9" w:lineRule="exact"/>
        <w:rPr>
          <w:sz w:val="20"/>
          <w:szCs w:val="20"/>
          <w:color w:val="auto"/>
        </w:rPr>
      </w:pPr>
    </w:p>
    <w:p>
      <w:pPr>
        <w:ind w:left="440" w:hanging="436"/>
        <w:spacing w:after="0" w:line="250" w:lineRule="auto"/>
        <w:tabs>
          <w:tab w:leader="none" w:pos="4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 of the same number to the trustee’s Form T-1 filed as exhibit 25 to the Form S-3 dated January 23, 2013 of file number 333-186155.</w:t>
      </w:r>
    </w:p>
    <w:p>
      <w:pPr>
        <w:ind w:left="440" w:right="220" w:hanging="436"/>
        <w:spacing w:after="0" w:line="261" w:lineRule="auto"/>
        <w:tabs>
          <w:tab w:leader="none" w:pos="4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 of the same number to the trustee’s Form T-1 filed as exhibit 25 to the Form S-4 dated May 26, 2005 of file number 333-125274.</w:t>
      </w:r>
    </w:p>
    <w:p>
      <w:pPr>
        <w:sectPr>
          <w:pgSz w:w="11900" w:h="16838" w:orient="portrait"/>
          <w:cols w:equalWidth="0" w:num="1">
            <w:col w:w="11000"/>
          </w:cols>
          <w:pgMar w:left="440" w:top="270" w:right="459" w:bottom="1440" w:gutter="0" w:footer="0" w:header="0"/>
          <w:type w:val="continuous"/>
        </w:sectPr>
      </w:pPr>
    </w:p>
    <w:bookmarkStart w:id="249" w:name="page250"/>
    <w:bookmarkEnd w:id="249"/>
    <w:p>
      <w:pPr>
        <w:jc w:val="center"/>
        <w:ind w:right="-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Trust Indenture Act of 1939, as amended, the trustee, Wells Fargo Bank, National Association, a national banking association organized and existing under the laws of the United States of America, has duly caused this statement of eligibility to be signed on its behalf by the undersigned, thereunto duly authorized, all in the City of New York and State of New York on the 23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day of March, 2018.</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Tina D. Gonzalez</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Tina D.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4225925</wp:posOffset>
            </wp:positionH>
            <wp:positionV relativeFrom="paragraph">
              <wp:posOffset>-130810</wp:posOffset>
            </wp:positionV>
            <wp:extent cx="277876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6">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Vice President</w:t>
      </w:r>
    </w:p>
    <w:p>
      <w:pPr>
        <w:sectPr>
          <w:pgSz w:w="11900" w:h="16838" w:orient="portrait"/>
          <w:cols w:equalWidth="0" w:num="1">
            <w:col w:w="10960"/>
          </w:cols>
          <w:pgMar w:left="440" w:top="270" w:right="499" w:bottom="1440" w:gutter="0" w:footer="0" w:header="0"/>
        </w:sectPr>
      </w:pPr>
    </w:p>
    <w:bookmarkStart w:id="250" w:name="page251"/>
    <w:bookmarkEnd w:id="250"/>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23,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Section 321(b) of the Trust Indenture Act of 1939, as amended, the undersigned hereby consents that reports of examination of the undersigned made by Federal, State, Territorial, or District authorities authorized to make such examination may be furnished by such authorities to the Securities and Exchange Commission upon its request therefor.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0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 Tina D. Gonzalez</w:t>
      </w:r>
    </w:p>
    <w:p>
      <w:pPr>
        <w:spacing w:after="0" w:line="2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Tina D.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-130810</wp:posOffset>
            </wp:positionV>
            <wp:extent cx="278701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8">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Vice President</w:t>
      </w:r>
    </w:p>
    <w:p>
      <w:pPr>
        <w:sectPr>
          <w:pgSz w:w="11900" w:h="16838" w:orient="portrait"/>
          <w:cols w:equalWidth="0" w:num="1">
            <w:col w:w="10900"/>
          </w:cols>
          <w:pgMar w:left="440" w:top="270" w:right="559" w:bottom="1440" w:gutter="0" w:footer="0" w:header="0"/>
        </w:sectPr>
      </w:pPr>
    </w:p>
    <w:bookmarkStart w:id="251" w:name="page252"/>
    <w:bookmarkEnd w:id="251"/>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7</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Consolidated Report of Condition of</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of 101 North Phillips Avenue, Sioux Falls, SD 57104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And Foreign and Domestic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at the close of business December 31, 2017, filed in accordance with 12 U.S.C. §161 for National Banks.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80" w:type="dxa"/>
            <w:vAlign w:val="bottom"/>
          </w:tcPr>
          <w:p>
            <w:pPr>
              <w:spacing w:after="0"/>
              <w:rPr>
                <w:sz w:val="13"/>
                <w:szCs w:val="13"/>
                <w:color w:val="auto"/>
              </w:rPr>
            </w:pPr>
          </w:p>
        </w:tc>
        <w:tc>
          <w:tcPr>
            <w:tcW w:w="3740" w:type="dxa"/>
            <w:vAlign w:val="bottom"/>
            <w:gridSpan w:val="4"/>
          </w:tcPr>
          <w:p>
            <w:pPr>
              <w:ind w:left="2740"/>
              <w:spacing w:after="0"/>
              <w:rPr>
                <w:sz w:val="20"/>
                <w:szCs w:val="20"/>
                <w:color w:val="auto"/>
              </w:rPr>
            </w:pPr>
            <w:r>
              <w:rPr>
                <w:rFonts w:ascii="Times New Roman" w:cs="Times New Roman" w:eastAsia="Times New Roman" w:hAnsi="Times New Roman"/>
                <w:sz w:val="14"/>
                <w:szCs w:val="14"/>
                <w:color w:val="auto"/>
              </w:rPr>
              <w:t>Dollar Amounts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Cash and balances due from depository institutions: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Noninterest-bearing balances and currency and coin</w:t>
            </w:r>
          </w:p>
        </w:tc>
        <w:tc>
          <w:tcPr>
            <w:tcW w:w="2860" w:type="dxa"/>
            <w:vAlign w:val="bottom"/>
            <w:gridSpan w:val="2"/>
            <w:shd w:val="clear" w:color="auto" w:fill="CCEEFF"/>
          </w:tcPr>
          <w:p>
            <w:pPr>
              <w:ind w:left="27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Interest-bearing balances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Federal funds sold and securities purchased under agreements to resell:</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Federal funds sold in domestic offices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Securities purchased under agreements to resell</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and lease financing receivables: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Loans and leases held for sale</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Loans and leases, net of unearned income</w:t>
            </w:r>
          </w:p>
        </w:tc>
        <w:tc>
          <w:tcPr>
            <w:tcW w:w="27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929,016</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Allowance for loan and lease losses</w:t>
            </w:r>
          </w:p>
        </w:tc>
        <w:tc>
          <w:tcPr>
            <w:tcW w:w="27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10,104</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Loans and leases, net of unearned income and allowance</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Trading Assets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Premises and fixed assets (including capitalized leases)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Other real estate owned</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subsidiaries and associated companies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Direct and indirect investments in real estate ventures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intangible assets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60" w:type="dxa"/>
            <w:vAlign w:val="bottom"/>
            <w:gridSpan w:val="2"/>
            <w:shd w:val="clear" w:color="auto" w:fill="CCEEFF"/>
          </w:tcPr>
          <w:p>
            <w:pPr>
              <w:ind w:left="27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2"/>
            <w:vMerge w:val="continue"/>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 domestic offices</w:t>
            </w:r>
          </w:p>
        </w:tc>
        <w:tc>
          <w:tcPr>
            <w:tcW w:w="2860" w:type="dxa"/>
            <w:vAlign w:val="bottom"/>
            <w:gridSpan w:val="2"/>
          </w:tcPr>
          <w:p>
            <w:pPr>
              <w:ind w:left="27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1,259,735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Noninterest-bearing</w:t>
            </w:r>
          </w:p>
        </w:tc>
        <w:tc>
          <w:tcPr>
            <w:tcW w:w="27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423,833</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Interest-bearing</w:t>
            </w:r>
          </w:p>
        </w:tc>
        <w:tc>
          <w:tcPr>
            <w:tcW w:w="27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835,902</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 foreign offices, Edge and Agreement subsidiaries, and IBFs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Noninterest-bearing</w:t>
            </w:r>
          </w:p>
        </w:tc>
        <w:tc>
          <w:tcPr>
            <w:tcW w:w="27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962</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Interest-bearing</w:t>
            </w:r>
          </w:p>
        </w:tc>
        <w:tc>
          <w:tcPr>
            <w:tcW w:w="27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128,302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Federal funds purchased and securities sold under agreements to repurchase:</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Federal funds purchased in domestic offices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Trading liabilities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borrowed money</w:t>
            </w:r>
          </w:p>
        </w:tc>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(includes mortgage indebtedness and obligations under capitalized leases)</w:t>
            </w: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notes and debentures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860" w:type="dxa"/>
            <w:vAlign w:val="bottom"/>
            <w:gridSpan w:val="2"/>
            <w:shd w:val="clear" w:color="auto" w:fill="CCEEFF"/>
          </w:tcPr>
          <w:p>
            <w:pPr>
              <w:ind w:left="27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1,580,796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252" w:name="page253"/>
    <w:bookmarkEnd w:id="25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Dollar Amounts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In Millions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000" w:type="dxa"/>
            <w:vAlign w:val="bottom"/>
          </w:tcPr>
          <w:p>
            <w:pPr>
              <w:spacing w:after="0"/>
              <w:rPr>
                <w:sz w:val="7"/>
                <w:szCs w:val="7"/>
                <w:color w:val="auto"/>
              </w:rPr>
            </w:pPr>
          </w:p>
        </w:tc>
        <w:tc>
          <w:tcPr>
            <w:tcW w:w="244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3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CAPITAL</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Perpetual preferred stock and related surplus</w:t>
            </w: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Surplus (exclude all surplus related to preferred stock)</w:t>
            </w: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equity capital components</w:t>
            </w:r>
          </w:p>
        </w:tc>
        <w:tc>
          <w:tcPr>
            <w:tcW w:w="2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bank equity capital</w:t>
            </w:r>
          </w:p>
        </w:tc>
        <w:tc>
          <w:tcPr>
            <w:tcW w:w="2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(minority) interests in consolidated subsidiaries</w:t>
            </w:r>
          </w:p>
        </w:tc>
        <w:tc>
          <w:tcPr>
            <w:tcW w:w="2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equity capital</w:t>
            </w:r>
          </w:p>
        </w:tc>
        <w:tc>
          <w:tcPr>
            <w:tcW w:w="2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 capital</w:t>
            </w:r>
          </w:p>
        </w:tc>
        <w:tc>
          <w:tcPr>
            <w:tcW w:w="2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 John R. Shrewsberry, Sr. EVP &amp; CFO of the above-named bank do hereby declare that this Report of Condition has been prepared in conformance with the instructions issued by the appropriate Federal regulatory authority and is true to the best of my knowledge and belief.</w:t>
      </w:r>
    </w:p>
    <w:p>
      <w:pPr>
        <w:spacing w:after="0" w:line="189"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8"/>
          <w:szCs w:val="18"/>
          <w:color w:val="auto"/>
        </w:rPr>
        <w:t>John R. Shrewsberry</w:t>
      </w:r>
    </w:p>
    <w:p>
      <w:pPr>
        <w:spacing w:after="0" w:line="27"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8"/>
          <w:szCs w:val="18"/>
          <w:color w:val="auto"/>
        </w:rPr>
        <w:t>Sr. EVP &amp; CFO</w:t>
      </w:r>
    </w:p>
    <w:p>
      <w:pPr>
        <w:spacing w:after="0" w:line="220"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We, the undersigned directors, attest to the correctness of this Report of Condition and declare that it has been examined by us and to the best of our knowledge and belief has been prepared in conformance with the instructions issued by the appropriate Federal regulatory authority and is true and correct.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Enrique Hernandez,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Federico F. Pena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Quigley</w:t>
      </w:r>
    </w:p>
    <w:p>
      <w:pPr>
        <w:sectPr>
          <w:pgSz w:w="11900" w:h="16838" w:orient="portrait"/>
          <w:cols w:equalWidth="0" w:num="1">
            <w:col w:w="11040"/>
          </w:cols>
          <w:pgMar w:left="440" w:top="253" w:right="419" w:bottom="1440" w:gutter="0" w:footer="0" w:header="0"/>
        </w:sectPr>
      </w:pPr>
    </w:p>
    <w:bookmarkStart w:id="253" w:name="page254"/>
    <w:bookmarkEnd w:id="253"/>
    <w:p>
      <w:pPr>
        <w:jc w:val="right"/>
        <w:spacing w:after="0"/>
        <w:rPr>
          <w:sz w:val="20"/>
          <w:szCs w:val="20"/>
          <w:color w:val="auto"/>
        </w:rPr>
      </w:pPr>
      <w:r>
        <w:rPr>
          <w:rFonts w:ascii="Times New Roman" w:cs="Times New Roman" w:eastAsia="Times New Roman" w:hAnsi="Times New Roman"/>
          <w:sz w:val="18"/>
          <w:szCs w:val="18"/>
          <w:b w:val="1"/>
          <w:bCs w:val="1"/>
          <w:color w:val="auto"/>
        </w:rPr>
        <w:t>Exhibit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898525</wp:posOffset>
            </wp:positionH>
            <wp:positionV relativeFrom="paragraph">
              <wp:posOffset>174625</wp:posOffset>
            </wp:positionV>
            <wp:extent cx="5213985" cy="20237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1">
                      <a:extLst>
                        <a:ext uri="{28A0092B-C50C-407E-A947-70E740481C1C}"/>
                      </a:extLst>
                    </a:blip>
                    <a:srcRect/>
                    <a:stretch>
                      <a:fillRect/>
                    </a:stretch>
                  </pic:blipFill>
                  <pic:spPr bwMode="auto">
                    <a:xfrm>
                      <a:off x="0" y="0"/>
                      <a:ext cx="5213985"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28,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TPG Specialty Lending,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301 Commerce Street, Suite 3300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Worth, TX 76102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We have acted as counsel to TPG Specialty Lending,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and filing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pursuant to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 a registration statement on Form N-2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relating to the offering by the Company from time to time, together or separately and in one or more series (if applicable), of up to an aggregate offering price of $750,000,000 of (a) shares of the Company’s common stock, par value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(b) shares of the Company’s preferred stock, par value $0.01 per share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(c) debt securities of the Company (the “</w:t>
      </w:r>
      <w:r>
        <w:rPr>
          <w:rFonts w:ascii="Times New Roman" w:cs="Times New Roman" w:eastAsia="Times New Roman" w:hAnsi="Times New Roman"/>
          <w:sz w:val="18"/>
          <w:szCs w:val="18"/>
          <w:u w:val="single" w:color="auto"/>
          <w:color w:val="auto"/>
        </w:rPr>
        <w:t>Debt Securities</w:t>
      </w:r>
      <w:r>
        <w:rPr>
          <w:rFonts w:ascii="Times New Roman" w:cs="Times New Roman" w:eastAsia="Times New Roman" w:hAnsi="Times New Roman"/>
          <w:sz w:val="18"/>
          <w:szCs w:val="18"/>
          <w:color w:val="auto"/>
        </w:rPr>
        <w:t>”); (d) subscription rights to purchase shares of the Company’s common stock (the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and (e) warrants to purchase Debt Securities, Preferred Stock, Common Stock or other securities, property or assets or other warrants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The Common Stock, Preferred Stock, Debt Securities, Rights and Warrants are referred to herein collectively as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The Securities being registered under the Registration Statement will be offered on a continuous or delayed basis pursuant to the provisions of Rule 415 under the Securities Act.</w:t>
      </w:r>
    </w:p>
    <w:p>
      <w:pPr>
        <w:spacing w:after="0" w:line="189" w:lineRule="exact"/>
        <w:rPr>
          <w:sz w:val="20"/>
          <w:szCs w:val="20"/>
          <w:color w:val="auto"/>
        </w:rPr>
      </w:pPr>
    </w:p>
    <w:p>
      <w:pPr>
        <w:ind w:right="100" w:firstLine="441"/>
        <w:spacing w:after="0" w:line="256" w:lineRule="auto"/>
        <w:rPr>
          <w:sz w:val="20"/>
          <w:szCs w:val="20"/>
          <w:color w:val="auto"/>
        </w:rPr>
      </w:pPr>
      <w:r>
        <w:rPr>
          <w:rFonts w:ascii="Times New Roman" w:cs="Times New Roman" w:eastAsia="Times New Roman" w:hAnsi="Times New Roman"/>
          <w:sz w:val="18"/>
          <w:szCs w:val="18"/>
          <w:color w:val="auto"/>
        </w:rPr>
        <w:t>The terms of the Preferred Stock are to be established in one or more certificates of designation, rights and preferences filed with the Secretary of State of the State of Delaware (each, a “</w:t>
      </w:r>
      <w:r>
        <w:rPr>
          <w:rFonts w:ascii="Times New Roman" w:cs="Times New Roman" w:eastAsia="Times New Roman" w:hAnsi="Times New Roman"/>
          <w:sz w:val="18"/>
          <w:szCs w:val="18"/>
          <w:u w:val="single" w:color="auto"/>
          <w:color w:val="auto"/>
        </w:rPr>
        <w:t>Certificate of Designation</w:t>
      </w:r>
      <w:r>
        <w:rPr>
          <w:rFonts w:ascii="Times New Roman" w:cs="Times New Roman" w:eastAsia="Times New Roman" w:hAnsi="Times New Roman"/>
          <w:sz w:val="18"/>
          <w:szCs w:val="18"/>
          <w:color w:val="auto"/>
        </w:rPr>
        <w:t>”). The Debt Securities are to be issued in one or more series pursuant to an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dated January 22, 2018 between the Company and Wells Fargo Bank, National Association. The Rights are to be issued under one or more rights agreements (each, a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between the Company and the rights agent to be named therein. The Warrants are to be issued under one or more warrant agreements (each, a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to be entered into between the Company and the warrant agent to be named therein.</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arriving at the opinions expressed below, we have reviewed the following documents:</w:t>
      </w:r>
    </w:p>
    <w:p>
      <w:pPr>
        <w:spacing w:after="0" w:line="117" w:lineRule="exact"/>
        <w:rPr>
          <w:sz w:val="20"/>
          <w:szCs w:val="20"/>
          <w:color w:val="auto"/>
        </w:rPr>
      </w:pPr>
    </w:p>
    <w:p>
      <w:pPr>
        <w:ind w:left="680" w:hanging="236"/>
        <w:spacing w:after="0"/>
        <w:tabs>
          <w:tab w:leader="none" w:pos="6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117" w:lineRule="exact"/>
        <w:rPr>
          <w:rFonts w:ascii="Times New Roman" w:cs="Times New Roman" w:eastAsia="Times New Roman" w:hAnsi="Times New Roman"/>
          <w:sz w:val="18"/>
          <w:szCs w:val="18"/>
          <w:color w:val="auto"/>
        </w:rPr>
      </w:pPr>
    </w:p>
    <w:p>
      <w:pPr>
        <w:ind w:left="700" w:hanging="256"/>
        <w:spacing w:after="0"/>
        <w:tabs>
          <w:tab w:leader="none" w:pos="7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Certificate of Common Stock included as Exhibit (d)(1) to the Registration Statement;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Cleary Gottlieb Steen &amp; Hamilton LLP or an affiliated entity has an office in each of the cities listed above.</w:t>
      </w:r>
    </w:p>
    <w:p>
      <w:pPr>
        <w:sectPr>
          <w:pgSz w:w="11900" w:h="16838" w:orient="portrait"/>
          <w:cols w:equalWidth="0" w:num="1">
            <w:col w:w="11020"/>
          </w:cols>
          <w:pgMar w:left="440" w:top="117" w:right="4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 p. 2</w:t>
      </w:r>
    </w:p>
    <w:p>
      <w:pPr>
        <w:spacing w:after="0" w:line="158" w:lineRule="exact"/>
        <w:rPr>
          <w:sz w:val="20"/>
          <w:szCs w:val="20"/>
          <w:color w:val="auto"/>
        </w:rPr>
      </w:pPr>
    </w:p>
    <w:p>
      <w:pPr>
        <w:ind w:left="680" w:hanging="236"/>
        <w:spacing w:after="0"/>
        <w:tabs>
          <w:tab w:leader="none" w:pos="6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Indenture, a conformed copy of which is included as Exhibit (d)(8) to the Registration Statement;</w:t>
      </w:r>
    </w:p>
    <w:p>
      <w:pPr>
        <w:spacing w:after="0" w:line="117" w:lineRule="exact"/>
        <w:rPr>
          <w:rFonts w:ascii="Times New Roman" w:cs="Times New Roman" w:eastAsia="Times New Roman" w:hAnsi="Times New Roman"/>
          <w:sz w:val="18"/>
          <w:szCs w:val="18"/>
          <w:color w:val="auto"/>
        </w:rPr>
      </w:pPr>
    </w:p>
    <w:p>
      <w:pPr>
        <w:ind w:left="700" w:hanging="256"/>
        <w:spacing w:after="0"/>
        <w:tabs>
          <w:tab w:leader="none" w:pos="7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Subscription Certificate included as Exhibit (d)(2) to the Registration Statement; and</w:t>
      </w:r>
    </w:p>
    <w:p>
      <w:pPr>
        <w:spacing w:after="0" w:line="117" w:lineRule="exact"/>
        <w:rPr>
          <w:rFonts w:ascii="Times New Roman" w:cs="Times New Roman" w:eastAsia="Times New Roman" w:hAnsi="Times New Roman"/>
          <w:sz w:val="18"/>
          <w:szCs w:val="18"/>
          <w:color w:val="auto"/>
        </w:rPr>
      </w:pPr>
    </w:p>
    <w:p>
      <w:pPr>
        <w:ind w:right="300" w:firstLine="444"/>
        <w:spacing w:after="0" w:line="282" w:lineRule="auto"/>
        <w:tabs>
          <w:tab w:leader="none" w:pos="68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Company’s Amended and Restated Certificate of Incorporation, as amended, certified by the Secretary of State of the State of Delaware, and Bylaws, certified by the corporate secretary of the Company.</w:t>
      </w:r>
    </w:p>
    <w:p>
      <w:pPr>
        <w:spacing w:after="0" w:line="162" w:lineRule="exact"/>
        <w:rPr>
          <w:sz w:val="20"/>
          <w:szCs w:val="20"/>
          <w:color w:val="auto"/>
        </w:rPr>
      </w:pPr>
    </w:p>
    <w:p>
      <w:pPr>
        <w:jc w:val="both"/>
        <w:ind w:right="240"/>
        <w:spacing w:after="0" w:line="282" w:lineRule="auto"/>
        <w:rPr>
          <w:sz w:val="20"/>
          <w:szCs w:val="20"/>
          <w:color w:val="auto"/>
        </w:rPr>
      </w:pPr>
      <w:r>
        <w:rPr>
          <w:rFonts w:ascii="Times New Roman" w:cs="Times New Roman" w:eastAsia="Times New Roman" w:hAnsi="Times New Roman"/>
          <w:sz w:val="18"/>
          <w:szCs w:val="18"/>
          <w:color w:val="auto"/>
        </w:rPr>
        <w:t>In addition, we have reviewed the originals or copies certified or otherwise identified to our satisfaction of all such corporate records of the Company and such other documents, and we have made such investigations of law, as we have deemed appropriate as a basis for the opinions expressed below.</w:t>
      </w:r>
    </w:p>
    <w:p>
      <w:pPr>
        <w:spacing w:after="0" w:line="162" w:lineRule="exact"/>
        <w:rPr>
          <w:sz w:val="20"/>
          <w:szCs w:val="20"/>
          <w:color w:val="auto"/>
        </w:rPr>
      </w:pPr>
    </w:p>
    <w:p>
      <w:pPr>
        <w:jc w:val="both"/>
        <w:ind w:right="160" w:firstLine="441"/>
        <w:spacing w:after="0" w:line="266" w:lineRule="auto"/>
        <w:rPr>
          <w:sz w:val="20"/>
          <w:szCs w:val="20"/>
          <w:color w:val="auto"/>
        </w:rPr>
      </w:pPr>
      <w:r>
        <w:rPr>
          <w:rFonts w:ascii="Times New Roman" w:cs="Times New Roman" w:eastAsia="Times New Roman" w:hAnsi="Times New Roman"/>
          <w:sz w:val="18"/>
          <w:szCs w:val="18"/>
          <w:color w:val="auto"/>
        </w:rPr>
        <w:t>In rendering the opinions expressed below, we have assumed the authenticity of all documents submitted to us as originals and the conformity to the originals of all documents submitted to us as copies. In addition, we have assumed and have not verified the accuracy as to factual matters of each document we have reviewed.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Based on the foregoing, and subject to the further assumptions and qualifications set forth below, it is our opinion that:</w:t>
      </w:r>
    </w:p>
    <w:p>
      <w:pPr>
        <w:spacing w:after="0" w:line="117" w:lineRule="exact"/>
        <w:rPr>
          <w:sz w:val="20"/>
          <w:szCs w:val="20"/>
          <w:color w:val="auto"/>
        </w:rPr>
      </w:pPr>
    </w:p>
    <w:p>
      <w:pPr>
        <w:ind w:right="100" w:firstLine="444"/>
        <w:spacing w:after="0" w:line="282" w:lineRule="auto"/>
        <w:tabs>
          <w:tab w:leader="none" w:pos="621"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including Common Stock to be issued upon conversion, exchange or exercise of any other Security in accordance with its terms, will be validly issued by the Company, fully paid and nonassessable.</w:t>
      </w:r>
    </w:p>
    <w:p>
      <w:pPr>
        <w:spacing w:after="0" w:line="53" w:lineRule="exact"/>
        <w:rPr>
          <w:rFonts w:ascii="Times New Roman" w:cs="Times New Roman" w:eastAsia="Times New Roman" w:hAnsi="Times New Roman"/>
          <w:sz w:val="18"/>
          <w:szCs w:val="18"/>
          <w:color w:val="auto"/>
        </w:rPr>
      </w:pPr>
    </w:p>
    <w:p>
      <w:pPr>
        <w:ind w:left="620" w:hanging="176"/>
        <w:spacing w:after="0"/>
        <w:tabs>
          <w:tab w:leader="none" w:pos="62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Stock will be validly issued by the Company, fully paid and nonassessable.</w:t>
      </w:r>
    </w:p>
    <w:p>
      <w:pPr>
        <w:spacing w:after="0" w:line="117" w:lineRule="exact"/>
        <w:rPr>
          <w:rFonts w:ascii="Times New Roman" w:cs="Times New Roman" w:eastAsia="Times New Roman" w:hAnsi="Times New Roman"/>
          <w:sz w:val="18"/>
          <w:szCs w:val="18"/>
          <w:color w:val="auto"/>
        </w:rPr>
      </w:pPr>
    </w:p>
    <w:p>
      <w:pPr>
        <w:ind w:left="620" w:hanging="176"/>
        <w:spacing w:after="0"/>
        <w:tabs>
          <w:tab w:leader="none" w:pos="62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Securities will be the valid, binding and enforceable obligations of the Company, entitled to the benefits of the Indenture.</w:t>
      </w:r>
    </w:p>
    <w:p>
      <w:pPr>
        <w:spacing w:after="0" w:line="117" w:lineRule="exact"/>
        <w:rPr>
          <w:rFonts w:ascii="Times New Roman" w:cs="Times New Roman" w:eastAsia="Times New Roman" w:hAnsi="Times New Roman"/>
          <w:sz w:val="18"/>
          <w:szCs w:val="18"/>
          <w:color w:val="auto"/>
        </w:rPr>
      </w:pPr>
    </w:p>
    <w:p>
      <w:pPr>
        <w:ind w:left="620" w:hanging="176"/>
        <w:spacing w:after="0"/>
        <w:tabs>
          <w:tab w:leader="none" w:pos="62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will be the valid, binding and enforceable obligations of the Company.</w:t>
      </w:r>
    </w:p>
    <w:p>
      <w:pPr>
        <w:spacing w:after="0" w:line="117" w:lineRule="exact"/>
        <w:rPr>
          <w:rFonts w:ascii="Times New Roman" w:cs="Times New Roman" w:eastAsia="Times New Roman" w:hAnsi="Times New Roman"/>
          <w:sz w:val="18"/>
          <w:szCs w:val="18"/>
          <w:color w:val="auto"/>
        </w:rPr>
      </w:pPr>
    </w:p>
    <w:p>
      <w:pPr>
        <w:ind w:left="620" w:hanging="176"/>
        <w:spacing w:after="0"/>
        <w:tabs>
          <w:tab w:leader="none" w:pos="62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will be the valid, binding and enforceable obligations of the Company.</w:t>
      </w:r>
    </w:p>
    <w:p>
      <w:pPr>
        <w:spacing w:after="0" w:line="225"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Insofar as the foregoing opinions relate to the validity, binding effect or enforceability of any agreement or obligation of the Company, (x) we have assumed that the Company and each other party to such agreement or obligation has satisfied or, prior to the issuance of the Securities, will satisfy, those legal requirements that are applicable to it to the extent necessary to make such agreement or obligation enforceable against it and (y) such opinions are subject to applicable bankruptcy, insolvency and similar laws affecting creditors’ rights generally and to general principles of equity.</w:t>
      </w:r>
    </w:p>
    <w:p>
      <w:pPr>
        <w:spacing w:after="0" w:line="180" w:lineRule="exact"/>
        <w:rPr>
          <w:sz w:val="20"/>
          <w:szCs w:val="20"/>
          <w:color w:val="auto"/>
        </w:rPr>
      </w:pPr>
    </w:p>
    <w:p>
      <w:pPr>
        <w:ind w:firstLine="441"/>
        <w:spacing w:after="0" w:line="267" w:lineRule="auto"/>
        <w:rPr>
          <w:sz w:val="20"/>
          <w:szCs w:val="20"/>
          <w:color w:val="auto"/>
        </w:rPr>
      </w:pPr>
      <w:r>
        <w:rPr>
          <w:rFonts w:ascii="Times New Roman" w:cs="Times New Roman" w:eastAsia="Times New Roman" w:hAnsi="Times New Roman"/>
          <w:sz w:val="17"/>
          <w:szCs w:val="17"/>
          <w:color w:val="auto"/>
        </w:rPr>
        <w:t>In rendering the opinions expressed above, we have further assumed that (i) prior to the issuance of the Securities, the Company will authorize the offering and issuance of the Securities and will duly authorize, approve and establish the final terms and conditions thereof, which terms will conform to the descriptions thereof in the Registration Statement and the related prospectus supplements, the terms of any agreement governing those Securities and, in the case of Preferred Stock, the provisions of the Company’s Amended and Restated Certificate of Incorporation, as amended, and will not violate any applicable law, conflict with any matter of public policy, result in a default under or breach of any agreement or instrument binding upon the Company or violate any requirement or restriction imposed by any court or governmental body having jurisdiction over the Company; (ii) prior to the issuance of the Securities, the Company will duly authorize, execute and deliver any applicable Rights Agreement and Warrant Agreement and any other agreement governing the Securities or otherwise necessary with respect to the Securities or contemplated by the Securities or the Registration Statement and will take any other appropriate or necessary corporate action, including the filing of any Certificate of Designation with the Secretary of State of the State of Delaware; (iii) any agreement governing the Securities and any instruments evidencing the Securities will be governed by New York law;</w:t>
      </w:r>
    </w:p>
    <w:p>
      <w:pPr>
        <w:spacing w:after="0" w:line="4" w:lineRule="exact"/>
        <w:rPr>
          <w:sz w:val="20"/>
          <w:szCs w:val="20"/>
          <w:color w:val="auto"/>
        </w:rPr>
      </w:pPr>
    </w:p>
    <w:p>
      <w:pPr>
        <w:jc w:val="both"/>
        <w:ind w:right="20" w:firstLine="4"/>
        <w:spacing w:after="0" w:line="254" w:lineRule="auto"/>
        <w:tabs>
          <w:tab w:leader="none" w:pos="30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Certificate will conform to the form thereof filed as exhibits to the Registration Statement; (v) the Securities will be offered, issued, sold and delivered in compliance with applicable law and any requirements therefor set forth in any corporate action authorizing such Securities and any agreement governing such Securities and in the manner contemplated by the Registration Statement and the related prospectus supplements describing the Securities and</w:t>
      </w:r>
    </w:p>
    <w:p>
      <w:pPr>
        <w:sectPr>
          <w:pgSz w:w="11900" w:h="16838" w:orient="portrait"/>
          <w:cols w:equalWidth="0" w:num="1">
            <w:col w:w="11020"/>
          </w:cols>
          <w:pgMar w:left="440" w:top="270" w:right="4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TPG Specialty Lending, Inc., p. 3</w:t>
      </w:r>
    </w:p>
    <w:p>
      <w:pPr>
        <w:spacing w:after="0" w:line="15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offering thereof; (vi) the Securities will be offered, sold and delivered to, and paid for by, the purchasers thereof at the price specified in, and in accordance with the terms of, an agreement or agreements duly authorized, executed and delivered by the parties thereto, which price, in the case of Common Stock or Preferred Stock, shall not be less than the respective par value thereof; and (vii) if issued in certificated form, certificates representing the Securities will be duly executed and delivered and, to the extent required by any applicable agreement, duly authenticated or countersigned, and if issued in book-entry form, the Securities will be duly registered to the extent required by any applicable agreement.</w:t>
      </w:r>
    </w:p>
    <w:p>
      <w:pPr>
        <w:spacing w:after="0" w:line="184" w:lineRule="exact"/>
        <w:rPr>
          <w:sz w:val="20"/>
          <w:szCs w:val="20"/>
          <w:color w:val="auto"/>
        </w:rPr>
      </w:pPr>
    </w:p>
    <w:p>
      <w:pPr>
        <w:ind w:right="400" w:firstLine="441"/>
        <w:spacing w:after="0" w:line="282" w:lineRule="auto"/>
        <w:rPr>
          <w:sz w:val="20"/>
          <w:szCs w:val="20"/>
          <w:color w:val="auto"/>
        </w:rPr>
      </w:pPr>
      <w:r>
        <w:rPr>
          <w:rFonts w:ascii="Times New Roman" w:cs="Times New Roman" w:eastAsia="Times New Roman" w:hAnsi="Times New Roman"/>
          <w:sz w:val="18"/>
          <w:szCs w:val="18"/>
          <w:color w:val="auto"/>
        </w:rPr>
        <w:t>In rendering the opinions expressed in paragraph 3 above, we have assumed that each series of Debt Securities will be issued with an original aggregate principal amount (or in the case of Debt Securities issued at an original issue discount, an aggregate issue price) of $2,500,000 or more.</w:t>
      </w:r>
    </w:p>
    <w:p>
      <w:pPr>
        <w:spacing w:after="0" w:line="162"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We note that any designation in the Securities or any applicable agreement governing those Securities of the U.S. federal courts sitting in New York City as the venue for actions or proceedings relating to such Securities is (notwithstanding any waiver thereof) subject to the power of such courts to transfer actions pursuant to 28 U.S.C. §1404(a) or to dismiss such actions or proceedings on the grounds that such a federal court is an inconvenient forum for such an action or proceeding.</w:t>
      </w:r>
    </w:p>
    <w:p>
      <w:pPr>
        <w:spacing w:after="0" w:line="180"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color w:val="auto"/>
        </w:rPr>
        <w:t>We note that by statute New York provides that a judgment or decree rendered in a currency other than the currency of the United States shall be converted into U.S. dollars at the rate of exchange prevailing on the date of entry of the judgment or decree. There is no corresponding federal statute and no controlling federal court decision on this issue. Accordingly, we express no opinion as to whether a federal court would award a judgment in a currency other than U.S. dollars or, if it did so, whether it would order conversion of the judgment into U.S. dollars. In addition, to the extent that any Securities or applicable agreement governing those Securities includes a provision relating to indemnification against any loss in obtaining currency due from a court judgment in another currency, we express no opinion as to the enforceability of such provision.</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foregoing opinions are limited to the law of the State of New York and the General Corporation Law of the State of Delaware.</w:t>
      </w:r>
    </w:p>
    <w:p>
      <w:pPr>
        <w:spacing w:after="0" w:line="225"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We hereby consent to the use of our name in the prospectus constituting a part of the Registration Statement under the heading “Legal Matters” and in any prospectus supplement related thereto as counsel for the Company that has passed on the validity of the Securities, and to the use of this opinion as a part (Exhibit (l)) of the Registration Statement. In giving this consent, we do not thereby admit that we are within the category of persons whose consent is required under Section 7 of the Securities Act or the rules and regulations of the Commission thereunder. The opinions expressed herein are rendered on and as of the date hereof, and we assume no obligation to advise you or any other person, or to make any investigations, as to any legal developments or factual matters arising subsequent to the date hereof that might affect the opinions expressed herein.</w:t>
      </w:r>
    </w:p>
    <w:p>
      <w:pPr>
        <w:spacing w:after="0" w:line="33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CLEARY GOTTLIEB STEEN &amp; HAMILTON LLP</w:t>
      </w:r>
    </w:p>
    <w:p>
      <w:pPr>
        <w:spacing w:after="0" w:line="207"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/s/  Adam E. Fleisher</w:t>
            </w:r>
          </w:p>
        </w:tc>
      </w:tr>
      <w:tr>
        <w:trPr>
          <w:trHeight w:val="228"/>
        </w:trPr>
        <w:tc>
          <w:tcPr>
            <w:tcW w:w="300" w:type="dxa"/>
            <w:vAlign w:val="bottom"/>
          </w:tcPr>
          <w:p>
            <w:pPr>
              <w:spacing w:after="0"/>
              <w:rPr>
                <w:sz w:val="19"/>
                <w:szCs w:val="19"/>
                <w:color w:val="auto"/>
              </w:rPr>
            </w:pPr>
          </w:p>
        </w:tc>
        <w:tc>
          <w:tcPr>
            <w:tcW w:w="41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Adam E. Fleisher, a Partner</w:t>
            </w:r>
          </w:p>
        </w:tc>
      </w:tr>
    </w:tbl>
    <w:p>
      <w:pPr>
        <w:sectPr>
          <w:pgSz w:w="11900" w:h="16838" w:orient="portrait"/>
          <w:cols w:equalWidth="0" w:num="1">
            <w:col w:w="11040"/>
          </w:cols>
          <w:pgMar w:left="440" w:top="270" w:right="419" w:bottom="1440" w:gutter="0" w:footer="0" w:header="0"/>
        </w:sectPr>
      </w:pPr>
    </w:p>
    <w:bookmarkStart w:id="256" w:name="page257"/>
    <w:bookmarkEnd w:id="256"/>
    <w:p>
      <w:pPr>
        <w:jc w:val="right"/>
        <w:spacing w:after="0"/>
        <w:rPr>
          <w:sz w:val="20"/>
          <w:szCs w:val="20"/>
          <w:color w:val="auto"/>
        </w:rPr>
      </w:pPr>
      <w:r>
        <w:rPr>
          <w:rFonts w:ascii="Times New Roman" w:cs="Times New Roman" w:eastAsia="Times New Roman" w:hAnsi="Times New Roman"/>
          <w:sz w:val="18"/>
          <w:szCs w:val="18"/>
          <w:b w:val="1"/>
          <w:bCs w:val="1"/>
          <w:color w:val="auto"/>
        </w:rPr>
        <w:t>Exhibit(n)(2)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TPG Specialty Lending, Inc.:</w:t>
      </w:r>
    </w:p>
    <w:p>
      <w:pPr>
        <w:spacing w:after="0" w:line="20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consent to the use of our report dated February 21, 2018, with respect to the consolidated balance sheets of TPG Specialty Lending, Inc. and subsidiaries (the Company), including the consolidated schedules of investments, as of December 31, 2017 and 2016, and the related consolidated statements of operations, changes in net assets and cash flows for each of the years in the three-year period ended December 31, 2017, and the effectiveness of internal control over financial reporting as of December 31, 2017, and our report dated March 20, 2018 on the senior securities table of the Company, included herein, and to the references to our firm under the headings “Senior Securities” and “Experts” in the registration statement.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2018</w:t>
      </w:r>
    </w:p>
    <w:p>
      <w:pPr>
        <w:sectPr>
          <w:pgSz w:w="11900" w:h="16838" w:orient="portrait"/>
          <w:cols w:equalWidth="0" w:num="1">
            <w:col w:w="11020"/>
          </w:cols>
          <w:pgMar w:left="440" w:top="117" w:right="439" w:bottom="1440" w:gutter="0" w:footer="0" w:header="0"/>
        </w:sectPr>
      </w:pPr>
    </w:p>
    <w:bookmarkStart w:id="257" w:name="page258"/>
    <w:bookmarkEnd w:id="257"/>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4"/>
          </w:tcPr>
          <w:p>
            <w:pPr>
              <w:jc w:val="center"/>
              <w:ind w:left="53"/>
              <w:spacing w:after="0"/>
              <w:rPr>
                <w:sz w:val="20"/>
                <w:szCs w:val="20"/>
                <w:color w:val="auto"/>
              </w:rPr>
            </w:pPr>
            <w:r>
              <w:rPr>
                <w:rFonts w:ascii="Times New Roman" w:cs="Times New Roman" w:eastAsia="Times New Roman" w:hAnsi="Times New Roman"/>
                <w:sz w:val="18"/>
                <w:szCs w:val="18"/>
                <w:b w:val="1"/>
                <w:bCs w:val="1"/>
                <w:color w:val="auto"/>
                <w:w w:val="98"/>
              </w:rPr>
              <w:t>Exhibit 99.6</w:t>
            </w: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160" w:type="dxa"/>
            <w:vAlign w:val="bottom"/>
          </w:tcPr>
          <w:p>
            <w:pPr>
              <w:spacing w:after="0"/>
              <w:rPr>
                <w:sz w:val="24"/>
                <w:szCs w:val="2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the Year</w:t>
            </w:r>
          </w:p>
        </w:tc>
        <w:tc>
          <w:tcPr>
            <w:tcW w:w="340" w:type="dxa"/>
            <w:vAlign w:val="bottom"/>
          </w:tcPr>
          <w:p>
            <w:pPr>
              <w:spacing w:after="0"/>
              <w:rPr>
                <w:sz w:val="24"/>
                <w:szCs w:val="24"/>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180" w:type="dxa"/>
            <w:vAlign w:val="bottom"/>
          </w:tcPr>
          <w:p>
            <w:pPr>
              <w:spacing w:after="0"/>
              <w:rPr>
                <w:sz w:val="24"/>
                <w:szCs w:val="24"/>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For the Year</w:t>
            </w:r>
          </w:p>
        </w:tc>
        <w:tc>
          <w:tcPr>
            <w:tcW w:w="200" w:type="dxa"/>
            <w:vAlign w:val="bottom"/>
          </w:tcPr>
          <w:p>
            <w:pPr>
              <w:spacing w:after="0"/>
              <w:rPr>
                <w:sz w:val="24"/>
                <w:szCs w:val="24"/>
                <w:color w:val="auto"/>
              </w:rPr>
            </w:pP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amounts in thousands)</w:t>
            </w:r>
          </w:p>
        </w:tc>
        <w:tc>
          <w:tcPr>
            <w:tcW w:w="1600" w:type="dxa"/>
            <w:vAlign w:val="bottom"/>
            <w:gridSpan w:val="4"/>
          </w:tcPr>
          <w:p>
            <w:pPr>
              <w:jc w:val="center"/>
              <w:ind w:left="213"/>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0" w:type="dxa"/>
            <w:vAlign w:val="bottom"/>
            <w:gridSpan w:val="4"/>
          </w:tcPr>
          <w:p>
            <w:pP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gridSpan w:val="4"/>
          </w:tcPr>
          <w:p>
            <w:pPr>
              <w:jc w:val="center"/>
              <w:ind w:left="33"/>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7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w:t>
            </w: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111,609</w:t>
            </w:r>
          </w:p>
        </w:tc>
        <w:tc>
          <w:tcPr>
            <w:tcW w:w="220" w:type="dxa"/>
            <w:vAlign w:val="bottom"/>
          </w:tcPr>
          <w:p>
            <w:pPr>
              <w:spacing w:after="0"/>
              <w:rPr>
                <w:sz w:val="18"/>
                <w:szCs w:val="18"/>
                <w:color w:val="auto"/>
              </w:rPr>
            </w:pP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137,007</w:t>
            </w: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63,568</w:t>
            </w: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85,050</w:t>
            </w:r>
          </w:p>
        </w:tc>
        <w:tc>
          <w:tcPr>
            <w:tcW w:w="2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including excise taxes</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earnings before taxes</w:t>
            </w:r>
          </w:p>
        </w:tc>
        <w:tc>
          <w:tcPr>
            <w:tcW w:w="5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114,444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139,232</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65,068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86,194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Fixed Charges: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27,441</w:t>
            </w:r>
          </w:p>
        </w:tc>
        <w:tc>
          <w:tcPr>
            <w:tcW w:w="220" w:type="dxa"/>
            <w:vAlign w:val="bottom"/>
          </w:tcPr>
          <w:p>
            <w:pPr>
              <w:spacing w:after="0"/>
              <w:rPr>
                <w:sz w:val="18"/>
                <w:szCs w:val="18"/>
                <w:color w:val="auto"/>
              </w:rPr>
            </w:pP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23,108</w:t>
            </w: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22,010</w:t>
            </w: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15,078</w:t>
            </w:r>
          </w:p>
        </w:tc>
        <w:tc>
          <w:tcPr>
            <w:tcW w:w="2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fixed charges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27,441</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23,108</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22,010</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15,078</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Earnings available to cover fixed charges</w:t>
            </w:r>
          </w:p>
        </w:tc>
        <w:tc>
          <w:tcPr>
            <w:tcW w:w="5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141,884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162,340</w:t>
            </w: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87,078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101,272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Footnote disclosure: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unrealized and realized gains (losses)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(8,650)</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29,674</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(31,730)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(19,425)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Earnings available to cover fixed charges excluding above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150,535</w:t>
            </w:r>
          </w:p>
        </w:tc>
        <w:tc>
          <w:tcPr>
            <w:tcW w:w="220" w:type="dxa"/>
            <w:vAlign w:val="bottom"/>
          </w:tcPr>
          <w:p>
            <w:pPr>
              <w:spacing w:after="0"/>
              <w:rPr>
                <w:sz w:val="18"/>
                <w:szCs w:val="18"/>
                <w:color w:val="auto"/>
              </w:rPr>
            </w:pP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132,666</w:t>
            </w: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118,808</w:t>
            </w: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120,697</w:t>
            </w:r>
          </w:p>
        </w:tc>
        <w:tc>
          <w:tcPr>
            <w:tcW w:w="2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 excluding above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117" w:right="419" w:bottom="1440" w:gutter="0" w:footer="0" w:header="0"/>
        </w:sectPr>
      </w:pPr>
    </w:p>
    <w:bookmarkStart w:id="258" w:name="page259"/>
    <w:bookmarkEnd w:id="2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1177925</wp:posOffset>
            </wp:positionH>
            <wp:positionV relativeFrom="page">
              <wp:posOffset>88900</wp:posOffset>
            </wp:positionV>
            <wp:extent cx="5213985" cy="20237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4">
                      <a:clrChange>
                        <a:clrFrom>
                          <a:srgbClr val="FFFFFF"/>
                        </a:clrFrom>
                        <a:clrTo>
                          <a:srgbClr val="FFFFFF">
                            <a:alpha val="0"/>
                          </a:srgbClr>
                        </a:clrTo>
                      </a:clrChange>
                      <a:extLst>
                        <a:ext uri="{28A0092B-C50C-407E-A947-70E740481C1C}"/>
                      </a:extLst>
                    </a:blip>
                    <a:srcRect/>
                    <a:stretch>
                      <a:fillRect/>
                    </a:stretch>
                  </pic:blipFill>
                  <pic:spPr bwMode="auto">
                    <a:xfrm>
                      <a:off x="0" y="0"/>
                      <a:ext cx="5213985"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28, 2018</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 CORRESPONDENCE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Jay Williamson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Investment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20549-7553</w:t>
      </w:r>
    </w:p>
    <w:p>
      <w:pPr>
        <w:spacing w:after="0" w:line="230" w:lineRule="exact"/>
        <w:rPr>
          <w:sz w:val="20"/>
          <w:szCs w:val="20"/>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TPG Specialty Lending, Inc.</w:t>
      </w:r>
    </w:p>
    <w:p>
      <w:pPr>
        <w:spacing w:after="0" w:line="3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Registration Statement on Form N-2</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Filed on March 28,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Williamson:</w:t>
      </w:r>
    </w:p>
    <w:p>
      <w:pPr>
        <w:spacing w:after="0" w:line="117"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On behalf of TPG Specialty Lending,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we hereby respectfully request that the staff of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afford the Company’s shelf registration statement on Form N-2, filed pursuant to the Securities Act of 1933, as amended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with the Commission on March 28, 2018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 selective review in accordance with Securities Act Release No. 6510 (February 15, 1984). The Registration Statement, upon effectiveness, is intended to replace the Company’s shelf registration statement on Form N-2 (File No. 333-217207) (the “</w:t>
      </w:r>
      <w:r>
        <w:rPr>
          <w:rFonts w:ascii="Times New Roman" w:cs="Times New Roman" w:eastAsia="Times New Roman" w:hAnsi="Times New Roman"/>
          <w:sz w:val="18"/>
          <w:szCs w:val="18"/>
          <w:u w:val="single" w:color="auto"/>
          <w:color w:val="auto"/>
        </w:rPr>
        <w:t>Prior Registration Statement</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disclosure contained in the Registration Statement is substantially similar to the disclosure included in the Prior Registration Statement, except for revisions reflecting material developments relating to the Company since the effective date of the Prior Registration Statement and the inclusion of audited financial statements and related financial data for the period ended December 31, 2017, together with disclosure relating thereto.</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such, the Company hereby requests selective review of its Registration Statement.</w:t>
      </w:r>
    </w:p>
    <w:p>
      <w:pPr>
        <w:spacing w:after="0" w:line="225" w:lineRule="exact"/>
        <w:rPr>
          <w:sz w:val="20"/>
          <w:szCs w:val="20"/>
          <w:color w:val="auto"/>
        </w:rPr>
      </w:pPr>
    </w:p>
    <w:p>
      <w:pPr>
        <w:jc w:val="center"/>
        <w:spacing w:after="0"/>
        <w:tabs>
          <w:tab w:leader="none" w:pos="340" w:val="left"/>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172085</wp:posOffset>
            </wp:positionV>
            <wp:extent cx="6363335" cy="2057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5">
                      <a:extLst>
                        <a:ext uri="{28A0092B-C50C-407E-A947-70E740481C1C}"/>
                      </a:extLst>
                    </a:blip>
                    <a:srcRect/>
                    <a:stretch>
                      <a:fillRect/>
                    </a:stretch>
                  </pic:blipFill>
                  <pic:spPr bwMode="auto">
                    <a:xfrm>
                      <a:off x="0" y="0"/>
                      <a:ext cx="6363335" cy="20574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Jay Williamson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p. 2</w:t>
      </w:r>
    </w:p>
    <w:p>
      <w:pPr>
        <w:spacing w:after="0" w:line="207"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If you have any questions or comments concerning the foregoing, please contact Adam Fleisher at (212) 225-2286 or Helena Grannis at (212) 225-2376.</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Adam E. Fleisher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Adam E. Fleisher</w:t>
      </w:r>
    </w:p>
    <w:p>
      <w:pPr>
        <w:spacing w:after="0" w:line="252" w:lineRule="exact"/>
        <w:rPr>
          <w:sz w:val="20"/>
          <w:szCs w:val="20"/>
          <w:color w:val="auto"/>
        </w:rPr>
      </w:pPr>
    </w:p>
    <w:p>
      <w:pPr>
        <w:ind w:left="460" w:hanging="452"/>
        <w:spacing w:after="0"/>
        <w:tabs>
          <w:tab w:leader="none" w:pos="4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Vincent J. DiStefano</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David Stiepleman</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Jennifer Gordon</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TPG Specialty Lending, Inc.</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Helena K. Grannis</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Cleary Gottlieb Steen &amp; Hamilton LLP</w:t>
      </w:r>
    </w:p>
    <w:sectPr>
      <w:pgSz w:w="11900" w:h="16838" w:orient="portrait"/>
      <w:cols w:equalWidth="0" w:num="1">
        <w:col w:w="10240"/>
      </w:cols>
      <w:pgMar w:left="240" w:top="270"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6F324BA"/>
    <w:multiLevelType w:val="hybridMultilevel"/>
    <w:lvl w:ilvl="0">
      <w:lvlJc w:val="left"/>
      <w:lvlText w:val="☐"/>
      <w:numFmt w:val="bullet"/>
      <w:start w:val="1"/>
    </w:lvl>
  </w:abstractNum>
  <w:abstractNum w:abstractNumId="1">
    <w:nsid w:val="7F01579B"/>
    <w:multiLevelType w:val="hybridMultilevel"/>
    <w:lvl w:ilvl="0">
      <w:lvlJc w:val="left"/>
      <w:lvlText w:val="(%1)"/>
      <w:numFmt w:val="decimal"/>
      <w:start w:val="1"/>
    </w:lvl>
  </w:abstractNum>
  <w:abstractNum w:abstractNumId="2">
    <w:nsid w:val="49DA307D"/>
    <w:multiLevelType w:val="hybridMultilevel"/>
    <w:lvl w:ilvl="0">
      <w:lvlJc w:val="left"/>
      <w:lvlText w:val="•"/>
      <w:numFmt w:val="bullet"/>
      <w:start w:val="1"/>
    </w:lvl>
  </w:abstractNum>
  <w:abstractNum w:abstractNumId="3">
    <w:nsid w:val="7055A5F5"/>
    <w:multiLevelType w:val="hybridMultilevel"/>
    <w:lvl w:ilvl="0">
      <w:lvlJc w:val="left"/>
      <w:lvlText w:val="•"/>
      <w:numFmt w:val="bullet"/>
      <w:start w:val="1"/>
    </w:lvl>
    <w:lvl w:ilvl="1">
      <w:lvlJc w:val="left"/>
      <w:lvlText w:val="•"/>
      <w:numFmt w:val="bullet"/>
      <w:start w:val="1"/>
    </w:lvl>
  </w:abstractNum>
  <w:abstractNum w:abstractNumId="4">
    <w:nsid w:val="5FB8370B"/>
    <w:multiLevelType w:val="hybridMultilevel"/>
    <w:lvl w:ilvl="0">
      <w:lvlJc w:val="left"/>
      <w:lvlText w:val="•"/>
      <w:numFmt w:val="bullet"/>
      <w:start w:val="1"/>
    </w:lvl>
    <w:lvl w:ilvl="1">
      <w:lvlJc w:val="left"/>
      <w:lvlText w:val="•"/>
      <w:numFmt w:val="bullet"/>
      <w:start w:val="1"/>
    </w:lvl>
  </w:abstractNum>
  <w:abstractNum w:abstractNumId="5">
    <w:nsid w:val="50801EE1"/>
    <w:multiLevelType w:val="hybridMultilevel"/>
    <w:lvl w:ilvl="0">
      <w:lvlJc w:val="left"/>
      <w:lvlText w:val="•"/>
      <w:numFmt w:val="bullet"/>
      <w:start w:val="1"/>
    </w:lvl>
  </w:abstractNum>
  <w:abstractNum w:abstractNumId="6">
    <w:nsid w:val="488AC1A"/>
    <w:multiLevelType w:val="hybridMultilevel"/>
    <w:lvl w:ilvl="0">
      <w:lvlJc w:val="left"/>
      <w:lvlText w:val="•"/>
      <w:numFmt w:val="bullet"/>
      <w:start w:val="1"/>
    </w:lvl>
  </w:abstractNum>
  <w:abstractNum w:abstractNumId="7">
    <w:nsid w:val="5FB8011C"/>
    <w:multiLevelType w:val="hybridMultilevel"/>
    <w:lvl w:ilvl="0">
      <w:lvlJc w:val="left"/>
      <w:lvlText w:val="•"/>
      <w:numFmt w:val="bullet"/>
      <w:start w:val="1"/>
    </w:lvl>
  </w:abstractNum>
  <w:abstractNum w:abstractNumId="8">
    <w:nsid w:val="6AA78F7F"/>
    <w:multiLevelType w:val="hybridMultilevel"/>
    <w:lvl w:ilvl="0">
      <w:lvlJc w:val="left"/>
      <w:lvlText w:val="(%1)"/>
      <w:numFmt w:val="decimal"/>
      <w:start w:val="817"/>
    </w:lvl>
  </w:abstractNum>
  <w:abstractNum w:abstractNumId="9">
    <w:nsid w:val="7672BD23"/>
    <w:multiLevelType w:val="hybridMultilevel"/>
    <w:lvl w:ilvl="0">
      <w:lvlJc w:val="left"/>
      <w:lvlText w:val="(%1)"/>
      <w:numFmt w:val="decimal"/>
      <w:start w:val="1"/>
    </w:lvl>
  </w:abstractNum>
  <w:abstractNum w:abstractNumId="10">
    <w:nsid w:val="6FC75AF8"/>
    <w:multiLevelType w:val="hybridMultilevel"/>
    <w:lvl w:ilvl="0">
      <w:lvlJc w:val="left"/>
      <w:lvlText w:val="(%1)"/>
      <w:numFmt w:val="decimal"/>
      <w:start w:val="6"/>
    </w:lvl>
  </w:abstractNum>
  <w:abstractNum w:abstractNumId="11">
    <w:nsid w:val="6A5F7029"/>
    <w:multiLevelType w:val="hybridMultilevel"/>
    <w:lvl w:ilvl="0">
      <w:lvlJc w:val="left"/>
      <w:lvlText w:val="(%1)"/>
      <w:numFmt w:val="decimal"/>
      <w:start w:val="1"/>
    </w:lvl>
  </w:abstractNum>
  <w:abstractNum w:abstractNumId="12">
    <w:nsid w:val="7D5E18F8"/>
    <w:multiLevelType w:val="hybridMultilevel"/>
    <w:lvl w:ilvl="0">
      <w:lvlJc w:val="left"/>
      <w:lvlText w:val="(%1)"/>
      <w:numFmt w:val="decimal"/>
      <w:start w:val="1"/>
    </w:lvl>
  </w:abstractNum>
  <w:abstractNum w:abstractNumId="13">
    <w:nsid w:val="5F3534A4"/>
    <w:multiLevelType w:val="hybridMultilevel"/>
    <w:lvl w:ilvl="0">
      <w:lvlJc w:val="left"/>
      <w:lvlText w:val="(%1)"/>
      <w:numFmt w:val="decimal"/>
      <w:start w:val="1"/>
    </w:lvl>
  </w:abstractNum>
  <w:abstractNum w:abstractNumId="14">
    <w:nsid w:val="73A1821B"/>
    <w:multiLevelType w:val="hybridMultilevel"/>
    <w:lvl w:ilvl="0">
      <w:lvlJc w:val="left"/>
      <w:lvlText w:val="•"/>
      <w:numFmt w:val="bullet"/>
      <w:start w:val="1"/>
    </w:lvl>
  </w:abstractNum>
  <w:abstractNum w:abstractNumId="15">
    <w:nsid w:val="7DE67713"/>
    <w:multiLevelType w:val="hybridMultilevel"/>
    <w:lvl w:ilvl="0">
      <w:lvlJc w:val="left"/>
      <w:lvlText w:val="•"/>
      <w:numFmt w:val="bullet"/>
      <w:start w:val="1"/>
    </w:lvl>
  </w:abstractNum>
  <w:abstractNum w:abstractNumId="16">
    <w:nsid w:val="555C55B5"/>
    <w:multiLevelType w:val="hybridMultilevel"/>
    <w:lvl w:ilvl="0">
      <w:lvlJc w:val="left"/>
      <w:lvlText w:val="•"/>
      <w:numFmt w:val="bullet"/>
      <w:start w:val="1"/>
    </w:lvl>
  </w:abstractNum>
  <w:abstractNum w:abstractNumId="17">
    <w:nsid w:val="3FA62ACA"/>
    <w:multiLevelType w:val="hybridMultilevel"/>
    <w:lvl w:ilvl="0">
      <w:lvlJc w:val="left"/>
      <w:lvlText w:val="•"/>
      <w:numFmt w:val="bullet"/>
      <w:start w:val="1"/>
    </w:lvl>
  </w:abstractNum>
  <w:abstractNum w:abstractNumId="18">
    <w:nsid w:val="14FCE74E"/>
    <w:multiLevelType w:val="hybridMultilevel"/>
    <w:lvl w:ilvl="0">
      <w:lvlJc w:val="left"/>
      <w:lvlText w:val="•"/>
      <w:numFmt w:val="bullet"/>
      <w:start w:val="1"/>
    </w:lvl>
  </w:abstractNum>
  <w:abstractNum w:abstractNumId="19">
    <w:nsid w:val="6A3DD3E8"/>
    <w:multiLevelType w:val="hybridMultilevel"/>
    <w:lvl w:ilvl="0">
      <w:lvlJc w:val="left"/>
      <w:lvlText w:val="•"/>
      <w:numFmt w:val="bullet"/>
      <w:start w:val="1"/>
    </w:lvl>
  </w:abstractNum>
  <w:abstractNum w:abstractNumId="20">
    <w:nsid w:val="71C91298"/>
    <w:multiLevelType w:val="hybridMultilevel"/>
    <w:lvl w:ilvl="0">
      <w:lvlJc w:val="left"/>
      <w:lvlText w:val="•"/>
      <w:numFmt w:val="bullet"/>
      <w:start w:val="1"/>
    </w:lvl>
  </w:abstractNum>
  <w:abstractNum w:abstractNumId="21">
    <w:nsid w:val="9DAF632"/>
    <w:multiLevelType w:val="hybridMultilevel"/>
    <w:lvl w:ilvl="0">
      <w:lvlJc w:val="left"/>
      <w:lvlText w:val="•"/>
      <w:numFmt w:val="bullet"/>
      <w:start w:val="1"/>
    </w:lvl>
  </w:abstractNum>
  <w:abstractNum w:abstractNumId="22">
    <w:nsid w:val="53299938"/>
    <w:multiLevelType w:val="hybridMultilevel"/>
    <w:lvl w:ilvl="0">
      <w:lvlJc w:val="left"/>
      <w:lvlText w:val="•"/>
      <w:numFmt w:val="bullet"/>
      <w:start w:val="1"/>
    </w:lvl>
  </w:abstractNum>
  <w:abstractNum w:abstractNumId="23">
    <w:nsid w:val="1FBFE8E0"/>
    <w:multiLevelType w:val="hybridMultilevel"/>
    <w:lvl w:ilvl="0">
      <w:lvlJc w:val="left"/>
      <w:lvlText w:val="•"/>
      <w:numFmt w:val="bullet"/>
      <w:start w:val="1"/>
    </w:lvl>
  </w:abstractNum>
  <w:abstractNum w:abstractNumId="24">
    <w:nsid w:val="5092CA79"/>
    <w:multiLevelType w:val="hybridMultilevel"/>
    <w:lvl w:ilvl="0">
      <w:lvlJc w:val="left"/>
      <w:lvlText w:val="•"/>
      <w:numFmt w:val="bullet"/>
      <w:start w:val="1"/>
    </w:lvl>
  </w:abstractNum>
  <w:abstractNum w:abstractNumId="25">
    <w:nsid w:val="1D545C4D"/>
    <w:multiLevelType w:val="hybridMultilevel"/>
    <w:lvl w:ilvl="0">
      <w:lvlJc w:val="left"/>
      <w:lvlText w:val="•"/>
      <w:numFmt w:val="bullet"/>
      <w:start w:val="1"/>
    </w:lvl>
  </w:abstractNum>
  <w:abstractNum w:abstractNumId="26">
    <w:nsid w:val="59ADEA3D"/>
    <w:multiLevelType w:val="hybridMultilevel"/>
    <w:lvl w:ilvl="0">
      <w:lvlJc w:val="left"/>
      <w:lvlText w:val="•"/>
      <w:numFmt w:val="bullet"/>
      <w:start w:val="1"/>
    </w:lvl>
  </w:abstractNum>
  <w:abstractNum w:abstractNumId="27">
    <w:nsid w:val="288F1A34"/>
    <w:multiLevelType w:val="hybridMultilevel"/>
    <w:lvl w:ilvl="0">
      <w:lvlJc w:val="left"/>
      <w:lvlText w:val="(%1)"/>
      <w:numFmt w:val="decimal"/>
      <w:start w:val="1"/>
    </w:lvl>
  </w:abstractNum>
  <w:abstractNum w:abstractNumId="28">
    <w:nsid w:val="2A155DBC"/>
    <w:multiLevelType w:val="hybridMultilevel"/>
    <w:lvl w:ilvl="0">
      <w:lvlJc w:val="left"/>
      <w:lvlText w:val="*"/>
      <w:numFmt w:val="bullet"/>
      <w:start w:val="1"/>
    </w:lvl>
  </w:abstractNum>
  <w:abstractNum w:abstractNumId="29">
    <w:nsid w:val="1D9F6E5F"/>
    <w:multiLevelType w:val="hybridMultilevel"/>
    <w:lvl w:ilvl="0">
      <w:lvlJc w:val="left"/>
      <w:lvlText w:val="(%1)"/>
      <w:numFmt w:val="decimal"/>
      <w:start w:val="1"/>
    </w:lvl>
  </w:abstractNum>
  <w:abstractNum w:abstractNumId="30">
    <w:nsid w:val="97E1B4E"/>
    <w:multiLevelType w:val="hybridMultilevel"/>
    <w:lvl w:ilvl="0">
      <w:lvlJc w:val="left"/>
      <w:lvlText w:val="•"/>
      <w:numFmt w:val="bullet"/>
      <w:start w:val="1"/>
    </w:lvl>
  </w:abstractNum>
  <w:abstractNum w:abstractNumId="31">
    <w:nsid w:val="51088277"/>
    <w:multiLevelType w:val="hybridMultilevel"/>
    <w:lvl w:ilvl="0">
      <w:lvlJc w:val="left"/>
      <w:lvlText w:val="•"/>
      <w:numFmt w:val="bullet"/>
      <w:start w:val="1"/>
    </w:lvl>
  </w:abstractNum>
  <w:abstractNum w:abstractNumId="32">
    <w:nsid w:val="1CA0C5FA"/>
    <w:multiLevelType w:val="hybridMultilevel"/>
    <w:lvl w:ilvl="0">
      <w:lvlJc w:val="left"/>
      <w:lvlText w:val="(%1)"/>
      <w:numFmt w:val="decimal"/>
      <w:start w:val="1"/>
    </w:lvl>
    <w:lvl w:ilvl="1">
      <w:lvlJc w:val="left"/>
      <w:lvlText w:val="•"/>
      <w:numFmt w:val="bullet"/>
      <w:start w:val="1"/>
    </w:lvl>
  </w:abstractNum>
  <w:abstractNum w:abstractNumId="33">
    <w:nsid w:val="53584BCB"/>
    <w:multiLevelType w:val="hybridMultilevel"/>
    <w:lvl w:ilvl="0">
      <w:lvlJc w:val="left"/>
      <w:lvlText w:val="•"/>
      <w:numFmt w:val="bullet"/>
      <w:start w:val="1"/>
    </w:lvl>
  </w:abstractNum>
  <w:abstractNum w:abstractNumId="34">
    <w:nsid w:val="415E286C"/>
    <w:multiLevelType w:val="hybridMultilevel"/>
    <w:lvl w:ilvl="0">
      <w:lvlJc w:val="left"/>
      <w:lvlText w:val="•"/>
      <w:numFmt w:val="bullet"/>
      <w:start w:val="1"/>
    </w:lvl>
  </w:abstractNum>
  <w:abstractNum w:abstractNumId="35">
    <w:nsid w:val="7C58FD05"/>
    <w:multiLevelType w:val="hybridMultilevel"/>
    <w:lvl w:ilvl="0">
      <w:lvlJc w:val="left"/>
      <w:lvlText w:val="•"/>
      <w:numFmt w:val="bullet"/>
      <w:start w:val="1"/>
    </w:lvl>
  </w:abstractNum>
  <w:abstractNum w:abstractNumId="36">
    <w:nsid w:val="23D86AAC"/>
    <w:multiLevelType w:val="hybridMultilevel"/>
    <w:lvl w:ilvl="0">
      <w:lvlJc w:val="left"/>
      <w:lvlText w:val="(%1)"/>
      <w:numFmt w:val="decimal"/>
      <w:start w:val="1"/>
    </w:lvl>
  </w:abstractNum>
  <w:abstractNum w:abstractNumId="37">
    <w:nsid w:val="45E6D486"/>
    <w:multiLevelType w:val="hybridMultilevel"/>
    <w:lvl w:ilvl="0">
      <w:lvlJc w:val="left"/>
      <w:lvlText w:val="(%1)"/>
      <w:numFmt w:val="decimal"/>
      <w:start w:val="1"/>
    </w:lvl>
  </w:abstractNum>
  <w:abstractNum w:abstractNumId="38">
    <w:nsid w:val="5C10FE21"/>
    <w:multiLevelType w:val="hybridMultilevel"/>
    <w:lvl w:ilvl="0">
      <w:lvlJc w:val="left"/>
      <w:lvlText w:val="(%1)"/>
      <w:numFmt w:val="decimal"/>
      <w:start w:val="1"/>
    </w:lvl>
  </w:abstractNum>
  <w:abstractNum w:abstractNumId="39">
    <w:nsid w:val="E7FFA2B"/>
    <w:multiLevelType w:val="hybridMultilevel"/>
    <w:lvl w:ilvl="0">
      <w:lvlJc w:val="left"/>
      <w:lvlText w:val="•"/>
      <w:numFmt w:val="bullet"/>
      <w:start w:val="1"/>
    </w:lvl>
  </w:abstractNum>
  <w:abstractNum w:abstractNumId="40">
    <w:nsid w:val="3C5991AA"/>
    <w:multiLevelType w:val="hybridMultilevel"/>
    <w:lvl w:ilvl="0">
      <w:lvlJc w:val="left"/>
      <w:lvlText w:val="•"/>
      <w:numFmt w:val="bullet"/>
      <w:start w:val="1"/>
    </w:lvl>
  </w:abstractNum>
  <w:abstractNum w:abstractNumId="41">
    <w:nsid w:val="4BD8591A"/>
    <w:multiLevelType w:val="hybridMultilevel"/>
    <w:lvl w:ilvl="0">
      <w:lvlJc w:val="left"/>
      <w:lvlText w:val="•"/>
      <w:numFmt w:val="bullet"/>
      <w:start w:val="1"/>
    </w:lvl>
  </w:abstractNum>
  <w:abstractNum w:abstractNumId="42">
    <w:nsid w:val="78DF6A55"/>
    <w:multiLevelType w:val="hybridMultilevel"/>
    <w:lvl w:ilvl="0">
      <w:lvlJc w:val="left"/>
      <w:lvlText w:val="(%1)"/>
      <w:numFmt w:val="decimal"/>
      <w:start w:val="1"/>
    </w:lvl>
  </w:abstractNum>
  <w:abstractNum w:abstractNumId="43">
    <w:nsid w:val="39B7AAA2"/>
    <w:multiLevelType w:val="hybridMultilevel"/>
    <w:lvl w:ilvl="0">
      <w:lvlJc w:val="left"/>
      <w:lvlText w:val="(%1)"/>
      <w:numFmt w:val="decimal"/>
      <w:start w:val="1"/>
    </w:lvl>
  </w:abstractNum>
  <w:abstractNum w:abstractNumId="44">
    <w:nsid w:val="2B0D8DBE"/>
    <w:multiLevelType w:val="hybridMultilevel"/>
    <w:lvl w:ilvl="0">
      <w:lvlJc w:val="left"/>
      <w:lvlText w:val="•"/>
      <w:numFmt w:val="bullet"/>
      <w:start w:val="1"/>
    </w:lvl>
  </w:abstractNum>
  <w:abstractNum w:abstractNumId="45">
    <w:nsid w:val="6C80EC70"/>
    <w:multiLevelType w:val="hybridMultilevel"/>
    <w:lvl w:ilvl="0">
      <w:lvlJc w:val="left"/>
      <w:lvlText w:val="•"/>
      <w:numFmt w:val="bullet"/>
      <w:start w:val="1"/>
    </w:lvl>
  </w:abstractNum>
  <w:abstractNum w:abstractNumId="46">
    <w:nsid w:val="379E21B5"/>
    <w:multiLevelType w:val="hybridMultilevel"/>
    <w:lvl w:ilvl="0">
      <w:lvlJc w:val="left"/>
      <w:lvlText w:val="•"/>
      <w:numFmt w:val="bullet"/>
      <w:start w:val="1"/>
    </w:lvl>
  </w:abstractNum>
  <w:abstractNum w:abstractNumId="47">
    <w:nsid w:val="69E373"/>
    <w:multiLevelType w:val="hybridMultilevel"/>
    <w:lvl w:ilvl="0">
      <w:lvlJc w:val="left"/>
      <w:lvlText w:val="•"/>
      <w:numFmt w:val="bullet"/>
      <w:start w:val="1"/>
    </w:lvl>
  </w:abstractNum>
  <w:abstractNum w:abstractNumId="48">
    <w:nsid w:val="2C27173B"/>
    <w:multiLevelType w:val="hybridMultilevel"/>
    <w:lvl w:ilvl="0">
      <w:lvlJc w:val="left"/>
      <w:lvlText w:val="•"/>
      <w:numFmt w:val="bullet"/>
      <w:start w:val="1"/>
    </w:lvl>
  </w:abstractNum>
  <w:abstractNum w:abstractNumId="49">
    <w:nsid w:val="4C9B0904"/>
    <w:multiLevelType w:val="hybridMultilevel"/>
    <w:lvl w:ilvl="0">
      <w:lvlJc w:val="left"/>
      <w:lvlText w:val="•"/>
      <w:numFmt w:val="bullet"/>
      <w:start w:val="1"/>
    </w:lvl>
  </w:abstractNum>
  <w:abstractNum w:abstractNumId="50">
    <w:nsid w:val="6AA7B75C"/>
    <w:multiLevelType w:val="hybridMultilevel"/>
    <w:lvl w:ilvl="0">
      <w:lvlJc w:val="left"/>
      <w:lvlText w:val="•"/>
      <w:numFmt w:val="bullet"/>
      <w:start w:val="1"/>
    </w:lvl>
  </w:abstractNum>
  <w:abstractNum w:abstractNumId="51">
    <w:nsid w:val="1DF029D3"/>
    <w:multiLevelType w:val="hybridMultilevel"/>
    <w:lvl w:ilvl="0">
      <w:lvlJc w:val="left"/>
      <w:lvlText w:val="(%1)"/>
      <w:numFmt w:val="decimal"/>
      <w:start w:val="1"/>
    </w:lvl>
  </w:abstractNum>
  <w:abstractNum w:abstractNumId="52">
    <w:nsid w:val="5675FF36"/>
    <w:multiLevelType w:val="hybridMultilevel"/>
    <w:lvl w:ilvl="0">
      <w:lvlJc w:val="left"/>
      <w:lvlText w:val="•"/>
      <w:numFmt w:val="bullet"/>
      <w:start w:val="1"/>
    </w:lvl>
    <w:lvl w:ilvl="1">
      <w:lvlJc w:val="left"/>
      <w:lvlText w:val="•"/>
      <w:numFmt w:val="bullet"/>
      <w:start w:val="1"/>
    </w:lvl>
  </w:abstractNum>
  <w:abstractNum w:abstractNumId="53">
    <w:nsid w:val="3DD15094"/>
    <w:multiLevelType w:val="hybridMultilevel"/>
    <w:lvl w:ilvl="0">
      <w:lvlJc w:val="left"/>
      <w:lvlText w:val="•"/>
      <w:numFmt w:val="bullet"/>
      <w:start w:val="1"/>
    </w:lvl>
    <w:lvl w:ilvl="1">
      <w:lvlJc w:val="left"/>
      <w:lvlText w:val="•"/>
      <w:numFmt w:val="bullet"/>
      <w:start w:val="1"/>
    </w:lvl>
  </w:abstractNum>
  <w:abstractNum w:abstractNumId="54">
    <w:nsid w:val="3DB012B3"/>
    <w:multiLevelType w:val="hybridMultilevel"/>
    <w:lvl w:ilvl="0">
      <w:lvlJc w:val="left"/>
      <w:lvlText w:val="•"/>
      <w:numFmt w:val="bullet"/>
      <w:start w:val="1"/>
    </w:lvl>
  </w:abstractNum>
  <w:abstractNum w:abstractNumId="55">
    <w:nsid w:val="2708C9AF"/>
    <w:multiLevelType w:val="hybridMultilevel"/>
    <w:lvl w:ilvl="0">
      <w:lvlJc w:val="left"/>
      <w:lvlText w:val="•"/>
      <w:numFmt w:val="bullet"/>
      <w:start w:val="1"/>
    </w:lvl>
  </w:abstractNum>
  <w:abstractNum w:abstractNumId="56">
    <w:nsid w:val="5B25ACE2"/>
    <w:multiLevelType w:val="hybridMultilevel"/>
    <w:lvl w:ilvl="0">
      <w:lvlJc w:val="left"/>
      <w:lvlText w:val="•"/>
      <w:numFmt w:val="bullet"/>
      <w:start w:val="1"/>
    </w:lvl>
  </w:abstractNum>
  <w:abstractNum w:abstractNumId="57">
    <w:nsid w:val="175DFCF0"/>
    <w:multiLevelType w:val="hybridMultilevel"/>
    <w:lvl w:ilvl="0">
      <w:lvlJc w:val="left"/>
      <w:lvlText w:val="•"/>
      <w:numFmt w:val="bullet"/>
      <w:start w:val="1"/>
    </w:lvl>
  </w:abstractNum>
  <w:abstractNum w:abstractNumId="58">
    <w:nsid w:val="4F97E3E4"/>
    <w:multiLevelType w:val="hybridMultilevel"/>
    <w:lvl w:ilvl="0">
      <w:lvlJc w:val="left"/>
      <w:lvlText w:val="•"/>
      <w:numFmt w:val="bullet"/>
      <w:start w:val="1"/>
    </w:lvl>
  </w:abstractNum>
  <w:abstractNum w:abstractNumId="59">
    <w:nsid w:val="53B0A9E"/>
    <w:multiLevelType w:val="hybridMultilevel"/>
    <w:lvl w:ilvl="0">
      <w:lvlJc w:val="left"/>
      <w:lvlText w:val="•"/>
      <w:numFmt w:val="bullet"/>
      <w:start w:val="1"/>
    </w:lvl>
  </w:abstractNum>
  <w:abstractNum w:abstractNumId="60">
    <w:nsid w:val="34FD6B4F"/>
    <w:multiLevelType w:val="hybridMultilevel"/>
    <w:lvl w:ilvl="0">
      <w:lvlJc w:val="left"/>
      <w:lvlText w:val="•"/>
      <w:numFmt w:val="bullet"/>
      <w:start w:val="1"/>
    </w:lvl>
  </w:abstractNum>
  <w:abstractNum w:abstractNumId="61">
    <w:nsid w:val="5915FF32"/>
    <w:multiLevelType w:val="hybridMultilevel"/>
    <w:lvl w:ilvl="0">
      <w:lvlJc w:val="left"/>
      <w:lvlText w:val="•"/>
      <w:numFmt w:val="bullet"/>
      <w:start w:val="1"/>
    </w:lvl>
    <w:lvl w:ilvl="1">
      <w:lvlJc w:val="left"/>
      <w:lvlText w:val="•"/>
      <w:numFmt w:val="bullet"/>
      <w:start w:val="1"/>
    </w:lvl>
  </w:abstractNum>
  <w:abstractNum w:abstractNumId="62">
    <w:nsid w:val="56438D15"/>
    <w:multiLevelType w:val="hybridMultilevel"/>
    <w:lvl w:ilvl="0">
      <w:lvlJc w:val="left"/>
      <w:lvlText w:val="•"/>
      <w:numFmt w:val="bullet"/>
      <w:start w:val="1"/>
    </w:lvl>
    <w:lvl w:ilvl="1">
      <w:lvlJc w:val="left"/>
      <w:lvlText w:val="•"/>
      <w:numFmt w:val="bullet"/>
      <w:start w:val="1"/>
    </w:lvl>
  </w:abstractNum>
  <w:abstractNum w:abstractNumId="63">
    <w:nsid w:val="519E3149"/>
    <w:multiLevelType w:val="hybridMultilevel"/>
    <w:lvl w:ilvl="0">
      <w:lvlJc w:val="left"/>
      <w:lvlText w:val="•"/>
      <w:numFmt w:val="bullet"/>
      <w:start w:val="1"/>
    </w:lvl>
  </w:abstractNum>
  <w:abstractNum w:abstractNumId="64">
    <w:nsid w:val="2C6E4AFD"/>
    <w:multiLevelType w:val="hybridMultilevel"/>
    <w:lvl w:ilvl="0">
      <w:lvlJc w:val="left"/>
      <w:lvlText w:val="(%1)"/>
      <w:numFmt w:val="decimal"/>
      <w:start w:val="1"/>
    </w:lvl>
  </w:abstractNum>
  <w:abstractNum w:abstractNumId="65">
    <w:nsid w:val="17A1B582"/>
    <w:multiLevelType w:val="hybridMultilevel"/>
    <w:lvl w:ilvl="0">
      <w:lvlJc w:val="left"/>
      <w:lvlText w:val="(%1)"/>
      <w:numFmt w:val="decimal"/>
      <w:start w:val="1"/>
    </w:lvl>
  </w:abstractNum>
  <w:abstractNum w:abstractNumId="66">
    <w:nsid w:val="4DF72E4E"/>
    <w:multiLevelType w:val="hybridMultilevel"/>
    <w:lvl w:ilvl="0">
      <w:lvlJc w:val="left"/>
      <w:lvlText w:val="%1"/>
      <w:numFmt w:val="decimal"/>
      <w:start w:val="1"/>
    </w:lvl>
    <w:lvl w:ilvl="1">
      <w:lvlJc w:val="left"/>
      <w:lvlText w:val="(%2)"/>
      <w:numFmt w:val="lowerLetter"/>
      <w:start w:val="1"/>
    </w:lvl>
  </w:abstractNum>
  <w:abstractNum w:abstractNumId="67">
    <w:nsid w:val="5046B5A9"/>
    <w:multiLevelType w:val="hybridMultilevel"/>
    <w:lvl w:ilvl="0">
      <w:lvlJc w:val="left"/>
      <w:lvlText w:val="(%1)"/>
      <w:numFmt w:val="decimal"/>
      <w:start w:val="7"/>
    </w:lvl>
    <w:lvl w:ilvl="1">
      <w:lvlJc w:val="left"/>
      <w:lvlText w:val="%2"/>
      <w:numFmt w:val="lowerLetter"/>
      <w:start w:val="1"/>
    </w:lvl>
  </w:abstractNum>
  <w:abstractNum w:abstractNumId="68">
    <w:nsid w:val="5D888A08"/>
    <w:multiLevelType w:val="hybridMultilevel"/>
    <w:lvl w:ilvl="0">
      <w:lvlJc w:val="left"/>
      <w:lvlText w:val="(%1)"/>
      <w:numFmt w:val="decimal"/>
      <w:start w:val="8"/>
    </w:lvl>
  </w:abstractNum>
  <w:abstractNum w:abstractNumId="69">
    <w:nsid w:val="2A082C70"/>
    <w:multiLevelType w:val="hybridMultilevel"/>
    <w:lvl w:ilvl="0">
      <w:lvlJc w:val="left"/>
      <w:lvlText w:val="•"/>
      <w:numFmt w:val="bullet"/>
      <w:start w:val="1"/>
    </w:lvl>
  </w:abstractNum>
  <w:abstractNum w:abstractNumId="70">
    <w:nsid w:val="5EC6AFD4"/>
    <w:multiLevelType w:val="hybridMultilevel"/>
    <w:lvl w:ilvl="0">
      <w:lvlJc w:val="left"/>
      <w:lvlText w:val="•"/>
      <w:numFmt w:val="bullet"/>
      <w:start w:val="1"/>
    </w:lvl>
  </w:abstractNum>
  <w:abstractNum w:abstractNumId="71">
    <w:nsid w:val="19E21BB2"/>
    <w:multiLevelType w:val="hybridMultilevel"/>
    <w:lvl w:ilvl="0">
      <w:lvlJc w:val="left"/>
      <w:lvlText w:val="•"/>
      <w:numFmt w:val="bullet"/>
      <w:start w:val="1"/>
    </w:lvl>
  </w:abstractNum>
  <w:abstractNum w:abstractNumId="72">
    <w:nsid w:val="75E0858A"/>
    <w:multiLevelType w:val="hybridMultilevel"/>
    <w:lvl w:ilvl="0">
      <w:lvlJc w:val="left"/>
      <w:lvlText w:val="•"/>
      <w:numFmt w:val="bullet"/>
      <w:start w:val="1"/>
    </w:lvl>
  </w:abstractNum>
  <w:abstractNum w:abstractNumId="73">
    <w:nsid w:val="57A61A29"/>
    <w:multiLevelType w:val="hybridMultilevel"/>
    <w:lvl w:ilvl="0">
      <w:lvlJc w:val="left"/>
      <w:lvlText w:val="•"/>
      <w:numFmt w:val="bullet"/>
      <w:start w:val="1"/>
    </w:lvl>
  </w:abstractNum>
  <w:abstractNum w:abstractNumId="74">
    <w:nsid w:val="5399C654"/>
    <w:multiLevelType w:val="hybridMultilevel"/>
    <w:lvl w:ilvl="0">
      <w:lvlJc w:val="left"/>
      <w:lvlText w:val="•"/>
      <w:numFmt w:val="bullet"/>
      <w:start w:val="1"/>
    </w:lvl>
  </w:abstractNum>
  <w:abstractNum w:abstractNumId="75">
    <w:nsid w:val="20EE1348"/>
    <w:multiLevelType w:val="hybridMultilevel"/>
    <w:lvl w:ilvl="0">
      <w:lvlJc w:val="left"/>
      <w:lvlText w:val="•"/>
      <w:numFmt w:val="bullet"/>
      <w:start w:val="1"/>
    </w:lvl>
  </w:abstractNum>
  <w:abstractNum w:abstractNumId="76">
    <w:nsid w:val="4427069A"/>
    <w:multiLevelType w:val="hybridMultilevel"/>
    <w:lvl w:ilvl="0">
      <w:lvlJc w:val="left"/>
      <w:lvlText w:val="•"/>
      <w:numFmt w:val="bullet"/>
      <w:start w:val="1"/>
    </w:lvl>
  </w:abstractNum>
  <w:abstractNum w:abstractNumId="77">
    <w:nsid w:val="B37E80A"/>
    <w:multiLevelType w:val="hybridMultilevel"/>
    <w:lvl w:ilvl="0">
      <w:lvlJc w:val="left"/>
      <w:lvlText w:val="•"/>
      <w:numFmt w:val="bullet"/>
      <w:start w:val="1"/>
    </w:lvl>
  </w:abstractNum>
  <w:abstractNum w:abstractNumId="78">
    <w:nsid w:val="2157F6BC"/>
    <w:multiLevelType w:val="hybridMultilevel"/>
    <w:lvl w:ilvl="0">
      <w:lvlJc w:val="left"/>
      <w:lvlText w:val="•"/>
      <w:numFmt w:val="bullet"/>
      <w:start w:val="1"/>
    </w:lvl>
  </w:abstractNum>
  <w:abstractNum w:abstractNumId="79">
    <w:nsid w:val="704E1DD5"/>
    <w:multiLevelType w:val="hybridMultilevel"/>
    <w:lvl w:ilvl="0">
      <w:lvlJc w:val="left"/>
      <w:lvlText w:val="(%1)"/>
      <w:numFmt w:val="lowerRoman"/>
      <w:start w:val="1"/>
    </w:lvl>
  </w:abstractNum>
  <w:abstractNum w:abstractNumId="80">
    <w:nsid w:val="57D2F10E"/>
    <w:multiLevelType w:val="hybridMultilevel"/>
    <w:lvl w:ilvl="0">
      <w:lvlJc w:val="left"/>
      <w:lvlText w:val="(%1)"/>
      <w:numFmt w:val="lowerRoman"/>
      <w:start w:val="2"/>
    </w:lvl>
  </w:abstractNum>
  <w:abstractNum w:abstractNumId="81">
    <w:nsid w:val="BFFAE18"/>
    <w:multiLevelType w:val="hybridMultilevel"/>
    <w:lvl w:ilvl="0">
      <w:lvlJc w:val="left"/>
      <w:lvlText w:val="="/>
      <w:numFmt w:val="bullet"/>
      <w:start w:val="1"/>
    </w:lvl>
  </w:abstractNum>
  <w:abstractNum w:abstractNumId="82">
    <w:nsid w:val="E3E47A8"/>
    <w:multiLevelType w:val="hybridMultilevel"/>
    <w:lvl w:ilvl="0">
      <w:lvlJc w:val="left"/>
      <w:lvlText w:val="(%1)"/>
      <w:numFmt w:val="decimal"/>
    </w:lvl>
    <w:lvl w:ilvl="1">
      <w:lvlJc w:val="left"/>
      <w:lvlText w:val="="/>
      <w:numFmt w:val="bullet"/>
      <w:start w:val="1"/>
    </w:lvl>
  </w:abstractNum>
  <w:abstractNum w:abstractNumId="83">
    <w:nsid w:val="2E48F044"/>
    <w:multiLevelType w:val="hybridMultilevel"/>
    <w:lvl w:ilvl="0">
      <w:lvlJc w:val="left"/>
      <w:lvlText w:val="(*)"/>
      <w:numFmt w:val="bullet"/>
      <w:start w:val="1"/>
    </w:lvl>
  </w:abstractNum>
  <w:abstractNum w:abstractNumId="84">
    <w:nsid w:val="49D0FEAC"/>
    <w:multiLevelType w:val="hybridMultilevel"/>
    <w:lvl w:ilvl="0">
      <w:lvlJc w:val="left"/>
      <w:lvlText w:val="•"/>
      <w:numFmt w:val="bullet"/>
      <w:start w:val="1"/>
    </w:lvl>
  </w:abstractNum>
  <w:abstractNum w:abstractNumId="85">
    <w:nsid w:val="4BEE5A5B"/>
    <w:multiLevelType w:val="hybridMultilevel"/>
    <w:lvl w:ilvl="0">
      <w:lvlJc w:val="left"/>
      <w:lvlText w:val="•"/>
      <w:numFmt w:val="bullet"/>
      <w:start w:val="1"/>
    </w:lvl>
  </w:abstractNum>
  <w:abstractNum w:abstractNumId="86">
    <w:nsid w:val="5551B9F3"/>
    <w:multiLevelType w:val="hybridMultilevel"/>
    <w:lvl w:ilvl="0">
      <w:lvlJc w:val="left"/>
      <w:lvlText w:val="•"/>
      <w:numFmt w:val="bullet"/>
      <w:start w:val="1"/>
    </w:lvl>
  </w:abstractNum>
  <w:abstractNum w:abstractNumId="87">
    <w:nsid w:val="24F6AB8E"/>
    <w:multiLevelType w:val="hybridMultilevel"/>
    <w:lvl w:ilvl="0">
      <w:lvlJc w:val="left"/>
      <w:lvlText w:val="•"/>
      <w:numFmt w:val="bullet"/>
      <w:start w:val="1"/>
    </w:lvl>
  </w:abstractNum>
  <w:abstractNum w:abstractNumId="88">
    <w:nsid w:val="634C574C"/>
    <w:multiLevelType w:val="hybridMultilevel"/>
    <w:lvl w:ilvl="0">
      <w:lvlJc w:val="left"/>
      <w:lvlText w:val="•"/>
      <w:numFmt w:val="bullet"/>
      <w:start w:val="1"/>
    </w:lvl>
  </w:abstractNum>
  <w:abstractNum w:abstractNumId="89">
    <w:nsid w:val="24E99DD7"/>
    <w:multiLevelType w:val="hybridMultilevel"/>
    <w:lvl w:ilvl="0">
      <w:lvlJc w:val="left"/>
      <w:lvlText w:val="•"/>
      <w:numFmt w:val="bullet"/>
      <w:start w:val="1"/>
    </w:lvl>
  </w:abstractNum>
  <w:abstractNum w:abstractNumId="90">
    <w:nsid w:val="2A31B62D"/>
    <w:multiLevelType w:val="hybridMultilevel"/>
    <w:lvl w:ilvl="0">
      <w:lvlJc w:val="left"/>
      <w:lvlText w:val="•"/>
      <w:numFmt w:val="bullet"/>
      <w:start w:val="1"/>
    </w:lvl>
  </w:abstractNum>
  <w:abstractNum w:abstractNumId="91">
    <w:nsid w:val="1849C29B"/>
    <w:multiLevelType w:val="hybridMultilevel"/>
    <w:lvl w:ilvl="0">
      <w:lvlJc w:val="left"/>
      <w:lvlText w:val="•"/>
      <w:numFmt w:val="bullet"/>
      <w:start w:val="1"/>
    </w:lvl>
  </w:abstractNum>
  <w:abstractNum w:abstractNumId="92">
    <w:nsid w:val="7DFF9D09"/>
    <w:multiLevelType w:val="hybridMultilevel"/>
    <w:lvl w:ilvl="0">
      <w:lvlJc w:val="left"/>
      <w:lvlText w:val="•"/>
      <w:numFmt w:val="bullet"/>
      <w:start w:val="1"/>
    </w:lvl>
  </w:abstractNum>
  <w:abstractNum w:abstractNumId="93">
    <w:nsid w:val="754342"/>
    <w:multiLevelType w:val="hybridMultilevel"/>
    <w:lvl w:ilvl="0">
      <w:lvlJc w:val="left"/>
      <w:lvlText w:val="•"/>
      <w:numFmt w:val="bullet"/>
      <w:start w:val="1"/>
    </w:lvl>
  </w:abstractNum>
  <w:abstractNum w:abstractNumId="94">
    <w:nsid w:val="69E7F3E5"/>
    <w:multiLevelType w:val="hybridMultilevel"/>
    <w:lvl w:ilvl="0">
      <w:lvlJc w:val="left"/>
      <w:lvlText w:val="•"/>
      <w:numFmt w:val="bullet"/>
      <w:start w:val="1"/>
    </w:lvl>
  </w:abstractNum>
  <w:abstractNum w:abstractNumId="95">
    <w:nsid w:val="2A6DE806"/>
    <w:multiLevelType w:val="hybridMultilevel"/>
    <w:lvl w:ilvl="0">
      <w:lvlJc w:val="left"/>
      <w:lvlText w:val="•"/>
      <w:numFmt w:val="bullet"/>
      <w:start w:val="1"/>
    </w:lvl>
  </w:abstractNum>
  <w:abstractNum w:abstractNumId="96">
    <w:nsid w:val="1816F8C4"/>
    <w:multiLevelType w:val="hybridMultilevel"/>
    <w:lvl w:ilvl="0">
      <w:lvlJc w:val="left"/>
      <w:lvlText w:val="(%1)"/>
      <w:numFmt w:val="decimal"/>
      <w:start w:val="1"/>
    </w:lvl>
  </w:abstractNum>
  <w:abstractNum w:abstractNumId="97">
    <w:nsid w:val="37DF2233"/>
    <w:multiLevelType w:val="hybridMultilevel"/>
    <w:lvl w:ilvl="0">
      <w:lvlJc w:val="left"/>
      <w:lvlText w:val="(%1)"/>
      <w:numFmt w:val="decimal"/>
      <w:start w:val="2"/>
    </w:lvl>
  </w:abstractNum>
  <w:abstractNum w:abstractNumId="98">
    <w:nsid w:val="7AB49DAF"/>
    <w:multiLevelType w:val="hybridMultilevel"/>
    <w:lvl w:ilvl="0">
      <w:lvlJc w:val="left"/>
      <w:lvlText w:val="(%1)"/>
      <w:numFmt w:val="decimal"/>
      <w:start w:val="1"/>
    </w:lvl>
  </w:abstractNum>
  <w:abstractNum w:abstractNumId="99">
    <w:nsid w:val="759F82CD"/>
    <w:multiLevelType w:val="hybridMultilevel"/>
    <w:lvl w:ilvl="0">
      <w:lvlJc w:val="left"/>
      <w:lvlText w:val="•"/>
      <w:numFmt w:val="bullet"/>
      <w:start w:val="1"/>
    </w:lvl>
  </w:abstractNum>
  <w:abstractNum w:abstractNumId="100">
    <w:nsid w:val="61E74EA3"/>
    <w:multiLevelType w:val="hybridMultilevel"/>
    <w:lvl w:ilvl="0">
      <w:lvlJc w:val="left"/>
      <w:lvlText w:val="•"/>
      <w:numFmt w:val="bullet"/>
      <w:start w:val="1"/>
    </w:lvl>
  </w:abstractNum>
  <w:abstractNum w:abstractNumId="101">
    <w:nsid w:val="597B4D84"/>
    <w:multiLevelType w:val="hybridMultilevel"/>
    <w:lvl w:ilvl="0">
      <w:lvlJc w:val="left"/>
      <w:lvlText w:val="•"/>
      <w:numFmt w:val="bullet"/>
      <w:start w:val="1"/>
    </w:lvl>
  </w:abstractNum>
  <w:abstractNum w:abstractNumId="102">
    <w:nsid w:val="F819E7F"/>
    <w:multiLevelType w:val="hybridMultilevel"/>
    <w:lvl w:ilvl="0">
      <w:lvlJc w:val="left"/>
      <w:lvlText w:val="•"/>
      <w:numFmt w:val="bullet"/>
      <w:start w:val="1"/>
    </w:lvl>
  </w:abstractNum>
  <w:abstractNum w:abstractNumId="103">
    <w:nsid w:val="57C7D42D"/>
    <w:multiLevelType w:val="hybridMultilevel"/>
    <w:lvl w:ilvl="0">
      <w:lvlJc w:val="left"/>
      <w:lvlText w:val="•"/>
      <w:numFmt w:val="bullet"/>
      <w:start w:val="1"/>
    </w:lvl>
  </w:abstractNum>
  <w:abstractNum w:abstractNumId="104">
    <w:nsid w:val="312167AD"/>
    <w:multiLevelType w:val="hybridMultilevel"/>
    <w:lvl w:ilvl="0">
      <w:lvlJc w:val="left"/>
      <w:lvlText w:val="•"/>
      <w:numFmt w:val="bullet"/>
      <w:start w:val="1"/>
    </w:lvl>
  </w:abstractNum>
  <w:abstractNum w:abstractNumId="105">
    <w:nsid w:val="631B64D4"/>
    <w:multiLevelType w:val="hybridMultilevel"/>
    <w:lvl w:ilvl="0">
      <w:lvlJc w:val="left"/>
      <w:lvlText w:val="•"/>
      <w:numFmt w:val="bullet"/>
      <w:start w:val="1"/>
    </w:lvl>
    <w:lvl w:ilvl="1">
      <w:lvlJc w:val="left"/>
      <w:lvlText w:val="•"/>
      <w:numFmt w:val="bullet"/>
      <w:start w:val="1"/>
    </w:lvl>
  </w:abstractNum>
  <w:abstractNum w:abstractNumId="106">
    <w:nsid w:val="78B5E776"/>
    <w:multiLevelType w:val="hybridMultilevel"/>
    <w:lvl w:ilvl="0">
      <w:lvlJc w:val="left"/>
      <w:lvlText w:val="•"/>
      <w:numFmt w:val="bullet"/>
      <w:start w:val="1"/>
    </w:lvl>
  </w:abstractNum>
  <w:abstractNum w:abstractNumId="107">
    <w:nsid w:val="75486E47"/>
    <w:multiLevelType w:val="hybridMultilevel"/>
    <w:lvl w:ilvl="0">
      <w:lvlJc w:val="left"/>
      <w:lvlText w:val="•"/>
      <w:numFmt w:val="bullet"/>
      <w:start w:val="1"/>
    </w:lvl>
  </w:abstractNum>
  <w:abstractNum w:abstractNumId="108">
    <w:nsid w:val="6E534CDE"/>
    <w:multiLevelType w:val="hybridMultilevel"/>
    <w:lvl w:ilvl="0">
      <w:lvlJc w:val="left"/>
      <w:lvlText w:val="•"/>
      <w:numFmt w:val="bullet"/>
      <w:start w:val="1"/>
    </w:lvl>
  </w:abstractNum>
  <w:abstractNum w:abstractNumId="109">
    <w:nsid w:val="1A0DDE32"/>
    <w:multiLevelType w:val="hybridMultilevel"/>
    <w:lvl w:ilvl="0">
      <w:lvlJc w:val="left"/>
      <w:lvlText w:val="(%1)"/>
      <w:numFmt w:val="lowerRoman"/>
      <w:start w:val="1"/>
    </w:lvl>
  </w:abstractNum>
  <w:abstractNum w:abstractNumId="110">
    <w:nsid w:val="65968C1C"/>
    <w:multiLevelType w:val="hybridMultilevel"/>
    <w:lvl w:ilvl="0">
      <w:lvlJc w:val="left"/>
      <w:lvlText w:val="•"/>
      <w:numFmt w:val="bullet"/>
      <w:start w:val="1"/>
    </w:lvl>
  </w:abstractNum>
  <w:abstractNum w:abstractNumId="111">
    <w:nsid w:val="46263DEC"/>
    <w:multiLevelType w:val="hybridMultilevel"/>
    <w:lvl w:ilvl="0">
      <w:lvlJc w:val="left"/>
      <w:lvlText w:val="•"/>
      <w:numFmt w:val="bullet"/>
      <w:start w:val="1"/>
    </w:lvl>
  </w:abstractNum>
  <w:abstractNum w:abstractNumId="112">
    <w:nsid w:val="260D8C4A"/>
    <w:multiLevelType w:val="hybridMultilevel"/>
    <w:lvl w:ilvl="0">
      <w:lvlJc w:val="left"/>
      <w:lvlText w:val="•"/>
      <w:numFmt w:val="bullet"/>
      <w:start w:val="1"/>
    </w:lvl>
  </w:abstractNum>
  <w:abstractNum w:abstractNumId="113">
    <w:nsid w:val="73D4D3C4"/>
    <w:multiLevelType w:val="hybridMultilevel"/>
    <w:lvl w:ilvl="0">
      <w:lvlJc w:val="left"/>
      <w:lvlText w:val="•"/>
      <w:numFmt w:val="bullet"/>
      <w:start w:val="1"/>
    </w:lvl>
  </w:abstractNum>
  <w:abstractNum w:abstractNumId="114">
    <w:nsid w:val="746F2E30"/>
    <w:multiLevelType w:val="hybridMultilevel"/>
    <w:lvl w:ilvl="0">
      <w:lvlJc w:val="left"/>
      <w:lvlText w:val="•"/>
      <w:numFmt w:val="bullet"/>
      <w:start w:val="1"/>
    </w:lvl>
  </w:abstractNum>
  <w:abstractNum w:abstractNumId="115">
    <w:nsid w:val="6FDE8AF6"/>
    <w:multiLevelType w:val="hybridMultilevel"/>
    <w:lvl w:ilvl="0">
      <w:lvlJc w:val="left"/>
      <w:lvlText w:val="•"/>
      <w:numFmt w:val="bullet"/>
      <w:start w:val="1"/>
    </w:lvl>
  </w:abstractNum>
  <w:abstractNum w:abstractNumId="116">
    <w:nsid w:val="3FC32E20"/>
    <w:multiLevelType w:val="hybridMultilevel"/>
    <w:lvl w:ilvl="0">
      <w:lvlJc w:val="left"/>
      <w:lvlText w:val="•"/>
      <w:numFmt w:val="bullet"/>
      <w:start w:val="1"/>
    </w:lvl>
  </w:abstractNum>
  <w:abstractNum w:abstractNumId="117">
    <w:nsid w:val="49C0E823"/>
    <w:multiLevelType w:val="hybridMultilevel"/>
    <w:lvl w:ilvl="0">
      <w:lvlJc w:val="left"/>
      <w:lvlText w:val="•"/>
      <w:numFmt w:val="bullet"/>
      <w:start w:val="1"/>
    </w:lvl>
  </w:abstractNum>
  <w:abstractNum w:abstractNumId="118">
    <w:nsid w:val="14D53685"/>
    <w:multiLevelType w:val="hybridMultilevel"/>
    <w:lvl w:ilvl="0">
      <w:lvlJc w:val="left"/>
      <w:lvlText w:val="•"/>
      <w:numFmt w:val="bullet"/>
      <w:start w:val="1"/>
    </w:lvl>
  </w:abstractNum>
  <w:abstractNum w:abstractNumId="119">
    <w:nsid w:val="230F856C"/>
    <w:multiLevelType w:val="hybridMultilevel"/>
    <w:lvl w:ilvl="0">
      <w:lvlJc w:val="left"/>
      <w:lvlText w:val="•"/>
      <w:numFmt w:val="bullet"/>
      <w:start w:val="1"/>
    </w:lvl>
  </w:abstractNum>
  <w:abstractNum w:abstractNumId="120">
    <w:nsid w:val="6EAA85FB"/>
    <w:multiLevelType w:val="hybridMultilevel"/>
    <w:lvl w:ilvl="0">
      <w:lvlJc w:val="left"/>
      <w:lvlText w:val="•"/>
      <w:numFmt w:val="bullet"/>
      <w:start w:val="1"/>
    </w:lvl>
  </w:abstractNum>
  <w:abstractNum w:abstractNumId="121">
    <w:nsid w:val="3F06ECB2"/>
    <w:multiLevelType w:val="hybridMultilevel"/>
    <w:lvl w:ilvl="0">
      <w:lvlJc w:val="left"/>
      <w:lvlText w:val="•"/>
      <w:numFmt w:val="bullet"/>
      <w:start w:val="1"/>
    </w:lvl>
  </w:abstractNum>
  <w:abstractNum w:abstractNumId="122">
    <w:nsid w:val="3B594807"/>
    <w:multiLevelType w:val="hybridMultilevel"/>
    <w:lvl w:ilvl="0">
      <w:lvlJc w:val="left"/>
      <w:lvlText w:val="•"/>
      <w:numFmt w:val="bullet"/>
      <w:start w:val="1"/>
    </w:lvl>
  </w:abstractNum>
  <w:abstractNum w:abstractNumId="123">
    <w:nsid w:val="6CAA2304"/>
    <w:multiLevelType w:val="hybridMultilevel"/>
    <w:lvl w:ilvl="0">
      <w:lvlJc w:val="left"/>
      <w:lvlText w:val="•"/>
      <w:numFmt w:val="bullet"/>
      <w:start w:val="1"/>
    </w:lvl>
  </w:abstractNum>
  <w:abstractNum w:abstractNumId="124">
    <w:nsid w:val="3F7C2FF4"/>
    <w:multiLevelType w:val="hybridMultilevel"/>
    <w:lvl w:ilvl="0">
      <w:lvlJc w:val="left"/>
      <w:lvlText w:val="•"/>
      <w:numFmt w:val="bullet"/>
      <w:start w:val="1"/>
    </w:lvl>
  </w:abstractNum>
  <w:abstractNum w:abstractNumId="125">
    <w:nsid w:val="25413BEC"/>
    <w:multiLevelType w:val="hybridMultilevel"/>
    <w:lvl w:ilvl="0">
      <w:lvlJc w:val="left"/>
      <w:lvlText w:val="•"/>
      <w:numFmt w:val="bullet"/>
      <w:start w:val="1"/>
    </w:lvl>
  </w:abstractNum>
  <w:abstractNum w:abstractNumId="126">
    <w:nsid w:val="17180B0B"/>
    <w:multiLevelType w:val="hybridMultilevel"/>
    <w:lvl w:ilvl="0">
      <w:lvlJc w:val="left"/>
      <w:lvlText w:val="•"/>
      <w:numFmt w:val="bullet"/>
      <w:start w:val="1"/>
    </w:lvl>
  </w:abstractNum>
  <w:abstractNum w:abstractNumId="127">
    <w:nsid w:val="579328B9"/>
    <w:multiLevelType w:val="hybridMultilevel"/>
    <w:lvl w:ilvl="0">
      <w:lvlJc w:val="left"/>
      <w:lvlText w:val="•"/>
      <w:numFmt w:val="bullet"/>
      <w:start w:val="1"/>
    </w:lvl>
  </w:abstractNum>
  <w:abstractNum w:abstractNumId="128">
    <w:nsid w:val="5D205E20"/>
    <w:multiLevelType w:val="hybridMultilevel"/>
    <w:lvl w:ilvl="0">
      <w:lvlJc w:val="left"/>
      <w:lvlText w:val="•"/>
      <w:numFmt w:val="bullet"/>
      <w:start w:val="1"/>
    </w:lvl>
  </w:abstractNum>
  <w:abstractNum w:abstractNumId="129">
    <w:nsid w:val="11CCA8BA"/>
    <w:multiLevelType w:val="hybridMultilevel"/>
    <w:lvl w:ilvl="0">
      <w:lvlJc w:val="left"/>
      <w:lvlText w:val="•"/>
      <w:numFmt w:val="bullet"/>
      <w:start w:val="1"/>
    </w:lvl>
  </w:abstractNum>
  <w:abstractNum w:abstractNumId="130">
    <w:nsid w:val="4D32AB86"/>
    <w:multiLevelType w:val="hybridMultilevel"/>
    <w:lvl w:ilvl="0">
      <w:lvlJc w:val="left"/>
      <w:lvlText w:val="•"/>
      <w:numFmt w:val="bullet"/>
      <w:start w:val="1"/>
    </w:lvl>
  </w:abstractNum>
  <w:abstractNum w:abstractNumId="131">
    <w:nsid w:val="3F07ACC3"/>
    <w:multiLevelType w:val="hybridMultilevel"/>
    <w:lvl w:ilvl="0">
      <w:lvlJc w:val="left"/>
      <w:lvlText w:val="•"/>
      <w:numFmt w:val="bullet"/>
      <w:start w:val="1"/>
    </w:lvl>
  </w:abstractNum>
  <w:abstractNum w:abstractNumId="132">
    <w:nsid w:val="6B47F63E"/>
    <w:multiLevelType w:val="hybridMultilevel"/>
    <w:lvl w:ilvl="0">
      <w:lvlJc w:val="left"/>
      <w:lvlText w:val="•"/>
      <w:numFmt w:val="bullet"/>
      <w:start w:val="1"/>
    </w:lvl>
  </w:abstractNum>
  <w:abstractNum w:abstractNumId="133">
    <w:nsid w:val="5CB44A05"/>
    <w:multiLevelType w:val="hybridMultilevel"/>
    <w:lvl w:ilvl="0">
      <w:lvlJc w:val="left"/>
      <w:lvlText w:val="•"/>
      <w:numFmt w:val="bullet"/>
      <w:start w:val="1"/>
    </w:lvl>
  </w:abstractNum>
  <w:abstractNum w:abstractNumId="134">
    <w:nsid w:val="16CF80F1"/>
    <w:multiLevelType w:val="hybridMultilevel"/>
    <w:lvl w:ilvl="0">
      <w:lvlJc w:val="left"/>
      <w:lvlText w:val="•"/>
      <w:numFmt w:val="bullet"/>
      <w:start w:val="1"/>
    </w:lvl>
  </w:abstractNum>
  <w:abstractNum w:abstractNumId="135">
    <w:nsid w:val="1C695DEC"/>
    <w:multiLevelType w:val="hybridMultilevel"/>
    <w:lvl w:ilvl="0">
      <w:lvlJc w:val="left"/>
      <w:lvlText w:val="•"/>
      <w:numFmt w:val="bullet"/>
      <w:start w:val="1"/>
    </w:lvl>
  </w:abstractNum>
  <w:abstractNum w:abstractNumId="136">
    <w:nsid w:val="3FCFAED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37">
    <w:nsid w:val="F856867"/>
    <w:multiLevelType w:val="hybridMultilevel"/>
    <w:lvl w:ilvl="0">
      <w:lvlJc w:val="left"/>
      <w:lvlText w:val="•"/>
      <w:numFmt w:val="bullet"/>
      <w:start w:val="1"/>
    </w:lvl>
  </w:abstractNum>
  <w:abstractNum w:abstractNumId="138">
    <w:nsid w:val="11B1CC33"/>
    <w:multiLevelType w:val="hybridMultilevel"/>
    <w:lvl w:ilvl="0">
      <w:lvlJc w:val="left"/>
      <w:lvlText w:val="%1"/>
      <w:numFmt w:val="decimal"/>
      <w:start w:val="1"/>
    </w:lvl>
    <w:lvl w:ilvl="1">
      <w:lvlJc w:val="left"/>
      <w:lvlText w:val="(%2)"/>
      <w:numFmt w:val="lowerLetter"/>
      <w:start w:val="1"/>
    </w:lvl>
  </w:abstractNum>
  <w:abstractNum w:abstractNumId="139">
    <w:nsid w:val="2E22FBB7"/>
    <w:multiLevelType w:val="hybridMultilevel"/>
    <w:lvl w:ilvl="0">
      <w:lvlJc w:val="left"/>
      <w:lvlText w:val="(%1)"/>
      <w:numFmt w:val="decimal"/>
      <w:start w:val="1"/>
    </w:lvl>
    <w:lvl w:ilvl="1">
      <w:lvlJc w:val="left"/>
      <w:lvlText w:val="%2"/>
      <w:numFmt w:val="lowerLetter"/>
      <w:start w:val="1"/>
    </w:lvl>
  </w:abstractNum>
  <w:abstractNum w:abstractNumId="140">
    <w:nsid w:val="29934699"/>
    <w:multiLevelType w:val="hybridMultilevel"/>
    <w:lvl w:ilvl="0">
      <w:lvlJc w:val="left"/>
      <w:lvlText w:val="(%1)"/>
      <w:numFmt w:val="decimal"/>
      <w:start w:val="6"/>
    </w:lvl>
  </w:abstractNum>
  <w:abstractNum w:abstractNumId="141">
    <w:nsid w:val="77485850"/>
    <w:multiLevelType w:val="hybridMultilevel"/>
    <w:lvl w:ilvl="0">
      <w:lvlJc w:val="left"/>
      <w:lvlText w:val="%1"/>
      <w:numFmt w:val="decimal"/>
      <w:start w:val="1"/>
    </w:lvl>
    <w:lvl w:ilvl="1">
      <w:lvlJc w:val="left"/>
      <w:lvlText w:val="(%2)"/>
      <w:numFmt w:val="lowerLetter"/>
      <w:start w:val="1"/>
    </w:lvl>
  </w:abstractNum>
  <w:abstractNum w:abstractNumId="142">
    <w:nsid w:val="744939A3"/>
    <w:multiLevelType w:val="hybridMultilevel"/>
    <w:lvl w:ilvl="0">
      <w:lvlJc w:val="left"/>
      <w:lvlText w:val="(%1)"/>
      <w:numFmt w:val="decimal"/>
      <w:start w:val="7"/>
    </w:lvl>
    <w:lvl w:ilvl="1">
      <w:lvlJc w:val="left"/>
      <w:lvlText w:val="%2"/>
      <w:numFmt w:val="lowerLetter"/>
      <w:start w:val="1"/>
    </w:lvl>
  </w:abstractNum>
  <w:abstractNum w:abstractNumId="143">
    <w:nsid w:val="4FA0D2E3"/>
    <w:multiLevelType w:val="hybridMultilevel"/>
    <w:lvl w:ilvl="0">
      <w:lvlJc w:val="left"/>
      <w:lvlText w:val="%1"/>
      <w:numFmt w:val="decimal"/>
      <w:start w:val="1"/>
    </w:lvl>
    <w:lvl w:ilvl="1">
      <w:lvlJc w:val="left"/>
      <w:lvlText w:val="(%2)"/>
      <w:numFmt w:val="lowerLetter"/>
      <w:start w:val="1"/>
    </w:lvl>
  </w:abstractNum>
  <w:abstractNum w:abstractNumId="144">
    <w:nsid w:val="6B1D2C14"/>
    <w:multiLevelType w:val="hybridMultilevel"/>
    <w:lvl w:ilvl="0">
      <w:lvlJc w:val="left"/>
      <w:lvlText w:val="(%1)"/>
      <w:numFmt w:val="decimal"/>
      <w:start w:val="1"/>
    </w:lvl>
    <w:lvl w:ilvl="1">
      <w:lvlJc w:val="left"/>
      <w:lvlText w:val="%2"/>
      <w:numFmt w:val="lowerLetter"/>
      <w:start w:val="1"/>
    </w:lvl>
  </w:abstractNum>
  <w:abstractNum w:abstractNumId="145">
    <w:nsid w:val="68B867D3"/>
    <w:multiLevelType w:val="hybridMultilevel"/>
    <w:lvl w:ilvl="0">
      <w:lvlJc w:val="left"/>
      <w:lvlText w:val="(%1)"/>
      <w:numFmt w:val="decimal"/>
      <w:start w:val="6"/>
    </w:lvl>
  </w:abstractNum>
  <w:abstractNum w:abstractNumId="146">
    <w:nsid w:val="3F7F5DD9"/>
    <w:multiLevelType w:val="hybridMultilevel"/>
    <w:lvl w:ilvl="0">
      <w:lvlJc w:val="left"/>
      <w:lvlText w:val="%1"/>
      <w:numFmt w:val="decimal"/>
      <w:start w:val="1"/>
    </w:lvl>
    <w:lvl w:ilvl="1">
      <w:lvlJc w:val="left"/>
      <w:lvlText w:val="(%2)"/>
      <w:numFmt w:val="lowerLetter"/>
      <w:start w:val="1"/>
    </w:lvl>
  </w:abstractNum>
  <w:abstractNum w:abstractNumId="147">
    <w:nsid w:val="2AE05A34"/>
    <w:multiLevelType w:val="hybridMultilevel"/>
    <w:lvl w:ilvl="0">
      <w:lvlJc w:val="left"/>
      <w:lvlText w:val="(%1)"/>
      <w:numFmt w:val="decimal"/>
      <w:start w:val="8"/>
    </w:lvl>
    <w:lvl w:ilvl="1">
      <w:lvlJc w:val="left"/>
      <w:lvlText w:val="%2"/>
      <w:numFmt w:val="lowerLetter"/>
      <w:start w:val="1"/>
    </w:lvl>
  </w:abstractNum>
  <w:abstractNum w:abstractNumId="148">
    <w:nsid w:val="32794FF7"/>
    <w:multiLevelType w:val="hybridMultilevel"/>
    <w:lvl w:ilvl="0">
      <w:lvlJc w:val="left"/>
      <w:lvlText w:val="•"/>
      <w:numFmt w:val="bullet"/>
      <w:start w:val="1"/>
    </w:lvl>
  </w:abstractNum>
  <w:abstractNum w:abstractNumId="149">
    <w:nsid w:val="5454945E"/>
    <w:multiLevelType w:val="hybridMultilevel"/>
    <w:lvl w:ilvl="0">
      <w:lvlJc w:val="left"/>
      <w:lvlText w:val="•"/>
      <w:numFmt w:val="bullet"/>
      <w:start w:val="1"/>
    </w:lvl>
  </w:abstractNum>
  <w:abstractNum w:abstractNumId="150">
    <w:nsid w:val="4DEFDFA0"/>
    <w:multiLevelType w:val="hybridMultilevel"/>
    <w:lvl w:ilvl="0">
      <w:lvlJc w:val="left"/>
      <w:lvlText w:val="•"/>
      <w:numFmt w:val="bullet"/>
      <w:start w:val="1"/>
    </w:lvl>
  </w:abstractNum>
  <w:abstractNum w:abstractNumId="151">
    <w:nsid w:val="2123D5F2"/>
    <w:multiLevelType w:val="hybridMultilevel"/>
    <w:lvl w:ilvl="0">
      <w:lvlJc w:val="left"/>
      <w:lvlText w:val="(%1)"/>
      <w:numFmt w:val="lowerRoman"/>
      <w:start w:val="1"/>
    </w:lvl>
  </w:abstractNum>
  <w:abstractNum w:abstractNumId="152">
    <w:nsid w:val="135B8110"/>
    <w:multiLevelType w:val="hybridMultilevel"/>
    <w:lvl w:ilvl="0">
      <w:lvlJc w:val="left"/>
      <w:lvlText w:val="(%1)"/>
      <w:numFmt w:val="decimal"/>
      <w:start w:val="1"/>
    </w:lvl>
  </w:abstractNum>
  <w:abstractNum w:abstractNumId="153">
    <w:nsid w:val="94927A8"/>
    <w:multiLevelType w:val="hybridMultilevel"/>
    <w:lvl w:ilvl="0">
      <w:lvlJc w:val="left"/>
      <w:lvlText w:val="(%1)"/>
      <w:numFmt w:val="decimal"/>
      <w:start w:val="1"/>
    </w:lvl>
  </w:abstractNum>
  <w:abstractNum w:abstractNumId="154">
    <w:nsid w:val="DCDF8F6"/>
    <w:multiLevelType w:val="hybridMultilevel"/>
    <w:lvl w:ilvl="0">
      <w:lvlJc w:val="left"/>
      <w:lvlText w:val="(%1)"/>
      <w:numFmt w:val="decimal"/>
      <w:start w:val="1"/>
    </w:lvl>
  </w:abstractNum>
  <w:abstractNum w:abstractNumId="155">
    <w:nsid w:val="52D7B105"/>
    <w:multiLevelType w:val="hybridMultilevel"/>
    <w:lvl w:ilvl="0">
      <w:lvlJc w:val="left"/>
      <w:lvlText w:val="(%1)"/>
      <w:numFmt w:val="decimal"/>
      <w:start w:val="1"/>
    </w:lvl>
  </w:abstractNum>
  <w:abstractNum w:abstractNumId="156">
    <w:nsid w:val="2E8A6394"/>
    <w:multiLevelType w:val="hybridMultilevel"/>
    <w:lvl w:ilvl="0">
      <w:lvlJc w:val="left"/>
      <w:lvlText w:val="(%1)"/>
      <w:numFmt w:val="decimal"/>
      <w:start w:val="1"/>
    </w:lvl>
  </w:abstractNum>
  <w:abstractNum w:abstractNumId="157">
    <w:nsid w:val="24E60401"/>
    <w:multiLevelType w:val="hybridMultilevel"/>
    <w:lvl w:ilvl="0">
      <w:lvlJc w:val="left"/>
      <w:lvlText w:val="(%1)"/>
      <w:numFmt w:val="decimal"/>
      <w:start w:val="1"/>
    </w:lvl>
  </w:abstractNum>
  <w:abstractNum w:abstractNumId="158">
    <w:nsid w:val="2A6AD9BE"/>
    <w:multiLevelType w:val="hybridMultilevel"/>
    <w:lvl w:ilvl="0">
      <w:lvlJc w:val="left"/>
      <w:lvlText w:val="(%1)"/>
      <w:numFmt w:val="decimal"/>
      <w:start w:val="1"/>
    </w:lvl>
  </w:abstractNum>
  <w:abstractNum w:abstractNumId="159">
    <w:nsid w:val="BAAC1B4"/>
    <w:multiLevelType w:val="hybridMultilevel"/>
    <w:lvl w:ilvl="0">
      <w:lvlJc w:val="left"/>
      <w:lvlText w:val="(%1)"/>
      <w:numFmt w:val="decimal"/>
      <w:start w:val="1"/>
    </w:lvl>
  </w:abstractNum>
  <w:abstractNum w:abstractNumId="160">
    <w:nsid w:val="36B2ACBC"/>
    <w:multiLevelType w:val="hybridMultilevel"/>
    <w:lvl w:ilvl="0">
      <w:lvlJc w:val="left"/>
      <w:lvlText w:val="•"/>
      <w:numFmt w:val="bullet"/>
      <w:start w:val="1"/>
    </w:lvl>
  </w:abstractNum>
  <w:abstractNum w:abstractNumId="161">
    <w:nsid w:val="779D8544"/>
    <w:multiLevelType w:val="hybridMultilevel"/>
    <w:lvl w:ilvl="0">
      <w:lvlJc w:val="left"/>
      <w:lvlText w:val="(%1)"/>
      <w:numFmt w:val="decimal"/>
      <w:start w:val="1"/>
    </w:lvl>
  </w:abstractNum>
  <w:abstractNum w:abstractNumId="162">
    <w:nsid w:val="4AB26E78"/>
    <w:multiLevelType w:val="hybridMultilevel"/>
    <w:lvl w:ilvl="0">
      <w:lvlJc w:val="left"/>
      <w:lvlText w:val="(%1)"/>
      <w:numFmt w:val="decimal"/>
      <w:start w:val="1"/>
    </w:lvl>
  </w:abstractNum>
  <w:abstractNum w:abstractNumId="163">
    <w:nsid w:val="21FAA2FA"/>
    <w:multiLevelType w:val="hybridMultilevel"/>
    <w:lvl w:ilvl="0">
      <w:lvlJc w:val="left"/>
      <w:lvlText w:val="(%1)"/>
      <w:numFmt w:val="decimal"/>
      <w:start w:val="1"/>
    </w:lvl>
  </w:abstractNum>
  <w:abstractNum w:abstractNumId="164">
    <w:nsid w:val="5451CF49"/>
    <w:multiLevelType w:val="hybridMultilevel"/>
    <w:lvl w:ilvl="0">
      <w:lvlJc w:val="left"/>
      <w:lvlText w:val="(%1)"/>
      <w:numFmt w:val="decimal"/>
      <w:start w:val="1"/>
    </w:lvl>
  </w:abstractNum>
  <w:abstractNum w:abstractNumId="165">
    <w:nsid w:val="6181EF69"/>
    <w:multiLevelType w:val="hybridMultilevel"/>
    <w:lvl w:ilvl="0">
      <w:lvlJc w:val="left"/>
      <w:lvlText w:val="(%1)"/>
      <w:numFmt w:val="decimal"/>
      <w:start w:val="1"/>
    </w:lvl>
  </w:abstractNum>
  <w:abstractNum w:abstractNumId="166">
    <w:nsid w:val="3E6400E6"/>
    <w:multiLevelType w:val="hybridMultilevel"/>
    <w:lvl w:ilvl="0">
      <w:lvlJc w:val="left"/>
      <w:lvlText w:val="(%1)"/>
      <w:numFmt w:val="lowerLetter"/>
      <w:start w:val="2"/>
    </w:lvl>
  </w:abstractNum>
  <w:abstractNum w:abstractNumId="167">
    <w:nsid w:val="14217E23"/>
    <w:multiLevelType w:val="hybridMultilevel"/>
    <w:lvl w:ilvl="0">
      <w:lvlJc w:val="left"/>
      <w:lvlText w:val="(%1)"/>
      <w:numFmt w:val="lowerLetter"/>
      <w:start w:val="5"/>
    </w:lvl>
  </w:abstractNum>
  <w:abstractNum w:abstractNumId="168">
    <w:nsid w:val="710757D0"/>
    <w:multiLevelType w:val="hybridMultilevel"/>
    <w:lvl w:ilvl="0">
      <w:lvlJc w:val="left"/>
      <w:lvlText w:val="(%1)"/>
      <w:numFmt w:val="lowerLetter"/>
      <w:start w:val="9"/>
    </w:lvl>
  </w:abstractNum>
  <w:abstractNum w:abstractNumId="169">
    <w:nsid w:val="5015CD1A"/>
    <w:multiLevelType w:val="hybridMultilevel"/>
    <w:lvl w:ilvl="0">
      <w:lvlJc w:val="left"/>
      <w:lvlText w:val="(%1)"/>
      <w:numFmt w:val="lowerLetter"/>
      <w:start w:val="12"/>
    </w:lvl>
  </w:abstractNum>
  <w:abstractNum w:abstractNumId="170">
    <w:nsid w:val="424479DA"/>
    <w:multiLevelType w:val="hybridMultilevel"/>
    <w:lvl w:ilvl="0">
      <w:lvlJc w:val="left"/>
      <w:lvlText w:val="(%1)"/>
      <w:numFmt w:val="lowerLetter"/>
      <w:start w:val="15"/>
    </w:lvl>
  </w:abstractNum>
  <w:abstractNum w:abstractNumId="171">
    <w:nsid w:val="1A9A9E69"/>
    <w:multiLevelType w:val="hybridMultilevel"/>
    <w:lvl w:ilvl="0">
      <w:lvlJc w:val="left"/>
      <w:lvlText w:val="(%1)"/>
      <w:numFmt w:val="decimal"/>
      <w:start w:val="1"/>
    </w:lvl>
  </w:abstractNum>
  <w:abstractNum w:abstractNumId="172">
    <w:nsid w:val="475E256A"/>
    <w:multiLevelType w:val="hybridMultilevel"/>
    <w:lvl w:ilvl="0">
      <w:lvlJc w:val="left"/>
      <w:lvlText w:val="*"/>
      <w:numFmt w:val="bullet"/>
      <w:start w:val="1"/>
    </w:lvl>
  </w:abstractNum>
  <w:abstractNum w:abstractNumId="173">
    <w:nsid w:val="368DB37E"/>
    <w:multiLevelType w:val="hybridMultilevel"/>
    <w:lvl w:ilvl="0">
      <w:lvlJc w:val="left"/>
      <w:lvlText w:val="(%1)"/>
      <w:numFmt w:val="decimal"/>
      <w:start w:val="1"/>
    </w:lvl>
  </w:abstractNum>
  <w:abstractNum w:abstractNumId="174">
    <w:nsid w:val="6A3B714C"/>
    <w:multiLevelType w:val="hybridMultilevel"/>
    <w:lvl w:ilvl="0">
      <w:lvlJc w:val="left"/>
      <w:lvlText w:val="(%1)"/>
      <w:numFmt w:val="decimal"/>
      <w:start w:val="1"/>
    </w:lvl>
  </w:abstractNum>
  <w:abstractNum w:abstractNumId="175">
    <w:nsid w:val="327B517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76">
    <w:nsid w:val="1F461B5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77">
    <w:nsid w:val="29BACF2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78">
    <w:nsid w:val="5D5BABB3"/>
    <w:multiLevelType w:val="hybridMultilevel"/>
    <w:lvl w:ilvl="0">
      <w:lvlJc w:val="left"/>
      <w:lvlText w:val="☐"/>
      <w:numFmt w:val="bullet"/>
      <w:start w:val="1"/>
    </w:lvl>
  </w:abstractNum>
  <w:abstractNum w:abstractNumId="179">
    <w:nsid w:val="51BF6B48"/>
    <w:multiLevelType w:val="hybridMultilevel"/>
    <w:lvl w:ilvl="0">
      <w:lvlJc w:val="left"/>
      <w:lvlText w:val="(%1)"/>
      <w:numFmt w:val="lowerLetter"/>
      <w:start w:val="1"/>
    </w:lvl>
  </w:abstractNum>
  <w:abstractNum w:abstractNumId="180">
    <w:nsid w:val="7E0F6384"/>
    <w:multiLevelType w:val="hybridMultilevel"/>
    <w:lvl w:ilvl="0">
      <w:lvlJc w:val="left"/>
      <w:lvlText w:val="*"/>
      <w:numFmt w:val="bullet"/>
      <w:start w:val="1"/>
    </w:lvl>
  </w:abstractNum>
  <w:abstractNum w:abstractNumId="181">
    <w:nsid w:val="2B4B8B53"/>
    <w:multiLevelType w:val="hybridMultilevel"/>
    <w:lvl w:ilvl="0">
      <w:lvlJc w:val="left"/>
      <w:lvlText w:val="**"/>
      <w:numFmt w:val="bullet"/>
      <w:start w:val="1"/>
    </w:lvl>
  </w:abstractNum>
  <w:abstractNum w:abstractNumId="182">
    <w:nsid w:val="72E3413A"/>
    <w:multiLevelType w:val="hybridMultilevel"/>
    <w:lvl w:ilvl="0">
      <w:lvlJc w:val="left"/>
      <w:lvlText w:val="***"/>
      <w:numFmt w:val="bullet"/>
      <w:start w:val="1"/>
    </w:lvl>
  </w:abstractNum>
  <w:abstractNum w:abstractNumId="183">
    <w:nsid w:val="116AE494"/>
    <w:multiLevelType w:val="hybridMultilevel"/>
    <w:lvl w:ilvl="0">
      <w:lvlJc w:val="left"/>
      <w:lvlText w:val="(%1)"/>
      <w:numFmt w:val="lowerLetter"/>
      <w:start w:val="1"/>
    </w:lvl>
  </w:abstractNum>
  <w:abstractNum w:abstractNumId="184">
    <w:nsid w:val="3494B2FB"/>
    <w:multiLevelType w:val="hybridMultilevel"/>
    <w:lvl w:ilvl="0">
      <w:lvlJc w:val="left"/>
      <w:lvlText w:val="(%1)"/>
      <w:numFmt w:val="lowerLetter"/>
      <w:start w:val="3"/>
    </w:lvl>
  </w:abstractNum>
  <w:abstractNum w:abstractNumId="185">
    <w:nsid w:val="B13A31"/>
    <w:multiLevelType w:val="hybridMultilevel"/>
    <w:lvl w:ilvl="0">
      <w:lvlJc w:val="left"/>
      <w:lvlText w:val="%1."/>
      <w:numFmt w:val="decimal"/>
      <w:start w:val="1"/>
    </w:lvl>
  </w:abstractNum>
  <w:abstractNum w:abstractNumId="186">
    <w:nsid w:val="64429599"/>
    <w:multiLevelType w:val="hybridMultilevel"/>
    <w:lvl w:ilvl="0">
      <w:lvlJc w:val="left"/>
      <w:lvlText w:val="(%1)"/>
      <w:numFmt w:val="lowerRoman"/>
      <w:start w:val="4"/>
    </w:lvl>
  </w:abstractNum>
  <w:abstractNum w:abstractNumId="187">
    <w:nsid w:val="631F1690"/>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91" Type="http://schemas.openxmlformats.org/officeDocument/2006/relationships/image" Target="media/image276.png"/><Relationship Id="rId304" Type="http://schemas.openxmlformats.org/officeDocument/2006/relationships/image" Target="media/image277.png"/><Relationship Id="rId315" Type="http://schemas.openxmlformats.org/officeDocument/2006/relationships/image" Target="media/image278.png"/><Relationship Id="rId321" Type="http://schemas.openxmlformats.org/officeDocument/2006/relationships/image" Target="media/image279.png"/><Relationship Id="rId322" Type="http://schemas.openxmlformats.org/officeDocument/2006/relationships/image" Target="media/image280.png"/><Relationship Id="rId323" Type="http://schemas.openxmlformats.org/officeDocument/2006/relationships/image" Target="media/image281.png"/><Relationship Id="rId324" Type="http://schemas.openxmlformats.org/officeDocument/2006/relationships/image" Target="media/image282.png"/><Relationship Id="rId325" Type="http://schemas.openxmlformats.org/officeDocument/2006/relationships/image" Target="media/image283.png"/><Relationship Id="rId326" Type="http://schemas.openxmlformats.org/officeDocument/2006/relationships/image" Target="media/image284.png"/><Relationship Id="rId327" Type="http://schemas.openxmlformats.org/officeDocument/2006/relationships/image" Target="media/image285.png"/><Relationship Id="rId328" Type="http://schemas.openxmlformats.org/officeDocument/2006/relationships/image" Target="media/image286.png"/><Relationship Id="rId329" Type="http://schemas.openxmlformats.org/officeDocument/2006/relationships/image" Target="media/image287.png"/><Relationship Id="rId330" Type="http://schemas.openxmlformats.org/officeDocument/2006/relationships/image" Target="media/image288.png"/><Relationship Id="rId331" Type="http://schemas.openxmlformats.org/officeDocument/2006/relationships/image" Target="media/image289.png"/><Relationship Id="rId332" Type="http://schemas.openxmlformats.org/officeDocument/2006/relationships/image" Target="media/image290.png"/><Relationship Id="rId333" Type="http://schemas.openxmlformats.org/officeDocument/2006/relationships/image" Target="media/image291.png"/><Relationship Id="rId334" Type="http://schemas.openxmlformats.org/officeDocument/2006/relationships/image" Target="media/image292.png"/><Relationship Id="rId335" Type="http://schemas.openxmlformats.org/officeDocument/2006/relationships/image" Target="media/image293.png"/><Relationship Id="rId336" Type="http://schemas.openxmlformats.org/officeDocument/2006/relationships/image" Target="media/image294.png"/><Relationship Id="rId337" Type="http://schemas.openxmlformats.org/officeDocument/2006/relationships/image" Target="media/image295.png"/><Relationship Id="rId338" Type="http://schemas.openxmlformats.org/officeDocument/2006/relationships/image" Target="media/image296.png"/><Relationship Id="rId339" Type="http://schemas.openxmlformats.org/officeDocument/2006/relationships/image" Target="media/image297.png"/><Relationship Id="rId340" Type="http://schemas.openxmlformats.org/officeDocument/2006/relationships/image" Target="media/image298.png"/><Relationship Id="rId341" Type="http://schemas.openxmlformats.org/officeDocument/2006/relationships/image" Target="media/image299.jpeg"/><Relationship Id="rId342" Type="http://schemas.openxmlformats.org/officeDocument/2006/relationships/image" Target="media/image300.png"/><Relationship Id="rId343" Type="http://schemas.openxmlformats.org/officeDocument/2006/relationships/image" Target="media/image301.png"/><Relationship Id="rId344" Type="http://schemas.openxmlformats.org/officeDocument/2006/relationships/image" Target="media/image302.jpeg"/><Relationship Id="rId345" Type="http://schemas.openxmlformats.org/officeDocument/2006/relationships/image" Target="media/image303.jpeg"/><Relationship Id="rId346" Type="http://schemas.openxmlformats.org/officeDocument/2006/relationships/image" Target="media/image304.png"/><Relationship Id="rId347" Type="http://schemas.openxmlformats.org/officeDocument/2006/relationships/image" Target="media/image305.png"/><Relationship Id="rId283" Type="http://schemas.openxmlformats.org/officeDocument/2006/relationships/hyperlink" Target="http://www.sec.gov/Archives/edgar/data/1508655/000095012311025019/y90239exv3w1.htm" TargetMode="External"/><Relationship Id="rId284" Type="http://schemas.openxmlformats.org/officeDocument/2006/relationships/hyperlink" Target="http://www.sec.gov/Archives/edgar/data/1508655/000119312514095223/d691342dex31.htm" TargetMode="External"/><Relationship Id="rId285" Type="http://schemas.openxmlformats.org/officeDocument/2006/relationships/hyperlink" Target="http://www.sec.gov/Archives/edgar/data/1508655/000156459016027941/tslx-ex31_210.htm" TargetMode="External"/><Relationship Id="rId286" Type="http://schemas.openxmlformats.org/officeDocument/2006/relationships/hyperlink" Target="http://www.sec.gov/Archives/edgar/data/1508655/000156459016027941/tslx-ex32_139.htm" TargetMode="External"/><Relationship Id="rId287" Type="http://schemas.openxmlformats.org/officeDocument/2006/relationships/hyperlink" Target="http://www.sec.gov/Archives/edgar/data/1508655/000119312512127485/d318388dex42.htm" TargetMode="External"/><Relationship Id="rId288" Type="http://schemas.openxmlformats.org/officeDocument/2006/relationships/hyperlink" Target="http://www.sec.gov/Archives/edgar/data/1508655/000119312514280584/d744245dex99d7.htm" TargetMode="External"/><Relationship Id="rId289" Type="http://schemas.openxmlformats.org/officeDocument/2006/relationships/hyperlink" Target="http://www.sec.gov/Archives/edgar/data/1508655/000119312514232207/d738714dex41.htm" TargetMode="External"/><Relationship Id="rId290" Type="http://schemas.openxmlformats.org/officeDocument/2006/relationships/hyperlink" Target="http://www.sec.gov/Archives/edgar/data/1508655/000119312517027505/d341977dex41.htm" TargetMode="External"/><Relationship Id="rId292" Type="http://schemas.openxmlformats.org/officeDocument/2006/relationships/hyperlink" Target="http://www.sec.gov/Archives/edgar/data/1508655/000119312518016134/d428064dex41.htm" TargetMode="External"/><Relationship Id="rId293" Type="http://schemas.openxmlformats.org/officeDocument/2006/relationships/hyperlink" Target="http://www.sec.gov/Archives/edgar/data/1508655/000119312518016134/d428064dex42.htm" TargetMode="External"/><Relationship Id="rId294" Type="http://schemas.openxmlformats.org/officeDocument/2006/relationships/hyperlink" Target="http://www.sec.gov/Archives/edgar/data/1508655/000119312514102674/d630521dex99e.htm" TargetMode="External"/><Relationship Id="rId295" Type="http://schemas.openxmlformats.org/officeDocument/2006/relationships/hyperlink" Target="http://www.sec.gov/Archives/edgar/data/1508655/000119312511339263/d269504dex101.htm" TargetMode="External"/><Relationship Id="rId296" Type="http://schemas.openxmlformats.org/officeDocument/2006/relationships/hyperlink" Target="http://www.sec.gov/Archives/edgar/data/1508655/000119312516525998/d167944dex99h1.htm" TargetMode="External"/><Relationship Id="rId297" Type="http://schemas.openxmlformats.org/officeDocument/2006/relationships/hyperlink" Target="http://www.sec.gov/Archives/edgar/data/1508655/000119312516525998/d167944dex99h2.htm" TargetMode="External"/><Relationship Id="rId298" Type="http://schemas.openxmlformats.org/officeDocument/2006/relationships/hyperlink" Target="http://www.sec.gov/Archives/edgar/data/1508655/000119312512490609/d446947dex101.htm" TargetMode="External"/><Relationship Id="rId299" Type="http://schemas.openxmlformats.org/officeDocument/2006/relationships/hyperlink" Target="http://www.sec.gov/Archives/edgar/data/1508655/000095012311025019/y90239exv10w3.htm" TargetMode="External"/><Relationship Id="rId300" Type="http://schemas.openxmlformats.org/officeDocument/2006/relationships/hyperlink" Target="http://www.sec.gov/Archives/edgar/data/1508655/000119312512469369/d434820dex101.htm" TargetMode="External"/><Relationship Id="rId301" Type="http://schemas.openxmlformats.org/officeDocument/2006/relationships/hyperlink" Target="http://www.sec.gov/Archives/edgar/data/1508655/000119312513285854/d565284dex101.htm" TargetMode="External"/><Relationship Id="rId302" Type="http://schemas.openxmlformats.org/officeDocument/2006/relationships/hyperlink" Target="http://www.sec.gov/Archives/edgar/data/1508655/000119312514082476/d673597dex1020.htm" TargetMode="External"/><Relationship Id="rId303" Type="http://schemas.openxmlformats.org/officeDocument/2006/relationships/hyperlink" Target="http://www.sec.gov/Archives/edgar/data/1508655/000119312514293593/d769019dex103.htm" TargetMode="External"/><Relationship Id="rId305" Type="http://schemas.openxmlformats.org/officeDocument/2006/relationships/hyperlink" Target="http://www.sec.gov/Archives/edgar/data/1508655/000119312514293593/d769019dex104.htm" TargetMode="External"/><Relationship Id="rId306" Type="http://schemas.openxmlformats.org/officeDocument/2006/relationships/hyperlink" Target="http://www.sec.gov/Archives/edgar/data/1508655/000119312514293593/d769019dex105.htm" TargetMode="External"/><Relationship Id="rId307" Type="http://schemas.openxmlformats.org/officeDocument/2006/relationships/hyperlink" Target="http://www.sec.gov/Archives/edgar/data/1508655/000119312514394267/d813731dex101.htm" TargetMode="External"/><Relationship Id="rId308" Type="http://schemas.openxmlformats.org/officeDocument/2006/relationships/hyperlink" Target="http://www.sec.gov/Archives/edgar/data/1508655/000156459015009165/tslx-ex101_394.htm" TargetMode="External"/><Relationship Id="rId309" Type="http://schemas.openxmlformats.org/officeDocument/2006/relationships/hyperlink" Target="http://www.sec.gov/Archives/edgar/data/1508655/000156459017002010/tslx-ex1015_196.htm" TargetMode="External"/><Relationship Id="rId310" Type="http://schemas.openxmlformats.org/officeDocument/2006/relationships/hyperlink" Target="http://www.sec.gov/Archives/edgar/data/1508655/000156459017002010/tslx-ex1016_267.htm" TargetMode="External"/><Relationship Id="rId311" Type="http://schemas.openxmlformats.org/officeDocument/2006/relationships/hyperlink" Target="http://www.sec.gov/Archives/edgar/data/1508655/000156459018002665/tslx-ex1016_374.htm" TargetMode="External"/><Relationship Id="rId312" Type="http://schemas.openxmlformats.org/officeDocument/2006/relationships/hyperlink" Target="http://www.sec.gov/Archives/edgar/data/1508655/000119312518089142/d463543dex99n6.htm" TargetMode="External"/><Relationship Id="rId313" Type="http://schemas.openxmlformats.org/officeDocument/2006/relationships/hyperlink" Target="http://www.sec.gov/Archives/edgar/data/1508655/000119312514102674/d630521dex99r1.htm" TargetMode="External"/><Relationship Id="rId314" Type="http://schemas.openxmlformats.org/officeDocument/2006/relationships/hyperlink" Target="http://www.sec.gov/Archives/edgar/data/1508655/000119312514102674/d630521dex99r2.htm" TargetMode="External"/><Relationship Id="rId316" Type="http://schemas.openxmlformats.org/officeDocument/2006/relationships/hyperlink" Target="http://www.sec.gov/Archives/edgar/data/1508655/000119312514280584/d744245dex991.htm" TargetMode="External"/><Relationship Id="rId317" Type="http://schemas.openxmlformats.org/officeDocument/2006/relationships/hyperlink" Target="http://www.sec.gov/Archives/edgar/data/1508655/000119312514280584/d744245dex992.htm" TargetMode="External"/><Relationship Id="rId318" Type="http://schemas.openxmlformats.org/officeDocument/2006/relationships/hyperlink" Target="http://www.sec.gov/Archives/edgar/data/1508655/000119312514280584/d744245dex993.htm" TargetMode="External"/><Relationship Id="rId319" Type="http://schemas.openxmlformats.org/officeDocument/2006/relationships/hyperlink" Target="http://www.sec.gov/Archives/edgar/data/1508655/000119312514280584/d744245dex994.htm" TargetMode="External"/><Relationship Id="rId320" Type="http://schemas.openxmlformats.org/officeDocument/2006/relationships/hyperlink" Target="http://www.sec.gov/Archives/edgar/data/1508655/000119312514280584/d744245dex99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2019-12-07T21:22:32Z</dcterms:created>
  <dcterms:modified xsi:type="dcterms:W3CDTF">2019-12-07T21:22:32Z</dcterms:modified>
</cp:coreProperties>
</file>