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Waxman Alan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12/16/2011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8"/>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4"/>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40" w:type="dxa"/>
            <w:vAlign w:val="bottom"/>
            <w:gridSpan w:val="3"/>
            <w:vMerge w:val="restart"/>
          </w:tcPr>
          <w:p>
            <w:pPr>
              <w:ind w:left="660"/>
              <w:spacing w:after="0"/>
              <w:rPr>
                <w:sz w:val="20"/>
                <w:szCs w:val="20"/>
                <w:color w:val="auto"/>
              </w:rPr>
            </w:pPr>
            <w:r>
              <w:rPr>
                <w:rFonts w:ascii="Arial" w:cs="Arial" w:eastAsia="Arial" w:hAnsi="Arial"/>
                <w:sz w:val="18"/>
                <w:szCs w:val="18"/>
                <w:color w:val="0000FF"/>
              </w:rPr>
              <w:t>12/16/2011</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ind w:left="260"/>
              <w:spacing w:after="0"/>
              <w:rPr>
                <w:sz w:val="20"/>
                <w:szCs w:val="20"/>
                <w:color w:val="auto"/>
              </w:rPr>
            </w:pPr>
            <w:r>
              <w:rPr>
                <w:rFonts w:ascii="Arial" w:cs="Arial" w:eastAsia="Arial" w:hAnsi="Arial"/>
                <w:sz w:val="18"/>
                <w:szCs w:val="18"/>
                <w:color w:val="0000FF"/>
              </w:rPr>
              <w:t>573</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680" w:type="dxa"/>
            <w:vAlign w:val="bottom"/>
            <w:gridSpan w:val="2"/>
            <w:vMerge w:val="restart"/>
          </w:tcPr>
          <w:p>
            <w:pPr>
              <w:ind w:left="8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981.57</w:t>
            </w:r>
          </w:p>
        </w:tc>
        <w:tc>
          <w:tcPr>
            <w:tcW w:w="1300" w:type="dxa"/>
            <w:vAlign w:val="bottom"/>
            <w:gridSpan w:val="3"/>
            <w:vMerge w:val="restart"/>
          </w:tcPr>
          <w:p>
            <w:pPr>
              <w:ind w:left="440"/>
              <w:spacing w:after="0"/>
              <w:rPr>
                <w:sz w:val="20"/>
                <w:szCs w:val="20"/>
                <w:color w:val="auto"/>
              </w:rPr>
            </w:pPr>
            <w:r>
              <w:rPr>
                <w:rFonts w:ascii="Arial" w:cs="Arial" w:eastAsia="Arial" w:hAnsi="Arial"/>
                <w:sz w:val="18"/>
                <w:szCs w:val="18"/>
                <w:color w:val="0000FF"/>
              </w:rPr>
              <w:t>7,975</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0"/>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TSL Advisers, LLC ("TSL Advisers") directly holds 7,975 shares of Common Stock of the Issuer (the "TSL Shares"), including 438.5 shares of Common Stock of the Issuer indirectly beneficially owned by Mr. Waxman (through his limited partnership interest in TSL Equity Partners, L.P., which is a member of TSL Advisers). In addition, Mr. Waxman is a member of the board of managers of TSL Advisers and therefore may be deemed to beneficially own all of the TSL Shares. Mr. Waxman disclaims beneficial ownership of the TSL Shares except to the extent of his pecuniary interest therein.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0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Waxman pursuant to the authorization and designation letter dated March 10, 2011, which was previously filed with the Securities and Exchange Commission as an exhibit to a Form 3 filed by Mr. Waxman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12/20/2011</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Alan Waxman (2)</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32"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2019-12-17T05:14:35Z</dcterms:created>
  <dcterms:modified xsi:type="dcterms:W3CDTF">2019-12-17T05:14:35Z</dcterms:modified>
</cp:coreProperties>
</file>