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Fishman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12/10/2012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Executive Officer</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6"/>
              </w:rPr>
              <w:t>FORT WORTH</w:t>
            </w:r>
          </w:p>
        </w:tc>
        <w:tc>
          <w:tcPr>
            <w:tcW w:w="920" w:type="dxa"/>
            <w:vAlign w:val="bottom"/>
          </w:tcPr>
          <w:p>
            <w:pPr>
              <w:ind w:left="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76102</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2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2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520" w:type="dxa"/>
            <w:vAlign w:val="bottom"/>
            <w:gridSpan w:val="2"/>
            <w:vMerge w:val="restart"/>
          </w:tcPr>
          <w:p>
            <w:pPr>
              <w:jc w:val="right"/>
              <w:ind w:right="159"/>
              <w:spacing w:after="0"/>
              <w:rPr>
                <w:sz w:val="20"/>
                <w:szCs w:val="20"/>
                <w:color w:val="auto"/>
              </w:rPr>
            </w:pPr>
            <w:r>
              <w:rPr>
                <w:rFonts w:ascii="Arial" w:cs="Arial" w:eastAsia="Arial" w:hAnsi="Arial"/>
                <w:sz w:val="18"/>
                <w:szCs w:val="18"/>
                <w:color w:val="0000FF"/>
              </w:rPr>
              <w:t>12/10/2012</w:t>
            </w: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vMerge w:val="restart"/>
          </w:tcPr>
          <w:p>
            <w:pPr>
              <w:ind w:left="140"/>
              <w:spacing w:after="0"/>
              <w:rPr>
                <w:sz w:val="20"/>
                <w:szCs w:val="20"/>
                <w:color w:val="auto"/>
              </w:rPr>
            </w:pPr>
            <w:r>
              <w:rPr>
                <w:rFonts w:ascii="Arial" w:cs="Arial" w:eastAsia="Arial" w:hAnsi="Arial"/>
                <w:sz w:val="14"/>
                <w:szCs w:val="14"/>
                <w:color w:val="0000FF"/>
              </w:rPr>
              <w:t>P</w:t>
            </w:r>
          </w:p>
        </w:tc>
        <w:tc>
          <w:tcPr>
            <w:tcW w:w="860" w:type="dxa"/>
            <w:vAlign w:val="bottom"/>
            <w:vMerge w:val="restart"/>
          </w:tcPr>
          <w:p>
            <w:pPr>
              <w:ind w:left="260"/>
              <w:spacing w:after="0"/>
              <w:rPr>
                <w:sz w:val="20"/>
                <w:szCs w:val="20"/>
                <w:color w:val="auto"/>
              </w:rPr>
            </w:pPr>
            <w:r>
              <w:rPr>
                <w:rFonts w:ascii="Arial" w:cs="Arial" w:eastAsia="Arial" w:hAnsi="Arial"/>
                <w:sz w:val="18"/>
                <w:szCs w:val="18"/>
                <w:color w:val="0000FF"/>
              </w:rPr>
              <w:t>70.2</w:t>
            </w:r>
          </w:p>
        </w:tc>
        <w:tc>
          <w:tcPr>
            <w:tcW w:w="500" w:type="dxa"/>
            <w:vAlign w:val="bottom"/>
            <w:vMerge w:val="restart"/>
          </w:tcPr>
          <w:p>
            <w:pPr>
              <w:ind w:left="120"/>
              <w:spacing w:after="0"/>
              <w:rPr>
                <w:sz w:val="20"/>
                <w:szCs w:val="20"/>
                <w:color w:val="auto"/>
              </w:rPr>
            </w:pPr>
            <w:r>
              <w:rPr>
                <w:rFonts w:ascii="Arial" w:cs="Arial" w:eastAsia="Arial" w:hAnsi="Arial"/>
                <w:sz w:val="18"/>
                <w:szCs w:val="18"/>
                <w:color w:val="0000FF"/>
              </w:rPr>
              <w:t>A</w:t>
            </w:r>
          </w:p>
        </w:tc>
        <w:tc>
          <w:tcPr>
            <w:tcW w:w="720" w:type="dxa"/>
            <w:vAlign w:val="bottom"/>
            <w:gridSpan w:val="2"/>
            <w:vMerge w:val="restart"/>
          </w:tcPr>
          <w:p>
            <w:pP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1,008.13</w:t>
            </w:r>
          </w:p>
        </w:tc>
        <w:tc>
          <w:tcPr>
            <w:tcW w:w="1300" w:type="dxa"/>
            <w:vAlign w:val="bottom"/>
            <w:gridSpan w:val="3"/>
            <w:vMerge w:val="restart"/>
          </w:tcPr>
          <w:p>
            <w:pPr>
              <w:ind w:left="460"/>
              <w:spacing w:after="0"/>
              <w:rPr>
                <w:sz w:val="20"/>
                <w:szCs w:val="20"/>
                <w:color w:val="auto"/>
              </w:rPr>
            </w:pPr>
            <w:r>
              <w:rPr>
                <w:rFonts w:ascii="Arial" w:cs="Arial" w:eastAsia="Arial" w:hAnsi="Arial"/>
                <w:sz w:val="18"/>
                <w:szCs w:val="18"/>
                <w:color w:val="0000FF"/>
              </w:rPr>
              <w:t>332.2</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59"/>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39"/>
              <w:spacing w:after="0" w:line="135"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2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32,332 shares of Common Stock of the Issuer, including 332.2 shares of Common Stock of the Issuer indirectly beneficially owned by Mr. Fishman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2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Fishman pursuant to the authorization and designation letter dated March 10, 2011, which was previously filed with the Securities and Exchange Commission as an exhibit to a Form 3 filed by Mr. Fishman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12/12/2012</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Michael Fishman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7378"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2019-12-17T04:44:35Z</dcterms:created>
  <dcterms:modified xsi:type="dcterms:W3CDTF">2019-12-17T04:44:35Z</dcterms:modified>
</cp:coreProperties>
</file>