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9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99"/>
        <w:spacing w:after="0"/>
        <w:rPr>
          <w:sz w:val="20"/>
          <w:szCs w:val="20"/>
          <w:color w:val="auto"/>
        </w:rPr>
      </w:pPr>
      <w:r>
        <w:rPr>
          <w:rFonts w:ascii="Arial" w:cs="Arial" w:eastAsia="Arial" w:hAnsi="Arial"/>
          <w:sz w:val="32"/>
          <w:szCs w:val="32"/>
          <w:b w:val="1"/>
          <w:bCs w:val="1"/>
          <w:color w:val="auto"/>
        </w:rPr>
        <w:t>FORM 8-A</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left="320" w:right="2480"/>
        <w:spacing w:after="0" w:line="243" w:lineRule="auto"/>
        <w:rPr>
          <w:sz w:val="20"/>
          <w:szCs w:val="20"/>
          <w:color w:val="auto"/>
        </w:rPr>
      </w:pPr>
      <w:r>
        <w:rPr>
          <w:rFonts w:ascii="Arial" w:cs="Arial" w:eastAsia="Arial" w:hAnsi="Arial"/>
          <w:sz w:val="22"/>
          <w:szCs w:val="22"/>
          <w:b w:val="1"/>
          <w:bCs w:val="1"/>
          <w:color w:val="auto"/>
        </w:rPr>
        <w:t>FOR REGISTRATION OF CERTAIN CLASSES OF SECURITIES PURSUANT TO SECTION 12(b) or (g)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215265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06" w:lineRule="exact"/>
        <w:rPr>
          <w:sz w:val="24"/>
          <w:szCs w:val="24"/>
          <w:color w:val="auto"/>
        </w:rPr>
      </w:pPr>
    </w:p>
    <w:p>
      <w:pPr>
        <w:jc w:val="center"/>
        <w:ind w:right="-99"/>
        <w:spacing w:after="0"/>
        <w:rPr>
          <w:sz w:val="20"/>
          <w:szCs w:val="20"/>
          <w:color w:val="auto"/>
        </w:rPr>
      </w:pPr>
      <w:r>
        <w:rPr>
          <w:rFonts w:ascii="Arial" w:cs="Arial" w:eastAsia="Arial" w:hAnsi="Arial"/>
          <w:sz w:val="43"/>
          <w:szCs w:val="43"/>
          <w:b w:val="1"/>
          <w:bCs w:val="1"/>
          <w:color w:val="auto"/>
        </w:rPr>
        <w:t>TPG Specialty Lending, Inc.</w:t>
      </w:r>
    </w:p>
    <w:p>
      <w:pPr>
        <w:spacing w:after="0" w:line="50"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tbl>
      <w:tblPr>
        <w:tblLayout w:type="fixed"/>
        <w:tblInd w:w="1280" w:type="dxa"/>
        <w:tblCellMar>
          <w:top w:w="0" w:type="dxa"/>
          <w:left w:w="0" w:type="dxa"/>
          <w:bottom w:w="0" w:type="dxa"/>
          <w:right w:w="0" w:type="dxa"/>
        </w:tblCellMar>
      </w:tblPr>
      <w:tr>
        <w:trPr>
          <w:trHeight w:val="212"/>
        </w:trPr>
        <w:tc>
          <w:tcPr>
            <w:tcW w:w="1060" w:type="dxa"/>
            <w:vAlign w:val="bottom"/>
          </w:tcPr>
          <w:p>
            <w:pPr>
              <w:spacing w:after="0"/>
              <w:rPr>
                <w:sz w:val="18"/>
                <w:szCs w:val="18"/>
                <w:color w:val="auto"/>
              </w:rPr>
            </w:pPr>
          </w:p>
        </w:tc>
        <w:tc>
          <w:tcPr>
            <w:tcW w:w="3600" w:type="dxa"/>
            <w:vAlign w:val="bottom"/>
            <w:gridSpan w:val="2"/>
          </w:tcPr>
          <w:p>
            <w:pPr>
              <w:jc w:val="center"/>
              <w:ind w:right="2410"/>
              <w:spacing w:after="0"/>
              <w:rPr>
                <w:sz w:val="20"/>
                <w:szCs w:val="20"/>
                <w:color w:val="auto"/>
              </w:rPr>
            </w:pPr>
            <w:r>
              <w:rPr>
                <w:rFonts w:ascii="Arial" w:cs="Arial" w:eastAsia="Arial" w:hAnsi="Arial"/>
                <w:sz w:val="18"/>
                <w:szCs w:val="18"/>
                <w:b w:val="1"/>
                <w:bCs w:val="1"/>
                <w:color w:val="auto"/>
                <w:w w:val="93"/>
              </w:rPr>
              <w:t>Delaware</w:t>
            </w:r>
          </w:p>
        </w:tc>
        <w:tc>
          <w:tcPr>
            <w:tcW w:w="3720" w:type="dxa"/>
            <w:vAlign w:val="bottom"/>
            <w:gridSpan w:val="2"/>
          </w:tcPr>
          <w:p>
            <w:pPr>
              <w:jc w:val="right"/>
              <w:ind w:right="508"/>
              <w:spacing w:after="0"/>
              <w:rPr>
                <w:sz w:val="20"/>
                <w:szCs w:val="20"/>
                <w:color w:val="auto"/>
              </w:rPr>
            </w:pPr>
            <w:r>
              <w:rPr>
                <w:rFonts w:ascii="Arial" w:cs="Arial" w:eastAsia="Arial" w:hAnsi="Arial"/>
                <w:sz w:val="18"/>
                <w:szCs w:val="18"/>
                <w:b w:val="1"/>
                <w:bCs w:val="1"/>
                <w:color w:val="auto"/>
              </w:rPr>
              <w:t>27-3380000</w:t>
            </w:r>
          </w:p>
        </w:tc>
        <w:tc>
          <w:tcPr>
            <w:tcW w:w="240" w:type="dxa"/>
            <w:vAlign w:val="bottom"/>
          </w:tcPr>
          <w:p>
            <w:pPr>
              <w:spacing w:after="0"/>
              <w:rPr>
                <w:sz w:val="18"/>
                <w:szCs w:val="18"/>
                <w:color w:val="auto"/>
              </w:rPr>
            </w:pPr>
          </w:p>
        </w:tc>
      </w:tr>
      <w:tr>
        <w:trPr>
          <w:trHeight w:val="186"/>
        </w:trPr>
        <w:tc>
          <w:tcPr>
            <w:tcW w:w="4660" w:type="dxa"/>
            <w:vAlign w:val="bottom"/>
            <w:gridSpan w:val="3"/>
          </w:tcPr>
          <w:p>
            <w:pPr>
              <w:jc w:val="center"/>
              <w:ind w:right="1350"/>
              <w:spacing w:after="0"/>
              <w:rPr>
                <w:sz w:val="20"/>
                <w:szCs w:val="20"/>
                <w:color w:val="auto"/>
              </w:rPr>
            </w:pPr>
            <w:r>
              <w:rPr>
                <w:rFonts w:ascii="Arial" w:cs="Arial" w:eastAsia="Arial" w:hAnsi="Arial"/>
                <w:sz w:val="14"/>
                <w:szCs w:val="14"/>
                <w:b w:val="1"/>
                <w:bCs w:val="1"/>
                <w:color w:val="auto"/>
                <w:w w:val="95"/>
              </w:rPr>
              <w:t>(State of Incorporation or Organization)</w:t>
            </w:r>
          </w:p>
        </w:tc>
        <w:tc>
          <w:tcPr>
            <w:tcW w:w="3960" w:type="dxa"/>
            <w:vAlign w:val="bottom"/>
            <w:gridSpan w:val="3"/>
          </w:tcPr>
          <w:p>
            <w:pPr>
              <w:jc w:val="center"/>
              <w:ind w:left="1377"/>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399"/>
        </w:trPr>
        <w:tc>
          <w:tcPr>
            <w:tcW w:w="466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89"/>
              </w:rPr>
              <w:t>301 Commerce Street, Suite 3300</w:t>
            </w:r>
          </w:p>
        </w:tc>
        <w:tc>
          <w:tcPr>
            <w:tcW w:w="1700" w:type="dxa"/>
            <w:vAlign w:val="bottom"/>
          </w:tcPr>
          <w:p>
            <w:pPr>
              <w:spacing w:after="0"/>
              <w:rPr>
                <w:sz w:val="24"/>
                <w:szCs w:val="24"/>
                <w:color w:val="auto"/>
              </w:rPr>
            </w:pPr>
          </w:p>
        </w:tc>
        <w:tc>
          <w:tcPr>
            <w:tcW w:w="2020" w:type="dxa"/>
            <w:vAlign w:val="bottom"/>
          </w:tcPr>
          <w:p>
            <w:pPr>
              <w:spacing w:after="0"/>
              <w:rPr>
                <w:sz w:val="24"/>
                <w:szCs w:val="24"/>
                <w:color w:val="auto"/>
              </w:rPr>
            </w:pPr>
          </w:p>
        </w:tc>
        <w:tc>
          <w:tcPr>
            <w:tcW w:w="240" w:type="dxa"/>
            <w:vAlign w:val="bottom"/>
          </w:tcPr>
          <w:p>
            <w:pPr>
              <w:spacing w:after="0"/>
              <w:rPr>
                <w:sz w:val="24"/>
                <w:szCs w:val="24"/>
                <w:color w:val="auto"/>
              </w:rPr>
            </w:pPr>
          </w:p>
        </w:tc>
      </w:tr>
      <w:tr>
        <w:trPr>
          <w:trHeight w:val="212"/>
        </w:trPr>
        <w:tc>
          <w:tcPr>
            <w:tcW w:w="4660" w:type="dxa"/>
            <w:vAlign w:val="bottom"/>
            <w:gridSpan w:val="3"/>
          </w:tcPr>
          <w:p>
            <w:pPr>
              <w:jc w:val="center"/>
              <w:ind w:right="1350"/>
              <w:spacing w:after="0"/>
              <w:rPr>
                <w:sz w:val="20"/>
                <w:szCs w:val="20"/>
                <w:color w:val="auto"/>
              </w:rPr>
            </w:pPr>
            <w:r>
              <w:rPr>
                <w:rFonts w:ascii="Arial" w:cs="Arial" w:eastAsia="Arial" w:hAnsi="Arial"/>
                <w:sz w:val="18"/>
                <w:szCs w:val="18"/>
                <w:b w:val="1"/>
                <w:bCs w:val="1"/>
                <w:color w:val="auto"/>
                <w:w w:val="97"/>
              </w:rPr>
              <w:t>Fort Worth, TX</w:t>
            </w:r>
          </w:p>
        </w:tc>
        <w:tc>
          <w:tcPr>
            <w:tcW w:w="3720" w:type="dxa"/>
            <w:vAlign w:val="bottom"/>
            <w:gridSpan w:val="2"/>
          </w:tcPr>
          <w:p>
            <w:pPr>
              <w:jc w:val="right"/>
              <w:ind w:right="708"/>
              <w:spacing w:after="0"/>
              <w:rPr>
                <w:sz w:val="20"/>
                <w:szCs w:val="20"/>
                <w:color w:val="auto"/>
              </w:rPr>
            </w:pPr>
            <w:r>
              <w:rPr>
                <w:rFonts w:ascii="Arial" w:cs="Arial" w:eastAsia="Arial" w:hAnsi="Arial"/>
                <w:sz w:val="18"/>
                <w:szCs w:val="18"/>
                <w:b w:val="1"/>
                <w:bCs w:val="1"/>
                <w:color w:val="auto"/>
              </w:rPr>
              <w:t>76102</w:t>
            </w:r>
          </w:p>
        </w:tc>
        <w:tc>
          <w:tcPr>
            <w:tcW w:w="240" w:type="dxa"/>
            <w:vAlign w:val="bottom"/>
          </w:tcPr>
          <w:p>
            <w:pPr>
              <w:spacing w:after="0"/>
              <w:rPr>
                <w:sz w:val="18"/>
                <w:szCs w:val="18"/>
                <w:color w:val="auto"/>
              </w:rPr>
            </w:pPr>
          </w:p>
        </w:tc>
      </w:tr>
      <w:tr>
        <w:trPr>
          <w:trHeight w:val="186"/>
        </w:trPr>
        <w:tc>
          <w:tcPr>
            <w:tcW w:w="4660" w:type="dxa"/>
            <w:vAlign w:val="bottom"/>
            <w:gridSpan w:val="3"/>
          </w:tcPr>
          <w:p>
            <w:pPr>
              <w:jc w:val="center"/>
              <w:ind w:right="1350"/>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1700" w:type="dxa"/>
            <w:vAlign w:val="bottom"/>
          </w:tcPr>
          <w:p>
            <w:pPr>
              <w:spacing w:after="0"/>
              <w:rPr>
                <w:sz w:val="16"/>
                <w:szCs w:val="16"/>
                <w:color w:val="auto"/>
              </w:rPr>
            </w:pPr>
          </w:p>
        </w:tc>
        <w:tc>
          <w:tcPr>
            <w:tcW w:w="22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5"/>
              </w:rPr>
              <w:t>(Zip Code)</w:t>
            </w:r>
          </w:p>
        </w:tc>
      </w:tr>
      <w:tr>
        <w:trPr>
          <w:trHeight w:val="417"/>
        </w:trPr>
        <w:tc>
          <w:tcPr>
            <w:tcW w:w="1060" w:type="dxa"/>
            <w:vAlign w:val="bottom"/>
          </w:tcPr>
          <w:p>
            <w:pPr>
              <w:spacing w:after="0"/>
              <w:rPr>
                <w:sz w:val="24"/>
                <w:szCs w:val="24"/>
                <w:color w:val="auto"/>
              </w:rPr>
            </w:pPr>
          </w:p>
        </w:tc>
        <w:tc>
          <w:tcPr>
            <w:tcW w:w="7560" w:type="dxa"/>
            <w:vAlign w:val="bottom"/>
            <w:gridSpan w:val="5"/>
          </w:tcPr>
          <w:p>
            <w:pPr>
              <w:ind w:left="960"/>
              <w:spacing w:after="0"/>
              <w:rPr>
                <w:sz w:val="20"/>
                <w:szCs w:val="20"/>
                <w:color w:val="auto"/>
              </w:rPr>
            </w:pPr>
            <w:r>
              <w:rPr>
                <w:rFonts w:ascii="Arial" w:cs="Arial" w:eastAsia="Arial" w:hAnsi="Arial"/>
                <w:sz w:val="18"/>
                <w:szCs w:val="18"/>
                <w:b w:val="1"/>
                <w:bCs w:val="1"/>
                <w:color w:val="auto"/>
              </w:rPr>
              <w:t>Securities to be registered pursuant to Section 12(b) of the Act:</w:t>
            </w:r>
          </w:p>
        </w:tc>
      </w:tr>
      <w:tr>
        <w:trPr>
          <w:trHeight w:val="369"/>
        </w:trPr>
        <w:tc>
          <w:tcPr>
            <w:tcW w:w="1060" w:type="dxa"/>
            <w:vAlign w:val="bottom"/>
          </w:tcPr>
          <w:p>
            <w:pPr>
              <w:spacing w:after="0"/>
              <w:rPr>
                <w:sz w:val="24"/>
                <w:szCs w:val="24"/>
                <w:color w:val="auto"/>
              </w:rPr>
            </w:pPr>
          </w:p>
        </w:tc>
        <w:tc>
          <w:tcPr>
            <w:tcW w:w="3600" w:type="dxa"/>
            <w:vAlign w:val="bottom"/>
            <w:gridSpan w:val="2"/>
          </w:tcPr>
          <w:p>
            <w:pPr>
              <w:jc w:val="center"/>
              <w:ind w:right="2390"/>
              <w:spacing w:after="0"/>
              <w:rPr>
                <w:sz w:val="20"/>
                <w:szCs w:val="20"/>
                <w:color w:val="auto"/>
              </w:rPr>
            </w:pPr>
            <w:r>
              <w:rPr>
                <w:rFonts w:ascii="Arial" w:cs="Arial" w:eastAsia="Arial" w:hAnsi="Arial"/>
                <w:sz w:val="14"/>
                <w:szCs w:val="14"/>
                <w:b w:val="1"/>
                <w:bCs w:val="1"/>
                <w:color w:val="auto"/>
                <w:w w:val="89"/>
              </w:rPr>
              <w:t>Title of each class</w:t>
            </w:r>
          </w:p>
        </w:tc>
        <w:tc>
          <w:tcPr>
            <w:tcW w:w="3960" w:type="dxa"/>
            <w:vAlign w:val="bottom"/>
            <w:gridSpan w:val="3"/>
          </w:tcPr>
          <w:p>
            <w:pPr>
              <w:jc w:val="center"/>
              <w:ind w:left="1377"/>
              <w:spacing w:after="0"/>
              <w:rPr>
                <w:sz w:val="20"/>
                <w:szCs w:val="20"/>
                <w:color w:val="auto"/>
              </w:rPr>
            </w:pPr>
            <w:r>
              <w:rPr>
                <w:rFonts w:ascii="Arial" w:cs="Arial" w:eastAsia="Arial" w:hAnsi="Arial"/>
                <w:sz w:val="14"/>
                <w:szCs w:val="14"/>
                <w:b w:val="1"/>
                <w:bCs w:val="1"/>
                <w:color w:val="auto"/>
                <w:w w:val="90"/>
              </w:rPr>
              <w:t>Name of each exchange on which</w:t>
            </w:r>
          </w:p>
        </w:tc>
      </w:tr>
      <w:tr>
        <w:trPr>
          <w:trHeight w:val="185"/>
        </w:trPr>
        <w:tc>
          <w:tcPr>
            <w:tcW w:w="1060" w:type="dxa"/>
            <w:vAlign w:val="bottom"/>
          </w:tcPr>
          <w:p>
            <w:pPr>
              <w:spacing w:after="0"/>
              <w:rPr>
                <w:sz w:val="16"/>
                <w:szCs w:val="16"/>
                <w:color w:val="auto"/>
              </w:rPr>
            </w:pPr>
          </w:p>
        </w:tc>
        <w:tc>
          <w:tcPr>
            <w:tcW w:w="11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to be so registered</w:t>
            </w:r>
          </w:p>
        </w:tc>
        <w:tc>
          <w:tcPr>
            <w:tcW w:w="24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2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each class is to be registered</w:t>
            </w:r>
          </w:p>
        </w:tc>
        <w:tc>
          <w:tcPr>
            <w:tcW w:w="240" w:type="dxa"/>
            <w:vAlign w:val="bottom"/>
          </w:tcPr>
          <w:p>
            <w:pPr>
              <w:spacing w:after="0"/>
              <w:rPr>
                <w:sz w:val="16"/>
                <w:szCs w:val="16"/>
                <w:color w:val="auto"/>
              </w:rPr>
            </w:pPr>
          </w:p>
        </w:tc>
      </w:tr>
      <w:tr>
        <w:trPr>
          <w:trHeight w:val="228"/>
        </w:trPr>
        <w:tc>
          <w:tcPr>
            <w:tcW w:w="2180" w:type="dxa"/>
            <w:vAlign w:val="bottom"/>
            <w:gridSpan w:val="2"/>
          </w:tcPr>
          <w:p>
            <w:pPr>
              <w:spacing w:after="0"/>
              <w:rPr>
                <w:sz w:val="20"/>
                <w:szCs w:val="20"/>
                <w:color w:val="auto"/>
              </w:rPr>
            </w:pPr>
            <w:r>
              <w:rPr>
                <w:rFonts w:ascii="Arial" w:cs="Arial" w:eastAsia="Arial" w:hAnsi="Arial"/>
                <w:sz w:val="18"/>
                <w:szCs w:val="18"/>
                <w:b w:val="1"/>
                <w:bCs w:val="1"/>
                <w:color w:val="auto"/>
                <w:w w:val="91"/>
              </w:rPr>
              <w:t>Common Stock, par value $</w:t>
            </w:r>
          </w:p>
        </w:tc>
        <w:tc>
          <w:tcPr>
            <w:tcW w:w="2480" w:type="dxa"/>
            <w:vAlign w:val="bottom"/>
          </w:tcPr>
          <w:p>
            <w:pPr>
              <w:spacing w:after="0"/>
              <w:rPr>
                <w:sz w:val="20"/>
                <w:szCs w:val="20"/>
                <w:color w:val="auto"/>
              </w:rPr>
            </w:pPr>
            <w:r>
              <w:rPr>
                <w:rFonts w:ascii="Arial" w:cs="Arial" w:eastAsia="Arial" w:hAnsi="Arial"/>
                <w:sz w:val="18"/>
                <w:szCs w:val="18"/>
                <w:b w:val="1"/>
                <w:bCs w:val="1"/>
                <w:color w:val="auto"/>
              </w:rPr>
              <w:t>0.01 per share</w:t>
            </w:r>
          </w:p>
        </w:tc>
        <w:tc>
          <w:tcPr>
            <w:tcW w:w="3960" w:type="dxa"/>
            <w:vAlign w:val="bottom"/>
            <w:gridSpan w:val="3"/>
          </w:tcPr>
          <w:p>
            <w:pPr>
              <w:jc w:val="center"/>
              <w:ind w:left="1377"/>
              <w:spacing w:after="0"/>
              <w:rPr>
                <w:sz w:val="20"/>
                <w:szCs w:val="20"/>
                <w:color w:val="auto"/>
              </w:rPr>
            </w:pPr>
            <w:r>
              <w:rPr>
                <w:rFonts w:ascii="Arial" w:cs="Arial" w:eastAsia="Arial" w:hAnsi="Arial"/>
                <w:sz w:val="18"/>
                <w:szCs w:val="18"/>
                <w:b w:val="1"/>
                <w:bCs w:val="1"/>
                <w:color w:val="auto"/>
                <w:w w:val="90"/>
              </w:rPr>
              <w:t>The New York Stock Exchange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12(b) of the Exchange Act and is effective pursuant to General Instruction A. (c), check the following box. </w:t>
      </w:r>
      <w:r>
        <w:rPr>
          <w:rFonts w:ascii="MS PGothic" w:cs="MS PGothic" w:eastAsia="MS PGothic" w:hAnsi="MS PGothic"/>
          <w:sz w:val="18"/>
          <w:szCs w:val="18"/>
          <w:color w:val="auto"/>
        </w:rPr>
        <w:t>☒</w:t>
      </w:r>
    </w:p>
    <w:p>
      <w:pPr>
        <w:spacing w:after="0" w:line="18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this form relates to the registration of a class of securities pursuant to Section 12(g) of the Exchange Act and is effective pursuant to General Instruction A. (d), check the following box. </w:t>
      </w:r>
      <w:r>
        <w:rPr>
          <w:rFonts w:ascii="MS PGothic" w:cs="MS PGothic" w:eastAsia="MS PGothic" w:hAnsi="MS PGothic"/>
          <w:sz w:val="18"/>
          <w:szCs w:val="18"/>
          <w:color w:val="auto"/>
        </w:rPr>
        <w:t>☐</w:t>
      </w:r>
    </w:p>
    <w:p>
      <w:pPr>
        <w:spacing w:after="0" w:line="179"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Act registration statement file number to which this form relates: 333-193986</w:t>
      </w:r>
    </w:p>
    <w:p>
      <w:pPr>
        <w:spacing w:after="0" w:line="225" w:lineRule="exact"/>
        <w:rPr>
          <w:sz w:val="24"/>
          <w:szCs w:val="24"/>
          <w:color w:val="auto"/>
        </w:rPr>
      </w:pPr>
    </w:p>
    <w:p>
      <w:pPr>
        <w:jc w:val="center"/>
        <w:ind w:right="-99"/>
        <w:spacing w:after="0"/>
        <w:rPr>
          <w:sz w:val="20"/>
          <w:szCs w:val="20"/>
          <w:color w:val="auto"/>
        </w:rPr>
      </w:pPr>
      <w:r>
        <w:rPr>
          <w:rFonts w:ascii="Arial" w:cs="Arial" w:eastAsia="Arial" w:hAnsi="Arial"/>
          <w:sz w:val="18"/>
          <w:szCs w:val="18"/>
          <w:b w:val="1"/>
          <w:bCs w:val="1"/>
          <w:color w:val="auto"/>
        </w:rPr>
        <w:t>Securities to be registered pursuant to Section 12(g) of the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163195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206375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40"/>
          </w:cols>
          <w:pgMar w:left="240" w:top="368" w:right="319" w:bottom="1440" w:gutter="0" w:footer="0" w:header="0"/>
        </w:sectPr>
      </w:pPr>
    </w:p>
    <w:bookmarkStart w:id="1" w:name="page2"/>
    <w:bookmarkEnd w:id="1"/>
    <w:p>
      <w:pPr>
        <w:ind w:left="31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INFORMATION REQUIRED IN REGISTRATION STATEMENT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Description of Registrant’s Securities to be Registered</w:t>
      </w:r>
    </w:p>
    <w:p>
      <w:pPr>
        <w:spacing w:after="0" w:line="121" w:lineRule="exact"/>
        <w:rPr>
          <w:sz w:val="20"/>
          <w:szCs w:val="20"/>
          <w:color w:val="auto"/>
        </w:rPr>
      </w:pPr>
    </w:p>
    <w:p>
      <w:pPr>
        <w:ind w:firstLine="456"/>
        <w:spacing w:after="0" w:line="257" w:lineRule="auto"/>
        <w:rPr>
          <w:sz w:val="20"/>
          <w:szCs w:val="20"/>
          <w:color w:val="auto"/>
        </w:rPr>
      </w:pPr>
      <w:r>
        <w:rPr>
          <w:rFonts w:ascii="Arial" w:cs="Arial" w:eastAsia="Arial" w:hAnsi="Arial"/>
          <w:sz w:val="18"/>
          <w:szCs w:val="18"/>
          <w:color w:val="auto"/>
        </w:rPr>
        <w:t>The description of the common stock, par value $0.01 per share (the “Common Stock”), of TPG Specialty Lending, Inc. (the “Company”) as included under the caption “Description of Our Capital Stock” in the Prospectus forming a part of the Registration Statement on Form N-2, as originally filed with the Securities and Exchange Commission (the “Commission”) on February 18, 2014 (Registration No. 333-193986), including exhibits, and as may be subsequently amended from time to time (the “Registration Statement”), is hereby incorporated by reference. Capitalized terms used herein and not otherwise defined shall have the meanings assigned to them in the Registration Statement.</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Exhibits</w:t>
      </w:r>
    </w:p>
    <w:p>
      <w:pPr>
        <w:spacing w:after="0" w:line="121" w:lineRule="exact"/>
        <w:rPr>
          <w:sz w:val="20"/>
          <w:szCs w:val="20"/>
          <w:color w:val="auto"/>
        </w:rPr>
      </w:pPr>
    </w:p>
    <w:p>
      <w:pPr>
        <w:ind w:right="360" w:firstLine="456"/>
        <w:spacing w:after="0" w:line="342" w:lineRule="auto"/>
        <w:rPr>
          <w:sz w:val="20"/>
          <w:szCs w:val="20"/>
          <w:color w:val="auto"/>
        </w:rPr>
      </w:pPr>
      <w:r>
        <w:rPr>
          <w:rFonts w:ascii="Arial" w:cs="Arial" w:eastAsia="Arial" w:hAnsi="Arial"/>
          <w:sz w:val="16"/>
          <w:szCs w:val="16"/>
          <w:color w:val="auto"/>
        </w:rPr>
        <w:t>Under the Instructions as to Exhibits with respect to Form 8-A, no exhibits are required to be filed because no other securities of the Registrant are registered on the New York Stock Exchange and the securities registered hereby are not being registered pursuant to Section 12(g) of the Exchange Act.</w:t>
      </w:r>
    </w:p>
    <w:p>
      <w:pPr>
        <w:sectPr>
          <w:pgSz w:w="11900" w:h="16838" w:orient="portrait"/>
          <w:cols w:equalWidth="0" w:num="1">
            <w:col w:w="11380"/>
          </w:cols>
          <w:pgMar w:left="240" w:top="270" w:right="279" w:bottom="1440" w:gutter="0" w:footer="0" w:header="0"/>
        </w:sectPr>
      </w:pPr>
    </w:p>
    <w:bookmarkStart w:id="2" w:name="page3"/>
    <w:bookmarkEnd w:id="2"/>
    <w:p>
      <w:pPr>
        <w:jc w:val="center"/>
        <w:ind w:right="-4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Section 12 of the Securities Exchange Act of 1934, the Registrant has duly caused this registration statement to be signed on its behalf by the undersigned, thereto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March 19, 2014</w:t>
      </w:r>
    </w:p>
    <w:p>
      <w:pPr>
        <w:spacing w:after="0" w:line="25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TPG SPECIALTY LENDING, INC.</w:t>
      </w:r>
    </w:p>
    <w:p>
      <w:pPr>
        <w:spacing w:after="0" w:line="225" w:lineRule="exact"/>
        <w:rPr>
          <w:sz w:val="20"/>
          <w:szCs w:val="20"/>
          <w:color w:val="auto"/>
        </w:rPr>
      </w:pPr>
    </w:p>
    <w:p>
      <w:pPr>
        <w:ind w:left="6860"/>
        <w:spacing w:after="0"/>
        <w:tabs>
          <w:tab w:leader="none" w:pos="7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5"/>
          <w:szCs w:val="15"/>
          <w:color w:val="auto"/>
        </w:rPr>
        <w:t>/s/ Joshua Easterly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14605</wp:posOffset>
            </wp:positionV>
            <wp:extent cx="263271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6"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Joshua Easterly</w:t>
      </w:r>
    </w:p>
    <w:p>
      <w:pPr>
        <w:spacing w:after="0" w:line="23" w:lineRule="exact"/>
        <w:rPr>
          <w:sz w:val="20"/>
          <w:szCs w:val="20"/>
          <w:color w:val="auto"/>
        </w:rPr>
      </w:pPr>
    </w:p>
    <w:p>
      <w:pPr>
        <w:ind w:left="7280"/>
        <w:spacing w:after="0"/>
        <w:rPr>
          <w:sz w:val="20"/>
          <w:szCs w:val="20"/>
          <w:color w:val="auto"/>
        </w:rPr>
      </w:pPr>
      <w:r>
        <w:rPr>
          <w:rFonts w:ascii="Arial" w:cs="Arial" w:eastAsia="Arial" w:hAnsi="Arial"/>
          <w:sz w:val="18"/>
          <w:szCs w:val="18"/>
          <w:color w:val="auto"/>
        </w:rPr>
        <w:t>Co-Chief Executive Officer</w:t>
      </w:r>
    </w:p>
    <w:sectPr>
      <w:pgSz w:w="11900" w:h="16838" w:orient="portrait"/>
      <w:cols w:equalWidth="0" w:num="1">
        <w:col w:w="11000"/>
      </w:cols>
      <w:pgMar w:left="240" w:top="27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2019-12-07T23:52:18Z</dcterms:created>
  <dcterms:modified xsi:type="dcterms:W3CDTF">2019-12-07T23:52:18Z</dcterms:modified>
</cp:coreProperties>
</file>