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333-196969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TPG Specialty Lending, Inc. Announces Secondary Offering by Selling Stockholders</w:t>
      </w:r>
    </w:p>
    <w:p>
      <w:pPr>
        <w:spacing w:after="0" w:line="229" w:lineRule="exact"/>
        <w:rPr>
          <w:sz w:val="24"/>
          <w:szCs w:val="24"/>
          <w:color w:val="auto"/>
        </w:rPr>
      </w:pPr>
    </w:p>
    <w:p>
      <w:pPr>
        <w:ind w:right="120"/>
        <w:spacing w:after="0" w:line="276" w:lineRule="auto"/>
        <w:rPr>
          <w:sz w:val="20"/>
          <w:szCs w:val="20"/>
          <w:color w:val="auto"/>
        </w:rPr>
      </w:pPr>
      <w:r>
        <w:rPr>
          <w:rFonts w:ascii="Arial" w:cs="Arial" w:eastAsia="Arial" w:hAnsi="Arial"/>
          <w:sz w:val="17"/>
          <w:szCs w:val="17"/>
          <w:color w:val="auto"/>
        </w:rPr>
        <w:t>NEW YORK—(BUSINESS WIRE)—August 5, 2014—TPG Specialty Lending, Inc. (NYSE:TSLX) (“TSL” or “the “Company”) today announced the commencement of an underwritten secondary public offering of 5,000,000 shares of its common stock by certain of its existing stockholders (the “Selling Stockholders”). In connection with the proposed offering, the Selling Stockholders also plan to grant the underwriters an option to purchase up to an additional 750,000 shares of common stock. No shares of the Company’s common stock are being sold by the Company, and it will not receive any proceeds from this offering. The completion of the proposed offering depends upon several factors, including market and other conditions.</w:t>
      </w:r>
    </w:p>
    <w:p>
      <w:pPr>
        <w:spacing w:after="0" w:line="173" w:lineRule="exact"/>
        <w:rPr>
          <w:sz w:val="24"/>
          <w:szCs w:val="24"/>
          <w:color w:val="auto"/>
        </w:rPr>
      </w:pPr>
    </w:p>
    <w:p>
      <w:pPr>
        <w:ind w:right="420"/>
        <w:spacing w:after="0" w:line="308" w:lineRule="auto"/>
        <w:rPr>
          <w:sz w:val="20"/>
          <w:szCs w:val="20"/>
          <w:color w:val="auto"/>
        </w:rPr>
      </w:pPr>
      <w:r>
        <w:rPr>
          <w:rFonts w:ascii="Arial" w:cs="Arial" w:eastAsia="Arial" w:hAnsi="Arial"/>
          <w:sz w:val="17"/>
          <w:szCs w:val="17"/>
          <w:color w:val="auto"/>
        </w:rPr>
        <w:t>BofA Merrill Lynch, J.P. Morgan, Goldman, Sachs &amp; Co., Morgan Stanley and Wells Fargo Securities are acting as joint book-running managers for this offering. TPG Capital BD, LLC, SunTrust Robinson Humphrey, Imperial Capital, HSBC and Mizuho Securities are acting as co-managers.</w:t>
      </w:r>
    </w:p>
    <w:p>
      <w:pPr>
        <w:spacing w:after="0" w:line="143" w:lineRule="exact"/>
        <w:rPr>
          <w:sz w:val="24"/>
          <w:szCs w:val="24"/>
          <w:color w:val="auto"/>
        </w:rPr>
      </w:pPr>
    </w:p>
    <w:p>
      <w:pPr>
        <w:jc w:val="both"/>
        <w:ind w:right="120"/>
        <w:spacing w:after="0" w:line="343" w:lineRule="auto"/>
        <w:rPr>
          <w:sz w:val="20"/>
          <w:szCs w:val="20"/>
          <w:color w:val="auto"/>
        </w:rPr>
      </w:pPr>
      <w:r>
        <w:rPr>
          <w:rFonts w:ascii="Arial" w:cs="Arial" w:eastAsia="Arial" w:hAnsi="Arial"/>
          <w:sz w:val="15"/>
          <w:szCs w:val="15"/>
          <w:b w:val="1"/>
          <w:bCs w:val="1"/>
          <w:color w:val="auto"/>
        </w:rPr>
        <w:t>Investors are advised to carefully consider the investment objectives, risks, charges and expenses of the Company before investing. The preliminary prospectus supplement dated August 5, 2014 and the accompanying prospectus dated August 1, 2014, which have been filed with the Securities and Exchange Commission (the “SEC”), contain this and other information about the Company and should be read carefully before investing.</w:t>
      </w:r>
    </w:p>
    <w:p>
      <w:pPr>
        <w:spacing w:after="0" w:line="125"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the Company and are not soliciting an offer to buy such securities in any state where such offer and sale is not permitted.</w:t>
      </w:r>
    </w:p>
    <w:p>
      <w:pPr>
        <w:spacing w:after="0" w:line="158" w:lineRule="exact"/>
        <w:rPr>
          <w:sz w:val="24"/>
          <w:szCs w:val="24"/>
          <w:color w:val="auto"/>
        </w:rPr>
      </w:pPr>
    </w:p>
    <w:p>
      <w:pPr>
        <w:ind w:right="60"/>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leading global private investment firm with over $59 billion of assets under management.</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2019-12-08T00:19:06Z</dcterms:created>
  <dcterms:modified xsi:type="dcterms:W3CDTF">2019-12-08T00:19:06Z</dcterms:modified>
</cp:coreProperties>
</file>